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EA" w:rsidRPr="00B4559E" w:rsidRDefault="00B050EA" w:rsidP="00032E4E">
      <w:pPr>
        <w:pStyle w:val="Normal-pool"/>
        <w:rPr>
          <w:lang w:val="es-ES"/>
        </w:rPr>
      </w:pPr>
    </w:p>
    <w:tbl>
      <w:tblPr>
        <w:tblW w:w="0" w:type="auto"/>
        <w:tblLayout w:type="fixed"/>
        <w:tblLook w:val="0000" w:firstRow="0" w:lastRow="0" w:firstColumn="0" w:lastColumn="0" w:noHBand="0" w:noVBand="0"/>
      </w:tblPr>
      <w:tblGrid>
        <w:gridCol w:w="1560"/>
        <w:gridCol w:w="4785"/>
        <w:gridCol w:w="3435"/>
      </w:tblGrid>
      <w:tr w:rsidR="00B4559E" w:rsidRPr="00B4559E" w:rsidTr="00F85210">
        <w:trPr>
          <w:cantSplit/>
          <w:trHeight w:val="850"/>
        </w:trPr>
        <w:tc>
          <w:tcPr>
            <w:tcW w:w="1560" w:type="dxa"/>
          </w:tcPr>
          <w:p w:rsidR="00B050EA" w:rsidRPr="00B4559E" w:rsidRDefault="001774F8" w:rsidP="00DA607F">
            <w:pPr>
              <w:ind w:right="-96"/>
              <w:rPr>
                <w:rFonts w:ascii="Univers" w:hAnsi="Univers"/>
                <w:b/>
                <w:sz w:val="27"/>
                <w:szCs w:val="27"/>
                <w:lang w:val="es-ES"/>
              </w:rPr>
            </w:pPr>
            <w:r w:rsidRPr="00B4559E">
              <w:rPr>
                <w:rFonts w:ascii="Arial" w:hAnsi="Arial" w:cs="Arial"/>
                <w:b/>
                <w:sz w:val="27"/>
                <w:szCs w:val="27"/>
                <w:lang w:val="es-ES"/>
              </w:rPr>
              <w:t>NACIONES</w:t>
            </w:r>
            <w:r w:rsidRPr="00B4559E">
              <w:rPr>
                <w:rFonts w:ascii="Arial" w:hAnsi="Arial" w:cs="Arial"/>
                <w:b/>
                <w:sz w:val="27"/>
                <w:szCs w:val="27"/>
                <w:lang w:val="es-ES"/>
              </w:rPr>
              <w:br/>
              <w:t>UNIDAS</w:t>
            </w:r>
          </w:p>
        </w:tc>
        <w:tc>
          <w:tcPr>
            <w:tcW w:w="4785" w:type="dxa"/>
          </w:tcPr>
          <w:p w:rsidR="00B050EA" w:rsidRPr="00B4559E" w:rsidRDefault="00B050EA" w:rsidP="00023DA9">
            <w:pPr>
              <w:rPr>
                <w:rFonts w:ascii="Univers" w:hAnsi="Univers"/>
                <w:b/>
                <w:sz w:val="27"/>
                <w:szCs w:val="27"/>
                <w:lang w:val="es-ES"/>
              </w:rPr>
            </w:pPr>
          </w:p>
        </w:tc>
        <w:tc>
          <w:tcPr>
            <w:tcW w:w="3435" w:type="dxa"/>
          </w:tcPr>
          <w:p w:rsidR="00B050EA" w:rsidRPr="00B4559E" w:rsidRDefault="001774F8" w:rsidP="00DA607F">
            <w:pPr>
              <w:jc w:val="right"/>
              <w:rPr>
                <w:rFonts w:ascii="Arial" w:hAnsi="Arial" w:cs="Arial"/>
                <w:b/>
                <w:sz w:val="64"/>
                <w:szCs w:val="64"/>
                <w:lang w:val="es-ES"/>
              </w:rPr>
            </w:pPr>
            <w:r w:rsidRPr="00B4559E">
              <w:rPr>
                <w:rFonts w:ascii="Arial" w:hAnsi="Arial" w:cs="Arial"/>
                <w:b/>
                <w:sz w:val="64"/>
                <w:szCs w:val="64"/>
                <w:lang w:val="es-ES"/>
              </w:rPr>
              <w:t>EP</w:t>
            </w:r>
          </w:p>
        </w:tc>
      </w:tr>
      <w:tr w:rsidR="00B4559E" w:rsidRPr="00B4559E" w:rsidTr="00F85210">
        <w:trPr>
          <w:cantSplit/>
          <w:trHeight w:val="281"/>
        </w:trPr>
        <w:tc>
          <w:tcPr>
            <w:tcW w:w="1560" w:type="dxa"/>
            <w:tcBorders>
              <w:bottom w:val="single" w:sz="4" w:space="0" w:color="auto"/>
            </w:tcBorders>
          </w:tcPr>
          <w:p w:rsidR="00B050EA" w:rsidRPr="00B4559E" w:rsidRDefault="00B050EA" w:rsidP="00023DA9">
            <w:pPr>
              <w:rPr>
                <w:sz w:val="18"/>
                <w:szCs w:val="18"/>
                <w:lang w:val="es-ES"/>
              </w:rPr>
            </w:pPr>
          </w:p>
        </w:tc>
        <w:tc>
          <w:tcPr>
            <w:tcW w:w="4785" w:type="dxa"/>
            <w:tcBorders>
              <w:bottom w:val="single" w:sz="4" w:space="0" w:color="auto"/>
            </w:tcBorders>
          </w:tcPr>
          <w:p w:rsidR="00B050EA" w:rsidRPr="00B4559E" w:rsidRDefault="00B050EA" w:rsidP="00023DA9">
            <w:pPr>
              <w:rPr>
                <w:rFonts w:ascii="Univers" w:hAnsi="Univers"/>
                <w:b/>
                <w:sz w:val="18"/>
                <w:szCs w:val="18"/>
                <w:lang w:val="es-ES"/>
              </w:rPr>
            </w:pPr>
          </w:p>
        </w:tc>
        <w:tc>
          <w:tcPr>
            <w:tcW w:w="3435" w:type="dxa"/>
            <w:tcBorders>
              <w:bottom w:val="single" w:sz="4" w:space="0" w:color="auto"/>
            </w:tcBorders>
          </w:tcPr>
          <w:p w:rsidR="00B050EA" w:rsidRPr="00B4559E" w:rsidRDefault="001774F8" w:rsidP="00DA607F">
            <w:pPr>
              <w:rPr>
                <w:sz w:val="18"/>
                <w:szCs w:val="18"/>
                <w:lang w:val="en-US"/>
              </w:rPr>
            </w:pPr>
            <w:r w:rsidRPr="00B4559E">
              <w:rPr>
                <w:b/>
                <w:bCs/>
                <w:sz w:val="28"/>
                <w:lang w:val="en-US"/>
              </w:rPr>
              <w:t>UNEP</w:t>
            </w:r>
            <w:r w:rsidRPr="00B4559E">
              <w:rPr>
                <w:lang w:val="en-US"/>
              </w:rPr>
              <w:t>(DTIE)/Hg/CONF/PM/3</w:t>
            </w:r>
          </w:p>
        </w:tc>
      </w:tr>
      <w:tr w:rsidR="00B4559E" w:rsidRPr="00B4559E" w:rsidTr="00F85210">
        <w:trPr>
          <w:cantSplit/>
          <w:trHeight w:val="2549"/>
        </w:trPr>
        <w:tc>
          <w:tcPr>
            <w:tcW w:w="1560" w:type="dxa"/>
            <w:tcBorders>
              <w:top w:val="single" w:sz="4" w:space="0" w:color="auto"/>
              <w:bottom w:val="single" w:sz="24" w:space="0" w:color="auto"/>
            </w:tcBorders>
          </w:tcPr>
          <w:p w:rsidR="00B050EA" w:rsidRPr="00B4559E" w:rsidRDefault="00B050EA" w:rsidP="00023DA9">
            <w:pPr>
              <w:rPr>
                <w:lang w:val="es-ES"/>
              </w:rPr>
            </w:pPr>
            <w:r w:rsidRPr="00B4559E">
              <w:rPr>
                <w:lang w:val="es-ES"/>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61.95pt" o:ole="" fillcolor="window">
                  <v:imagedata r:id="rId8" o:title=""/>
                </v:shape>
                <o:OLEObject Type="Embed" ProgID="Word.Picture.8" ShapeID="_x0000_i1025" DrawAspect="Content" ObjectID="_1439222710" r:id="rId9"/>
              </w:object>
            </w:r>
            <w:r w:rsidR="00173205" w:rsidRPr="00B4559E">
              <w:rPr>
                <w:noProof/>
                <w:lang w:val="es-ES" w:eastAsia="es-ES"/>
              </w:rPr>
              <w:drawing>
                <wp:inline distT="0" distB="0" distL="0" distR="0" wp14:anchorId="573B33FD" wp14:editId="154664AD">
                  <wp:extent cx="716280" cy="758825"/>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758825"/>
                          </a:xfrm>
                          <a:prstGeom prst="rect">
                            <a:avLst/>
                          </a:prstGeom>
                          <a:noFill/>
                          <a:ln>
                            <a:noFill/>
                          </a:ln>
                        </pic:spPr>
                      </pic:pic>
                    </a:graphicData>
                  </a:graphic>
                </wp:inline>
              </w:drawing>
            </w:r>
          </w:p>
        </w:tc>
        <w:tc>
          <w:tcPr>
            <w:tcW w:w="4785" w:type="dxa"/>
            <w:tcBorders>
              <w:top w:val="single" w:sz="4" w:space="0" w:color="auto"/>
              <w:bottom w:val="single" w:sz="24" w:space="0" w:color="auto"/>
            </w:tcBorders>
          </w:tcPr>
          <w:p w:rsidR="00B050EA" w:rsidRPr="00B4559E" w:rsidRDefault="001774F8" w:rsidP="00DA607F">
            <w:pPr>
              <w:spacing w:before="1200"/>
              <w:rPr>
                <w:rFonts w:ascii="Arial" w:hAnsi="Arial" w:cs="Arial"/>
                <w:b/>
                <w:sz w:val="28"/>
                <w:lang w:val="es-ES"/>
              </w:rPr>
            </w:pPr>
            <w:r w:rsidRPr="00B4559E">
              <w:rPr>
                <w:rFonts w:ascii="Arial" w:hAnsi="Arial" w:cs="Arial"/>
                <w:b/>
                <w:sz w:val="32"/>
                <w:szCs w:val="32"/>
                <w:lang w:val="es-ES"/>
              </w:rPr>
              <w:t>Programa de las</w:t>
            </w:r>
            <w:r w:rsidRPr="00B4559E">
              <w:rPr>
                <w:rFonts w:ascii="Arial" w:hAnsi="Arial" w:cs="Arial"/>
                <w:b/>
                <w:sz w:val="32"/>
                <w:szCs w:val="32"/>
                <w:lang w:val="es-ES"/>
              </w:rPr>
              <w:br/>
              <w:t>Naciones Unidas</w:t>
            </w:r>
            <w:r w:rsidRPr="00B4559E">
              <w:rPr>
                <w:rFonts w:ascii="Arial" w:hAnsi="Arial" w:cs="Arial"/>
                <w:b/>
                <w:sz w:val="32"/>
                <w:szCs w:val="32"/>
                <w:lang w:val="es-ES"/>
              </w:rPr>
              <w:br/>
              <w:t>para el Medio Ambiente</w:t>
            </w:r>
          </w:p>
        </w:tc>
        <w:tc>
          <w:tcPr>
            <w:tcW w:w="3435" w:type="dxa"/>
            <w:tcBorders>
              <w:top w:val="single" w:sz="4" w:space="0" w:color="auto"/>
              <w:bottom w:val="single" w:sz="24" w:space="0" w:color="auto"/>
            </w:tcBorders>
          </w:tcPr>
          <w:p w:rsidR="00B050EA" w:rsidRPr="00B4559E" w:rsidRDefault="001774F8" w:rsidP="00F85210">
            <w:pPr>
              <w:spacing w:before="240"/>
              <w:rPr>
                <w:lang w:val="es-ES"/>
              </w:rPr>
            </w:pPr>
            <w:proofErr w:type="spellStart"/>
            <w:r w:rsidRPr="00B4559E">
              <w:rPr>
                <w:lang w:val="es-ES"/>
              </w:rPr>
              <w:t>Distr</w:t>
            </w:r>
            <w:proofErr w:type="spellEnd"/>
            <w:r w:rsidRPr="00B4559E">
              <w:rPr>
                <w:lang w:val="es-ES"/>
              </w:rPr>
              <w:t>.</w:t>
            </w:r>
            <w:r w:rsidR="00B050EA" w:rsidRPr="00B4559E">
              <w:rPr>
                <w:lang w:val="es-ES"/>
              </w:rPr>
              <w:t xml:space="preserve"> </w:t>
            </w:r>
            <w:r w:rsidRPr="00B4559E">
              <w:rPr>
                <w:lang w:val="es-ES"/>
              </w:rPr>
              <w:t>general</w:t>
            </w:r>
            <w:r w:rsidRPr="00B4559E">
              <w:rPr>
                <w:lang w:val="es-ES"/>
              </w:rPr>
              <w:br w:type="textWrapping" w:clear="all"/>
              <w:t>16 de julio de 2013</w:t>
            </w:r>
          </w:p>
          <w:p w:rsidR="00B050EA" w:rsidRPr="00B4559E" w:rsidRDefault="001774F8" w:rsidP="00DA607F">
            <w:pPr>
              <w:spacing w:before="240"/>
              <w:rPr>
                <w:lang w:val="es-ES"/>
              </w:rPr>
            </w:pPr>
            <w:r w:rsidRPr="00B4559E">
              <w:rPr>
                <w:lang w:val="es-ES"/>
              </w:rPr>
              <w:t>Español</w:t>
            </w:r>
            <w:r w:rsidRPr="00B4559E">
              <w:rPr>
                <w:lang w:val="es-ES"/>
              </w:rPr>
              <w:br/>
              <w:t>Original:</w:t>
            </w:r>
            <w:r w:rsidR="00B050EA" w:rsidRPr="00B4559E">
              <w:rPr>
                <w:lang w:val="es-ES"/>
              </w:rPr>
              <w:t xml:space="preserve"> </w:t>
            </w:r>
            <w:r w:rsidRPr="00B4559E">
              <w:rPr>
                <w:lang w:val="es-ES"/>
              </w:rPr>
              <w:t>inglés</w:t>
            </w:r>
          </w:p>
        </w:tc>
      </w:tr>
    </w:tbl>
    <w:p w:rsidR="00B050EA" w:rsidRPr="00B4559E" w:rsidRDefault="001774F8" w:rsidP="009A0989">
      <w:pPr>
        <w:pStyle w:val="AATitle"/>
        <w:ind w:right="4253"/>
        <w:rPr>
          <w:lang w:val="es-ES"/>
        </w:rPr>
      </w:pPr>
      <w:r w:rsidRPr="00B4559E">
        <w:rPr>
          <w:lang w:val="es-ES"/>
        </w:rPr>
        <w:t xml:space="preserve">Reunión preparatoria de la Conferencia de Plenipotenciarios sobre el Convenio de </w:t>
      </w:r>
      <w:proofErr w:type="spellStart"/>
      <w:r w:rsidRPr="00B4559E">
        <w:rPr>
          <w:lang w:val="es-ES"/>
        </w:rPr>
        <w:t>Minamata</w:t>
      </w:r>
      <w:proofErr w:type="spellEnd"/>
      <w:r w:rsidRPr="00B4559E">
        <w:rPr>
          <w:lang w:val="es-ES"/>
        </w:rPr>
        <w:t xml:space="preserve"> sobre el Mercurio</w:t>
      </w:r>
    </w:p>
    <w:p w:rsidR="00B050EA" w:rsidRPr="00B4559E" w:rsidRDefault="001774F8" w:rsidP="0087305D">
      <w:pPr>
        <w:pStyle w:val="AATitle"/>
        <w:keepNext w:val="0"/>
        <w:keepLines w:val="0"/>
        <w:rPr>
          <w:b w:val="0"/>
          <w:lang w:val="es-ES"/>
        </w:rPr>
      </w:pPr>
      <w:r w:rsidRPr="00B4559E">
        <w:rPr>
          <w:b w:val="0"/>
          <w:lang w:val="es-ES"/>
        </w:rPr>
        <w:t>Kumamoto (Japón), 7 y 8 de octubre de 2013</w:t>
      </w:r>
    </w:p>
    <w:p w:rsidR="00B050EA" w:rsidRPr="00B4559E" w:rsidRDefault="001774F8" w:rsidP="00574179">
      <w:pPr>
        <w:pStyle w:val="AATitle"/>
        <w:rPr>
          <w:b w:val="0"/>
          <w:lang w:val="es-ES"/>
        </w:rPr>
      </w:pPr>
      <w:r w:rsidRPr="00B4559E">
        <w:rPr>
          <w:b w:val="0"/>
          <w:lang w:val="es-ES"/>
        </w:rPr>
        <w:t>Tema 3 del programa provisional</w:t>
      </w:r>
      <w:r w:rsidRPr="00B4559E">
        <w:rPr>
          <w:b w:val="0"/>
          <w:vertAlign w:val="superscript"/>
          <w:lang w:val="es-ES"/>
        </w:rPr>
        <w:t>*</w:t>
      </w:r>
    </w:p>
    <w:p w:rsidR="00B050EA" w:rsidRPr="00B4559E" w:rsidRDefault="001774F8" w:rsidP="009A0989">
      <w:pPr>
        <w:pStyle w:val="AATitle2"/>
        <w:spacing w:before="60"/>
        <w:ind w:right="5387"/>
        <w:rPr>
          <w:lang w:val="es-ES"/>
        </w:rPr>
      </w:pPr>
      <w:r w:rsidRPr="00B4559E">
        <w:rPr>
          <w:lang w:val="es-ES"/>
        </w:rPr>
        <w:t>Preparación de las resoluciones de la Conferencia de Plenipotenciarios</w:t>
      </w:r>
    </w:p>
    <w:p w:rsidR="00B050EA" w:rsidRPr="00B4559E" w:rsidRDefault="00B050EA" w:rsidP="00F85210">
      <w:pPr>
        <w:pStyle w:val="CH1"/>
        <w:rPr>
          <w:lang w:val="es-ES"/>
        </w:rPr>
      </w:pPr>
      <w:r w:rsidRPr="00B4559E">
        <w:rPr>
          <w:lang w:val="es-ES"/>
        </w:rPr>
        <w:tab/>
      </w:r>
      <w:r w:rsidRPr="00B4559E">
        <w:rPr>
          <w:lang w:val="es-ES"/>
        </w:rPr>
        <w:tab/>
      </w:r>
      <w:r w:rsidR="001774F8" w:rsidRPr="00B4559E">
        <w:rPr>
          <w:lang w:val="es-ES"/>
        </w:rPr>
        <w:t xml:space="preserve">Proyectos de resolución </w:t>
      </w:r>
      <w:r w:rsidR="00F85210" w:rsidRPr="00B4559E">
        <w:rPr>
          <w:lang w:val="es-ES"/>
        </w:rPr>
        <w:t>para</w:t>
      </w:r>
      <w:r w:rsidR="001774F8" w:rsidRPr="00B4559E">
        <w:rPr>
          <w:lang w:val="es-ES"/>
        </w:rPr>
        <w:t xml:space="preserve"> la Conferencia de Plenipotenciarios</w:t>
      </w:r>
    </w:p>
    <w:p w:rsidR="00B050EA" w:rsidRPr="00B4559E" w:rsidRDefault="00B050EA" w:rsidP="00574179">
      <w:pPr>
        <w:pStyle w:val="CH2"/>
        <w:rPr>
          <w:lang w:val="es-ES"/>
        </w:rPr>
      </w:pPr>
      <w:r w:rsidRPr="00B4559E">
        <w:rPr>
          <w:lang w:val="es-ES"/>
        </w:rPr>
        <w:tab/>
      </w:r>
      <w:r w:rsidRPr="00B4559E">
        <w:rPr>
          <w:lang w:val="es-ES"/>
        </w:rPr>
        <w:tab/>
      </w:r>
      <w:r w:rsidR="001774F8" w:rsidRPr="00B4559E">
        <w:rPr>
          <w:lang w:val="es-ES"/>
        </w:rPr>
        <w:t>Nota de la secretaría</w:t>
      </w:r>
    </w:p>
    <w:p w:rsidR="00B050EA" w:rsidRPr="00B4559E" w:rsidRDefault="001774F8" w:rsidP="00F85210">
      <w:pPr>
        <w:pStyle w:val="Normalnumber"/>
        <w:numPr>
          <w:ilvl w:val="0"/>
          <w:numId w:val="43"/>
        </w:numPr>
        <w:rPr>
          <w:lang w:val="es-ES"/>
        </w:rPr>
      </w:pPr>
      <w:r w:rsidRPr="00B4559E">
        <w:rPr>
          <w:lang w:val="es-ES"/>
        </w:rPr>
        <w:t xml:space="preserve">En su quinto período de sesiones, el Comité intergubernamental de negociación encargado de elaborar un instrumento jurídicamente vinculante a nivel mundial sobre el mercurio solicitó a la secretaría que preparara proyectos de resolución para que los examinara la reunión preparatoria de la Conferencia de Plenipotenciarios sobre el Convenio de </w:t>
      </w:r>
      <w:proofErr w:type="spellStart"/>
      <w:r w:rsidRPr="00B4559E">
        <w:rPr>
          <w:lang w:val="es-ES"/>
        </w:rPr>
        <w:t>Minamata</w:t>
      </w:r>
      <w:proofErr w:type="spellEnd"/>
      <w:r w:rsidRPr="00B4559E">
        <w:rPr>
          <w:lang w:val="es-ES"/>
        </w:rPr>
        <w:t xml:space="preserve"> sobre el Mercurio, con la intención de que esa reunión preparatoria ultimara las resoluciones para que la Conferencia de Plenipotenciarios las examinara y aprobara si procedía.</w:t>
      </w:r>
      <w:r w:rsidR="00B050EA" w:rsidRPr="00B4559E">
        <w:rPr>
          <w:lang w:val="es-ES"/>
        </w:rPr>
        <w:t xml:space="preserve"> </w:t>
      </w:r>
    </w:p>
    <w:p w:rsidR="00B050EA" w:rsidRPr="00B4559E" w:rsidRDefault="00F85210" w:rsidP="00F85210">
      <w:pPr>
        <w:pStyle w:val="Normalnumber"/>
        <w:numPr>
          <w:ilvl w:val="0"/>
          <w:numId w:val="43"/>
        </w:numPr>
        <w:rPr>
          <w:lang w:val="es-ES"/>
        </w:rPr>
      </w:pPr>
      <w:r w:rsidRPr="00B4559E">
        <w:rPr>
          <w:lang w:val="es-ES"/>
        </w:rPr>
        <w:t>Conforme</w:t>
      </w:r>
      <w:r w:rsidR="001774F8" w:rsidRPr="00B4559E">
        <w:rPr>
          <w:lang w:val="es-ES"/>
        </w:rPr>
        <w:t xml:space="preserve"> a la solicitud del Comité, la secretaría ha preparado proyectos de resolución para que la reunión preparatoria los examine.</w:t>
      </w:r>
      <w:r w:rsidR="00B050EA" w:rsidRPr="00B4559E">
        <w:rPr>
          <w:lang w:val="es-ES"/>
        </w:rPr>
        <w:t xml:space="preserve"> </w:t>
      </w:r>
      <w:r w:rsidR="001774F8" w:rsidRPr="00B4559E">
        <w:rPr>
          <w:lang w:val="es-ES"/>
        </w:rPr>
        <w:t>Para elaborar los proyectos de resolución, que figuran en el anexo de la presente nota, la secretaría se basó en los proyectos que presentó al Comité para que este los examinara en su quinto período de sesiones (UNEP(DTIE)/Hg/INC.5/6), teniendo en cuenta el debate que tuvo lugar en esa ocasión.</w:t>
      </w:r>
      <w:r w:rsidR="00B050EA" w:rsidRPr="00B4559E">
        <w:rPr>
          <w:lang w:val="es-ES"/>
        </w:rPr>
        <w:t xml:space="preserve"> </w:t>
      </w:r>
    </w:p>
    <w:p w:rsidR="00B050EA" w:rsidRPr="00B4559E" w:rsidRDefault="001774F8" w:rsidP="008170E8">
      <w:pPr>
        <w:pStyle w:val="Normalnumber"/>
        <w:numPr>
          <w:ilvl w:val="0"/>
          <w:numId w:val="43"/>
        </w:numPr>
        <w:rPr>
          <w:lang w:val="es-ES"/>
        </w:rPr>
      </w:pPr>
      <w:r w:rsidRPr="00B4559E">
        <w:rPr>
          <w:lang w:val="es-ES"/>
        </w:rPr>
        <w:t xml:space="preserve">Se invita a la reunión preparatoria a </w:t>
      </w:r>
      <w:r w:rsidR="00F85210" w:rsidRPr="00B4559E">
        <w:rPr>
          <w:lang w:val="es-ES"/>
        </w:rPr>
        <w:t xml:space="preserve">que </w:t>
      </w:r>
      <w:r w:rsidRPr="00B4559E">
        <w:rPr>
          <w:lang w:val="es-ES"/>
        </w:rPr>
        <w:t>examin</w:t>
      </w:r>
      <w:r w:rsidR="00F85210" w:rsidRPr="00B4559E">
        <w:rPr>
          <w:lang w:val="es-ES"/>
        </w:rPr>
        <w:t>e</w:t>
      </w:r>
      <w:r w:rsidRPr="00B4559E">
        <w:rPr>
          <w:lang w:val="es-ES"/>
        </w:rPr>
        <w:t xml:space="preserve"> los proyectos de resolución y </w:t>
      </w:r>
      <w:r w:rsidR="00F85210" w:rsidRPr="00B4559E">
        <w:rPr>
          <w:lang w:val="es-ES"/>
        </w:rPr>
        <w:t xml:space="preserve">los ultime </w:t>
      </w:r>
      <w:r w:rsidRPr="00B4559E">
        <w:rPr>
          <w:lang w:val="es-ES"/>
        </w:rPr>
        <w:t>para que la Conferencia de Plenipotenciarios los examine y apruebe si procede.</w:t>
      </w:r>
      <w:r w:rsidR="00B050EA" w:rsidRPr="00B4559E">
        <w:rPr>
          <w:lang w:val="es-ES"/>
        </w:rPr>
        <w:t xml:space="preserve"> </w:t>
      </w:r>
    </w:p>
    <w:p w:rsidR="00B050EA" w:rsidRPr="00B4559E" w:rsidRDefault="001774F8" w:rsidP="008170E8">
      <w:pPr>
        <w:pStyle w:val="Normalnumber"/>
        <w:numPr>
          <w:ilvl w:val="0"/>
          <w:numId w:val="43"/>
        </w:numPr>
        <w:rPr>
          <w:lang w:val="es-ES"/>
        </w:rPr>
      </w:pPr>
      <w:r w:rsidRPr="00B4559E">
        <w:rPr>
          <w:lang w:val="es-ES"/>
        </w:rPr>
        <w:t xml:space="preserve">La secretaría observa que el Consejo de Administración del Programa de las Naciones Unidas para el Medio Ambiente (PNUMA), en su decisión 27/12, relativa a la gestión de los productos químicos y los desechos, solicitó al Director Ejecutivo que </w:t>
      </w:r>
      <w:r w:rsidR="003E1EA6" w:rsidRPr="00B4559E">
        <w:rPr>
          <w:lang w:val="es-ES"/>
        </w:rPr>
        <w:t xml:space="preserve">convocara una reunión, impulsada por los países, de </w:t>
      </w:r>
      <w:r w:rsidR="002816F1" w:rsidRPr="00B4559E">
        <w:rPr>
          <w:lang w:val="es-ES"/>
        </w:rPr>
        <w:t>l</w:t>
      </w:r>
      <w:r w:rsidR="003E1EA6" w:rsidRPr="00B4559E">
        <w:rPr>
          <w:lang w:val="es-ES"/>
        </w:rPr>
        <w:t>os gobiernos y las organizaciones de integración económica</w:t>
      </w:r>
      <w:r w:rsidR="001263F9" w:rsidRPr="00B4559E">
        <w:rPr>
          <w:lang w:val="es-ES"/>
        </w:rPr>
        <w:t xml:space="preserve"> regional</w:t>
      </w:r>
      <w:r w:rsidR="003E1EA6" w:rsidRPr="00B4559E">
        <w:rPr>
          <w:lang w:val="es-ES"/>
        </w:rPr>
        <w:t>, para seguir elaborando el mandato de un programa especial</w:t>
      </w:r>
      <w:r w:rsidRPr="00B4559E">
        <w:rPr>
          <w:lang w:val="es-ES"/>
        </w:rPr>
        <w:t>,</w:t>
      </w:r>
      <w:r w:rsidR="003E1EA6" w:rsidRPr="00B4559E">
        <w:rPr>
          <w:lang w:val="es-ES"/>
        </w:rPr>
        <w:t xml:space="preserve"> financiado con contribuciones voluntarias, que tuviera por objeto apoyar el fortalecimiento </w:t>
      </w:r>
      <w:r w:rsidRPr="00B4559E">
        <w:rPr>
          <w:lang w:val="es-ES"/>
        </w:rPr>
        <w:t>institu</w:t>
      </w:r>
      <w:r w:rsidR="003E1EA6" w:rsidRPr="00B4559E">
        <w:rPr>
          <w:lang w:val="es-ES"/>
        </w:rPr>
        <w:t>c</w:t>
      </w:r>
      <w:r w:rsidRPr="00B4559E">
        <w:rPr>
          <w:lang w:val="es-ES"/>
        </w:rPr>
        <w:t>ion</w:t>
      </w:r>
      <w:r w:rsidR="003E1EA6" w:rsidRPr="00B4559E">
        <w:rPr>
          <w:lang w:val="es-ES"/>
        </w:rPr>
        <w:t>al a nivel</w:t>
      </w:r>
      <w:r w:rsidRPr="00B4559E">
        <w:rPr>
          <w:lang w:val="es-ES"/>
        </w:rPr>
        <w:t xml:space="preserve"> na</w:t>
      </w:r>
      <w:r w:rsidR="003E1EA6" w:rsidRPr="00B4559E">
        <w:rPr>
          <w:lang w:val="es-ES"/>
        </w:rPr>
        <w:t>c</w:t>
      </w:r>
      <w:r w:rsidRPr="00B4559E">
        <w:rPr>
          <w:lang w:val="es-ES"/>
        </w:rPr>
        <w:t>ional</w:t>
      </w:r>
      <w:r w:rsidR="003E1EA6" w:rsidRPr="00B4559E">
        <w:rPr>
          <w:lang w:val="es-ES"/>
        </w:rPr>
        <w:t xml:space="preserve">, y que informara sobre los resultados de esa reunión a la Conferencia de </w:t>
      </w:r>
      <w:r w:rsidRPr="00B4559E">
        <w:rPr>
          <w:lang w:val="es-ES"/>
        </w:rPr>
        <w:t>Plenipoten</w:t>
      </w:r>
      <w:r w:rsidR="003E1EA6" w:rsidRPr="00B4559E">
        <w:rPr>
          <w:lang w:val="es-ES"/>
        </w:rPr>
        <w:t>c</w:t>
      </w:r>
      <w:r w:rsidRPr="00B4559E">
        <w:rPr>
          <w:lang w:val="es-ES"/>
        </w:rPr>
        <w:t>iari</w:t>
      </w:r>
      <w:r w:rsidR="003E1EA6" w:rsidRPr="00B4559E">
        <w:rPr>
          <w:lang w:val="es-ES"/>
        </w:rPr>
        <w:t>o</w:t>
      </w:r>
      <w:r w:rsidRPr="00B4559E">
        <w:rPr>
          <w:lang w:val="es-ES"/>
        </w:rPr>
        <w:t>s</w:t>
      </w:r>
      <w:r w:rsidR="003E1EA6" w:rsidRPr="00B4559E">
        <w:rPr>
          <w:lang w:val="es-ES"/>
        </w:rPr>
        <w:t xml:space="preserve"> sobre el Convenio de </w:t>
      </w:r>
      <w:proofErr w:type="spellStart"/>
      <w:r w:rsidR="003E1EA6" w:rsidRPr="00B4559E">
        <w:rPr>
          <w:lang w:val="es-ES"/>
        </w:rPr>
        <w:t>Minamata</w:t>
      </w:r>
      <w:proofErr w:type="spellEnd"/>
      <w:r w:rsidR="003E1EA6" w:rsidRPr="00B4559E">
        <w:rPr>
          <w:lang w:val="es-ES"/>
        </w:rPr>
        <w:t xml:space="preserve"> sobre el Mercurio.</w:t>
      </w:r>
      <w:r w:rsidR="00B050EA" w:rsidRPr="00B4559E">
        <w:rPr>
          <w:lang w:val="es-ES"/>
        </w:rPr>
        <w:t xml:space="preserve"> </w:t>
      </w:r>
      <w:r w:rsidR="003E1EA6" w:rsidRPr="00B4559E">
        <w:rPr>
          <w:lang w:val="es-ES"/>
        </w:rPr>
        <w:t xml:space="preserve">Los gobiernos tal vez deseen hacer referencia a esos resultados en alguna de las resoluciones que aprueben en el acta final del Convenio de </w:t>
      </w:r>
      <w:proofErr w:type="spellStart"/>
      <w:r w:rsidR="003E1EA6" w:rsidRPr="00B4559E">
        <w:rPr>
          <w:lang w:val="es-ES"/>
        </w:rPr>
        <w:t>Minamata</w:t>
      </w:r>
      <w:proofErr w:type="spellEnd"/>
      <w:r w:rsidR="003E1EA6" w:rsidRPr="00B4559E">
        <w:rPr>
          <w:lang w:val="es-ES"/>
        </w:rPr>
        <w:t xml:space="preserve"> sobre el Mercurio.</w:t>
      </w:r>
      <w:r w:rsidR="00B050EA" w:rsidRPr="00B4559E">
        <w:rPr>
          <w:lang w:val="es-ES"/>
        </w:rPr>
        <w:t xml:space="preserve"> </w:t>
      </w:r>
      <w:r w:rsidR="002816F1" w:rsidRPr="00B4559E">
        <w:rPr>
          <w:lang w:val="es-ES"/>
        </w:rPr>
        <w:t>Cabe señalar que la secretaría no ha hecho referencia alguna a esos resultados en los proyectos de resolución que ha preparado porque la reunión impulsada por los países no había tenido lugar cuando se redactó el presente documento.</w:t>
      </w:r>
    </w:p>
    <w:p w:rsidR="00B050EA" w:rsidRPr="00B4559E" w:rsidRDefault="00B050EA" w:rsidP="00574179">
      <w:pPr>
        <w:pStyle w:val="ZZAnxheader"/>
        <w:rPr>
          <w:lang w:val="es-ES"/>
        </w:rPr>
      </w:pPr>
      <w:r w:rsidRPr="00B4559E">
        <w:rPr>
          <w:sz w:val="24"/>
          <w:lang w:val="es-ES"/>
        </w:rPr>
        <w:br w:type="page"/>
      </w:r>
      <w:r w:rsidR="002816F1" w:rsidRPr="00B4559E">
        <w:rPr>
          <w:lang w:val="es-ES"/>
        </w:rPr>
        <w:lastRenderedPageBreak/>
        <w:t>Anexo</w:t>
      </w:r>
    </w:p>
    <w:p w:rsidR="00B050EA" w:rsidRPr="00B4559E" w:rsidRDefault="002816F1" w:rsidP="00C65400">
      <w:pPr>
        <w:pStyle w:val="ZZAnxtitle"/>
        <w:rPr>
          <w:sz w:val="24"/>
          <w:lang w:val="es-ES"/>
        </w:rPr>
      </w:pPr>
      <w:r w:rsidRPr="00B4559E">
        <w:rPr>
          <w:lang w:val="es-ES"/>
        </w:rPr>
        <w:t xml:space="preserve">Proyectos de resolución para que examine la Conferencia de Plenipotenciarios sobre el Convenio de </w:t>
      </w:r>
      <w:proofErr w:type="spellStart"/>
      <w:r w:rsidRPr="00B4559E">
        <w:rPr>
          <w:lang w:val="es-ES"/>
        </w:rPr>
        <w:t>Minamata</w:t>
      </w:r>
      <w:proofErr w:type="spellEnd"/>
      <w:r w:rsidRPr="00B4559E">
        <w:rPr>
          <w:lang w:val="es-ES"/>
        </w:rPr>
        <w:t xml:space="preserve"> sobre el Mercurio</w:t>
      </w:r>
    </w:p>
    <w:p w:rsidR="00B050EA" w:rsidRPr="00B4559E" w:rsidRDefault="00B050EA" w:rsidP="00574179">
      <w:pPr>
        <w:pStyle w:val="NormalNonumber"/>
        <w:tabs>
          <w:tab w:val="clear" w:pos="1247"/>
          <w:tab w:val="clear" w:pos="1814"/>
          <w:tab w:val="clear" w:pos="2381"/>
          <w:tab w:val="clear" w:pos="2948"/>
          <w:tab w:val="clear" w:pos="3515"/>
          <w:tab w:val="clear" w:pos="4082"/>
          <w:tab w:val="left" w:pos="624"/>
        </w:tabs>
        <w:ind w:firstLine="624"/>
        <w:rPr>
          <w:i/>
          <w:lang w:val="es-ES"/>
        </w:rPr>
      </w:pPr>
      <w:r w:rsidRPr="00B4559E">
        <w:rPr>
          <w:lang w:val="es-ES"/>
        </w:rPr>
        <w:tab/>
      </w:r>
      <w:r w:rsidR="002816F1" w:rsidRPr="00B4559E">
        <w:rPr>
          <w:i/>
          <w:lang w:val="es-ES"/>
        </w:rPr>
        <w:t>La Conferencia,</w:t>
      </w:r>
    </w:p>
    <w:p w:rsidR="00B050EA" w:rsidRPr="00B4559E" w:rsidRDefault="002816F1" w:rsidP="00574179">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i/>
          <w:iCs/>
          <w:lang w:val="es-ES"/>
        </w:rPr>
        <w:t xml:space="preserve">Habiendo aprobado </w:t>
      </w:r>
      <w:r w:rsidRPr="00B4559E">
        <w:rPr>
          <w:iCs/>
          <w:lang w:val="es-ES"/>
        </w:rPr>
        <w:t xml:space="preserve">el texto del Convenio de </w:t>
      </w:r>
      <w:proofErr w:type="spellStart"/>
      <w:r w:rsidRPr="00B4559E">
        <w:rPr>
          <w:iCs/>
          <w:lang w:val="es-ES"/>
        </w:rPr>
        <w:t>Minamata</w:t>
      </w:r>
      <w:proofErr w:type="spellEnd"/>
      <w:r w:rsidRPr="00B4559E">
        <w:rPr>
          <w:iCs/>
          <w:lang w:val="es-ES"/>
        </w:rPr>
        <w:t xml:space="preserve"> sobre el Mercurio (en </w:t>
      </w:r>
      <w:r w:rsidR="00C65400" w:rsidRPr="00B4559E">
        <w:rPr>
          <w:iCs/>
          <w:lang w:val="es-ES"/>
        </w:rPr>
        <w:t>adelante</w:t>
      </w:r>
      <w:r w:rsidRPr="00B4559E">
        <w:rPr>
          <w:iCs/>
          <w:lang w:val="es-ES"/>
        </w:rPr>
        <w:t>, “el Convenio”),</w:t>
      </w:r>
    </w:p>
    <w:p w:rsidR="00B050EA" w:rsidRPr="00B4559E" w:rsidRDefault="002816F1" w:rsidP="00574179">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i/>
          <w:lang w:val="es-ES"/>
        </w:rPr>
        <w:t>Recordando</w:t>
      </w:r>
      <w:r w:rsidRPr="00B4559E">
        <w:rPr>
          <w:lang w:val="es-ES"/>
        </w:rPr>
        <w:t xml:space="preserve"> las decisiones del Consejo de Administraci</w:t>
      </w:r>
      <w:r w:rsidR="00B4559E" w:rsidRPr="00B4559E">
        <w:rPr>
          <w:lang w:val="es-ES"/>
        </w:rPr>
        <w:t>ón del Programa de las Naciones </w:t>
      </w:r>
      <w:r w:rsidRPr="00B4559E">
        <w:rPr>
          <w:lang w:val="es-ES"/>
        </w:rPr>
        <w:t>Unidas para el Medio Ambiente 25/5, de 20 de febrero de 200</w:t>
      </w:r>
      <w:r w:rsidR="00B4559E" w:rsidRPr="00B4559E">
        <w:rPr>
          <w:lang w:val="es-ES"/>
        </w:rPr>
        <w:t>9, y 27/12, de 22 de febrero de </w:t>
      </w:r>
      <w:r w:rsidRPr="00B4559E">
        <w:rPr>
          <w:lang w:val="es-ES"/>
        </w:rPr>
        <w:t>2013, ambas relativas al mercurio,</w:t>
      </w:r>
    </w:p>
    <w:p w:rsidR="00B050EA" w:rsidRPr="004628A2" w:rsidRDefault="00B050EA" w:rsidP="004628A2">
      <w:pPr>
        <w:pStyle w:val="NormalNonumber"/>
        <w:tabs>
          <w:tab w:val="clear" w:pos="1247"/>
          <w:tab w:val="clear" w:pos="1814"/>
          <w:tab w:val="clear" w:pos="2381"/>
          <w:tab w:val="clear" w:pos="2948"/>
          <w:tab w:val="clear" w:pos="3515"/>
          <w:tab w:val="clear" w:pos="4082"/>
          <w:tab w:val="left" w:pos="624"/>
        </w:tabs>
        <w:ind w:left="0" w:firstLine="624"/>
        <w:rPr>
          <w:b/>
          <w:sz w:val="24"/>
          <w:szCs w:val="24"/>
          <w:lang w:val="es-ES"/>
        </w:rPr>
      </w:pPr>
      <w:r w:rsidRPr="004628A2">
        <w:rPr>
          <w:b/>
          <w:sz w:val="24"/>
          <w:szCs w:val="24"/>
          <w:lang w:val="es-ES"/>
        </w:rPr>
        <w:t>1.</w:t>
      </w:r>
      <w:r w:rsidRPr="004628A2">
        <w:rPr>
          <w:b/>
          <w:sz w:val="24"/>
          <w:szCs w:val="24"/>
          <w:lang w:val="es-ES"/>
        </w:rPr>
        <w:tab/>
      </w:r>
      <w:r w:rsidR="002816F1" w:rsidRPr="004628A2">
        <w:rPr>
          <w:b/>
          <w:sz w:val="24"/>
          <w:szCs w:val="24"/>
          <w:lang w:val="es-ES"/>
        </w:rPr>
        <w:t>Resolución sobre los arreglos para el período de transición</w:t>
      </w:r>
    </w:p>
    <w:p w:rsidR="00B050EA" w:rsidRPr="00B4559E" w:rsidRDefault="00091D5B" w:rsidP="00574179">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i/>
          <w:iCs/>
          <w:lang w:val="es-ES"/>
        </w:rPr>
        <w:t>Tomando en consideración</w:t>
      </w:r>
      <w:r w:rsidR="002816F1" w:rsidRPr="00B4559E">
        <w:rPr>
          <w:i/>
          <w:iCs/>
          <w:lang w:val="es-ES"/>
        </w:rPr>
        <w:t xml:space="preserve"> </w:t>
      </w:r>
      <w:r w:rsidR="002816F1" w:rsidRPr="00B4559E">
        <w:rPr>
          <w:iCs/>
          <w:lang w:val="es-ES"/>
        </w:rPr>
        <w:t xml:space="preserve">que se necesitan arreglos </w:t>
      </w:r>
      <w:r w:rsidRPr="00B4559E">
        <w:rPr>
          <w:iCs/>
          <w:lang w:val="es-ES"/>
        </w:rPr>
        <w:t>a</w:t>
      </w:r>
      <w:r w:rsidR="002816F1" w:rsidRPr="00B4559E">
        <w:rPr>
          <w:iCs/>
          <w:lang w:val="es-ES"/>
        </w:rPr>
        <w:t xml:space="preserve"> fin de aplicar con prontitud medidas internacionales para proteger la salud humana y el medio ambiente de las liberaciones </w:t>
      </w:r>
      <w:proofErr w:type="spellStart"/>
      <w:r w:rsidR="002816F1" w:rsidRPr="00B4559E">
        <w:rPr>
          <w:iCs/>
          <w:lang w:val="es-ES"/>
        </w:rPr>
        <w:t>antropógenas</w:t>
      </w:r>
      <w:proofErr w:type="spellEnd"/>
      <w:r w:rsidR="002816F1" w:rsidRPr="00B4559E">
        <w:rPr>
          <w:iCs/>
          <w:lang w:val="es-ES"/>
        </w:rPr>
        <w:t xml:space="preserve"> de mercurio y compuestos de mercurio hasta la entrada en vigor del Convenio y preparar</w:t>
      </w:r>
      <w:r w:rsidR="00587340" w:rsidRPr="00B4559E">
        <w:rPr>
          <w:iCs/>
          <w:lang w:val="es-ES"/>
        </w:rPr>
        <w:t>se para</w:t>
      </w:r>
      <w:r w:rsidR="002816F1" w:rsidRPr="00B4559E">
        <w:rPr>
          <w:iCs/>
          <w:lang w:val="es-ES"/>
        </w:rPr>
        <w:t xml:space="preserve"> su aplicación efectiva una vez que este haya entrado en vigor,</w:t>
      </w:r>
      <w:r w:rsidR="00B050EA" w:rsidRPr="00B4559E">
        <w:rPr>
          <w:lang w:val="es-ES"/>
        </w:rPr>
        <w:t xml:space="preserve"> </w:t>
      </w:r>
    </w:p>
    <w:p w:rsidR="00B050EA" w:rsidRPr="00B4559E" w:rsidRDefault="00091D5B" w:rsidP="00587340">
      <w:pPr>
        <w:pStyle w:val="Normal-pool"/>
        <w:tabs>
          <w:tab w:val="clear" w:pos="1247"/>
          <w:tab w:val="clear" w:pos="1814"/>
          <w:tab w:val="clear" w:pos="2381"/>
          <w:tab w:val="clear" w:pos="2948"/>
          <w:tab w:val="clear" w:pos="3515"/>
          <w:tab w:val="clear" w:pos="4082"/>
          <w:tab w:val="left" w:pos="624"/>
        </w:tabs>
        <w:spacing w:before="240" w:after="120"/>
        <w:jc w:val="center"/>
        <w:rPr>
          <w:lang w:val="es-ES"/>
        </w:rPr>
      </w:pPr>
      <w:r w:rsidRPr="00B4559E">
        <w:rPr>
          <w:lang w:val="es-ES"/>
        </w:rPr>
        <w:t>I</w:t>
      </w:r>
    </w:p>
    <w:p w:rsidR="00B050EA" w:rsidRPr="00B4559E" w:rsidRDefault="00B4559E" w:rsidP="00081174">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iCs/>
          <w:lang w:val="es-ES"/>
        </w:rPr>
        <w:t>1.</w:t>
      </w:r>
      <w:r w:rsidR="00B050EA" w:rsidRPr="00B4559E">
        <w:rPr>
          <w:iCs/>
          <w:lang w:val="es-ES"/>
        </w:rPr>
        <w:tab/>
      </w:r>
      <w:r w:rsidR="00091D5B" w:rsidRPr="00B4559E">
        <w:rPr>
          <w:i/>
          <w:lang w:val="es-ES"/>
        </w:rPr>
        <w:t>Exhorta</w:t>
      </w:r>
      <w:r w:rsidR="00091D5B" w:rsidRPr="00B4559E">
        <w:rPr>
          <w:lang w:val="es-ES"/>
        </w:rPr>
        <w:t xml:space="preserve"> </w:t>
      </w:r>
      <w:r w:rsidR="0058199D" w:rsidRPr="00B4559E">
        <w:rPr>
          <w:iCs/>
          <w:lang w:val="es-ES"/>
        </w:rPr>
        <w:t xml:space="preserve">a los Estados y a las organizaciones de integración económica regional a que </w:t>
      </w:r>
      <w:r w:rsidR="00890D11" w:rsidRPr="00B4559E">
        <w:rPr>
          <w:iCs/>
          <w:lang w:val="es-ES"/>
        </w:rPr>
        <w:t>adopten lo antes posible las medidas internas necesarias para poder cumplir sus obligaciones una vez que hayan ratificado el Convenio y a que, posteriormente, ratifiquen, acepten o aprueben el Convenio o se adhieran a él con miras a que entre en vigor cuanto antes</w:t>
      </w:r>
      <w:r w:rsidR="0058199D" w:rsidRPr="00B4559E">
        <w:rPr>
          <w:iCs/>
          <w:lang w:val="es-ES"/>
        </w:rPr>
        <w:t>;</w:t>
      </w:r>
    </w:p>
    <w:p w:rsidR="00B050EA" w:rsidRPr="00B4559E" w:rsidRDefault="00890D11" w:rsidP="00587340">
      <w:pPr>
        <w:pStyle w:val="Normal-pool"/>
        <w:tabs>
          <w:tab w:val="clear" w:pos="1247"/>
          <w:tab w:val="clear" w:pos="1814"/>
          <w:tab w:val="clear" w:pos="2381"/>
          <w:tab w:val="clear" w:pos="2948"/>
          <w:tab w:val="clear" w:pos="3515"/>
          <w:tab w:val="clear" w:pos="4082"/>
          <w:tab w:val="left" w:pos="624"/>
        </w:tabs>
        <w:spacing w:before="240" w:after="120"/>
        <w:jc w:val="center"/>
        <w:rPr>
          <w:lang w:val="es-ES"/>
        </w:rPr>
      </w:pPr>
      <w:r w:rsidRPr="00B4559E">
        <w:rPr>
          <w:lang w:val="es-ES"/>
        </w:rPr>
        <w:t>II</w:t>
      </w:r>
    </w:p>
    <w:p w:rsidR="00B050EA" w:rsidRPr="00B4559E" w:rsidRDefault="00B050EA" w:rsidP="000A3FC0">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iCs/>
          <w:lang w:val="es-ES"/>
        </w:rPr>
        <w:t>2.</w:t>
      </w:r>
      <w:r w:rsidRPr="00B4559E">
        <w:rPr>
          <w:iCs/>
          <w:lang w:val="es-ES"/>
        </w:rPr>
        <w:tab/>
      </w:r>
      <w:r w:rsidR="00890D11" w:rsidRPr="00B4559E">
        <w:rPr>
          <w:i/>
          <w:lang w:val="es-ES"/>
        </w:rPr>
        <w:t>Hace un llamamiento</w:t>
      </w:r>
      <w:r w:rsidR="00890D11" w:rsidRPr="00B4559E">
        <w:rPr>
          <w:lang w:val="es-ES"/>
        </w:rPr>
        <w:t xml:space="preserve"> a los Estados y las organizaciones de integración económica </w:t>
      </w:r>
      <w:r w:rsidR="001263F9" w:rsidRPr="00B4559E">
        <w:rPr>
          <w:lang w:val="es-ES"/>
        </w:rPr>
        <w:t xml:space="preserve">regional </w:t>
      </w:r>
      <w:r w:rsidR="00890D11" w:rsidRPr="00B4559E">
        <w:rPr>
          <w:lang w:val="es-ES"/>
        </w:rPr>
        <w:t xml:space="preserve">para que apliquen, íntegra y </w:t>
      </w:r>
      <w:r w:rsidR="00890D11" w:rsidRPr="00B4559E">
        <w:rPr>
          <w:bCs/>
          <w:lang w:val="es-ES"/>
        </w:rPr>
        <w:t xml:space="preserve">voluntariamente, las disposiciones del Convenio y promuevan y apoyen </w:t>
      </w:r>
      <w:r w:rsidR="00587340" w:rsidRPr="00B4559E">
        <w:rPr>
          <w:bCs/>
          <w:lang w:val="es-ES"/>
        </w:rPr>
        <w:t>la</w:t>
      </w:r>
      <w:r w:rsidR="00890D11" w:rsidRPr="00B4559E">
        <w:rPr>
          <w:bCs/>
          <w:lang w:val="es-ES"/>
        </w:rPr>
        <w:t xml:space="preserve"> aplicación voluntaria por otros Estados durante el período anterior a la entrada en vigor del Convenio (o “período de transición”);</w:t>
      </w:r>
      <w:r w:rsidRPr="00B4559E">
        <w:rPr>
          <w:lang w:val="es-ES"/>
        </w:rPr>
        <w:t xml:space="preserve"> </w:t>
      </w:r>
    </w:p>
    <w:p w:rsidR="00B050EA" w:rsidRPr="00B4559E" w:rsidRDefault="00890D11" w:rsidP="00587340">
      <w:pPr>
        <w:pStyle w:val="Normal-pool"/>
        <w:tabs>
          <w:tab w:val="clear" w:pos="1247"/>
          <w:tab w:val="clear" w:pos="1814"/>
          <w:tab w:val="clear" w:pos="2381"/>
          <w:tab w:val="clear" w:pos="2948"/>
          <w:tab w:val="clear" w:pos="3515"/>
          <w:tab w:val="clear" w:pos="4082"/>
          <w:tab w:val="left" w:pos="624"/>
        </w:tabs>
        <w:spacing w:before="240" w:after="120"/>
        <w:jc w:val="center"/>
        <w:rPr>
          <w:lang w:val="es-ES"/>
        </w:rPr>
      </w:pPr>
      <w:r w:rsidRPr="00B4559E">
        <w:rPr>
          <w:lang w:val="es-ES"/>
        </w:rPr>
        <w:t>III</w:t>
      </w:r>
    </w:p>
    <w:p w:rsidR="00B050EA" w:rsidRPr="00B4559E" w:rsidRDefault="00B050EA" w:rsidP="009844B3">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iCs/>
          <w:lang w:val="es-ES"/>
        </w:rPr>
        <w:t>3.</w:t>
      </w:r>
      <w:r w:rsidRPr="00B4559E">
        <w:rPr>
          <w:iCs/>
          <w:lang w:val="es-ES"/>
        </w:rPr>
        <w:tab/>
      </w:r>
      <w:r w:rsidR="008C2FCE" w:rsidRPr="00B4559E">
        <w:rPr>
          <w:i/>
          <w:lang w:val="es-ES"/>
        </w:rPr>
        <w:t>Invita</w:t>
      </w:r>
      <w:r w:rsidR="008C2FCE" w:rsidRPr="00B4559E">
        <w:rPr>
          <w:lang w:val="es-ES"/>
        </w:rPr>
        <w:t xml:space="preserve"> al Director Ejecutivo del Programa de las Naciones Unidas para el Medio Ambiente a que, durante el período comprendido entre la fecha en que el Convenio se abra a la firma y la fecha </w:t>
      </w:r>
      <w:r w:rsidR="000F143A" w:rsidRPr="00B4559E">
        <w:rPr>
          <w:lang w:val="es-ES"/>
        </w:rPr>
        <w:t>en que comience</w:t>
      </w:r>
      <w:r w:rsidR="008C2FCE" w:rsidRPr="00B4559E">
        <w:rPr>
          <w:lang w:val="es-ES"/>
        </w:rPr>
        <w:t xml:space="preserve"> la primera reunión de la Conferencia de las Partes en el Convenio, convoque las reuniones del Comité intergubernamental de negociación sobre el mercurio establecido de conformidad con la decisión 25/5 del Consejo de Administración (en </w:t>
      </w:r>
      <w:r w:rsidR="00587340" w:rsidRPr="00B4559E">
        <w:rPr>
          <w:lang w:val="es-ES"/>
        </w:rPr>
        <w:t>adelante</w:t>
      </w:r>
      <w:r w:rsidR="008C2FCE" w:rsidRPr="00B4559E">
        <w:rPr>
          <w:lang w:val="es-ES"/>
        </w:rPr>
        <w:t xml:space="preserve">, “el Comité”) que sean necesarias para facilitar la rápida entrada en vigor del Convenio y su aplicación eficaz </w:t>
      </w:r>
      <w:r w:rsidR="00646F1F" w:rsidRPr="00B4559E">
        <w:rPr>
          <w:lang w:val="es-ES"/>
        </w:rPr>
        <w:t>una vez que haya entrado en vigor;</w:t>
      </w:r>
    </w:p>
    <w:p w:rsidR="00B050EA" w:rsidRPr="00B4559E" w:rsidRDefault="00E21A65" w:rsidP="00081174">
      <w:pPr>
        <w:pStyle w:val="NormalNonumber"/>
        <w:tabs>
          <w:tab w:val="clear" w:pos="1247"/>
          <w:tab w:val="clear" w:pos="1814"/>
          <w:tab w:val="clear" w:pos="2381"/>
          <w:tab w:val="clear" w:pos="2948"/>
          <w:tab w:val="clear" w:pos="3515"/>
          <w:tab w:val="clear" w:pos="4082"/>
          <w:tab w:val="left" w:pos="624"/>
        </w:tabs>
        <w:ind w:firstLine="624"/>
        <w:rPr>
          <w:lang w:val="es-ES"/>
        </w:rPr>
      </w:pPr>
      <w:r>
        <w:rPr>
          <w:lang w:val="es-ES"/>
        </w:rPr>
        <w:t>4</w:t>
      </w:r>
      <w:r w:rsidR="00B050EA" w:rsidRPr="00B4559E">
        <w:rPr>
          <w:lang w:val="es-ES"/>
        </w:rPr>
        <w:t>.</w:t>
      </w:r>
      <w:r w:rsidR="00B050EA" w:rsidRPr="00B4559E">
        <w:rPr>
          <w:lang w:val="es-ES"/>
        </w:rPr>
        <w:tab/>
      </w:r>
      <w:r w:rsidR="00646F1F" w:rsidRPr="00B4559E">
        <w:rPr>
          <w:i/>
          <w:lang w:val="es-ES"/>
        </w:rPr>
        <w:t xml:space="preserve">Invita también </w:t>
      </w:r>
      <w:r w:rsidR="00646F1F" w:rsidRPr="00B4559E">
        <w:rPr>
          <w:lang w:val="es-ES"/>
        </w:rPr>
        <w:t xml:space="preserve">al Director Ejecutivo a que se </w:t>
      </w:r>
      <w:r w:rsidR="00587340" w:rsidRPr="00B4559E">
        <w:rPr>
          <w:lang w:val="es-ES"/>
        </w:rPr>
        <w:t>ocupe de los preparativos para</w:t>
      </w:r>
      <w:r w:rsidR="00646F1F" w:rsidRPr="00B4559E">
        <w:rPr>
          <w:lang w:val="es-ES"/>
        </w:rPr>
        <w:t xml:space="preserve"> la primera reunión de la Conferencia de las Partes y le preste servicios;</w:t>
      </w:r>
    </w:p>
    <w:p w:rsidR="00B050EA" w:rsidRPr="00B4559E" w:rsidRDefault="00E21A65" w:rsidP="009844B3">
      <w:pPr>
        <w:pStyle w:val="NormalNonumber"/>
        <w:tabs>
          <w:tab w:val="clear" w:pos="1247"/>
          <w:tab w:val="clear" w:pos="1814"/>
          <w:tab w:val="clear" w:pos="2381"/>
          <w:tab w:val="clear" w:pos="2948"/>
          <w:tab w:val="clear" w:pos="3515"/>
          <w:tab w:val="clear" w:pos="4082"/>
          <w:tab w:val="left" w:pos="624"/>
        </w:tabs>
        <w:ind w:firstLine="624"/>
        <w:rPr>
          <w:b/>
          <w:lang w:val="es-ES"/>
        </w:rPr>
      </w:pPr>
      <w:r>
        <w:rPr>
          <w:iCs/>
          <w:lang w:val="es-ES"/>
        </w:rPr>
        <w:t>5</w:t>
      </w:r>
      <w:r w:rsidR="00B050EA" w:rsidRPr="00B4559E">
        <w:rPr>
          <w:iCs/>
          <w:lang w:val="es-ES"/>
        </w:rPr>
        <w:t>.</w:t>
      </w:r>
      <w:r w:rsidR="00B050EA" w:rsidRPr="00B4559E">
        <w:rPr>
          <w:iCs/>
          <w:lang w:val="es-ES"/>
        </w:rPr>
        <w:tab/>
      </w:r>
      <w:r w:rsidR="00646F1F" w:rsidRPr="00B4559E">
        <w:rPr>
          <w:i/>
          <w:lang w:val="es-ES"/>
        </w:rPr>
        <w:t xml:space="preserve">Decide </w:t>
      </w:r>
      <w:r w:rsidR="00646F1F" w:rsidRPr="00B4559E">
        <w:rPr>
          <w:lang w:val="es-ES"/>
        </w:rPr>
        <w:t xml:space="preserve">que el Comité elabore y apruebe, con carácter provisional </w:t>
      </w:r>
      <w:r w:rsidR="00587340" w:rsidRPr="00B4559E">
        <w:rPr>
          <w:lang w:val="es-ES"/>
        </w:rPr>
        <w:t xml:space="preserve">hasta que la </w:t>
      </w:r>
      <w:r w:rsidR="00646F1F" w:rsidRPr="00B4559E">
        <w:rPr>
          <w:lang w:val="es-ES"/>
        </w:rPr>
        <w:t>Conferencia de las Partes</w:t>
      </w:r>
      <w:r w:rsidR="00587340" w:rsidRPr="00B4559E">
        <w:rPr>
          <w:lang w:val="es-ES"/>
        </w:rPr>
        <w:t xml:space="preserve"> adopte una decisión al respecto</w:t>
      </w:r>
      <w:r w:rsidR="00646F1F" w:rsidRPr="00B4559E">
        <w:rPr>
          <w:lang w:val="es-ES"/>
        </w:rPr>
        <w:t xml:space="preserve">, los elementos necesarios para la aplicación eficaz del Convenio tras su entrada en vigor, en </w:t>
      </w:r>
      <w:r w:rsidR="00A52D82" w:rsidRPr="00B4559E">
        <w:rPr>
          <w:lang w:val="es-ES"/>
        </w:rPr>
        <w:t>particular</w:t>
      </w:r>
      <w:r w:rsidR="00646F1F" w:rsidRPr="00B4559E">
        <w:rPr>
          <w:lang w:val="es-ES"/>
        </w:rPr>
        <w:t xml:space="preserve">, el registro de consentimiento para importar mercurio o compuestos de mercurio; el formulario </w:t>
      </w:r>
      <w:r w:rsidR="00A52D82" w:rsidRPr="00B4559E">
        <w:rPr>
          <w:lang w:val="es-ES"/>
        </w:rPr>
        <w:t>de</w:t>
      </w:r>
      <w:r w:rsidR="00646F1F" w:rsidRPr="00B4559E">
        <w:rPr>
          <w:lang w:val="es-ES"/>
        </w:rPr>
        <w:t xml:space="preserve"> inscri</w:t>
      </w:r>
      <w:r w:rsidR="00A52D82" w:rsidRPr="00B4559E">
        <w:rPr>
          <w:lang w:val="es-ES"/>
        </w:rPr>
        <w:t>pción</w:t>
      </w:r>
      <w:r w:rsidR="00646F1F" w:rsidRPr="00B4559E">
        <w:rPr>
          <w:lang w:val="es-ES"/>
        </w:rPr>
        <w:t xml:space="preserve"> para una exención, la información que se proporcionará al inscribirse para una exención y el registro de exenciones que mantendrá </w:t>
      </w:r>
      <w:r w:rsidR="00800E9C" w:rsidRPr="00B4559E">
        <w:rPr>
          <w:lang w:val="es-ES"/>
        </w:rPr>
        <w:t>la secretaría</w:t>
      </w:r>
      <w:r w:rsidR="00646F1F" w:rsidRPr="00B4559E">
        <w:rPr>
          <w:lang w:val="es-ES"/>
        </w:rPr>
        <w:t xml:space="preserve">; </w:t>
      </w:r>
      <w:r w:rsidR="0013211A" w:rsidRPr="00B4559E">
        <w:rPr>
          <w:lang w:val="es-ES"/>
        </w:rPr>
        <w:t xml:space="preserve">y los arreglos para recibir y </w:t>
      </w:r>
      <w:r w:rsidR="00646F1F" w:rsidRPr="00B4559E">
        <w:rPr>
          <w:lang w:val="es-ES"/>
        </w:rPr>
        <w:t>distribu</w:t>
      </w:r>
      <w:r w:rsidR="0013211A" w:rsidRPr="00B4559E">
        <w:rPr>
          <w:lang w:val="es-ES"/>
        </w:rPr>
        <w:t>ir la información que proporcionen las Partes al ratificar las medidas que t</w:t>
      </w:r>
      <w:r w:rsidR="00A52D82" w:rsidRPr="00B4559E">
        <w:rPr>
          <w:lang w:val="es-ES"/>
        </w:rPr>
        <w:t>engan</w:t>
      </w:r>
      <w:r w:rsidR="0013211A" w:rsidRPr="00B4559E">
        <w:rPr>
          <w:lang w:val="es-ES"/>
        </w:rPr>
        <w:t xml:space="preserve"> </w:t>
      </w:r>
      <w:r w:rsidR="00A52D82" w:rsidRPr="00B4559E">
        <w:rPr>
          <w:lang w:val="es-ES"/>
        </w:rPr>
        <w:t>previsto</w:t>
      </w:r>
      <w:r w:rsidR="0013211A" w:rsidRPr="00B4559E">
        <w:rPr>
          <w:lang w:val="es-ES"/>
        </w:rPr>
        <w:t xml:space="preserve"> adoptar para aplicar el Convenio</w:t>
      </w:r>
      <w:r w:rsidR="0013211A" w:rsidRPr="00B4559E">
        <w:rPr>
          <w:rFonts w:eastAsia="SimSun"/>
          <w:lang w:val="es-ES" w:eastAsia="zh-CN"/>
        </w:rPr>
        <w:t>;</w:t>
      </w:r>
      <w:r w:rsidR="00B050EA" w:rsidRPr="00B4559E">
        <w:rPr>
          <w:rFonts w:eastAsia="SimSun"/>
          <w:lang w:val="es-ES" w:eastAsia="zh-CN"/>
        </w:rPr>
        <w:t xml:space="preserve"> </w:t>
      </w:r>
    </w:p>
    <w:p w:rsidR="00B050EA" w:rsidRPr="00B4559E" w:rsidRDefault="00E21A65" w:rsidP="00081174">
      <w:pPr>
        <w:pStyle w:val="NormalNonumber"/>
        <w:tabs>
          <w:tab w:val="clear" w:pos="1247"/>
          <w:tab w:val="clear" w:pos="1814"/>
          <w:tab w:val="clear" w:pos="2381"/>
          <w:tab w:val="clear" w:pos="2948"/>
          <w:tab w:val="clear" w:pos="3515"/>
          <w:tab w:val="clear" w:pos="4082"/>
          <w:tab w:val="left" w:pos="624"/>
        </w:tabs>
        <w:ind w:firstLine="624"/>
        <w:rPr>
          <w:lang w:val="es-ES"/>
        </w:rPr>
      </w:pPr>
      <w:r>
        <w:rPr>
          <w:iCs/>
          <w:lang w:val="es-ES"/>
        </w:rPr>
        <w:t>6</w:t>
      </w:r>
      <w:r w:rsidR="00B050EA" w:rsidRPr="00B4559E">
        <w:rPr>
          <w:iCs/>
          <w:lang w:val="es-ES"/>
        </w:rPr>
        <w:t>.</w:t>
      </w:r>
      <w:r w:rsidR="00B050EA" w:rsidRPr="00B4559E">
        <w:rPr>
          <w:iCs/>
          <w:lang w:val="es-ES"/>
        </w:rPr>
        <w:tab/>
      </w:r>
      <w:r w:rsidR="0013211A" w:rsidRPr="00B4559E">
        <w:rPr>
          <w:i/>
          <w:lang w:val="es-ES"/>
        </w:rPr>
        <w:t>Solicita</w:t>
      </w:r>
      <w:r w:rsidR="0013211A" w:rsidRPr="00B4559E">
        <w:rPr>
          <w:lang w:val="es-ES"/>
        </w:rPr>
        <w:t xml:space="preserve"> al Comité que </w:t>
      </w:r>
      <w:r w:rsidR="009012DF" w:rsidRPr="00B4559E">
        <w:rPr>
          <w:lang w:val="es-ES"/>
        </w:rPr>
        <w:t>centre sus esfuerzos en las cuestiones que, en virtud del Convenio, deberá decidir la Conferencia de las Partes en su primera reunión, en particular, las orientaciones sobre la identificación de</w:t>
      </w:r>
      <w:r w:rsidR="00FB5B43" w:rsidRPr="00B4559E">
        <w:rPr>
          <w:lang w:val="es-ES"/>
        </w:rPr>
        <w:t xml:space="preserve"> las</w:t>
      </w:r>
      <w:r w:rsidR="009012DF" w:rsidRPr="00B4559E">
        <w:rPr>
          <w:lang w:val="es-ES"/>
        </w:rPr>
        <w:t xml:space="preserve"> existencias de mercurio; los procedimientos para la exportación e importación de mercurio, entre otras cosas, el contenido </w:t>
      </w:r>
      <w:r w:rsidR="00FB5B43" w:rsidRPr="00B4559E">
        <w:rPr>
          <w:lang w:val="es-ES"/>
        </w:rPr>
        <w:t xml:space="preserve">requerido de la </w:t>
      </w:r>
      <w:r w:rsidR="009012DF" w:rsidRPr="00B4559E">
        <w:rPr>
          <w:lang w:val="es-ES"/>
        </w:rPr>
        <w:t xml:space="preserve">certificación; las orientaciones sobre las mejores técnicas disponibles y las mejores prácticas ambientales para controlar las emisiones y sobre el apoyo a las Partes en la determinación de objetivos y valores límite de emisión; las disposiciones para el funcionamiento del mecanismo financiero; las fechas y el formato </w:t>
      </w:r>
      <w:r w:rsidR="009012DF" w:rsidRPr="00B4559E">
        <w:rPr>
          <w:lang w:val="es-ES"/>
        </w:rPr>
        <w:lastRenderedPageBreak/>
        <w:t xml:space="preserve">para la presentación de informes; los arreglos para </w:t>
      </w:r>
      <w:r w:rsidR="009F6CFB" w:rsidRPr="00B4559E">
        <w:rPr>
          <w:lang w:val="es-ES"/>
        </w:rPr>
        <w:t xml:space="preserve">proveer a </w:t>
      </w:r>
      <w:r w:rsidR="009012DF" w:rsidRPr="00B4559E">
        <w:rPr>
          <w:lang w:val="es-ES"/>
        </w:rPr>
        <w:t xml:space="preserve">la Conferencia de las Partes datos </w:t>
      </w:r>
      <w:r w:rsidR="009F6CFB" w:rsidRPr="00B4559E">
        <w:rPr>
          <w:lang w:val="es-ES"/>
        </w:rPr>
        <w:t>monitorizados</w:t>
      </w:r>
      <w:r w:rsidR="009012DF" w:rsidRPr="00B4559E">
        <w:rPr>
          <w:lang w:val="es-ES"/>
        </w:rPr>
        <w:t xml:space="preserve"> comparables para la evaluación de la eficacia de</w:t>
      </w:r>
      <w:r w:rsidR="009F6CFB" w:rsidRPr="00B4559E">
        <w:rPr>
          <w:lang w:val="es-ES"/>
        </w:rPr>
        <w:t>l Convenio</w:t>
      </w:r>
      <w:r w:rsidR="009012DF" w:rsidRPr="00B4559E">
        <w:rPr>
          <w:lang w:val="es-ES"/>
        </w:rPr>
        <w:t xml:space="preserve">; y </w:t>
      </w:r>
      <w:r w:rsidR="009F6CFB" w:rsidRPr="00B4559E">
        <w:rPr>
          <w:lang w:val="es-ES"/>
        </w:rPr>
        <w:t xml:space="preserve">el </w:t>
      </w:r>
      <w:r w:rsidR="009012DF" w:rsidRPr="00B4559E">
        <w:rPr>
          <w:lang w:val="es-ES"/>
        </w:rPr>
        <w:t>proyecto de reglamento y el proyecto de reglament</w:t>
      </w:r>
      <w:r w:rsidR="00FB5B43" w:rsidRPr="00B4559E">
        <w:rPr>
          <w:lang w:val="es-ES"/>
        </w:rPr>
        <w:t>ación</w:t>
      </w:r>
      <w:r w:rsidR="009012DF" w:rsidRPr="00B4559E">
        <w:rPr>
          <w:lang w:val="es-ES"/>
        </w:rPr>
        <w:t xml:space="preserve"> financier</w:t>
      </w:r>
      <w:r w:rsidR="00FB5B43" w:rsidRPr="00B4559E">
        <w:rPr>
          <w:lang w:val="es-ES"/>
        </w:rPr>
        <w:t>a</w:t>
      </w:r>
      <w:r w:rsidR="009012DF" w:rsidRPr="00B4559E">
        <w:rPr>
          <w:lang w:val="es-ES"/>
        </w:rPr>
        <w:t xml:space="preserve"> de la Conferencia de las Partes;</w:t>
      </w:r>
    </w:p>
    <w:p w:rsidR="00B050EA" w:rsidRPr="00B4559E" w:rsidRDefault="00E21A65" w:rsidP="003106B1">
      <w:pPr>
        <w:pStyle w:val="NormalNonumber"/>
        <w:keepNext/>
        <w:keepLines/>
        <w:tabs>
          <w:tab w:val="clear" w:pos="1247"/>
          <w:tab w:val="clear" w:pos="1814"/>
          <w:tab w:val="clear" w:pos="2381"/>
          <w:tab w:val="clear" w:pos="2948"/>
          <w:tab w:val="clear" w:pos="3515"/>
          <w:tab w:val="clear" w:pos="4082"/>
          <w:tab w:val="left" w:pos="624"/>
        </w:tabs>
        <w:ind w:firstLine="624"/>
        <w:rPr>
          <w:lang w:val="es-ES"/>
        </w:rPr>
      </w:pPr>
      <w:r>
        <w:rPr>
          <w:iCs/>
          <w:lang w:val="es-ES"/>
        </w:rPr>
        <w:t>7</w:t>
      </w:r>
      <w:r w:rsidR="00B050EA" w:rsidRPr="00B4559E">
        <w:rPr>
          <w:iCs/>
          <w:lang w:val="es-ES"/>
        </w:rPr>
        <w:t>.</w:t>
      </w:r>
      <w:r w:rsidR="00B050EA" w:rsidRPr="00B4559E">
        <w:rPr>
          <w:iCs/>
          <w:lang w:val="es-ES"/>
        </w:rPr>
        <w:tab/>
      </w:r>
      <w:r w:rsidR="00FB5B43" w:rsidRPr="00B4559E">
        <w:rPr>
          <w:i/>
          <w:lang w:val="es-ES"/>
        </w:rPr>
        <w:t xml:space="preserve">Solicita también </w:t>
      </w:r>
      <w:r w:rsidR="00FB5B43" w:rsidRPr="00B4559E">
        <w:rPr>
          <w:lang w:val="es-ES"/>
        </w:rPr>
        <w:t xml:space="preserve">al Comité que apruebe, con carácter provisional </w:t>
      </w:r>
      <w:r w:rsidR="008C5490" w:rsidRPr="00B4559E">
        <w:rPr>
          <w:lang w:val="es-ES"/>
        </w:rPr>
        <w:t>hasta que</w:t>
      </w:r>
      <w:r w:rsidR="00FB5B43" w:rsidRPr="00B4559E">
        <w:rPr>
          <w:lang w:val="es-ES"/>
        </w:rPr>
        <w:t xml:space="preserve"> la Conferencia de las Partes </w:t>
      </w:r>
      <w:r w:rsidR="008C5490" w:rsidRPr="00B4559E">
        <w:rPr>
          <w:lang w:val="es-ES"/>
        </w:rPr>
        <w:t xml:space="preserve">las apruebe oficialmente </w:t>
      </w:r>
      <w:r w:rsidR="00FB5B43" w:rsidRPr="00B4559E">
        <w:rPr>
          <w:lang w:val="es-ES"/>
        </w:rPr>
        <w:t>en su primera reunión, las orientaciones que han de elaborarse para identificar las existencias de mercurio; los procedimientos para la exportación e importación de mercurio, incluido el contenido de esa certificación; y las orientaciones sobre la determinación de los objetivos y el establecimiento de los valores límite de emisión;</w:t>
      </w:r>
    </w:p>
    <w:p w:rsidR="00B050EA" w:rsidRPr="00B4559E" w:rsidRDefault="00E21A65" w:rsidP="002B66BC">
      <w:pPr>
        <w:pStyle w:val="NormalNonumber"/>
        <w:tabs>
          <w:tab w:val="clear" w:pos="1247"/>
          <w:tab w:val="clear" w:pos="1814"/>
          <w:tab w:val="clear" w:pos="2381"/>
          <w:tab w:val="clear" w:pos="2948"/>
          <w:tab w:val="clear" w:pos="3515"/>
          <w:tab w:val="clear" w:pos="4082"/>
          <w:tab w:val="left" w:pos="624"/>
        </w:tabs>
        <w:ind w:firstLine="624"/>
        <w:rPr>
          <w:lang w:val="es-ES"/>
        </w:rPr>
      </w:pPr>
      <w:r>
        <w:rPr>
          <w:iCs/>
          <w:lang w:val="es-ES"/>
        </w:rPr>
        <w:t>8</w:t>
      </w:r>
      <w:r w:rsidR="00B050EA" w:rsidRPr="00B4559E">
        <w:rPr>
          <w:iCs/>
          <w:lang w:val="es-ES"/>
        </w:rPr>
        <w:t>.</w:t>
      </w:r>
      <w:r w:rsidR="00B050EA" w:rsidRPr="00B4559E">
        <w:rPr>
          <w:iCs/>
          <w:lang w:val="es-ES"/>
        </w:rPr>
        <w:tab/>
      </w:r>
      <w:r w:rsidR="002B66BC" w:rsidRPr="00B4559E">
        <w:rPr>
          <w:i/>
          <w:lang w:val="es-ES"/>
        </w:rPr>
        <w:t>Solicita además</w:t>
      </w:r>
      <w:r w:rsidR="002B66BC" w:rsidRPr="00B4559E">
        <w:rPr>
          <w:lang w:val="es-ES"/>
        </w:rPr>
        <w:t xml:space="preserve"> al Comité que apoye, de ser posible y sin impedir la conclusión de las tareas mencionadas en los párrafos 4 a 6, las actividades exigidas o promovidas por el Convenio que facilitarán la rápida entrada en vigor del Convenio y su aplicación eficaz una vez que haya entrado en vigor, en </w:t>
      </w:r>
      <w:r w:rsidR="003F3C0F" w:rsidRPr="00B4559E">
        <w:rPr>
          <w:lang w:val="es-ES"/>
        </w:rPr>
        <w:t>particular</w:t>
      </w:r>
      <w:r w:rsidR="002B66BC" w:rsidRPr="00B4559E">
        <w:rPr>
          <w:lang w:val="es-ES"/>
        </w:rPr>
        <w:t>, las orientaciones y la asistencia a los países en donde se realizan actividades de extracción de oro artesanal y en pequeña escala para elaborar sus planes nacionales de acción; las orientaciones sobre la identificación de fuentes de liberaciones y la preparación de inventarios de liberaciones; las directrices sobre el almacenamiento provisional ambientalmente racional de mercurio; los umbrales para la identificación de desechos de mercurio; las orientaciones sobre la gestión de sitios contaminados; y el reglamento del Comité de Aplicación y Cumplimiento;</w:t>
      </w:r>
    </w:p>
    <w:p w:rsidR="00B050EA" w:rsidRPr="00B4559E" w:rsidRDefault="002B66BC" w:rsidP="0036261A">
      <w:pPr>
        <w:pStyle w:val="Normal-pool"/>
        <w:tabs>
          <w:tab w:val="clear" w:pos="1247"/>
          <w:tab w:val="clear" w:pos="1814"/>
          <w:tab w:val="clear" w:pos="2381"/>
          <w:tab w:val="clear" w:pos="2948"/>
          <w:tab w:val="clear" w:pos="3515"/>
          <w:tab w:val="clear" w:pos="4082"/>
          <w:tab w:val="left" w:pos="624"/>
        </w:tabs>
        <w:spacing w:before="240" w:after="120"/>
        <w:jc w:val="center"/>
        <w:rPr>
          <w:lang w:val="es-ES"/>
        </w:rPr>
      </w:pPr>
      <w:r w:rsidRPr="00B4559E">
        <w:rPr>
          <w:lang w:val="es-ES"/>
        </w:rPr>
        <w:t>IV</w:t>
      </w:r>
    </w:p>
    <w:p w:rsidR="00B050EA" w:rsidRPr="00B4559E" w:rsidRDefault="00E21A65" w:rsidP="00081174">
      <w:pPr>
        <w:pStyle w:val="NormalNonumber"/>
        <w:tabs>
          <w:tab w:val="clear" w:pos="1247"/>
          <w:tab w:val="clear" w:pos="1814"/>
          <w:tab w:val="clear" w:pos="2381"/>
          <w:tab w:val="clear" w:pos="2948"/>
          <w:tab w:val="clear" w:pos="3515"/>
          <w:tab w:val="clear" w:pos="4082"/>
          <w:tab w:val="left" w:pos="624"/>
        </w:tabs>
        <w:ind w:firstLine="624"/>
        <w:rPr>
          <w:lang w:val="es-ES"/>
        </w:rPr>
      </w:pPr>
      <w:r>
        <w:rPr>
          <w:iCs/>
          <w:lang w:val="es-ES"/>
        </w:rPr>
        <w:t>9</w:t>
      </w:r>
      <w:r w:rsidR="00B050EA" w:rsidRPr="00B4559E">
        <w:rPr>
          <w:iCs/>
          <w:lang w:val="es-ES"/>
        </w:rPr>
        <w:t>.</w:t>
      </w:r>
      <w:r w:rsidR="00B050EA" w:rsidRPr="00B4559E">
        <w:rPr>
          <w:iCs/>
          <w:lang w:val="es-ES"/>
        </w:rPr>
        <w:tab/>
      </w:r>
      <w:r w:rsidR="002B66BC" w:rsidRPr="00B4559E">
        <w:rPr>
          <w:i/>
          <w:lang w:val="es-ES"/>
        </w:rPr>
        <w:t xml:space="preserve">Establece </w:t>
      </w:r>
      <w:r w:rsidR="002B66BC" w:rsidRPr="00B4559E">
        <w:rPr>
          <w:lang w:val="es-ES"/>
        </w:rPr>
        <w:t>un grupo de expertos técnicos</w:t>
      </w:r>
      <w:r w:rsidR="0036261A" w:rsidRPr="00B4559E">
        <w:rPr>
          <w:lang w:val="es-ES"/>
        </w:rPr>
        <w:t>,</w:t>
      </w:r>
      <w:r w:rsidR="002B66BC" w:rsidRPr="00B4559E">
        <w:rPr>
          <w:lang w:val="es-ES"/>
        </w:rPr>
        <w:t xml:space="preserve"> que rendirá cuentas al Comité y estará encargado de elaborar las orientaciones que se piden en el artículo 8 del Convenio y </w:t>
      </w:r>
      <w:r w:rsidR="0036261A" w:rsidRPr="00B4559E">
        <w:rPr>
          <w:lang w:val="es-ES"/>
        </w:rPr>
        <w:t xml:space="preserve">de </w:t>
      </w:r>
      <w:r w:rsidR="00CB3A02" w:rsidRPr="00B4559E">
        <w:rPr>
          <w:lang w:val="es-ES"/>
        </w:rPr>
        <w:t xml:space="preserve">tratar otras cuestiones relacionadas con las emisiones, teniendo en cuenta la </w:t>
      </w:r>
      <w:r w:rsidR="002B66BC" w:rsidRPr="00B4559E">
        <w:rPr>
          <w:lang w:val="es-ES"/>
        </w:rPr>
        <w:t>experienc</w:t>
      </w:r>
      <w:r w:rsidR="00CB3A02" w:rsidRPr="00B4559E">
        <w:rPr>
          <w:lang w:val="es-ES"/>
        </w:rPr>
        <w:t>ia adquirida, entre otros medios, a través de la Asociación Mundial sobre el Mercurio del PNUMA, para que la Conferencia de las Partes pueda adoptar decisiones al respecto en su primera reunión, y solicita al Director Ejecutivo que convoque una reunión del grupo de expertos técnicos cuanto antes.</w:t>
      </w:r>
      <w:r w:rsidR="00B050EA" w:rsidRPr="00B4559E">
        <w:rPr>
          <w:lang w:val="es-ES"/>
        </w:rPr>
        <w:t xml:space="preserve"> </w:t>
      </w:r>
      <w:r w:rsidR="00CB3A02" w:rsidRPr="00B4559E">
        <w:rPr>
          <w:lang w:val="es-ES"/>
        </w:rPr>
        <w:t>El grupo estará integrado por expertos designados por las cinco regiones de las Naciones Unidas, de la siguiente manera:</w:t>
      </w:r>
      <w:r w:rsidR="00B050EA" w:rsidRPr="00B4559E">
        <w:rPr>
          <w:lang w:val="es-ES"/>
        </w:rPr>
        <w:t xml:space="preserve"> </w:t>
      </w:r>
      <w:r w:rsidR="00CB3A02" w:rsidRPr="00B4559E">
        <w:rPr>
          <w:lang w:val="es-ES"/>
        </w:rPr>
        <w:t>tres de los Estados de África, cinco de los Estados de Asia y el Pacífico, dos de los Estados de Europa Central y Oriental, tres de los Estados de América Latina y el Caribe y seis de los Estados de Europa Occidental y otros Estados.</w:t>
      </w:r>
      <w:r w:rsidR="00B050EA" w:rsidRPr="00B4559E">
        <w:rPr>
          <w:lang w:val="es-ES"/>
        </w:rPr>
        <w:t xml:space="preserve"> </w:t>
      </w:r>
      <w:r w:rsidR="00991667" w:rsidRPr="00B4559E">
        <w:rPr>
          <w:lang w:val="es-ES"/>
        </w:rPr>
        <w:t>El grupo podrá invitar a expertos del sector industrial y la sociedad civil a que participen y hagan aportaciones.</w:t>
      </w:r>
    </w:p>
    <w:p w:rsidR="00B050EA" w:rsidRPr="00B4559E" w:rsidRDefault="00991667" w:rsidP="0036261A">
      <w:pPr>
        <w:pStyle w:val="Normal-pool"/>
        <w:tabs>
          <w:tab w:val="clear" w:pos="1247"/>
          <w:tab w:val="clear" w:pos="1814"/>
          <w:tab w:val="clear" w:pos="2381"/>
          <w:tab w:val="clear" w:pos="2948"/>
          <w:tab w:val="clear" w:pos="3515"/>
          <w:tab w:val="clear" w:pos="4082"/>
          <w:tab w:val="left" w:pos="624"/>
        </w:tabs>
        <w:spacing w:before="240" w:after="120"/>
        <w:jc w:val="center"/>
        <w:rPr>
          <w:lang w:val="es-ES"/>
        </w:rPr>
      </w:pPr>
      <w:r w:rsidRPr="00B4559E">
        <w:rPr>
          <w:lang w:val="es-ES"/>
        </w:rPr>
        <w:t>V</w:t>
      </w:r>
    </w:p>
    <w:p w:rsidR="00B050EA" w:rsidRPr="00B4559E" w:rsidRDefault="00E21A65" w:rsidP="009844B3">
      <w:pPr>
        <w:pStyle w:val="NormalNonumber"/>
        <w:tabs>
          <w:tab w:val="clear" w:pos="1247"/>
          <w:tab w:val="clear" w:pos="1814"/>
          <w:tab w:val="clear" w:pos="2381"/>
          <w:tab w:val="clear" w:pos="2948"/>
          <w:tab w:val="clear" w:pos="3515"/>
          <w:tab w:val="clear" w:pos="4082"/>
          <w:tab w:val="left" w:pos="624"/>
        </w:tabs>
        <w:ind w:firstLine="624"/>
        <w:rPr>
          <w:b/>
          <w:lang w:val="es-ES"/>
        </w:rPr>
      </w:pPr>
      <w:r>
        <w:rPr>
          <w:iCs/>
          <w:lang w:val="es-ES"/>
        </w:rPr>
        <w:t>10</w:t>
      </w:r>
      <w:r w:rsidR="00B050EA" w:rsidRPr="00B4559E">
        <w:rPr>
          <w:iCs/>
          <w:lang w:val="es-ES"/>
        </w:rPr>
        <w:t>.</w:t>
      </w:r>
      <w:r w:rsidR="00B050EA" w:rsidRPr="00B4559E">
        <w:rPr>
          <w:iCs/>
          <w:lang w:val="es-ES"/>
        </w:rPr>
        <w:tab/>
      </w:r>
      <w:r w:rsidR="00991667" w:rsidRPr="00B4559E">
        <w:rPr>
          <w:i/>
          <w:lang w:val="es-ES"/>
        </w:rPr>
        <w:t>Solicita</w:t>
      </w:r>
      <w:r w:rsidR="00991667" w:rsidRPr="00B4559E">
        <w:rPr>
          <w:lang w:val="es-ES"/>
        </w:rPr>
        <w:t xml:space="preserve"> al Director Ejecutivo del Programa de las Naciones Unidas para el Medio Ambiente que siga prestando servicios de secretaría para apoyar al Comité y sus actividades durante el período de transición;</w:t>
      </w:r>
      <w:r w:rsidR="00B050EA" w:rsidRPr="00B4559E">
        <w:rPr>
          <w:lang w:val="es-ES"/>
        </w:rPr>
        <w:t xml:space="preserve"> </w:t>
      </w:r>
    </w:p>
    <w:p w:rsidR="00B050EA" w:rsidRPr="00B4559E" w:rsidRDefault="00991667" w:rsidP="0036261A">
      <w:pPr>
        <w:pStyle w:val="Normal-pool"/>
        <w:tabs>
          <w:tab w:val="clear" w:pos="1247"/>
          <w:tab w:val="clear" w:pos="1814"/>
          <w:tab w:val="clear" w:pos="2381"/>
          <w:tab w:val="clear" w:pos="2948"/>
          <w:tab w:val="clear" w:pos="3515"/>
          <w:tab w:val="clear" w:pos="4082"/>
          <w:tab w:val="left" w:pos="624"/>
        </w:tabs>
        <w:spacing w:before="240" w:after="120"/>
        <w:jc w:val="center"/>
        <w:rPr>
          <w:lang w:val="es-ES"/>
        </w:rPr>
      </w:pPr>
      <w:r w:rsidRPr="00B4559E">
        <w:rPr>
          <w:lang w:val="es-ES"/>
        </w:rPr>
        <w:t>VI</w:t>
      </w:r>
    </w:p>
    <w:p w:rsidR="00B050EA" w:rsidRPr="00B4559E" w:rsidRDefault="00B050EA" w:rsidP="00081174">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iCs/>
          <w:lang w:val="es-ES"/>
        </w:rPr>
        <w:t>1</w:t>
      </w:r>
      <w:r w:rsidR="00E21A65">
        <w:rPr>
          <w:iCs/>
          <w:lang w:val="es-ES"/>
        </w:rPr>
        <w:t>1</w:t>
      </w:r>
      <w:r w:rsidRPr="00B4559E">
        <w:rPr>
          <w:iCs/>
          <w:lang w:val="es-ES"/>
        </w:rPr>
        <w:t>.</w:t>
      </w:r>
      <w:r w:rsidRPr="00B4559E">
        <w:rPr>
          <w:iCs/>
          <w:lang w:val="es-ES"/>
        </w:rPr>
        <w:tab/>
      </w:r>
      <w:r w:rsidR="00991667" w:rsidRPr="00B4559E">
        <w:rPr>
          <w:i/>
          <w:lang w:val="es-ES"/>
        </w:rPr>
        <w:t>Exhorta</w:t>
      </w:r>
      <w:r w:rsidR="00991667" w:rsidRPr="00B4559E">
        <w:rPr>
          <w:lang w:val="es-ES"/>
        </w:rPr>
        <w:t xml:space="preserve"> a los Estados, las organizaciones de integración económica</w:t>
      </w:r>
      <w:r w:rsidR="00863892" w:rsidRPr="00B4559E">
        <w:rPr>
          <w:lang w:val="es-ES"/>
        </w:rPr>
        <w:t xml:space="preserve"> regional</w:t>
      </w:r>
      <w:r w:rsidR="00991667" w:rsidRPr="00B4559E">
        <w:rPr>
          <w:lang w:val="es-ES"/>
        </w:rPr>
        <w:t xml:space="preserve"> </w:t>
      </w:r>
      <w:r w:rsidR="00863892" w:rsidRPr="00B4559E">
        <w:rPr>
          <w:lang w:val="es-ES"/>
        </w:rPr>
        <w:t>y</w:t>
      </w:r>
      <w:r w:rsidR="00991667" w:rsidRPr="00B4559E">
        <w:rPr>
          <w:lang w:val="es-ES"/>
        </w:rPr>
        <w:t xml:space="preserve"> ot</w:t>
      </w:r>
      <w:r w:rsidR="00863892" w:rsidRPr="00B4559E">
        <w:rPr>
          <w:lang w:val="es-ES"/>
        </w:rPr>
        <w:t xml:space="preserve">ros interesados que estén en condiciones de hacerlo a que </w:t>
      </w:r>
      <w:r w:rsidR="00170D84" w:rsidRPr="00B4559E">
        <w:rPr>
          <w:lang w:val="es-ES"/>
        </w:rPr>
        <w:t xml:space="preserve">proporcionen asistencia financiera y técnica a los Estados signatarios del Convenio para que estos puedan prepararse para la ratificación, la aceptación o la aprobación del Convenio, entre otras cosas, para la preparación de inventarios y evaluaciones </w:t>
      </w:r>
      <w:r w:rsidR="00991667" w:rsidRPr="00B4559E">
        <w:rPr>
          <w:lang w:val="es-ES"/>
        </w:rPr>
        <w:t>preliminar</w:t>
      </w:r>
      <w:r w:rsidR="00170D84" w:rsidRPr="00B4559E">
        <w:rPr>
          <w:lang w:val="es-ES"/>
        </w:rPr>
        <w:t>es</w:t>
      </w:r>
      <w:r w:rsidR="00991667" w:rsidRPr="00B4559E">
        <w:rPr>
          <w:lang w:val="es-ES"/>
        </w:rPr>
        <w:t xml:space="preserve"> </w:t>
      </w:r>
      <w:r w:rsidR="00ED514F" w:rsidRPr="00B4559E">
        <w:rPr>
          <w:lang w:val="es-ES"/>
        </w:rPr>
        <w:t xml:space="preserve">encaminadas a identificar sectores respecto de los cuales haya que adoptar medidas de conformidad con el Convenio y para desarrollar la capacidad </w:t>
      </w:r>
      <w:r w:rsidR="00991667" w:rsidRPr="00B4559E">
        <w:rPr>
          <w:lang w:val="es-ES"/>
        </w:rPr>
        <w:t>legislativ</w:t>
      </w:r>
      <w:r w:rsidR="00ED514F" w:rsidRPr="00B4559E">
        <w:rPr>
          <w:lang w:val="es-ES"/>
        </w:rPr>
        <w:t>a e institucional con la que aplicar el Convenio eficazmente una vez que este haya entrado en vigor para esos Estados;</w:t>
      </w:r>
    </w:p>
    <w:p w:rsidR="00B050EA" w:rsidRPr="00B4559E" w:rsidRDefault="00B050EA" w:rsidP="00ED514F">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lang w:val="es-ES"/>
        </w:rPr>
        <w:t>1</w:t>
      </w:r>
      <w:r w:rsidR="00E21A65">
        <w:rPr>
          <w:lang w:val="es-ES"/>
        </w:rPr>
        <w:t>2</w:t>
      </w:r>
      <w:r w:rsidRPr="00B4559E">
        <w:rPr>
          <w:lang w:val="es-ES"/>
        </w:rPr>
        <w:t>.</w:t>
      </w:r>
      <w:r w:rsidR="00ED514F" w:rsidRPr="00B4559E">
        <w:rPr>
          <w:lang w:val="es-ES"/>
        </w:rPr>
        <w:tab/>
      </w:r>
      <w:r w:rsidR="00ED514F" w:rsidRPr="00B4559E">
        <w:rPr>
          <w:i/>
          <w:iCs/>
          <w:lang w:val="es-ES"/>
        </w:rPr>
        <w:t xml:space="preserve">Invita </w:t>
      </w:r>
      <w:r w:rsidR="00ED514F" w:rsidRPr="00B4559E">
        <w:rPr>
          <w:iCs/>
          <w:lang w:val="es-ES"/>
        </w:rPr>
        <w:t>al Consejo del Fondo para el Medio Ambiente Mundial a que apoye a los Estados signatarios del Convenio en la realización de actividades que faciliten la pronta ratificación del Convenio;</w:t>
      </w:r>
    </w:p>
    <w:p w:rsidR="00B050EA" w:rsidRPr="00B4559E" w:rsidRDefault="00B050EA" w:rsidP="009844B3">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iCs/>
          <w:lang w:val="es-ES"/>
        </w:rPr>
        <w:t>1</w:t>
      </w:r>
      <w:r w:rsidR="00E21A65">
        <w:rPr>
          <w:iCs/>
          <w:lang w:val="es-ES"/>
        </w:rPr>
        <w:t>3</w:t>
      </w:r>
      <w:r w:rsidRPr="00B4559E">
        <w:rPr>
          <w:iCs/>
          <w:lang w:val="es-ES"/>
        </w:rPr>
        <w:t>.</w:t>
      </w:r>
      <w:r w:rsidRPr="00B4559E">
        <w:rPr>
          <w:iCs/>
          <w:lang w:val="es-ES"/>
        </w:rPr>
        <w:tab/>
      </w:r>
      <w:r w:rsidR="00ED514F" w:rsidRPr="00B4559E">
        <w:rPr>
          <w:i/>
          <w:lang w:val="es-ES"/>
        </w:rPr>
        <w:t>Hace un llamamiento </w:t>
      </w:r>
      <w:r w:rsidR="00ED514F" w:rsidRPr="00B4559E">
        <w:rPr>
          <w:lang w:val="es-ES"/>
        </w:rPr>
        <w:t xml:space="preserve">a los Estados, las organizaciones de integración económica regional y otros interesados que estén en condiciones de hacerlo para que </w:t>
      </w:r>
      <w:r w:rsidR="00AA669B" w:rsidRPr="00B4559E">
        <w:rPr>
          <w:lang w:val="es-ES"/>
        </w:rPr>
        <w:t xml:space="preserve">efectúen contribuciones al </w:t>
      </w:r>
      <w:r w:rsidR="00F6460A" w:rsidRPr="00B4559E">
        <w:rPr>
          <w:lang w:val="es-ES"/>
        </w:rPr>
        <w:t xml:space="preserve">Fondo Fiduciario del Mercurio del Programa de las Naciones Unidas para el Medio Ambiente </w:t>
      </w:r>
      <w:r w:rsidR="0036261A" w:rsidRPr="00B4559E">
        <w:rPr>
          <w:lang w:val="es-ES"/>
        </w:rPr>
        <w:t xml:space="preserve">a fin de apoyar al Comité </w:t>
      </w:r>
      <w:r w:rsidR="00F6460A" w:rsidRPr="00B4559E">
        <w:rPr>
          <w:lang w:val="es-ES"/>
        </w:rPr>
        <w:t xml:space="preserve">y sus actividades </w:t>
      </w:r>
      <w:r w:rsidR="0036261A" w:rsidRPr="00B4559E">
        <w:rPr>
          <w:lang w:val="es-ES"/>
        </w:rPr>
        <w:t>en el período de transición, l</w:t>
      </w:r>
      <w:r w:rsidR="00F6460A" w:rsidRPr="00B4559E">
        <w:rPr>
          <w:lang w:val="es-ES"/>
        </w:rPr>
        <w:t xml:space="preserve">a secretaría provisional y </w:t>
      </w:r>
      <w:r w:rsidR="0036261A" w:rsidRPr="00B4559E">
        <w:rPr>
          <w:lang w:val="es-ES"/>
        </w:rPr>
        <w:t>e</w:t>
      </w:r>
      <w:r w:rsidR="00F6460A" w:rsidRPr="00B4559E">
        <w:rPr>
          <w:lang w:val="es-ES"/>
        </w:rPr>
        <w:t>l funcionamiento de la Conferencia de las Partes hasta el final del ejercicio económico en el que se celebre la primera reunión de la Conferencia de las Partes;</w:t>
      </w:r>
    </w:p>
    <w:p w:rsidR="00B050EA" w:rsidRPr="00B4559E" w:rsidRDefault="00B050EA" w:rsidP="00081174">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iCs/>
          <w:lang w:val="es-ES"/>
        </w:rPr>
        <w:t>1</w:t>
      </w:r>
      <w:r w:rsidR="00E21A65">
        <w:rPr>
          <w:iCs/>
          <w:lang w:val="es-ES"/>
        </w:rPr>
        <w:t>4</w:t>
      </w:r>
      <w:r w:rsidRPr="00B4559E">
        <w:rPr>
          <w:iCs/>
          <w:lang w:val="es-ES"/>
        </w:rPr>
        <w:t>.</w:t>
      </w:r>
      <w:r w:rsidRPr="00B4559E">
        <w:rPr>
          <w:iCs/>
          <w:lang w:val="es-ES"/>
        </w:rPr>
        <w:tab/>
      </w:r>
      <w:r w:rsidR="00F6460A" w:rsidRPr="00B4559E">
        <w:rPr>
          <w:i/>
          <w:lang w:val="es-ES"/>
        </w:rPr>
        <w:t xml:space="preserve">Acoge con beneplácito </w:t>
      </w:r>
      <w:r w:rsidR="00F6460A" w:rsidRPr="00B4559E">
        <w:rPr>
          <w:lang w:val="es-ES"/>
        </w:rPr>
        <w:t>las</w:t>
      </w:r>
      <w:r w:rsidR="00DA67B2" w:rsidRPr="00B4559E">
        <w:rPr>
          <w:lang w:val="es-ES"/>
        </w:rPr>
        <w:t xml:space="preserve"> medidas adoptadas por medio de la Asociación Mundial sobre el Mercurio del PNUMA e insta a todos los asociados a que prosigan sus esfuerzos y apoyen la Asociación, aporten contribuciones y participen en ella;</w:t>
      </w:r>
    </w:p>
    <w:p w:rsidR="00B050EA" w:rsidRPr="00B4559E" w:rsidRDefault="00DA67B2" w:rsidP="002E11F5">
      <w:pPr>
        <w:pStyle w:val="Normal-pool"/>
        <w:keepNext/>
        <w:keepLines/>
        <w:tabs>
          <w:tab w:val="clear" w:pos="1247"/>
          <w:tab w:val="clear" w:pos="1814"/>
          <w:tab w:val="clear" w:pos="2381"/>
          <w:tab w:val="clear" w:pos="2948"/>
          <w:tab w:val="clear" w:pos="3515"/>
          <w:tab w:val="clear" w:pos="4082"/>
          <w:tab w:val="left" w:pos="624"/>
        </w:tabs>
        <w:spacing w:before="240" w:after="120"/>
        <w:jc w:val="center"/>
        <w:rPr>
          <w:lang w:val="es-ES"/>
        </w:rPr>
      </w:pPr>
      <w:r w:rsidRPr="00B4559E">
        <w:rPr>
          <w:lang w:val="es-ES"/>
        </w:rPr>
        <w:t>VII</w:t>
      </w:r>
    </w:p>
    <w:p w:rsidR="00B050EA" w:rsidRPr="00B4559E" w:rsidRDefault="00B050EA" w:rsidP="002E11F5">
      <w:pPr>
        <w:pStyle w:val="NormalNonumber"/>
        <w:keepNext/>
        <w:keepLines/>
        <w:tabs>
          <w:tab w:val="clear" w:pos="1247"/>
          <w:tab w:val="clear" w:pos="1814"/>
          <w:tab w:val="clear" w:pos="2381"/>
          <w:tab w:val="clear" w:pos="2948"/>
          <w:tab w:val="clear" w:pos="3515"/>
          <w:tab w:val="clear" w:pos="4082"/>
          <w:tab w:val="left" w:pos="624"/>
        </w:tabs>
        <w:ind w:firstLine="624"/>
        <w:rPr>
          <w:lang w:val="es-ES"/>
        </w:rPr>
      </w:pPr>
      <w:r w:rsidRPr="00B4559E">
        <w:rPr>
          <w:lang w:val="es-ES"/>
        </w:rPr>
        <w:t>1</w:t>
      </w:r>
      <w:r w:rsidR="00E21A65">
        <w:rPr>
          <w:lang w:val="es-ES"/>
        </w:rPr>
        <w:t>5</w:t>
      </w:r>
      <w:r w:rsidRPr="00B4559E">
        <w:rPr>
          <w:lang w:val="es-ES"/>
        </w:rPr>
        <w:t>.</w:t>
      </w:r>
      <w:r w:rsidRPr="00B4559E">
        <w:rPr>
          <w:i/>
          <w:lang w:val="es-ES"/>
        </w:rPr>
        <w:t xml:space="preserve"> </w:t>
      </w:r>
      <w:r w:rsidRPr="00B4559E">
        <w:rPr>
          <w:i/>
          <w:lang w:val="es-ES"/>
        </w:rPr>
        <w:tab/>
      </w:r>
      <w:r w:rsidR="00DA67B2" w:rsidRPr="00B4559E">
        <w:rPr>
          <w:i/>
          <w:lang w:val="es-ES"/>
        </w:rPr>
        <w:t xml:space="preserve">Solicita </w:t>
      </w:r>
      <w:r w:rsidR="00DA67B2" w:rsidRPr="00B4559E">
        <w:rPr>
          <w:lang w:val="es-ES"/>
        </w:rPr>
        <w:t>al Comité que</w:t>
      </w:r>
      <w:r w:rsidR="00CB0094" w:rsidRPr="00B4559E">
        <w:rPr>
          <w:lang w:val="es-ES"/>
        </w:rPr>
        <w:t>,</w:t>
      </w:r>
      <w:r w:rsidR="00D30CA9" w:rsidRPr="00B4559E">
        <w:rPr>
          <w:lang w:val="es-ES"/>
        </w:rPr>
        <w:t xml:space="preserve"> para realizar su labor en el período de transición</w:t>
      </w:r>
      <w:r w:rsidR="00CB0094" w:rsidRPr="00B4559E">
        <w:rPr>
          <w:lang w:val="es-ES"/>
        </w:rPr>
        <w:t>,</w:t>
      </w:r>
      <w:r w:rsidR="00DA67B2" w:rsidRPr="00B4559E">
        <w:rPr>
          <w:lang w:val="es-ES"/>
        </w:rPr>
        <w:t xml:space="preserve"> tenga en cuenta y aproveche, cuando corresponda, las iniciativas, la documentación y los arreglos </w:t>
      </w:r>
      <w:r w:rsidR="00CB0094" w:rsidRPr="00B4559E">
        <w:rPr>
          <w:lang w:val="es-ES"/>
        </w:rPr>
        <w:t xml:space="preserve">regionales y subregionales </w:t>
      </w:r>
      <w:r w:rsidR="00DA67B2" w:rsidRPr="00B4559E">
        <w:rPr>
          <w:lang w:val="es-ES"/>
        </w:rPr>
        <w:t xml:space="preserve">de </w:t>
      </w:r>
      <w:r w:rsidR="00CB0094" w:rsidRPr="00B4559E">
        <w:rPr>
          <w:lang w:val="es-ES"/>
        </w:rPr>
        <w:t>prestación de servicios que existan</w:t>
      </w:r>
      <w:r w:rsidR="00DA67B2" w:rsidRPr="00B4559E">
        <w:rPr>
          <w:lang w:val="es-ES"/>
        </w:rPr>
        <w:t xml:space="preserve">, </w:t>
      </w:r>
      <w:r w:rsidR="00D30CA9" w:rsidRPr="00B4559E">
        <w:rPr>
          <w:lang w:val="es-ES"/>
        </w:rPr>
        <w:t>incluidos los centros regionales pertinentes</w:t>
      </w:r>
      <w:r w:rsidR="00DA67B2" w:rsidRPr="00B4559E">
        <w:rPr>
          <w:lang w:val="es-ES"/>
        </w:rPr>
        <w:t>;</w:t>
      </w:r>
    </w:p>
    <w:p w:rsidR="00B050EA" w:rsidRPr="00B4559E" w:rsidRDefault="00B050EA" w:rsidP="00C50E0C">
      <w:pPr>
        <w:pStyle w:val="CH2"/>
        <w:rPr>
          <w:lang w:val="es-ES"/>
        </w:rPr>
      </w:pPr>
      <w:r w:rsidRPr="00B4559E">
        <w:rPr>
          <w:lang w:val="es-ES"/>
        </w:rPr>
        <w:tab/>
        <w:t>2.</w:t>
      </w:r>
      <w:r w:rsidRPr="00B4559E">
        <w:rPr>
          <w:lang w:val="es-ES"/>
        </w:rPr>
        <w:tab/>
      </w:r>
      <w:r w:rsidR="0076472B" w:rsidRPr="00B4559E">
        <w:rPr>
          <w:lang w:val="es-ES"/>
        </w:rPr>
        <w:t xml:space="preserve">Resolución sobre </w:t>
      </w:r>
      <w:r w:rsidR="00CB1694" w:rsidRPr="00B4559E">
        <w:rPr>
          <w:lang w:val="es-ES"/>
        </w:rPr>
        <w:t xml:space="preserve">los </w:t>
      </w:r>
      <w:r w:rsidR="0076472B" w:rsidRPr="00B4559E">
        <w:rPr>
          <w:lang w:val="es-ES"/>
        </w:rPr>
        <w:t>arreglos financieros</w:t>
      </w:r>
    </w:p>
    <w:p w:rsidR="00B050EA" w:rsidRPr="00B4559E" w:rsidRDefault="0076472B" w:rsidP="00081174">
      <w:pPr>
        <w:pStyle w:val="NormalNonumber"/>
        <w:keepNext/>
        <w:keepLines/>
        <w:tabs>
          <w:tab w:val="clear" w:pos="1247"/>
          <w:tab w:val="clear" w:pos="1814"/>
          <w:tab w:val="clear" w:pos="2381"/>
          <w:tab w:val="clear" w:pos="2948"/>
          <w:tab w:val="clear" w:pos="3515"/>
          <w:tab w:val="clear" w:pos="4082"/>
          <w:tab w:val="left" w:pos="624"/>
        </w:tabs>
        <w:ind w:firstLine="624"/>
        <w:rPr>
          <w:i/>
          <w:lang w:val="es-ES"/>
        </w:rPr>
      </w:pPr>
      <w:r w:rsidRPr="00B4559E">
        <w:rPr>
          <w:i/>
          <w:lang w:val="es-ES"/>
        </w:rPr>
        <w:t>La Conferencia,</w:t>
      </w:r>
    </w:p>
    <w:p w:rsidR="00B050EA" w:rsidRPr="00B4559E" w:rsidRDefault="00B050EA" w:rsidP="00081174">
      <w:pPr>
        <w:pStyle w:val="NormalNonumber"/>
        <w:keepNext/>
        <w:keepLines/>
        <w:tabs>
          <w:tab w:val="clear" w:pos="1247"/>
          <w:tab w:val="clear" w:pos="1814"/>
          <w:tab w:val="clear" w:pos="2381"/>
          <w:tab w:val="clear" w:pos="2948"/>
          <w:tab w:val="clear" w:pos="3515"/>
          <w:tab w:val="clear" w:pos="4082"/>
          <w:tab w:val="left" w:pos="624"/>
        </w:tabs>
        <w:ind w:firstLine="624"/>
        <w:rPr>
          <w:lang w:val="es-ES"/>
        </w:rPr>
      </w:pPr>
      <w:r w:rsidRPr="00B4559E">
        <w:rPr>
          <w:i/>
          <w:lang w:val="es-ES"/>
        </w:rPr>
        <w:tab/>
      </w:r>
      <w:r w:rsidR="0076472B" w:rsidRPr="00B4559E">
        <w:rPr>
          <w:i/>
          <w:lang w:val="es-ES"/>
        </w:rPr>
        <w:t>Observando</w:t>
      </w:r>
      <w:r w:rsidR="0076472B" w:rsidRPr="00B4559E">
        <w:rPr>
          <w:lang w:val="es-ES"/>
        </w:rPr>
        <w:t xml:space="preserve"> que en el Convenio de </w:t>
      </w:r>
      <w:proofErr w:type="spellStart"/>
      <w:r w:rsidR="0076472B" w:rsidRPr="00B4559E">
        <w:rPr>
          <w:lang w:val="es-ES"/>
        </w:rPr>
        <w:t>Minamata</w:t>
      </w:r>
      <w:proofErr w:type="spellEnd"/>
      <w:r w:rsidR="0076472B" w:rsidRPr="00B4559E">
        <w:rPr>
          <w:lang w:val="es-ES"/>
        </w:rPr>
        <w:t xml:space="preserve"> sobre el Mercurio se define un mecanismo financiero que incluye el Fondo Fiduciario del Fondo para el Medio Ambiente Mundial y un programa internacional específico para apoyar la creación de capacidad y la asistencia técnica,</w:t>
      </w:r>
    </w:p>
    <w:p w:rsidR="00B050EA" w:rsidRPr="00B4559E" w:rsidRDefault="00B050EA" w:rsidP="00081174">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iCs/>
          <w:lang w:val="es-ES"/>
        </w:rPr>
        <w:t>1.</w:t>
      </w:r>
      <w:r w:rsidRPr="00B4559E">
        <w:rPr>
          <w:iCs/>
          <w:lang w:val="es-ES"/>
        </w:rPr>
        <w:tab/>
      </w:r>
      <w:r w:rsidR="0076472B" w:rsidRPr="00B4559E">
        <w:rPr>
          <w:i/>
          <w:lang w:val="es-ES"/>
        </w:rPr>
        <w:t>Invita</w:t>
      </w:r>
      <w:r w:rsidR="0076472B" w:rsidRPr="00B4559E">
        <w:rPr>
          <w:lang w:val="es-ES"/>
        </w:rPr>
        <w:t xml:space="preserve"> a la Asamblea del Fondo para el Medio Ambiente Mundial a que</w:t>
      </w:r>
      <w:r w:rsidR="00375DD9" w:rsidRPr="00B4559E">
        <w:rPr>
          <w:lang w:val="es-ES"/>
        </w:rPr>
        <w:t xml:space="preserve"> haga los ajustes que sean necesarios al </w:t>
      </w:r>
      <w:r w:rsidR="0076472B" w:rsidRPr="00B4559E">
        <w:rPr>
          <w:lang w:val="es-ES"/>
        </w:rPr>
        <w:t xml:space="preserve">Instrumento Constitutivo del Fondo para el Medio Ambiente Mundial Reestructurado </w:t>
      </w:r>
      <w:r w:rsidR="00375DD9" w:rsidRPr="00B4559E">
        <w:rPr>
          <w:lang w:val="es-ES"/>
        </w:rPr>
        <w:t>para que el Fondo pueda desempeñar su papel en el mecanismo financiero</w:t>
      </w:r>
      <w:r w:rsidR="0076472B" w:rsidRPr="00B4559E">
        <w:rPr>
          <w:lang w:val="es-ES"/>
        </w:rPr>
        <w:t>;</w:t>
      </w:r>
    </w:p>
    <w:p w:rsidR="00B050EA" w:rsidRPr="00B4559E" w:rsidRDefault="00B050EA" w:rsidP="00081174">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iCs/>
          <w:lang w:val="es-ES"/>
        </w:rPr>
        <w:t>2.</w:t>
      </w:r>
      <w:r w:rsidRPr="00B4559E">
        <w:rPr>
          <w:iCs/>
          <w:lang w:val="es-ES"/>
        </w:rPr>
        <w:tab/>
      </w:r>
      <w:r w:rsidR="00375DD9" w:rsidRPr="00B4559E">
        <w:rPr>
          <w:i/>
          <w:lang w:val="es-ES"/>
        </w:rPr>
        <w:t xml:space="preserve">Decide </w:t>
      </w:r>
      <w:r w:rsidR="00375DD9" w:rsidRPr="00B4559E">
        <w:rPr>
          <w:lang w:val="es-ES"/>
        </w:rPr>
        <w:t xml:space="preserve">que el Comité elabore un memorando de entendimiento entre el Consejo del Fondo para el Medio Ambiente Mundial y la Conferencia de las Partes sobre el papel </w:t>
      </w:r>
      <w:r w:rsidR="00081C43" w:rsidRPr="00B4559E">
        <w:rPr>
          <w:lang w:val="es-ES"/>
        </w:rPr>
        <w:t>del Fondo para el Medio Ambiente Mundial en el mecanismo financiero</w:t>
      </w:r>
      <w:r w:rsidR="00375DD9" w:rsidRPr="00B4559E">
        <w:rPr>
          <w:lang w:val="es-ES"/>
        </w:rPr>
        <w:t xml:space="preserve">, para que la </w:t>
      </w:r>
      <w:r w:rsidR="00081C43" w:rsidRPr="00B4559E">
        <w:rPr>
          <w:lang w:val="es-ES"/>
        </w:rPr>
        <w:t>Conferencia de las Partes lo examine en su primera reunión;</w:t>
      </w:r>
    </w:p>
    <w:p w:rsidR="00B050EA" w:rsidRPr="00B4559E" w:rsidRDefault="00B050EA" w:rsidP="00081174">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iCs/>
          <w:lang w:val="es-ES"/>
        </w:rPr>
        <w:t>3.</w:t>
      </w:r>
      <w:r w:rsidRPr="00B4559E">
        <w:rPr>
          <w:iCs/>
          <w:lang w:val="es-ES"/>
        </w:rPr>
        <w:tab/>
      </w:r>
      <w:r w:rsidR="00081C43" w:rsidRPr="00B4559E">
        <w:rPr>
          <w:i/>
          <w:lang w:val="es-ES"/>
        </w:rPr>
        <w:t xml:space="preserve">Decide también </w:t>
      </w:r>
      <w:r w:rsidR="00081C43" w:rsidRPr="00B4559E">
        <w:rPr>
          <w:lang w:val="es-ES"/>
        </w:rPr>
        <w:t>que el Comité elabore y apruebe, con carácter provisional hasta que la Conferencia de las Partes lo haga oficialmente en su primera reunión, orientaciones para el Consejo del Fondo para el Medio Ambiente Mundial sobre las estrategias generales, las políticas, las prioridades de los programas, las condiciones para acceder a los recursos financieros y utilizarlos y una lista indicativa de categorías de actividades que puedan recibir apoyo del Fondo Fiduciario del Fondo para el Medio Ambiente Mundial;</w:t>
      </w:r>
      <w:r w:rsidRPr="00B4559E">
        <w:rPr>
          <w:lang w:val="es-ES"/>
        </w:rPr>
        <w:t xml:space="preserve"> </w:t>
      </w:r>
    </w:p>
    <w:p w:rsidR="00B050EA" w:rsidRPr="00B4559E" w:rsidRDefault="00B050EA" w:rsidP="00081174">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iCs/>
          <w:lang w:val="es-ES"/>
        </w:rPr>
        <w:t>4.</w:t>
      </w:r>
      <w:r w:rsidRPr="00B4559E">
        <w:rPr>
          <w:iCs/>
          <w:lang w:val="es-ES"/>
        </w:rPr>
        <w:tab/>
      </w:r>
      <w:r w:rsidR="00316135" w:rsidRPr="00B4559E">
        <w:rPr>
          <w:i/>
          <w:lang w:val="es-ES"/>
        </w:rPr>
        <w:t>Invita</w:t>
      </w:r>
      <w:r w:rsidR="00316135" w:rsidRPr="00B4559E">
        <w:rPr>
          <w:lang w:val="es-ES"/>
        </w:rPr>
        <w:t xml:space="preserve"> al Consejo del Fondo para el Medio Ambiente Mundial a que aplique provisionalmente las orientaciones que le haya facilitado el Comité hasta que la Conferencia de las Partes las apruebe;</w:t>
      </w:r>
    </w:p>
    <w:p w:rsidR="00B050EA" w:rsidRPr="00B4559E" w:rsidRDefault="00B050EA" w:rsidP="00081174">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iCs/>
          <w:lang w:val="es-ES"/>
        </w:rPr>
        <w:t>5.</w:t>
      </w:r>
      <w:r w:rsidRPr="00B4559E">
        <w:rPr>
          <w:iCs/>
          <w:lang w:val="es-ES"/>
        </w:rPr>
        <w:tab/>
      </w:r>
      <w:r w:rsidR="00316135" w:rsidRPr="00B4559E">
        <w:rPr>
          <w:i/>
          <w:lang w:val="es-ES"/>
        </w:rPr>
        <w:t>Invita también</w:t>
      </w:r>
      <w:r w:rsidR="00316135" w:rsidRPr="00B4559E">
        <w:rPr>
          <w:lang w:val="es-ES"/>
        </w:rPr>
        <w:t xml:space="preserve"> a los donantes del Fondo Fiduciario del Fondo para el Medio Ambiente Mundial a que en la sexta reposición y las reposiciones posteriores del Fondo Fiduciario, aporten más recursos financieros, que sean suficientes para que el Fondo para el Medio Ambiente Mundial apoye las actividades encaminadas a facilitar la rápida entrada en vigor y la aplicación eficaz del Convenio;</w:t>
      </w:r>
    </w:p>
    <w:p w:rsidR="00B050EA" w:rsidRPr="00B4559E" w:rsidRDefault="00B050EA" w:rsidP="00081174">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iCs/>
          <w:lang w:val="es-ES"/>
        </w:rPr>
        <w:t>6.</w:t>
      </w:r>
      <w:r w:rsidRPr="00B4559E">
        <w:rPr>
          <w:iCs/>
          <w:lang w:val="es-ES"/>
        </w:rPr>
        <w:tab/>
      </w:r>
      <w:r w:rsidR="00316135" w:rsidRPr="00B4559E">
        <w:rPr>
          <w:i/>
          <w:lang w:val="es-ES"/>
        </w:rPr>
        <w:t>Solicita</w:t>
      </w:r>
      <w:r w:rsidR="00316135" w:rsidRPr="00B4559E">
        <w:rPr>
          <w:lang w:val="es-ES"/>
        </w:rPr>
        <w:t xml:space="preserve"> al Comité que elabore una propuesta de institución de acogida del programa internacional específico y orientaciones sobre el funcionamiento de ese programa, para que la Conferencia de las Partes las examine en su primera reunión.</w:t>
      </w:r>
    </w:p>
    <w:p w:rsidR="00B050EA" w:rsidRPr="00B4559E" w:rsidRDefault="00B050EA" w:rsidP="00C50E0C">
      <w:pPr>
        <w:pStyle w:val="CH2"/>
        <w:rPr>
          <w:lang w:val="es-ES"/>
        </w:rPr>
      </w:pPr>
      <w:r w:rsidRPr="00B4559E">
        <w:rPr>
          <w:lang w:val="es-ES"/>
        </w:rPr>
        <w:tab/>
        <w:t>3.</w:t>
      </w:r>
      <w:r w:rsidRPr="00B4559E">
        <w:rPr>
          <w:lang w:val="es-ES"/>
        </w:rPr>
        <w:tab/>
      </w:r>
      <w:r w:rsidR="00316135" w:rsidRPr="00B4559E">
        <w:rPr>
          <w:lang w:val="es-ES"/>
        </w:rPr>
        <w:t>Resolución sobre asuntos relacionados c</w:t>
      </w:r>
      <w:r w:rsidR="00066EE7" w:rsidRPr="00B4559E">
        <w:rPr>
          <w:lang w:val="es-ES"/>
        </w:rPr>
        <w:t>on</w:t>
      </w:r>
      <w:r w:rsidR="00316135" w:rsidRPr="00B4559E">
        <w:rPr>
          <w:lang w:val="es-ES"/>
        </w:rPr>
        <w:t xml:space="preserve"> otros órganos internacionales</w:t>
      </w:r>
    </w:p>
    <w:p w:rsidR="00B050EA" w:rsidRPr="00B4559E" w:rsidRDefault="00066EE7" w:rsidP="00081174">
      <w:pPr>
        <w:pStyle w:val="NormalNonumber"/>
        <w:tabs>
          <w:tab w:val="clear" w:pos="1247"/>
          <w:tab w:val="clear" w:pos="1814"/>
          <w:tab w:val="clear" w:pos="2381"/>
          <w:tab w:val="clear" w:pos="2948"/>
          <w:tab w:val="clear" w:pos="3515"/>
          <w:tab w:val="clear" w:pos="4082"/>
          <w:tab w:val="left" w:pos="624"/>
        </w:tabs>
        <w:ind w:firstLine="624"/>
        <w:rPr>
          <w:i/>
          <w:lang w:val="es-ES"/>
        </w:rPr>
      </w:pPr>
      <w:r w:rsidRPr="00B4559E">
        <w:rPr>
          <w:i/>
          <w:lang w:val="es-ES"/>
        </w:rPr>
        <w:t>La Conferencia</w:t>
      </w:r>
    </w:p>
    <w:p w:rsidR="00B050EA" w:rsidRPr="00B4559E" w:rsidRDefault="00B050EA" w:rsidP="00081174">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iCs/>
          <w:lang w:val="es-ES"/>
        </w:rPr>
        <w:t>1.</w:t>
      </w:r>
      <w:r w:rsidRPr="00B4559E">
        <w:rPr>
          <w:iCs/>
          <w:lang w:val="es-ES"/>
        </w:rPr>
        <w:tab/>
      </w:r>
      <w:r w:rsidR="00066EE7" w:rsidRPr="00B4559E">
        <w:rPr>
          <w:i/>
          <w:lang w:val="es-ES"/>
        </w:rPr>
        <w:t xml:space="preserve">Acoge con beneplácito </w:t>
      </w:r>
      <w:r w:rsidR="00066EE7" w:rsidRPr="00B4559E">
        <w:rPr>
          <w:lang w:val="es-ES"/>
        </w:rPr>
        <w:t xml:space="preserve">las decisiones adoptadas por las conferencias de las Partes en el Convenio de Basilea sobre el control de los movimientos transfronterizos de los desechos peligrosos y su eliminación, el Convenio de Rotterdam sobre el procedimiento de consentimiento fundamentado previo aplicable a ciertos plaguicidas y productos químicos peligrosos objeto de comercio internacional y el Convenio de Estocolmo sobre contaminantes orgánicos persistentes en sus segundas reuniones extraordinarias simultáneas en las que manifestaron su voluntad de cooperar y coordinar con el Convenio de </w:t>
      </w:r>
      <w:proofErr w:type="spellStart"/>
      <w:r w:rsidR="00066EE7" w:rsidRPr="00B4559E">
        <w:rPr>
          <w:lang w:val="es-ES"/>
        </w:rPr>
        <w:t>Minamata</w:t>
      </w:r>
      <w:proofErr w:type="spellEnd"/>
      <w:r w:rsidR="00066EE7" w:rsidRPr="00B4559E">
        <w:rPr>
          <w:lang w:val="es-ES"/>
        </w:rPr>
        <w:t xml:space="preserve"> sobre el Mercurio;</w:t>
      </w:r>
      <w:r w:rsidRPr="00B4559E">
        <w:rPr>
          <w:lang w:val="es-ES"/>
        </w:rPr>
        <w:t xml:space="preserve"> </w:t>
      </w:r>
    </w:p>
    <w:p w:rsidR="00B050EA" w:rsidRPr="00B4559E" w:rsidRDefault="00B050EA" w:rsidP="00081174">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iCs/>
          <w:lang w:val="es-ES"/>
        </w:rPr>
        <w:t>2.</w:t>
      </w:r>
      <w:r w:rsidRPr="00B4559E">
        <w:rPr>
          <w:iCs/>
          <w:lang w:val="es-ES"/>
        </w:rPr>
        <w:tab/>
      </w:r>
      <w:r w:rsidR="00066EE7" w:rsidRPr="00B4559E">
        <w:rPr>
          <w:i/>
          <w:lang w:val="es-ES"/>
        </w:rPr>
        <w:t xml:space="preserve">Solicita </w:t>
      </w:r>
      <w:r w:rsidR="00066EE7" w:rsidRPr="00B4559E">
        <w:rPr>
          <w:lang w:val="es-ES"/>
        </w:rPr>
        <w:t>al Comité que, en consulta con las conferencias de las Partes en los convenios de Basilea, Estocolmo y Rotterdam, explore las posibilidades de cooperación y coordinación en esferas de interés común a los cuatro convenios y presente propuestas</w:t>
      </w:r>
      <w:r w:rsidR="00CB1694" w:rsidRPr="00B4559E">
        <w:rPr>
          <w:lang w:val="es-ES"/>
        </w:rPr>
        <w:t xml:space="preserve"> al respecto</w:t>
      </w:r>
      <w:r w:rsidR="00066EE7" w:rsidRPr="00B4559E">
        <w:rPr>
          <w:lang w:val="es-ES"/>
        </w:rPr>
        <w:t>, según corresponda, para que la Conferencia de las Partes las examine en su primera reunión;</w:t>
      </w:r>
    </w:p>
    <w:p w:rsidR="00B050EA" w:rsidRPr="00B4559E" w:rsidRDefault="00B050EA" w:rsidP="00081174">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lang w:val="es-ES"/>
        </w:rPr>
        <w:t>3.</w:t>
      </w:r>
      <w:r w:rsidRPr="00B4559E">
        <w:rPr>
          <w:lang w:val="es-ES"/>
        </w:rPr>
        <w:tab/>
      </w:r>
      <w:r w:rsidR="00066EE7" w:rsidRPr="00B4559E">
        <w:rPr>
          <w:i/>
          <w:iCs/>
          <w:lang w:val="es-ES"/>
        </w:rPr>
        <w:t xml:space="preserve">Acoge con beneplácito </w:t>
      </w:r>
      <w:r w:rsidR="00066EE7" w:rsidRPr="00B4559E">
        <w:rPr>
          <w:iCs/>
          <w:lang w:val="es-ES"/>
        </w:rPr>
        <w:t xml:space="preserve">la labor realizada por los órganos pertinentes del Convenio de Basilea </w:t>
      </w:r>
      <w:r w:rsidR="00425D26" w:rsidRPr="00B4559E">
        <w:rPr>
          <w:iCs/>
          <w:lang w:val="es-ES"/>
        </w:rPr>
        <w:t>en lo que se refiere a la gestión de los desechos que contienen mercurio, entre otras cosas, el comienzo de las tareas encaminadas a elaborar directrices técnicas para la gestión ambientalmente racional de los desechos de mercurio</w:t>
      </w:r>
      <w:r w:rsidR="00066EE7" w:rsidRPr="00B4559E">
        <w:rPr>
          <w:iCs/>
          <w:lang w:val="es-ES"/>
        </w:rPr>
        <w:t>;</w:t>
      </w:r>
    </w:p>
    <w:p w:rsidR="00B050EA" w:rsidRPr="00B4559E" w:rsidRDefault="00B050EA" w:rsidP="009844B3">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lang w:val="es-ES"/>
        </w:rPr>
        <w:t>4.</w:t>
      </w:r>
      <w:r w:rsidRPr="00B4559E">
        <w:rPr>
          <w:lang w:val="es-ES"/>
        </w:rPr>
        <w:tab/>
      </w:r>
      <w:r w:rsidR="00425D26" w:rsidRPr="00B4559E">
        <w:rPr>
          <w:i/>
          <w:iCs/>
          <w:lang w:val="es-ES"/>
        </w:rPr>
        <w:t>Invita</w:t>
      </w:r>
      <w:r w:rsidR="00425D26" w:rsidRPr="00B4559E">
        <w:rPr>
          <w:lang w:val="es-ES"/>
        </w:rPr>
        <w:t xml:space="preserve"> a los órganos pertinentes del Convenio de Basilea a que cooperen estrechamente con el Comité y, posteriormente, con la Conferencia de las Partes en la elaboración de directrices sobre el almacenamiento provisional de mercurio; sobre la definición de umbrales de contenido de mercurio en los desechos; sobre la actualización, si procede, de las directrices técnicas para la gestión ambientalmente racional de los desechos de mercurio; y sobre la elaboración de requisitos para la gestión de los desechos de mercurio en el marco del Convenio de </w:t>
      </w:r>
      <w:proofErr w:type="spellStart"/>
      <w:r w:rsidR="00425D26" w:rsidRPr="00B4559E">
        <w:rPr>
          <w:lang w:val="es-ES"/>
        </w:rPr>
        <w:t>Minamata</w:t>
      </w:r>
      <w:proofErr w:type="spellEnd"/>
      <w:r w:rsidR="00425D26" w:rsidRPr="00B4559E">
        <w:rPr>
          <w:lang w:val="es-ES"/>
        </w:rPr>
        <w:t xml:space="preserve"> sobre el Mercurio;</w:t>
      </w:r>
    </w:p>
    <w:p w:rsidR="00B050EA" w:rsidRPr="00B4559E" w:rsidRDefault="00B050EA" w:rsidP="009844B3">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lang w:val="es-ES"/>
        </w:rPr>
        <w:t>5.</w:t>
      </w:r>
      <w:r w:rsidRPr="00B4559E">
        <w:rPr>
          <w:lang w:val="es-ES"/>
        </w:rPr>
        <w:tab/>
      </w:r>
      <w:r w:rsidR="00425D26" w:rsidRPr="00B4559E">
        <w:rPr>
          <w:i/>
          <w:iCs/>
          <w:lang w:val="es-ES"/>
        </w:rPr>
        <w:t xml:space="preserve">Invita </w:t>
      </w:r>
      <w:r w:rsidR="00425D26" w:rsidRPr="00B4559E">
        <w:rPr>
          <w:iCs/>
          <w:lang w:val="es-ES"/>
        </w:rPr>
        <w:t xml:space="preserve">a la Secretaría del Convenio de Basilea a que informe al Comité de las cuestiones relacionadas con la gestión de los desechos de mercurio, entre otras, la preparación y </w:t>
      </w:r>
      <w:r w:rsidR="007C635D" w:rsidRPr="00B4559E">
        <w:rPr>
          <w:iCs/>
          <w:lang w:val="es-ES"/>
        </w:rPr>
        <w:t>la elaboración</w:t>
      </w:r>
      <w:r w:rsidR="00425D26" w:rsidRPr="00B4559E">
        <w:rPr>
          <w:iCs/>
          <w:lang w:val="es-ES"/>
        </w:rPr>
        <w:t xml:space="preserve"> de directrices técnicas para la gestión ambientalmente racional de los desechos de mercurio;</w:t>
      </w:r>
    </w:p>
    <w:p w:rsidR="00B050EA" w:rsidRPr="00B4559E" w:rsidRDefault="00B050EA" w:rsidP="009844B3">
      <w:pPr>
        <w:pStyle w:val="NormalNonumber"/>
        <w:keepNext/>
        <w:keepLines/>
        <w:tabs>
          <w:tab w:val="clear" w:pos="1247"/>
          <w:tab w:val="clear" w:pos="1814"/>
          <w:tab w:val="clear" w:pos="2381"/>
          <w:tab w:val="clear" w:pos="2948"/>
          <w:tab w:val="clear" w:pos="3515"/>
          <w:tab w:val="clear" w:pos="4082"/>
          <w:tab w:val="left" w:pos="624"/>
        </w:tabs>
        <w:ind w:firstLine="624"/>
        <w:rPr>
          <w:b/>
          <w:lang w:val="es-ES"/>
        </w:rPr>
      </w:pPr>
      <w:r w:rsidRPr="00B4559E">
        <w:rPr>
          <w:iCs/>
          <w:lang w:val="es-ES"/>
        </w:rPr>
        <w:t>6.</w:t>
      </w:r>
      <w:r w:rsidRPr="00B4559E">
        <w:rPr>
          <w:iCs/>
          <w:lang w:val="es-ES"/>
        </w:rPr>
        <w:tab/>
      </w:r>
      <w:r w:rsidR="007C635D" w:rsidRPr="00B4559E">
        <w:rPr>
          <w:i/>
          <w:lang w:val="es-ES"/>
        </w:rPr>
        <w:t>Reconoce</w:t>
      </w:r>
      <w:r w:rsidR="007C635D" w:rsidRPr="00B4559E">
        <w:rPr>
          <w:lang w:val="es-ES"/>
        </w:rPr>
        <w:t xml:space="preserve"> la importancia que revisten las actividades de órganos internacionales tales como la Organización Mundial de la Salud y la Organización Internacional del Trabajo para la protección de la salud humana en relación con el mercurio y de la Organización Mundial de Aduanas para detectar y </w:t>
      </w:r>
      <w:r w:rsidR="00CC185A" w:rsidRPr="00B4559E">
        <w:rPr>
          <w:lang w:val="es-ES"/>
        </w:rPr>
        <w:t>vigilar el comercio de mercurio, compuestos de mercurio y productos con mercurio añadido comprendidos en el Convenio;</w:t>
      </w:r>
      <w:r w:rsidRPr="00B4559E">
        <w:rPr>
          <w:lang w:val="es-ES"/>
        </w:rPr>
        <w:t xml:space="preserve"> </w:t>
      </w:r>
    </w:p>
    <w:p w:rsidR="00B050EA" w:rsidRPr="00B4559E" w:rsidRDefault="00B050EA" w:rsidP="00081174">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iCs/>
          <w:lang w:val="es-ES"/>
        </w:rPr>
        <w:t>7.</w:t>
      </w:r>
      <w:r w:rsidRPr="00B4559E">
        <w:rPr>
          <w:iCs/>
          <w:lang w:val="es-ES"/>
        </w:rPr>
        <w:tab/>
      </w:r>
      <w:r w:rsidR="00F42D21" w:rsidRPr="00B4559E">
        <w:rPr>
          <w:i/>
          <w:lang w:val="es-ES"/>
        </w:rPr>
        <w:t>Invita</w:t>
      </w:r>
      <w:r w:rsidR="00F42D21" w:rsidRPr="00B4559E">
        <w:rPr>
          <w:lang w:val="es-ES"/>
        </w:rPr>
        <w:t xml:space="preserve"> a los órganos mencionados en el párrafo 6 a que cooperen estrechamente con el Comité y la Conferencia de las Partes para apoyar la aplicación del Convenio.</w:t>
      </w:r>
    </w:p>
    <w:p w:rsidR="00B050EA" w:rsidRPr="00B4559E" w:rsidRDefault="00B050EA" w:rsidP="009061DA">
      <w:pPr>
        <w:pStyle w:val="CH4"/>
        <w:rPr>
          <w:sz w:val="24"/>
          <w:szCs w:val="24"/>
          <w:lang w:val="es-ES"/>
        </w:rPr>
      </w:pPr>
      <w:r w:rsidRPr="00B4559E">
        <w:rPr>
          <w:lang w:val="es-ES"/>
        </w:rPr>
        <w:tab/>
      </w:r>
      <w:r w:rsidRPr="00B4559E">
        <w:rPr>
          <w:sz w:val="24"/>
          <w:szCs w:val="24"/>
          <w:lang w:val="es-ES"/>
        </w:rPr>
        <w:t>4.</w:t>
      </w:r>
      <w:r w:rsidRPr="00B4559E">
        <w:rPr>
          <w:sz w:val="24"/>
          <w:szCs w:val="24"/>
          <w:lang w:val="es-ES"/>
        </w:rPr>
        <w:tab/>
      </w:r>
      <w:r w:rsidR="00F42D21" w:rsidRPr="00B4559E">
        <w:rPr>
          <w:sz w:val="24"/>
          <w:szCs w:val="24"/>
          <w:lang w:val="es-ES"/>
        </w:rPr>
        <w:t>Homenaje al Gobierno del Japón</w:t>
      </w:r>
    </w:p>
    <w:p w:rsidR="00B050EA" w:rsidRPr="00B4559E" w:rsidRDefault="00F42D21" w:rsidP="00081174">
      <w:pPr>
        <w:pStyle w:val="NormalNonumber"/>
        <w:keepNext/>
        <w:keepLines/>
        <w:tabs>
          <w:tab w:val="clear" w:pos="1247"/>
          <w:tab w:val="clear" w:pos="1814"/>
          <w:tab w:val="clear" w:pos="2381"/>
          <w:tab w:val="clear" w:pos="2948"/>
          <w:tab w:val="clear" w:pos="3515"/>
          <w:tab w:val="clear" w:pos="4082"/>
          <w:tab w:val="left" w:pos="624"/>
        </w:tabs>
        <w:ind w:firstLine="624"/>
        <w:rPr>
          <w:i/>
          <w:lang w:val="es-ES"/>
        </w:rPr>
      </w:pPr>
      <w:r w:rsidRPr="00B4559E">
        <w:rPr>
          <w:i/>
          <w:lang w:val="es-ES"/>
        </w:rPr>
        <w:t>La Conferencia,</w:t>
      </w:r>
      <w:r w:rsidR="00B050EA" w:rsidRPr="00B4559E">
        <w:rPr>
          <w:i/>
          <w:lang w:val="es-ES"/>
        </w:rPr>
        <w:t xml:space="preserve"> </w:t>
      </w:r>
    </w:p>
    <w:p w:rsidR="00B050EA" w:rsidRPr="00B4559E" w:rsidRDefault="00B050EA" w:rsidP="00081174">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i/>
          <w:iCs/>
          <w:lang w:val="es-ES"/>
        </w:rPr>
        <w:tab/>
      </w:r>
      <w:r w:rsidR="00F42D21" w:rsidRPr="00B4559E">
        <w:rPr>
          <w:i/>
          <w:iCs/>
          <w:lang w:val="es-ES"/>
        </w:rPr>
        <w:t xml:space="preserve">Habiendo visitado </w:t>
      </w:r>
      <w:proofErr w:type="spellStart"/>
      <w:r w:rsidR="00F42D21" w:rsidRPr="00B4559E">
        <w:rPr>
          <w:lang w:val="es-ES"/>
        </w:rPr>
        <w:t>Minamata</w:t>
      </w:r>
      <w:proofErr w:type="spellEnd"/>
      <w:r w:rsidR="00F42D21" w:rsidRPr="00B4559E">
        <w:rPr>
          <w:lang w:val="es-ES"/>
        </w:rPr>
        <w:t xml:space="preserve"> el 9 de octubre de 2013 y habiéndose reunido </w:t>
      </w:r>
      <w:r w:rsidR="00F42D21" w:rsidRPr="00B4559E">
        <w:rPr>
          <w:iCs/>
          <w:lang w:val="es-ES"/>
        </w:rPr>
        <w:t xml:space="preserve">en </w:t>
      </w:r>
      <w:r w:rsidR="00F42D21" w:rsidRPr="00B4559E">
        <w:rPr>
          <w:lang w:val="es-ES"/>
        </w:rPr>
        <w:t>Kumamoto los días 10 y 11 de octubre de 2013 por amable invitación del Gobierno del Japón,</w:t>
      </w:r>
      <w:r w:rsidRPr="00B4559E">
        <w:rPr>
          <w:lang w:val="es-ES"/>
        </w:rPr>
        <w:t xml:space="preserve"> </w:t>
      </w:r>
    </w:p>
    <w:p w:rsidR="00B050EA" w:rsidRPr="00B4559E" w:rsidRDefault="00B050EA" w:rsidP="009844B3">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lang w:val="es-ES"/>
        </w:rPr>
        <w:tab/>
      </w:r>
      <w:r w:rsidR="00F42D21" w:rsidRPr="00B4559E">
        <w:rPr>
          <w:i/>
          <w:lang w:val="es-ES"/>
        </w:rPr>
        <w:t xml:space="preserve">Teniendo presente </w:t>
      </w:r>
      <w:r w:rsidR="00F42D21" w:rsidRPr="00B4559E">
        <w:rPr>
          <w:lang w:val="es-ES"/>
        </w:rPr>
        <w:t xml:space="preserve">el sufrimiento que viene padeciendo desde hace tiempo el pueblo de la región </w:t>
      </w:r>
      <w:r w:rsidR="00B4559E" w:rsidRPr="00B4559E">
        <w:rPr>
          <w:lang w:val="es-ES"/>
        </w:rPr>
        <w:t>de</w:t>
      </w:r>
      <w:r w:rsidR="00F42D21" w:rsidRPr="00B4559E">
        <w:rPr>
          <w:lang w:val="es-ES"/>
        </w:rPr>
        <w:t xml:space="preserve"> </w:t>
      </w:r>
      <w:proofErr w:type="spellStart"/>
      <w:r w:rsidR="00F42D21" w:rsidRPr="00B4559E">
        <w:rPr>
          <w:lang w:val="es-ES"/>
        </w:rPr>
        <w:t>Minamata</w:t>
      </w:r>
      <w:proofErr w:type="spellEnd"/>
      <w:r w:rsidR="00F42D21" w:rsidRPr="00B4559E">
        <w:rPr>
          <w:lang w:val="es-ES"/>
        </w:rPr>
        <w:t xml:space="preserve"> y sus comunidades a causa de los graves problemas ambientales y de salud </w:t>
      </w:r>
      <w:r w:rsidR="00F61D28" w:rsidRPr="00B4559E">
        <w:rPr>
          <w:lang w:val="es-ES"/>
        </w:rPr>
        <w:t>derivados de</w:t>
      </w:r>
      <w:r w:rsidR="00F42D21" w:rsidRPr="00B4559E">
        <w:rPr>
          <w:lang w:val="es-ES"/>
        </w:rPr>
        <w:t xml:space="preserve"> la contaminación </w:t>
      </w:r>
      <w:r w:rsidR="00C81FF9" w:rsidRPr="00B4559E">
        <w:rPr>
          <w:lang w:val="es-ES"/>
        </w:rPr>
        <w:t>por</w:t>
      </w:r>
      <w:r w:rsidR="00F42D21" w:rsidRPr="00B4559E">
        <w:rPr>
          <w:lang w:val="es-ES"/>
        </w:rPr>
        <w:t xml:space="preserve"> mercurio, conoc</w:t>
      </w:r>
      <w:r w:rsidR="00DE49D0" w:rsidRPr="00B4559E">
        <w:rPr>
          <w:lang w:val="es-ES"/>
        </w:rPr>
        <w:t>iendo los esfuerzos que han hecho por restaurar el medio ambiente en la región y construir comunidades ambientalmente racionales, y</w:t>
      </w:r>
      <w:r w:rsidR="00F42D21" w:rsidRPr="00B4559E">
        <w:rPr>
          <w:i/>
          <w:lang w:val="es-ES"/>
        </w:rPr>
        <w:t xml:space="preserve"> </w:t>
      </w:r>
      <w:r w:rsidR="00F42D21" w:rsidRPr="00B4559E">
        <w:rPr>
          <w:lang w:val="es-ES"/>
        </w:rPr>
        <w:t>reco</w:t>
      </w:r>
      <w:r w:rsidR="00DE49D0" w:rsidRPr="00B4559E">
        <w:rPr>
          <w:lang w:val="es-ES"/>
        </w:rPr>
        <w:t xml:space="preserve">nociendo que la comunidad </w:t>
      </w:r>
      <w:r w:rsidR="00F42D21" w:rsidRPr="00B4559E">
        <w:rPr>
          <w:lang w:val="es-ES"/>
        </w:rPr>
        <w:t>interna</w:t>
      </w:r>
      <w:r w:rsidR="00DE49D0" w:rsidRPr="00B4559E">
        <w:rPr>
          <w:lang w:val="es-ES"/>
        </w:rPr>
        <w:t>c</w:t>
      </w:r>
      <w:r w:rsidR="00F42D21" w:rsidRPr="00B4559E">
        <w:rPr>
          <w:lang w:val="es-ES"/>
        </w:rPr>
        <w:t xml:space="preserve">ional </w:t>
      </w:r>
      <w:r w:rsidR="00DE49D0" w:rsidRPr="00B4559E">
        <w:rPr>
          <w:lang w:val="es-ES"/>
        </w:rPr>
        <w:t xml:space="preserve">debería aprender de las experiencias y enseñanzas de </w:t>
      </w:r>
      <w:proofErr w:type="spellStart"/>
      <w:r w:rsidR="00F42D21" w:rsidRPr="00B4559E">
        <w:rPr>
          <w:lang w:val="es-ES"/>
        </w:rPr>
        <w:t>Minamata</w:t>
      </w:r>
      <w:proofErr w:type="spellEnd"/>
      <w:r w:rsidR="00F42D21" w:rsidRPr="00B4559E">
        <w:rPr>
          <w:lang w:val="es-ES"/>
        </w:rPr>
        <w:t>,</w:t>
      </w:r>
      <w:r w:rsidRPr="00B4559E">
        <w:rPr>
          <w:lang w:val="es-ES"/>
        </w:rPr>
        <w:t xml:space="preserve"> </w:t>
      </w:r>
    </w:p>
    <w:p w:rsidR="00B050EA" w:rsidRPr="00B4559E" w:rsidRDefault="00B050EA" w:rsidP="00C50E0C">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i/>
          <w:iCs/>
          <w:lang w:val="es-ES"/>
        </w:rPr>
        <w:tab/>
      </w:r>
      <w:r w:rsidR="00DE49D0" w:rsidRPr="00B4559E">
        <w:rPr>
          <w:i/>
          <w:iCs/>
          <w:lang w:val="es-ES"/>
        </w:rPr>
        <w:t>Convencida</w:t>
      </w:r>
      <w:r w:rsidR="00DE49D0" w:rsidRPr="00B4559E">
        <w:rPr>
          <w:lang w:val="es-ES"/>
        </w:rPr>
        <w:t xml:space="preserve"> de que los esfuerzos realizados por el Gobierno del Japón y las autoridades de la prefectura de Kumamoto y las ciudades de </w:t>
      </w:r>
      <w:proofErr w:type="spellStart"/>
      <w:r w:rsidR="00DE49D0" w:rsidRPr="00B4559E">
        <w:rPr>
          <w:lang w:val="es-ES"/>
        </w:rPr>
        <w:t>Minamata</w:t>
      </w:r>
      <w:proofErr w:type="spellEnd"/>
      <w:r w:rsidR="00DE49D0" w:rsidRPr="00B4559E">
        <w:rPr>
          <w:lang w:val="es-ES"/>
        </w:rPr>
        <w:t xml:space="preserve"> y Kumamoto para proporcionar servicios, locales y otros recursos han contribuido significativa</w:t>
      </w:r>
      <w:r w:rsidR="000D15C0" w:rsidRPr="00B4559E">
        <w:rPr>
          <w:lang w:val="es-ES"/>
        </w:rPr>
        <w:t>mente</w:t>
      </w:r>
      <w:r w:rsidR="00DE49D0" w:rsidRPr="00B4559E">
        <w:rPr>
          <w:lang w:val="es-ES"/>
        </w:rPr>
        <w:t xml:space="preserve"> al desarrollo sin tropiezos de </w:t>
      </w:r>
      <w:r w:rsidR="000D15C0" w:rsidRPr="00B4559E">
        <w:rPr>
          <w:lang w:val="es-ES"/>
        </w:rPr>
        <w:t>la Conferencia,</w:t>
      </w:r>
      <w:r w:rsidRPr="00B4559E">
        <w:rPr>
          <w:lang w:val="es-ES"/>
        </w:rPr>
        <w:t xml:space="preserve"> </w:t>
      </w:r>
    </w:p>
    <w:p w:rsidR="00B050EA" w:rsidRPr="00B4559E" w:rsidRDefault="00B050EA" w:rsidP="00081174">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i/>
          <w:iCs/>
          <w:lang w:val="es-ES"/>
        </w:rPr>
        <w:tab/>
      </w:r>
      <w:r w:rsidR="003B6E01" w:rsidRPr="00B4559E">
        <w:rPr>
          <w:i/>
          <w:iCs/>
          <w:lang w:val="es-ES"/>
        </w:rPr>
        <w:t xml:space="preserve">Profundamente agradecida </w:t>
      </w:r>
      <w:r w:rsidR="003B6E01" w:rsidRPr="00B4559E">
        <w:rPr>
          <w:iCs/>
          <w:lang w:val="es-ES"/>
        </w:rPr>
        <w:t xml:space="preserve">por la cortesía y hospitalidad que el Gobierno del Japón, la prefectura de </w:t>
      </w:r>
      <w:r w:rsidR="003B6E01" w:rsidRPr="00B4559E">
        <w:rPr>
          <w:lang w:val="es-ES"/>
        </w:rPr>
        <w:t xml:space="preserve">Kumamoto </w:t>
      </w:r>
      <w:r w:rsidR="003B6E01" w:rsidRPr="00B4559E">
        <w:rPr>
          <w:iCs/>
          <w:lang w:val="es-ES"/>
        </w:rPr>
        <w:t xml:space="preserve">y las ciudades de </w:t>
      </w:r>
      <w:proofErr w:type="spellStart"/>
      <w:r w:rsidR="003B6E01" w:rsidRPr="00B4559E">
        <w:rPr>
          <w:lang w:val="es-ES"/>
        </w:rPr>
        <w:t>Minamata</w:t>
      </w:r>
      <w:proofErr w:type="spellEnd"/>
      <w:r w:rsidR="003B6E01" w:rsidRPr="00B4559E">
        <w:rPr>
          <w:lang w:val="es-ES"/>
        </w:rPr>
        <w:t xml:space="preserve"> y Kumamoto b</w:t>
      </w:r>
      <w:r w:rsidR="003B6E01" w:rsidRPr="00B4559E">
        <w:rPr>
          <w:iCs/>
          <w:lang w:val="es-ES"/>
        </w:rPr>
        <w:t>rindaron a los representantes de las delegaciones, a los observadores y a la Secretaría del Programa de las Naciones Unidas para el Medio Ambiente presentes en la Conferencia,</w:t>
      </w:r>
    </w:p>
    <w:p w:rsidR="00B050EA" w:rsidRPr="00B4559E" w:rsidRDefault="00B050EA" w:rsidP="00081174">
      <w:pPr>
        <w:pStyle w:val="NormalNonumber"/>
        <w:tabs>
          <w:tab w:val="clear" w:pos="1247"/>
          <w:tab w:val="clear" w:pos="1814"/>
          <w:tab w:val="clear" w:pos="2381"/>
          <w:tab w:val="clear" w:pos="2948"/>
          <w:tab w:val="clear" w:pos="3515"/>
          <w:tab w:val="clear" w:pos="4082"/>
          <w:tab w:val="left" w:pos="624"/>
        </w:tabs>
        <w:ind w:firstLine="624"/>
        <w:rPr>
          <w:lang w:val="es-ES"/>
        </w:rPr>
      </w:pPr>
      <w:r w:rsidRPr="00B4559E">
        <w:rPr>
          <w:i/>
          <w:iCs/>
          <w:lang w:val="es-ES"/>
        </w:rPr>
        <w:tab/>
      </w:r>
      <w:r w:rsidR="003B6E01" w:rsidRPr="00B4559E">
        <w:rPr>
          <w:i/>
          <w:iCs/>
          <w:lang w:val="es-ES"/>
        </w:rPr>
        <w:t xml:space="preserve">Expresa </w:t>
      </w:r>
      <w:r w:rsidR="003B6E01" w:rsidRPr="00B4559E">
        <w:rPr>
          <w:iCs/>
          <w:lang w:val="es-ES"/>
        </w:rPr>
        <w:t xml:space="preserve">su sincero agradecimiento al Gobierno del Japón, a las autoridades de la prefectura de </w:t>
      </w:r>
      <w:r w:rsidR="003B6E01" w:rsidRPr="00B4559E">
        <w:rPr>
          <w:lang w:val="es-ES"/>
        </w:rPr>
        <w:t xml:space="preserve">Kumamoto </w:t>
      </w:r>
      <w:r w:rsidR="003B6E01" w:rsidRPr="00B4559E">
        <w:rPr>
          <w:iCs/>
          <w:lang w:val="es-ES"/>
        </w:rPr>
        <w:t xml:space="preserve">y las ciudades de </w:t>
      </w:r>
      <w:proofErr w:type="spellStart"/>
      <w:r w:rsidR="003B6E01" w:rsidRPr="00B4559E">
        <w:rPr>
          <w:lang w:val="es-ES"/>
        </w:rPr>
        <w:t>Minamata</w:t>
      </w:r>
      <w:proofErr w:type="spellEnd"/>
      <w:r w:rsidR="003B6E01" w:rsidRPr="00B4559E">
        <w:rPr>
          <w:lang w:val="es-ES"/>
        </w:rPr>
        <w:t xml:space="preserve"> y Kumamoto y</w:t>
      </w:r>
      <w:r w:rsidR="003B6E01" w:rsidRPr="00B4559E">
        <w:rPr>
          <w:iCs/>
          <w:lang w:val="es-ES"/>
        </w:rPr>
        <w:t xml:space="preserve">, por conducto de estos, al pueblo del Japón, especialmente al pueblo de </w:t>
      </w:r>
      <w:proofErr w:type="spellStart"/>
      <w:r w:rsidR="003B6E01" w:rsidRPr="00B4559E">
        <w:rPr>
          <w:lang w:val="es-ES"/>
        </w:rPr>
        <w:t>Minamata</w:t>
      </w:r>
      <w:proofErr w:type="spellEnd"/>
      <w:r w:rsidR="003B6E01" w:rsidRPr="00B4559E">
        <w:rPr>
          <w:lang w:val="es-ES"/>
        </w:rPr>
        <w:t xml:space="preserve"> y Kumamoto, p</w:t>
      </w:r>
      <w:r w:rsidR="003B6E01" w:rsidRPr="00B4559E">
        <w:rPr>
          <w:iCs/>
          <w:lang w:val="es-ES"/>
        </w:rPr>
        <w:t xml:space="preserve">or </w:t>
      </w:r>
      <w:bookmarkStart w:id="0" w:name="_GoBack"/>
      <w:bookmarkEnd w:id="0"/>
      <w:r w:rsidR="003B6E01" w:rsidRPr="00B4559E">
        <w:rPr>
          <w:iCs/>
          <w:lang w:val="es-ES"/>
        </w:rPr>
        <w:t xml:space="preserve">la cordialidad con que acogieron a la Conferencia y a </w:t>
      </w:r>
      <w:r w:rsidR="00182994" w:rsidRPr="00B4559E">
        <w:rPr>
          <w:iCs/>
          <w:lang w:val="es-ES"/>
        </w:rPr>
        <w:t>quienes</w:t>
      </w:r>
      <w:r w:rsidR="003B6E01" w:rsidRPr="00B4559E">
        <w:rPr>
          <w:iCs/>
          <w:lang w:val="es-ES"/>
        </w:rPr>
        <w:t xml:space="preserve"> participaron en su labor y por su contribución al éxito de la Conferencia.</w:t>
      </w:r>
    </w:p>
    <w:p w:rsidR="00B050EA" w:rsidRPr="00B4559E" w:rsidRDefault="00B050EA" w:rsidP="004F7CD9">
      <w:pPr>
        <w:pStyle w:val="Normal-pool"/>
        <w:rPr>
          <w:lang w:val="es-ES"/>
        </w:rPr>
      </w:pPr>
    </w:p>
    <w:tbl>
      <w:tblPr>
        <w:tblW w:w="0" w:type="auto"/>
        <w:tblLook w:val="01E0" w:firstRow="1" w:lastRow="1" w:firstColumn="1" w:lastColumn="1" w:noHBand="0" w:noVBand="0"/>
      </w:tblPr>
      <w:tblGrid>
        <w:gridCol w:w="3237"/>
        <w:gridCol w:w="3237"/>
        <w:gridCol w:w="3238"/>
      </w:tblGrid>
      <w:tr w:rsidR="00B4559E" w:rsidRPr="004628A2">
        <w:tc>
          <w:tcPr>
            <w:tcW w:w="3237" w:type="dxa"/>
          </w:tcPr>
          <w:p w:rsidR="00B050EA" w:rsidRPr="00B4559E" w:rsidRDefault="00B050EA" w:rsidP="004F7CD9">
            <w:pPr>
              <w:pStyle w:val="Normal-pool"/>
              <w:rPr>
                <w:lang w:val="es-ES"/>
              </w:rPr>
            </w:pPr>
          </w:p>
        </w:tc>
        <w:tc>
          <w:tcPr>
            <w:tcW w:w="3237" w:type="dxa"/>
            <w:tcBorders>
              <w:bottom w:val="single" w:sz="4" w:space="0" w:color="auto"/>
            </w:tcBorders>
          </w:tcPr>
          <w:p w:rsidR="00B050EA" w:rsidRPr="00B4559E" w:rsidRDefault="00B050EA" w:rsidP="004F7CD9">
            <w:pPr>
              <w:pStyle w:val="Normal-pool"/>
              <w:rPr>
                <w:lang w:val="es-ES"/>
              </w:rPr>
            </w:pPr>
          </w:p>
        </w:tc>
        <w:tc>
          <w:tcPr>
            <w:tcW w:w="3238" w:type="dxa"/>
          </w:tcPr>
          <w:p w:rsidR="00B050EA" w:rsidRPr="00B4559E" w:rsidRDefault="00B050EA" w:rsidP="004F7CD9">
            <w:pPr>
              <w:pStyle w:val="Normal-pool"/>
              <w:rPr>
                <w:lang w:val="es-ES"/>
              </w:rPr>
            </w:pPr>
          </w:p>
        </w:tc>
      </w:tr>
    </w:tbl>
    <w:p w:rsidR="00B050EA" w:rsidRPr="00B4559E" w:rsidRDefault="00B050EA" w:rsidP="004F7CD9">
      <w:pPr>
        <w:pStyle w:val="Normal-pool"/>
        <w:rPr>
          <w:lang w:val="es-ES"/>
        </w:rPr>
      </w:pPr>
    </w:p>
    <w:sectPr w:rsidR="00B050EA" w:rsidRPr="00B4559E" w:rsidSect="006E6722">
      <w:headerReference w:type="even" r:id="rId11"/>
      <w:headerReference w:type="default" r:id="rId12"/>
      <w:footerReference w:type="even" r:id="rId13"/>
      <w:footerReference w:type="default" r:id="rId14"/>
      <w:headerReference w:type="first" r:id="rId15"/>
      <w:footerReference w:type="first" r:id="rId16"/>
      <w:footnotePr>
        <w:numFmt w:val="chicago"/>
      </w:footnotePr>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F5" w:rsidRDefault="002E11F5">
      <w:r>
        <w:separator/>
      </w:r>
    </w:p>
  </w:endnote>
  <w:endnote w:type="continuationSeparator" w:id="0">
    <w:p w:rsidR="002E11F5" w:rsidRDefault="002E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F5" w:rsidRDefault="002E11F5">
    <w:pPr>
      <w:pStyle w:val="Footer"/>
    </w:pPr>
    <w:r>
      <w:rPr>
        <w:rStyle w:val="PageNumber"/>
      </w:rPr>
      <w:fldChar w:fldCharType="begin"/>
    </w:r>
    <w:r>
      <w:rPr>
        <w:rStyle w:val="PageNumber"/>
      </w:rPr>
      <w:instrText xml:space="preserve"> PAGE </w:instrText>
    </w:r>
    <w:r>
      <w:rPr>
        <w:rStyle w:val="PageNumber"/>
      </w:rPr>
      <w:fldChar w:fldCharType="separate"/>
    </w:r>
    <w:r w:rsidR="00E01091">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F5" w:rsidRDefault="002E11F5"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E01091">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F5" w:rsidRDefault="002E11F5">
    <w:pPr>
      <w:pStyle w:val="Footer"/>
    </w:pPr>
    <w:r>
      <w:t>K1352630</w:t>
    </w:r>
    <w:r>
      <w:tab/>
    </w:r>
    <w:r w:rsidR="004822D4">
      <w:t>28</w:t>
    </w:r>
    <w:r>
      <w:t>0813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F5" w:rsidRDefault="002E11F5" w:rsidP="00D92DE0">
      <w:pPr>
        <w:ind w:left="624"/>
      </w:pPr>
      <w:r>
        <w:separator/>
      </w:r>
    </w:p>
  </w:footnote>
  <w:footnote w:type="continuationSeparator" w:id="0">
    <w:p w:rsidR="002E11F5" w:rsidRDefault="002E1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F5" w:rsidRPr="009061DA" w:rsidRDefault="002E11F5" w:rsidP="008E703C">
    <w:pPr>
      <w:pStyle w:val="Header"/>
      <w:rPr>
        <w:szCs w:val="18"/>
        <w:lang w:val="nl-NL"/>
      </w:rPr>
    </w:pPr>
    <w:r w:rsidRPr="009061DA">
      <w:rPr>
        <w:bCs/>
        <w:szCs w:val="18"/>
        <w:lang w:val="nl-NL"/>
      </w:rPr>
      <w:t>UNEP</w:t>
    </w:r>
    <w:r w:rsidRPr="009061DA">
      <w:rPr>
        <w:szCs w:val="18"/>
        <w:lang w:val="nl-NL"/>
      </w:rPr>
      <w:t>(DTIE)/Hg/CONF/PM/3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F5" w:rsidRPr="009061DA" w:rsidRDefault="002E11F5" w:rsidP="00981A7A">
    <w:pPr>
      <w:pStyle w:val="Header"/>
      <w:jc w:val="right"/>
      <w:rPr>
        <w:sz w:val="20"/>
        <w:lang w:val="nl-NL"/>
      </w:rPr>
    </w:pPr>
    <w:r w:rsidRPr="009061DA">
      <w:rPr>
        <w:bCs/>
        <w:szCs w:val="18"/>
        <w:lang w:val="nl-NL"/>
      </w:rPr>
      <w:t>UNEP</w:t>
    </w:r>
    <w:r w:rsidRPr="009061DA">
      <w:rPr>
        <w:szCs w:val="18"/>
        <w:lang w:val="nl-NL"/>
      </w:rPr>
      <w:t>(DTIE)/Hg/CONF/PM/3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F5" w:rsidRDefault="002E11F5"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cs="Times New Roman"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cs="Times New Roman" w:hint="default"/>
      </w:rPr>
    </w:lvl>
  </w:abstractNum>
  <w:abstractNum w:abstractNumId="2">
    <w:nsid w:val="3DCE4EE5"/>
    <w:multiLevelType w:val="hybridMultilevel"/>
    <w:tmpl w:val="AD46EACE"/>
    <w:lvl w:ilvl="0" w:tplc="CFF44842">
      <w:start w:val="1"/>
      <w:numFmt w:val="decimal"/>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2A66A9D"/>
    <w:multiLevelType w:val="multilevel"/>
    <w:tmpl w:val="D07A6E4C"/>
    <w:styleLink w:val="Normallist"/>
    <w:lvl w:ilvl="0">
      <w:start w:val="1"/>
      <w:numFmt w:val="decimal"/>
      <w:lvlText w:val="%1."/>
      <w:lvlJc w:val="left"/>
      <w:pPr>
        <w:tabs>
          <w:tab w:val="num" w:pos="1134"/>
        </w:tabs>
        <w:ind w:left="1247"/>
      </w:pPr>
      <w:rPr>
        <w:rFonts w:cs="Times New Roman" w:hint="default"/>
      </w:rPr>
    </w:lvl>
    <w:lvl w:ilvl="1">
      <w:start w:val="1"/>
      <w:numFmt w:val="lowerLetter"/>
      <w:lvlText w:val="(%2)"/>
      <w:lvlJc w:val="left"/>
      <w:pPr>
        <w:tabs>
          <w:tab w:val="num" w:pos="1134"/>
        </w:tabs>
        <w:ind w:left="1247" w:firstLine="567"/>
      </w:pPr>
      <w:rPr>
        <w:rFonts w:cs="Times New Roman" w:hint="default"/>
      </w:rPr>
    </w:lvl>
    <w:lvl w:ilvl="2">
      <w:start w:val="1"/>
      <w:numFmt w:val="lowerRoman"/>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abstractNum w:abstractNumId="4">
    <w:nsid w:val="62291BF8"/>
    <w:multiLevelType w:val="multilevel"/>
    <w:tmpl w:val="D07A6E4C"/>
    <w:numStyleLink w:val="Normallist"/>
  </w:abstractNum>
  <w:num w:numId="1">
    <w:abstractNumId w:val="0"/>
  </w:num>
  <w:num w:numId="2">
    <w:abstractNumId w:val="1"/>
  </w:num>
  <w:num w:numId="3">
    <w:abstractNumId w:val="3"/>
  </w:num>
  <w:num w:numId="4">
    <w:abstractNumId w:val="4"/>
  </w:num>
  <w:num w:numId="5">
    <w:abstractNumId w:val="0"/>
  </w:num>
  <w:num w:numId="6">
    <w:abstractNumId w:val="1"/>
  </w:num>
  <w:num w:numId="7">
    <w:abstractNumId w:val="3"/>
  </w:num>
  <w:num w:numId="8">
    <w:abstractNumId w:val="4"/>
  </w:num>
  <w:num w:numId="9">
    <w:abstractNumId w:val="0"/>
  </w:num>
  <w:num w:numId="10">
    <w:abstractNumId w:val="1"/>
  </w:num>
  <w:num w:numId="11">
    <w:abstractNumId w:val="3"/>
  </w:num>
  <w:num w:numId="12">
    <w:abstractNumId w:val="4"/>
  </w:num>
  <w:num w:numId="13">
    <w:abstractNumId w:val="3"/>
  </w:num>
  <w:num w:numId="14">
    <w:abstractNumId w:val="4"/>
  </w:num>
  <w:num w:numId="15">
    <w:abstractNumId w:val="0"/>
  </w:num>
  <w:num w:numId="16">
    <w:abstractNumId w:val="1"/>
  </w:num>
  <w:num w:numId="17">
    <w:abstractNumId w:val="3"/>
  </w:num>
  <w:num w:numId="18">
    <w:abstractNumId w:val="4"/>
  </w:num>
  <w:num w:numId="19">
    <w:abstractNumId w:val="0"/>
  </w:num>
  <w:num w:numId="20">
    <w:abstractNumId w:val="1"/>
  </w:num>
  <w:num w:numId="21">
    <w:abstractNumId w:val="3"/>
  </w:num>
  <w:num w:numId="22">
    <w:abstractNumId w:val="4"/>
  </w:num>
  <w:num w:numId="23">
    <w:abstractNumId w:val="0"/>
  </w:num>
  <w:num w:numId="24">
    <w:abstractNumId w:val="1"/>
  </w:num>
  <w:num w:numId="25">
    <w:abstractNumId w:val="3"/>
  </w:num>
  <w:num w:numId="26">
    <w:abstractNumId w:val="4"/>
  </w:num>
  <w:num w:numId="27">
    <w:abstractNumId w:val="0"/>
  </w:num>
  <w:num w:numId="28">
    <w:abstractNumId w:val="1"/>
  </w:num>
  <w:num w:numId="29">
    <w:abstractNumId w:val="3"/>
  </w:num>
  <w:num w:numId="30">
    <w:abstractNumId w:val="4"/>
  </w:num>
  <w:num w:numId="31">
    <w:abstractNumId w:val="0"/>
  </w:num>
  <w:num w:numId="32">
    <w:abstractNumId w:val="1"/>
  </w:num>
  <w:num w:numId="33">
    <w:abstractNumId w:val="3"/>
  </w:num>
  <w:num w:numId="34">
    <w:abstractNumId w:val="4"/>
  </w:num>
  <w:num w:numId="35">
    <w:abstractNumId w:val="3"/>
  </w:num>
  <w:num w:numId="36">
    <w:abstractNumId w:val="4"/>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10241"/>
  </w:hdrShapeDefaults>
  <w:footnotePr>
    <w:numFmt w:val="chicago"/>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A9"/>
    <w:rsid w:val="000149E6"/>
    <w:rsid w:val="00015ABE"/>
    <w:rsid w:val="00023DA9"/>
    <w:rsid w:val="000247B0"/>
    <w:rsid w:val="00026997"/>
    <w:rsid w:val="00032E4E"/>
    <w:rsid w:val="00033E0B"/>
    <w:rsid w:val="00035EDE"/>
    <w:rsid w:val="00041F09"/>
    <w:rsid w:val="00047C5D"/>
    <w:rsid w:val="000509B4"/>
    <w:rsid w:val="0005191A"/>
    <w:rsid w:val="0006035B"/>
    <w:rsid w:val="00066EE7"/>
    <w:rsid w:val="00071886"/>
    <w:rsid w:val="000742BC"/>
    <w:rsid w:val="00081174"/>
    <w:rsid w:val="00081C43"/>
    <w:rsid w:val="00082A0C"/>
    <w:rsid w:val="00083504"/>
    <w:rsid w:val="00091C5F"/>
    <w:rsid w:val="00091D5B"/>
    <w:rsid w:val="0009640C"/>
    <w:rsid w:val="000A3FC0"/>
    <w:rsid w:val="000B22A2"/>
    <w:rsid w:val="000C2A52"/>
    <w:rsid w:val="000D15C0"/>
    <w:rsid w:val="000D33C0"/>
    <w:rsid w:val="000D6941"/>
    <w:rsid w:val="000F143A"/>
    <w:rsid w:val="001202E3"/>
    <w:rsid w:val="00123699"/>
    <w:rsid w:val="00123E71"/>
    <w:rsid w:val="0012433F"/>
    <w:rsid w:val="001263F9"/>
    <w:rsid w:val="0013059D"/>
    <w:rsid w:val="0013211A"/>
    <w:rsid w:val="001322E0"/>
    <w:rsid w:val="00141A55"/>
    <w:rsid w:val="001446A3"/>
    <w:rsid w:val="00155395"/>
    <w:rsid w:val="00160D74"/>
    <w:rsid w:val="00167D02"/>
    <w:rsid w:val="00170D84"/>
    <w:rsid w:val="00173205"/>
    <w:rsid w:val="001774F8"/>
    <w:rsid w:val="00181EC8"/>
    <w:rsid w:val="00182994"/>
    <w:rsid w:val="00184349"/>
    <w:rsid w:val="00195F33"/>
    <w:rsid w:val="001B1617"/>
    <w:rsid w:val="001B504B"/>
    <w:rsid w:val="001C37E0"/>
    <w:rsid w:val="001D3874"/>
    <w:rsid w:val="001D7E75"/>
    <w:rsid w:val="001E0D73"/>
    <w:rsid w:val="001E34BD"/>
    <w:rsid w:val="001E56D2"/>
    <w:rsid w:val="001E7D56"/>
    <w:rsid w:val="001F75DE"/>
    <w:rsid w:val="00200D58"/>
    <w:rsid w:val="002013BE"/>
    <w:rsid w:val="002063A4"/>
    <w:rsid w:val="0021145B"/>
    <w:rsid w:val="00243D36"/>
    <w:rsid w:val="00247707"/>
    <w:rsid w:val="002522F8"/>
    <w:rsid w:val="0026018E"/>
    <w:rsid w:val="00274CBD"/>
    <w:rsid w:val="002816F1"/>
    <w:rsid w:val="00286740"/>
    <w:rsid w:val="002929D8"/>
    <w:rsid w:val="002A237D"/>
    <w:rsid w:val="002A4C53"/>
    <w:rsid w:val="002B0672"/>
    <w:rsid w:val="002B247F"/>
    <w:rsid w:val="002B66BC"/>
    <w:rsid w:val="002C145D"/>
    <w:rsid w:val="002C2C3E"/>
    <w:rsid w:val="002C533E"/>
    <w:rsid w:val="002D027F"/>
    <w:rsid w:val="002D7A85"/>
    <w:rsid w:val="002D7B60"/>
    <w:rsid w:val="002E11F5"/>
    <w:rsid w:val="002F4761"/>
    <w:rsid w:val="002F5C79"/>
    <w:rsid w:val="003019E2"/>
    <w:rsid w:val="0030534F"/>
    <w:rsid w:val="003106B1"/>
    <w:rsid w:val="0031413F"/>
    <w:rsid w:val="003148BB"/>
    <w:rsid w:val="00316135"/>
    <w:rsid w:val="00317976"/>
    <w:rsid w:val="00332CBE"/>
    <w:rsid w:val="00334541"/>
    <w:rsid w:val="00343ADD"/>
    <w:rsid w:val="00355EA9"/>
    <w:rsid w:val="003578DE"/>
    <w:rsid w:val="0036261A"/>
    <w:rsid w:val="00375DD9"/>
    <w:rsid w:val="003851CB"/>
    <w:rsid w:val="00396257"/>
    <w:rsid w:val="00397243"/>
    <w:rsid w:val="00397EB8"/>
    <w:rsid w:val="003A10B2"/>
    <w:rsid w:val="003A4FD0"/>
    <w:rsid w:val="003A69D1"/>
    <w:rsid w:val="003A7705"/>
    <w:rsid w:val="003A77F1"/>
    <w:rsid w:val="003B14E1"/>
    <w:rsid w:val="003B1545"/>
    <w:rsid w:val="003B6E01"/>
    <w:rsid w:val="003C409D"/>
    <w:rsid w:val="003C5BA6"/>
    <w:rsid w:val="003E1EA6"/>
    <w:rsid w:val="003F0E85"/>
    <w:rsid w:val="003F3C0F"/>
    <w:rsid w:val="003F434E"/>
    <w:rsid w:val="00400E74"/>
    <w:rsid w:val="00410C55"/>
    <w:rsid w:val="00416854"/>
    <w:rsid w:val="00417725"/>
    <w:rsid w:val="00425D26"/>
    <w:rsid w:val="00437F26"/>
    <w:rsid w:val="00444097"/>
    <w:rsid w:val="00445487"/>
    <w:rsid w:val="00454769"/>
    <w:rsid w:val="004628A2"/>
    <w:rsid w:val="00463A51"/>
    <w:rsid w:val="00466991"/>
    <w:rsid w:val="0047064C"/>
    <w:rsid w:val="004822D4"/>
    <w:rsid w:val="0049469E"/>
    <w:rsid w:val="004A42E1"/>
    <w:rsid w:val="004A5987"/>
    <w:rsid w:val="004B162C"/>
    <w:rsid w:val="004B2ABE"/>
    <w:rsid w:val="004C3DBE"/>
    <w:rsid w:val="004C5C96"/>
    <w:rsid w:val="004C6BC0"/>
    <w:rsid w:val="004D06A4"/>
    <w:rsid w:val="004F1A81"/>
    <w:rsid w:val="004F7CD9"/>
    <w:rsid w:val="00502EDD"/>
    <w:rsid w:val="005165BD"/>
    <w:rsid w:val="005218D9"/>
    <w:rsid w:val="00536186"/>
    <w:rsid w:val="005436D9"/>
    <w:rsid w:val="00544CBB"/>
    <w:rsid w:val="0057315F"/>
    <w:rsid w:val="00574179"/>
    <w:rsid w:val="00576104"/>
    <w:rsid w:val="00581468"/>
    <w:rsid w:val="0058199D"/>
    <w:rsid w:val="00587340"/>
    <w:rsid w:val="005B3B04"/>
    <w:rsid w:val="005B4B80"/>
    <w:rsid w:val="005C67C8"/>
    <w:rsid w:val="005C7A1A"/>
    <w:rsid w:val="005D0249"/>
    <w:rsid w:val="005D643F"/>
    <w:rsid w:val="005D6E8C"/>
    <w:rsid w:val="005D7187"/>
    <w:rsid w:val="005F100C"/>
    <w:rsid w:val="005F68DA"/>
    <w:rsid w:val="0060773B"/>
    <w:rsid w:val="00612F04"/>
    <w:rsid w:val="006157B5"/>
    <w:rsid w:val="00623D83"/>
    <w:rsid w:val="00626FC6"/>
    <w:rsid w:val="0063025F"/>
    <w:rsid w:val="006303B4"/>
    <w:rsid w:val="00633D3D"/>
    <w:rsid w:val="00641703"/>
    <w:rsid w:val="006431A6"/>
    <w:rsid w:val="006459F6"/>
    <w:rsid w:val="00646F1F"/>
    <w:rsid w:val="006501AD"/>
    <w:rsid w:val="00651BFA"/>
    <w:rsid w:val="00652CA7"/>
    <w:rsid w:val="00654475"/>
    <w:rsid w:val="00656752"/>
    <w:rsid w:val="00665A4B"/>
    <w:rsid w:val="006810C6"/>
    <w:rsid w:val="006856F6"/>
    <w:rsid w:val="00692E2A"/>
    <w:rsid w:val="006A1074"/>
    <w:rsid w:val="006A76F2"/>
    <w:rsid w:val="006B3708"/>
    <w:rsid w:val="006C5C5D"/>
    <w:rsid w:val="006D4BE7"/>
    <w:rsid w:val="006D7EFB"/>
    <w:rsid w:val="006E6672"/>
    <w:rsid w:val="006E6722"/>
    <w:rsid w:val="007027B9"/>
    <w:rsid w:val="00712A0F"/>
    <w:rsid w:val="00715E88"/>
    <w:rsid w:val="00717B81"/>
    <w:rsid w:val="00734CAA"/>
    <w:rsid w:val="00743C1A"/>
    <w:rsid w:val="0075533C"/>
    <w:rsid w:val="00757581"/>
    <w:rsid w:val="00760D36"/>
    <w:rsid w:val="007611A0"/>
    <w:rsid w:val="0076472B"/>
    <w:rsid w:val="00796D3F"/>
    <w:rsid w:val="007A1683"/>
    <w:rsid w:val="007A5C12"/>
    <w:rsid w:val="007A7CB0"/>
    <w:rsid w:val="007B2BF3"/>
    <w:rsid w:val="007B68A3"/>
    <w:rsid w:val="007C2541"/>
    <w:rsid w:val="007C635D"/>
    <w:rsid w:val="007D66A8"/>
    <w:rsid w:val="007E003F"/>
    <w:rsid w:val="007F62CB"/>
    <w:rsid w:val="00800E9C"/>
    <w:rsid w:val="00816158"/>
    <w:rsid w:val="008164F2"/>
    <w:rsid w:val="008170E8"/>
    <w:rsid w:val="00821395"/>
    <w:rsid w:val="00830E26"/>
    <w:rsid w:val="0083538F"/>
    <w:rsid w:val="00835BCB"/>
    <w:rsid w:val="00843576"/>
    <w:rsid w:val="00843B64"/>
    <w:rsid w:val="008478FC"/>
    <w:rsid w:val="00863892"/>
    <w:rsid w:val="008649C8"/>
    <w:rsid w:val="00867BFF"/>
    <w:rsid w:val="0087305D"/>
    <w:rsid w:val="0088480A"/>
    <w:rsid w:val="0088757A"/>
    <w:rsid w:val="00890D11"/>
    <w:rsid w:val="00891F4E"/>
    <w:rsid w:val="008957DD"/>
    <w:rsid w:val="00897D98"/>
    <w:rsid w:val="008A6DF2"/>
    <w:rsid w:val="008A7807"/>
    <w:rsid w:val="008B279F"/>
    <w:rsid w:val="008B4CC9"/>
    <w:rsid w:val="008C0FB8"/>
    <w:rsid w:val="008C2FCE"/>
    <w:rsid w:val="008C5490"/>
    <w:rsid w:val="008D7C99"/>
    <w:rsid w:val="008E0FCB"/>
    <w:rsid w:val="008E703C"/>
    <w:rsid w:val="008F1121"/>
    <w:rsid w:val="008F6289"/>
    <w:rsid w:val="009012DF"/>
    <w:rsid w:val="009061DA"/>
    <w:rsid w:val="00916461"/>
    <w:rsid w:val="0092178C"/>
    <w:rsid w:val="00930B88"/>
    <w:rsid w:val="00940DCC"/>
    <w:rsid w:val="0094179A"/>
    <w:rsid w:val="0094459E"/>
    <w:rsid w:val="00944DBC"/>
    <w:rsid w:val="00950977"/>
    <w:rsid w:val="00951A7B"/>
    <w:rsid w:val="00954338"/>
    <w:rsid w:val="009564A6"/>
    <w:rsid w:val="00967621"/>
    <w:rsid w:val="00967E6A"/>
    <w:rsid w:val="009744FB"/>
    <w:rsid w:val="00981A7A"/>
    <w:rsid w:val="009844B3"/>
    <w:rsid w:val="00991667"/>
    <w:rsid w:val="00996969"/>
    <w:rsid w:val="009A0989"/>
    <w:rsid w:val="009B3900"/>
    <w:rsid w:val="009B4A0F"/>
    <w:rsid w:val="009C11D2"/>
    <w:rsid w:val="009C6C70"/>
    <w:rsid w:val="009D0B63"/>
    <w:rsid w:val="009D6132"/>
    <w:rsid w:val="009E307E"/>
    <w:rsid w:val="009F1181"/>
    <w:rsid w:val="009F39D5"/>
    <w:rsid w:val="009F656F"/>
    <w:rsid w:val="009F6CFB"/>
    <w:rsid w:val="00A07870"/>
    <w:rsid w:val="00A07F19"/>
    <w:rsid w:val="00A1348D"/>
    <w:rsid w:val="00A232EE"/>
    <w:rsid w:val="00A30BA7"/>
    <w:rsid w:val="00A4175F"/>
    <w:rsid w:val="00A44411"/>
    <w:rsid w:val="00A469FA"/>
    <w:rsid w:val="00A52D82"/>
    <w:rsid w:val="00A55B01"/>
    <w:rsid w:val="00A56B5B"/>
    <w:rsid w:val="00A603FF"/>
    <w:rsid w:val="00A619E7"/>
    <w:rsid w:val="00A657DD"/>
    <w:rsid w:val="00A666A6"/>
    <w:rsid w:val="00A675FD"/>
    <w:rsid w:val="00A72437"/>
    <w:rsid w:val="00A75FAD"/>
    <w:rsid w:val="00A80611"/>
    <w:rsid w:val="00AA4468"/>
    <w:rsid w:val="00AA669B"/>
    <w:rsid w:val="00AB5340"/>
    <w:rsid w:val="00AC0A89"/>
    <w:rsid w:val="00AC7C96"/>
    <w:rsid w:val="00AE237D"/>
    <w:rsid w:val="00AE502A"/>
    <w:rsid w:val="00AF21BB"/>
    <w:rsid w:val="00AF42A6"/>
    <w:rsid w:val="00AF7C07"/>
    <w:rsid w:val="00B00702"/>
    <w:rsid w:val="00B050EA"/>
    <w:rsid w:val="00B070BD"/>
    <w:rsid w:val="00B20C27"/>
    <w:rsid w:val="00B22C93"/>
    <w:rsid w:val="00B27589"/>
    <w:rsid w:val="00B351CE"/>
    <w:rsid w:val="00B405B7"/>
    <w:rsid w:val="00B4559E"/>
    <w:rsid w:val="00B52222"/>
    <w:rsid w:val="00B531DA"/>
    <w:rsid w:val="00B54FE7"/>
    <w:rsid w:val="00B66901"/>
    <w:rsid w:val="00B71E6D"/>
    <w:rsid w:val="00B72070"/>
    <w:rsid w:val="00B720CA"/>
    <w:rsid w:val="00B779E1"/>
    <w:rsid w:val="00B844F4"/>
    <w:rsid w:val="00B91EE1"/>
    <w:rsid w:val="00BA0090"/>
    <w:rsid w:val="00BA1A67"/>
    <w:rsid w:val="00BA7672"/>
    <w:rsid w:val="00BB43DD"/>
    <w:rsid w:val="00BE5B5F"/>
    <w:rsid w:val="00BE6575"/>
    <w:rsid w:val="00C00C77"/>
    <w:rsid w:val="00C15881"/>
    <w:rsid w:val="00C16983"/>
    <w:rsid w:val="00C26F55"/>
    <w:rsid w:val="00C30C63"/>
    <w:rsid w:val="00C36B8B"/>
    <w:rsid w:val="00C415C1"/>
    <w:rsid w:val="00C43EA3"/>
    <w:rsid w:val="00C47DBF"/>
    <w:rsid w:val="00C50E0C"/>
    <w:rsid w:val="00C552FF"/>
    <w:rsid w:val="00C558DA"/>
    <w:rsid w:val="00C55AF3"/>
    <w:rsid w:val="00C64ED2"/>
    <w:rsid w:val="00C65400"/>
    <w:rsid w:val="00C81FF9"/>
    <w:rsid w:val="00C84759"/>
    <w:rsid w:val="00CA5CA9"/>
    <w:rsid w:val="00CA64D6"/>
    <w:rsid w:val="00CA6C7F"/>
    <w:rsid w:val="00CB0094"/>
    <w:rsid w:val="00CB1694"/>
    <w:rsid w:val="00CB3A02"/>
    <w:rsid w:val="00CC10A6"/>
    <w:rsid w:val="00CC185A"/>
    <w:rsid w:val="00CD24EA"/>
    <w:rsid w:val="00CD5EB8"/>
    <w:rsid w:val="00CD7044"/>
    <w:rsid w:val="00CE08B9"/>
    <w:rsid w:val="00CE320C"/>
    <w:rsid w:val="00CE3696"/>
    <w:rsid w:val="00CE524C"/>
    <w:rsid w:val="00CF141F"/>
    <w:rsid w:val="00CF4777"/>
    <w:rsid w:val="00D01BE8"/>
    <w:rsid w:val="00D067BB"/>
    <w:rsid w:val="00D1352A"/>
    <w:rsid w:val="00D169AF"/>
    <w:rsid w:val="00D25249"/>
    <w:rsid w:val="00D30CA9"/>
    <w:rsid w:val="00D44172"/>
    <w:rsid w:val="00D5415A"/>
    <w:rsid w:val="00D63B8C"/>
    <w:rsid w:val="00D739CC"/>
    <w:rsid w:val="00D73A5C"/>
    <w:rsid w:val="00D8093D"/>
    <w:rsid w:val="00D8108C"/>
    <w:rsid w:val="00D842AE"/>
    <w:rsid w:val="00D9211C"/>
    <w:rsid w:val="00D92DE0"/>
    <w:rsid w:val="00D92FEF"/>
    <w:rsid w:val="00D93A0F"/>
    <w:rsid w:val="00DA1BCA"/>
    <w:rsid w:val="00DA607F"/>
    <w:rsid w:val="00DA67B2"/>
    <w:rsid w:val="00DB5AA0"/>
    <w:rsid w:val="00DC46FF"/>
    <w:rsid w:val="00DC5254"/>
    <w:rsid w:val="00DC569D"/>
    <w:rsid w:val="00DD1A4F"/>
    <w:rsid w:val="00DD3107"/>
    <w:rsid w:val="00DD7C2C"/>
    <w:rsid w:val="00DE49D0"/>
    <w:rsid w:val="00E0035A"/>
    <w:rsid w:val="00E01091"/>
    <w:rsid w:val="00E0125E"/>
    <w:rsid w:val="00E02CAF"/>
    <w:rsid w:val="00E06797"/>
    <w:rsid w:val="00E1265B"/>
    <w:rsid w:val="00E13B48"/>
    <w:rsid w:val="00E1404F"/>
    <w:rsid w:val="00E21A65"/>
    <w:rsid w:val="00E21C83"/>
    <w:rsid w:val="00E24ADA"/>
    <w:rsid w:val="00E32F59"/>
    <w:rsid w:val="00E46D9A"/>
    <w:rsid w:val="00E565FF"/>
    <w:rsid w:val="00E65388"/>
    <w:rsid w:val="00E65BBC"/>
    <w:rsid w:val="00E731D1"/>
    <w:rsid w:val="00E85B7D"/>
    <w:rsid w:val="00E9121B"/>
    <w:rsid w:val="00EA0AE2"/>
    <w:rsid w:val="00EA39E5"/>
    <w:rsid w:val="00EC562D"/>
    <w:rsid w:val="00EC5A46"/>
    <w:rsid w:val="00EC63E2"/>
    <w:rsid w:val="00ED514F"/>
    <w:rsid w:val="00EE7407"/>
    <w:rsid w:val="00EF22B3"/>
    <w:rsid w:val="00F03B69"/>
    <w:rsid w:val="00F07A50"/>
    <w:rsid w:val="00F113DA"/>
    <w:rsid w:val="00F211E6"/>
    <w:rsid w:val="00F23AE2"/>
    <w:rsid w:val="00F31AF8"/>
    <w:rsid w:val="00F32931"/>
    <w:rsid w:val="00F37DC8"/>
    <w:rsid w:val="00F42D21"/>
    <w:rsid w:val="00F439B3"/>
    <w:rsid w:val="00F61163"/>
    <w:rsid w:val="00F61D28"/>
    <w:rsid w:val="00F6460A"/>
    <w:rsid w:val="00F650C3"/>
    <w:rsid w:val="00F65D85"/>
    <w:rsid w:val="00F8091E"/>
    <w:rsid w:val="00F8244E"/>
    <w:rsid w:val="00F85210"/>
    <w:rsid w:val="00F8615C"/>
    <w:rsid w:val="00F969E5"/>
    <w:rsid w:val="00FA6BB0"/>
    <w:rsid w:val="00FB5B43"/>
    <w:rsid w:val="00FC304E"/>
    <w:rsid w:val="00FD5860"/>
    <w:rsid w:val="00FE352D"/>
    <w:rsid w:val="00FE40EB"/>
    <w:rsid w:val="00FE4D02"/>
    <w:rsid w:val="00FE5448"/>
    <w:rsid w:val="00FE7D62"/>
    <w:rsid w:val="00FF36A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32E4E"/>
    <w:pPr>
      <w:tabs>
        <w:tab w:val="left" w:pos="1247"/>
        <w:tab w:val="left" w:pos="1814"/>
        <w:tab w:val="left" w:pos="2381"/>
        <w:tab w:val="left" w:pos="2948"/>
        <w:tab w:val="left" w:pos="3515"/>
      </w:tabs>
    </w:pPr>
    <w:rPr>
      <w:sz w:val="20"/>
      <w:szCs w:val="20"/>
      <w:lang w:val="en-GB"/>
    </w:rPr>
  </w:style>
  <w:style w:type="paragraph" w:styleId="Heading1">
    <w:name w:val="heading 1"/>
    <w:basedOn w:val="Normal"/>
    <w:next w:val="Normalnumber"/>
    <w:link w:val="Heading1Char"/>
    <w:uiPriority w:val="99"/>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uiPriority w:val="99"/>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9"/>
    <w:qFormat/>
    <w:rsid w:val="000D6941"/>
    <w:pPr>
      <w:spacing w:after="120"/>
      <w:ind w:left="1247" w:hanging="680"/>
      <w:outlineLvl w:val="2"/>
    </w:pPr>
    <w:rPr>
      <w:b/>
    </w:rPr>
  </w:style>
  <w:style w:type="paragraph" w:styleId="Heading4">
    <w:name w:val="heading 4"/>
    <w:basedOn w:val="Heading3"/>
    <w:next w:val="Normalnumber"/>
    <w:link w:val="Heading4Char"/>
    <w:uiPriority w:val="99"/>
    <w:qFormat/>
    <w:rsid w:val="000D6941"/>
    <w:pPr>
      <w:keepNext/>
      <w:outlineLvl w:val="3"/>
    </w:pPr>
  </w:style>
  <w:style w:type="paragraph" w:styleId="Heading5">
    <w:name w:val="heading 5"/>
    <w:basedOn w:val="Normal"/>
    <w:next w:val="Normal"/>
    <w:link w:val="Heading5Char"/>
    <w:uiPriority w:val="99"/>
    <w:qFormat/>
    <w:rsid w:val="000D6941"/>
    <w:pPr>
      <w:keepNext/>
      <w:outlineLvl w:val="4"/>
    </w:pPr>
    <w:rPr>
      <w:rFonts w:ascii="Univers" w:hAnsi="Univers"/>
      <w:b/>
      <w:sz w:val="24"/>
    </w:rPr>
  </w:style>
  <w:style w:type="paragraph" w:styleId="Heading6">
    <w:name w:val="heading 6"/>
    <w:basedOn w:val="Normal"/>
    <w:next w:val="Normal"/>
    <w:link w:val="Heading6Char"/>
    <w:uiPriority w:val="99"/>
    <w:qFormat/>
    <w:rsid w:val="000D6941"/>
    <w:pPr>
      <w:keepNext/>
      <w:ind w:left="578"/>
      <w:outlineLvl w:val="5"/>
    </w:pPr>
    <w:rPr>
      <w:b/>
      <w:bCs/>
      <w:sz w:val="24"/>
    </w:rPr>
  </w:style>
  <w:style w:type="paragraph" w:styleId="Heading7">
    <w:name w:val="heading 7"/>
    <w:basedOn w:val="Normal"/>
    <w:next w:val="Normal"/>
    <w:link w:val="Heading7Char"/>
    <w:uiPriority w:val="99"/>
    <w:qFormat/>
    <w:rsid w:val="000D6941"/>
    <w:pPr>
      <w:keepNext/>
      <w:widowControl w:val="0"/>
      <w:jc w:val="center"/>
      <w:outlineLvl w:val="6"/>
    </w:pPr>
    <w:rPr>
      <w:u w:val="single"/>
      <w:lang w:val="en-US"/>
    </w:rPr>
  </w:style>
  <w:style w:type="paragraph" w:styleId="Heading8">
    <w:name w:val="heading 8"/>
    <w:basedOn w:val="Normal"/>
    <w:next w:val="Normal"/>
    <w:link w:val="Heading8Char"/>
    <w:uiPriority w:val="99"/>
    <w:qFormat/>
    <w:rsid w:val="000D6941"/>
    <w:pPr>
      <w:keepNext/>
      <w:widowControl w:val="0"/>
      <w:numPr>
        <w:numId w:val="31"/>
      </w:numPr>
      <w:tabs>
        <w:tab w:val="left" w:pos="-1440"/>
        <w:tab w:val="left" w:pos="-720"/>
      </w:tabs>
      <w:suppressAutoHyphens/>
      <w:jc w:val="center"/>
      <w:outlineLvl w:val="7"/>
    </w:pPr>
    <w:rPr>
      <w:u w:val="single"/>
      <w:lang w:val="en-US"/>
    </w:rPr>
  </w:style>
  <w:style w:type="paragraph" w:styleId="Heading9">
    <w:name w:val="heading 9"/>
    <w:basedOn w:val="Normal"/>
    <w:next w:val="Normal"/>
    <w:link w:val="Heading9Char"/>
    <w:uiPriority w:val="99"/>
    <w:qFormat/>
    <w:rsid w:val="000D6941"/>
    <w:pPr>
      <w:keepNext/>
      <w:widowControl w:val="0"/>
      <w:numPr>
        <w:numId w:val="32"/>
      </w:numPr>
      <w:suppressAutoHyphens/>
      <w:jc w:val="center"/>
      <w:outlineLvl w:val="8"/>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2F8"/>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2522F8"/>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2522F8"/>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2522F8"/>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2522F8"/>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2522F8"/>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2522F8"/>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2522F8"/>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2522F8"/>
    <w:rPr>
      <w:rFonts w:ascii="Cambria" w:hAnsi="Cambria" w:cs="Times New Roman"/>
      <w:lang w:val="en-GB"/>
    </w:rPr>
  </w:style>
  <w:style w:type="paragraph" w:styleId="BalloonText">
    <w:name w:val="Balloon Text"/>
    <w:basedOn w:val="Normal"/>
    <w:link w:val="BalloonTextChar"/>
    <w:uiPriority w:val="99"/>
    <w:semiHidden/>
    <w:rsid w:val="003972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2F8"/>
    <w:rPr>
      <w:rFonts w:ascii="Tahoma" w:hAnsi="Tahoma" w:cs="Tahoma"/>
      <w:sz w:val="16"/>
      <w:szCs w:val="16"/>
      <w:lang w:val="en-GB"/>
    </w:rPr>
  </w:style>
  <w:style w:type="character" w:styleId="PageNumber">
    <w:name w:val="page number"/>
    <w:basedOn w:val="DefaultParagraphFont"/>
    <w:uiPriority w:val="99"/>
    <w:semiHidden/>
    <w:rsid w:val="000D6941"/>
    <w:rPr>
      <w:rFonts w:ascii="Times New Roman" w:hAnsi="Times New Roman" w:cs="Times New Roman"/>
      <w:b/>
      <w:sz w:val="18"/>
    </w:rPr>
  </w:style>
  <w:style w:type="table" w:customStyle="1" w:styleId="57">
    <w:name w:val="57"/>
    <w:uiPriority w:val="99"/>
    <w:rsid w:val="002522F8"/>
    <w:pPr>
      <w:widowControl w:val="0"/>
      <w:autoSpaceDE w:val="0"/>
      <w:autoSpaceDN w:val="0"/>
      <w:adjustRightInd w:val="0"/>
    </w:pPr>
    <w:rPr>
      <w:sz w:val="24"/>
      <w:szCs w:val="24"/>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uiPriority w:val="99"/>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99"/>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99"/>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99"/>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uiPriority w:val="99"/>
    <w:rsid w:val="003A77F1"/>
    <w:rPr>
      <w:bCs w:val="0"/>
    </w:rPr>
  </w:style>
  <w:style w:type="paragraph" w:styleId="TableofFigures">
    <w:name w:val="table of figures"/>
    <w:basedOn w:val="Normal"/>
    <w:next w:val="Normal"/>
    <w:autoRedefine/>
    <w:uiPriority w:val="99"/>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uiPriority w:val="99"/>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uiPriority w:val="99"/>
    <w:rsid w:val="00160D74"/>
    <w:pPr>
      <w:keepNext/>
      <w:keepLines/>
      <w:tabs>
        <w:tab w:val="right" w:pos="851"/>
      </w:tabs>
      <w:suppressAutoHyphens/>
      <w:spacing w:after="120"/>
      <w:ind w:left="1247" w:right="284" w:hanging="1247"/>
    </w:pPr>
    <w:rPr>
      <w:b/>
      <w:lang w:val="en-GB"/>
    </w:rPr>
  </w:style>
  <w:style w:type="table" w:customStyle="1" w:styleId="28">
    <w:name w:val="28"/>
    <w:uiPriority w:val="99"/>
    <w:rsid w:val="002522F8"/>
    <w:pPr>
      <w:widowControl w:val="0"/>
      <w:autoSpaceDE w:val="0"/>
      <w:autoSpaceDN w:val="0"/>
      <w:adjustRightInd w:val="0"/>
    </w:pPr>
    <w:rPr>
      <w:sz w:val="24"/>
      <w:szCs w:val="24"/>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uiPriority w:val="99"/>
    <w:semiHidden/>
    <w:rsid w:val="003A77F1"/>
    <w:pPr>
      <w:tabs>
        <w:tab w:val="left" w:pos="4321"/>
        <w:tab w:val="right" w:pos="8641"/>
      </w:tabs>
      <w:spacing w:before="60" w:after="120"/>
    </w:pPr>
    <w:rPr>
      <w:b/>
      <w:sz w:val="18"/>
    </w:rPr>
  </w:style>
  <w:style w:type="paragraph" w:customStyle="1" w:styleId="Headerpool">
    <w:name w:val="Header_pool"/>
    <w:basedOn w:val="Normal"/>
    <w:next w:val="Normal"/>
    <w:uiPriority w:val="99"/>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uiPriority w:val="99"/>
    <w:semiHidden/>
    <w:rsid w:val="003A77F1"/>
    <w:pPr>
      <w:tabs>
        <w:tab w:val="left" w:pos="1247"/>
        <w:tab w:val="left" w:pos="1814"/>
        <w:tab w:val="left" w:pos="2381"/>
        <w:tab w:val="left" w:pos="2948"/>
        <w:tab w:val="left" w:pos="3515"/>
        <w:tab w:val="left" w:pos="4082"/>
      </w:tabs>
    </w:pPr>
    <w:rPr>
      <w:sz w:val="20"/>
      <w:szCs w:val="20"/>
      <w:lang w:val="fr-FR"/>
    </w:rPr>
  </w:style>
  <w:style w:type="paragraph" w:customStyle="1" w:styleId="Footer-pool">
    <w:name w:val="Footer-pool"/>
    <w:basedOn w:val="Normal-pool"/>
    <w:next w:val="Normal-pool"/>
    <w:uiPriority w:val="99"/>
    <w:rsid w:val="003A77F1"/>
    <w:pPr>
      <w:tabs>
        <w:tab w:val="left" w:pos="4321"/>
        <w:tab w:val="right" w:pos="8641"/>
      </w:tabs>
      <w:spacing w:before="60" w:after="120"/>
    </w:pPr>
    <w:rPr>
      <w:b/>
      <w:sz w:val="18"/>
    </w:rPr>
  </w:style>
  <w:style w:type="paragraph" w:customStyle="1" w:styleId="Header-pool">
    <w:name w:val="Header-pool"/>
    <w:basedOn w:val="Normal-pool"/>
    <w:next w:val="Normal-pool"/>
    <w:uiPriority w:val="99"/>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uiPriority w:val="99"/>
    <w:rsid w:val="00160D74"/>
    <w:pPr>
      <w:tabs>
        <w:tab w:val="left" w:pos="1247"/>
        <w:tab w:val="left" w:pos="1814"/>
        <w:tab w:val="left" w:pos="2381"/>
        <w:tab w:val="left" w:pos="2948"/>
        <w:tab w:val="left" w:pos="3515"/>
        <w:tab w:val="left" w:pos="4082"/>
      </w:tabs>
    </w:pPr>
    <w:rPr>
      <w:sz w:val="20"/>
      <w:szCs w:val="20"/>
      <w:lang w:val="en-GB"/>
    </w:rPr>
  </w:style>
  <w:style w:type="character" w:styleId="FootnoteReference">
    <w:name w:val="footnote reference"/>
    <w:basedOn w:val="DefaultParagraphFont"/>
    <w:uiPriority w:val="99"/>
    <w:semiHidden/>
    <w:rsid w:val="000D6941"/>
    <w:rPr>
      <w:rFonts w:ascii="Times New Roman" w:hAnsi="Times New Roman" w:cs="Times New Roman"/>
      <w:color w:val="auto"/>
      <w:sz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customStyle="1" w:styleId="FootnoteTextChar">
    <w:name w:val="Footnote Text Char"/>
    <w:basedOn w:val="DefaultParagraphFont"/>
    <w:link w:val="FootnoteText"/>
    <w:uiPriority w:val="99"/>
    <w:semiHidden/>
    <w:locked/>
    <w:rsid w:val="002522F8"/>
    <w:rPr>
      <w:rFonts w:cs="Times New Roman"/>
      <w:sz w:val="20"/>
      <w:szCs w:val="20"/>
      <w:lang w:val="en-GB"/>
    </w:rPr>
  </w:style>
  <w:style w:type="paragraph" w:styleId="NormalWeb">
    <w:name w:val="Normal (Web)"/>
    <w:basedOn w:val="Normal"/>
    <w:uiPriority w:val="99"/>
    <w:rsid w:val="008E703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table" w:customStyle="1" w:styleId="AATable">
    <w:name w:val="AA_Table"/>
    <w:uiPriority w:val="99"/>
    <w:semiHidden/>
    <w:rsid w:val="003A77F1"/>
    <w:rPr>
      <w:sz w:val="20"/>
      <w:szCs w:val="20"/>
    </w:rPr>
    <w:tblPr>
      <w:tblStyleRowBandSize w:val="1"/>
      <w:tblStyleColBandSize w:val="1"/>
      <w:jc w:val="right"/>
      <w:tblInd w:w="0" w:type="dxa"/>
      <w:tblCellMar>
        <w:top w:w="0" w:type="dxa"/>
        <w:left w:w="108" w:type="dxa"/>
        <w:bottom w:w="0" w:type="dxa"/>
        <w:right w:w="108" w:type="dxa"/>
      </w:tblCellMar>
    </w:tblPr>
    <w:trPr>
      <w:jc w:val="right"/>
    </w:tr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uiPriority w:val="99"/>
    <w:rsid w:val="00160D74"/>
    <w:pPr>
      <w:tabs>
        <w:tab w:val="clear" w:pos="4082"/>
      </w:tabs>
      <w:spacing w:before="120" w:after="120"/>
      <w:ind w:right="4536"/>
    </w:pPr>
  </w:style>
  <w:style w:type="paragraph" w:customStyle="1" w:styleId="BBTitle">
    <w:name w:val="BB_Title"/>
    <w:basedOn w:val="Normalpool"/>
    <w:uiPriority w:val="99"/>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semiHidden/>
    <w:rsid w:val="00821395"/>
    <w:pPr>
      <w:tabs>
        <w:tab w:val="center" w:pos="4320"/>
        <w:tab w:val="right" w:pos="8640"/>
      </w:tabs>
      <w:spacing w:before="60" w:after="120"/>
    </w:pPr>
    <w:rPr>
      <w:sz w:val="18"/>
    </w:rPr>
  </w:style>
  <w:style w:type="character" w:customStyle="1" w:styleId="FooterChar">
    <w:name w:val="Footer Char"/>
    <w:basedOn w:val="DefaultParagraphFont"/>
    <w:link w:val="Footer"/>
    <w:uiPriority w:val="99"/>
    <w:semiHidden/>
    <w:locked/>
    <w:rsid w:val="002522F8"/>
    <w:rPr>
      <w:rFonts w:cs="Times New Roman"/>
      <w:sz w:val="20"/>
      <w:szCs w:val="20"/>
      <w:lang w:val="en-GB"/>
    </w:rPr>
  </w:style>
  <w:style w:type="paragraph" w:styleId="Header">
    <w:name w:val="header"/>
    <w:basedOn w:val="Normal"/>
    <w:link w:val="HeaderChar"/>
    <w:uiPriority w:val="99"/>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erChar">
    <w:name w:val="Header Char"/>
    <w:basedOn w:val="DefaultParagraphFont"/>
    <w:link w:val="Header"/>
    <w:uiPriority w:val="99"/>
    <w:semiHidden/>
    <w:locked/>
    <w:rsid w:val="002522F8"/>
    <w:rPr>
      <w:rFonts w:cs="Times New Roman"/>
      <w:sz w:val="20"/>
      <w:szCs w:val="20"/>
      <w:lang w:val="en-GB"/>
    </w:rPr>
  </w:style>
  <w:style w:type="character" w:styleId="Hyperlink">
    <w:name w:val="Hyperlink"/>
    <w:basedOn w:val="DefaultParagraphFont"/>
    <w:uiPriority w:val="99"/>
    <w:semiHidden/>
    <w:rsid w:val="000D6941"/>
    <w:rPr>
      <w:rFonts w:ascii="Times New Roman" w:hAnsi="Times New Roman" w:cs="Times New Roman"/>
      <w:color w:val="auto"/>
      <w:sz w:val="20"/>
      <w:u w:val="none"/>
      <w:lang w:val="fr-FR"/>
    </w:rPr>
  </w:style>
  <w:style w:type="paragraph" w:customStyle="1" w:styleId="NormalNonumber">
    <w:name w:val="Normal_No_number"/>
    <w:basedOn w:val="Normalpool"/>
    <w:uiPriority w:val="99"/>
    <w:rsid w:val="00160D74"/>
    <w:pPr>
      <w:spacing w:after="120"/>
      <w:ind w:left="1247"/>
    </w:pPr>
    <w:rPr>
      <w:lang w:val="en-GB"/>
    </w:rPr>
  </w:style>
  <w:style w:type="paragraph" w:customStyle="1" w:styleId="Normalnumber">
    <w:name w:val="Normal_number"/>
    <w:basedOn w:val="Normalpool"/>
    <w:uiPriority w:val="99"/>
    <w:rsid w:val="00160D74"/>
    <w:pPr>
      <w:spacing w:after="120"/>
    </w:pPr>
    <w:rPr>
      <w:lang w:val="en-GB"/>
    </w:rPr>
  </w:style>
  <w:style w:type="paragraph" w:customStyle="1" w:styleId="Titletable">
    <w:name w:val="Title_table"/>
    <w:basedOn w:val="Normalpool"/>
    <w:uiPriority w:val="99"/>
    <w:rsid w:val="00160D74"/>
    <w:pPr>
      <w:keepNext/>
      <w:keepLines/>
      <w:suppressAutoHyphens/>
      <w:spacing w:after="60"/>
      <w:ind w:left="1247"/>
    </w:pPr>
    <w:rPr>
      <w:b/>
      <w:bCs/>
      <w:lang w:val="en-GB"/>
    </w:rPr>
  </w:style>
  <w:style w:type="paragraph" w:styleId="TOC1">
    <w:name w:val="toc 1"/>
    <w:basedOn w:val="Normalpool"/>
    <w:next w:val="Normalpool"/>
    <w:uiPriority w:val="9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uiPriority w:val="99"/>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paragraph" w:customStyle="1" w:styleId="ColorfulList-Accent11">
    <w:name w:val="Colorful List - Accent 11"/>
    <w:basedOn w:val="Normal"/>
    <w:uiPriority w:val="99"/>
    <w:rsid w:val="00574179"/>
    <w:pPr>
      <w:ind w:left="720"/>
      <w:contextualSpacing/>
    </w:pPr>
    <w:rPr>
      <w:lang w:val="en-AU"/>
    </w:rPr>
  </w:style>
  <w:style w:type="numbering" w:customStyle="1" w:styleId="Normallist">
    <w:name w:val="Normal_list"/>
    <w:rsid w:val="00744D48"/>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32E4E"/>
    <w:pPr>
      <w:tabs>
        <w:tab w:val="left" w:pos="1247"/>
        <w:tab w:val="left" w:pos="1814"/>
        <w:tab w:val="left" w:pos="2381"/>
        <w:tab w:val="left" w:pos="2948"/>
        <w:tab w:val="left" w:pos="3515"/>
      </w:tabs>
    </w:pPr>
    <w:rPr>
      <w:sz w:val="20"/>
      <w:szCs w:val="20"/>
      <w:lang w:val="en-GB"/>
    </w:rPr>
  </w:style>
  <w:style w:type="paragraph" w:styleId="Heading1">
    <w:name w:val="heading 1"/>
    <w:basedOn w:val="Normal"/>
    <w:next w:val="Normalnumber"/>
    <w:link w:val="Heading1Char"/>
    <w:uiPriority w:val="99"/>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uiPriority w:val="99"/>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9"/>
    <w:qFormat/>
    <w:rsid w:val="000D6941"/>
    <w:pPr>
      <w:spacing w:after="120"/>
      <w:ind w:left="1247" w:hanging="680"/>
      <w:outlineLvl w:val="2"/>
    </w:pPr>
    <w:rPr>
      <w:b/>
    </w:rPr>
  </w:style>
  <w:style w:type="paragraph" w:styleId="Heading4">
    <w:name w:val="heading 4"/>
    <w:basedOn w:val="Heading3"/>
    <w:next w:val="Normalnumber"/>
    <w:link w:val="Heading4Char"/>
    <w:uiPriority w:val="99"/>
    <w:qFormat/>
    <w:rsid w:val="000D6941"/>
    <w:pPr>
      <w:keepNext/>
      <w:outlineLvl w:val="3"/>
    </w:pPr>
  </w:style>
  <w:style w:type="paragraph" w:styleId="Heading5">
    <w:name w:val="heading 5"/>
    <w:basedOn w:val="Normal"/>
    <w:next w:val="Normal"/>
    <w:link w:val="Heading5Char"/>
    <w:uiPriority w:val="99"/>
    <w:qFormat/>
    <w:rsid w:val="000D6941"/>
    <w:pPr>
      <w:keepNext/>
      <w:outlineLvl w:val="4"/>
    </w:pPr>
    <w:rPr>
      <w:rFonts w:ascii="Univers" w:hAnsi="Univers"/>
      <w:b/>
      <w:sz w:val="24"/>
    </w:rPr>
  </w:style>
  <w:style w:type="paragraph" w:styleId="Heading6">
    <w:name w:val="heading 6"/>
    <w:basedOn w:val="Normal"/>
    <w:next w:val="Normal"/>
    <w:link w:val="Heading6Char"/>
    <w:uiPriority w:val="99"/>
    <w:qFormat/>
    <w:rsid w:val="000D6941"/>
    <w:pPr>
      <w:keepNext/>
      <w:ind w:left="578"/>
      <w:outlineLvl w:val="5"/>
    </w:pPr>
    <w:rPr>
      <w:b/>
      <w:bCs/>
      <w:sz w:val="24"/>
    </w:rPr>
  </w:style>
  <w:style w:type="paragraph" w:styleId="Heading7">
    <w:name w:val="heading 7"/>
    <w:basedOn w:val="Normal"/>
    <w:next w:val="Normal"/>
    <w:link w:val="Heading7Char"/>
    <w:uiPriority w:val="99"/>
    <w:qFormat/>
    <w:rsid w:val="000D6941"/>
    <w:pPr>
      <w:keepNext/>
      <w:widowControl w:val="0"/>
      <w:jc w:val="center"/>
      <w:outlineLvl w:val="6"/>
    </w:pPr>
    <w:rPr>
      <w:u w:val="single"/>
      <w:lang w:val="en-US"/>
    </w:rPr>
  </w:style>
  <w:style w:type="paragraph" w:styleId="Heading8">
    <w:name w:val="heading 8"/>
    <w:basedOn w:val="Normal"/>
    <w:next w:val="Normal"/>
    <w:link w:val="Heading8Char"/>
    <w:uiPriority w:val="99"/>
    <w:qFormat/>
    <w:rsid w:val="000D6941"/>
    <w:pPr>
      <w:keepNext/>
      <w:widowControl w:val="0"/>
      <w:numPr>
        <w:numId w:val="31"/>
      </w:numPr>
      <w:tabs>
        <w:tab w:val="left" w:pos="-1440"/>
        <w:tab w:val="left" w:pos="-720"/>
      </w:tabs>
      <w:suppressAutoHyphens/>
      <w:jc w:val="center"/>
      <w:outlineLvl w:val="7"/>
    </w:pPr>
    <w:rPr>
      <w:u w:val="single"/>
      <w:lang w:val="en-US"/>
    </w:rPr>
  </w:style>
  <w:style w:type="paragraph" w:styleId="Heading9">
    <w:name w:val="heading 9"/>
    <w:basedOn w:val="Normal"/>
    <w:next w:val="Normal"/>
    <w:link w:val="Heading9Char"/>
    <w:uiPriority w:val="99"/>
    <w:qFormat/>
    <w:rsid w:val="000D6941"/>
    <w:pPr>
      <w:keepNext/>
      <w:widowControl w:val="0"/>
      <w:numPr>
        <w:numId w:val="32"/>
      </w:numPr>
      <w:suppressAutoHyphens/>
      <w:jc w:val="center"/>
      <w:outlineLvl w:val="8"/>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2F8"/>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2522F8"/>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2522F8"/>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2522F8"/>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2522F8"/>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2522F8"/>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2522F8"/>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2522F8"/>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2522F8"/>
    <w:rPr>
      <w:rFonts w:ascii="Cambria" w:hAnsi="Cambria" w:cs="Times New Roman"/>
      <w:lang w:val="en-GB"/>
    </w:rPr>
  </w:style>
  <w:style w:type="paragraph" w:styleId="BalloonText">
    <w:name w:val="Balloon Text"/>
    <w:basedOn w:val="Normal"/>
    <w:link w:val="BalloonTextChar"/>
    <w:uiPriority w:val="99"/>
    <w:semiHidden/>
    <w:rsid w:val="003972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2F8"/>
    <w:rPr>
      <w:rFonts w:ascii="Tahoma" w:hAnsi="Tahoma" w:cs="Tahoma"/>
      <w:sz w:val="16"/>
      <w:szCs w:val="16"/>
      <w:lang w:val="en-GB"/>
    </w:rPr>
  </w:style>
  <w:style w:type="character" w:styleId="PageNumber">
    <w:name w:val="page number"/>
    <w:basedOn w:val="DefaultParagraphFont"/>
    <w:uiPriority w:val="99"/>
    <w:semiHidden/>
    <w:rsid w:val="000D6941"/>
    <w:rPr>
      <w:rFonts w:ascii="Times New Roman" w:hAnsi="Times New Roman" w:cs="Times New Roman"/>
      <w:b/>
      <w:sz w:val="18"/>
    </w:rPr>
  </w:style>
  <w:style w:type="table" w:customStyle="1" w:styleId="57">
    <w:name w:val="57"/>
    <w:uiPriority w:val="99"/>
    <w:rsid w:val="002522F8"/>
    <w:pPr>
      <w:widowControl w:val="0"/>
      <w:autoSpaceDE w:val="0"/>
      <w:autoSpaceDN w:val="0"/>
      <w:adjustRightInd w:val="0"/>
    </w:pPr>
    <w:rPr>
      <w:sz w:val="24"/>
      <w:szCs w:val="24"/>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uiPriority w:val="99"/>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99"/>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99"/>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99"/>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uiPriority w:val="99"/>
    <w:rsid w:val="003A77F1"/>
    <w:rPr>
      <w:bCs w:val="0"/>
    </w:rPr>
  </w:style>
  <w:style w:type="paragraph" w:styleId="TableofFigures">
    <w:name w:val="table of figures"/>
    <w:basedOn w:val="Normal"/>
    <w:next w:val="Normal"/>
    <w:autoRedefine/>
    <w:uiPriority w:val="99"/>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uiPriority w:val="99"/>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uiPriority w:val="99"/>
    <w:rsid w:val="00160D74"/>
    <w:pPr>
      <w:keepNext/>
      <w:keepLines/>
      <w:tabs>
        <w:tab w:val="right" w:pos="851"/>
      </w:tabs>
      <w:suppressAutoHyphens/>
      <w:spacing w:after="120"/>
      <w:ind w:left="1247" w:right="284" w:hanging="1247"/>
    </w:pPr>
    <w:rPr>
      <w:b/>
      <w:lang w:val="en-GB"/>
    </w:rPr>
  </w:style>
  <w:style w:type="table" w:customStyle="1" w:styleId="28">
    <w:name w:val="28"/>
    <w:uiPriority w:val="99"/>
    <w:rsid w:val="002522F8"/>
    <w:pPr>
      <w:widowControl w:val="0"/>
      <w:autoSpaceDE w:val="0"/>
      <w:autoSpaceDN w:val="0"/>
      <w:adjustRightInd w:val="0"/>
    </w:pPr>
    <w:rPr>
      <w:sz w:val="24"/>
      <w:szCs w:val="24"/>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uiPriority w:val="99"/>
    <w:semiHidden/>
    <w:rsid w:val="003A77F1"/>
    <w:pPr>
      <w:tabs>
        <w:tab w:val="left" w:pos="4321"/>
        <w:tab w:val="right" w:pos="8641"/>
      </w:tabs>
      <w:spacing w:before="60" w:after="120"/>
    </w:pPr>
    <w:rPr>
      <w:b/>
      <w:sz w:val="18"/>
    </w:rPr>
  </w:style>
  <w:style w:type="paragraph" w:customStyle="1" w:styleId="Headerpool">
    <w:name w:val="Header_pool"/>
    <w:basedOn w:val="Normal"/>
    <w:next w:val="Normal"/>
    <w:uiPriority w:val="99"/>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uiPriority w:val="99"/>
    <w:semiHidden/>
    <w:rsid w:val="003A77F1"/>
    <w:pPr>
      <w:tabs>
        <w:tab w:val="left" w:pos="1247"/>
        <w:tab w:val="left" w:pos="1814"/>
        <w:tab w:val="left" w:pos="2381"/>
        <w:tab w:val="left" w:pos="2948"/>
        <w:tab w:val="left" w:pos="3515"/>
        <w:tab w:val="left" w:pos="4082"/>
      </w:tabs>
    </w:pPr>
    <w:rPr>
      <w:sz w:val="20"/>
      <w:szCs w:val="20"/>
      <w:lang w:val="fr-FR"/>
    </w:rPr>
  </w:style>
  <w:style w:type="paragraph" w:customStyle="1" w:styleId="Footer-pool">
    <w:name w:val="Footer-pool"/>
    <w:basedOn w:val="Normal-pool"/>
    <w:next w:val="Normal-pool"/>
    <w:uiPriority w:val="99"/>
    <w:rsid w:val="003A77F1"/>
    <w:pPr>
      <w:tabs>
        <w:tab w:val="left" w:pos="4321"/>
        <w:tab w:val="right" w:pos="8641"/>
      </w:tabs>
      <w:spacing w:before="60" w:after="120"/>
    </w:pPr>
    <w:rPr>
      <w:b/>
      <w:sz w:val="18"/>
    </w:rPr>
  </w:style>
  <w:style w:type="paragraph" w:customStyle="1" w:styleId="Header-pool">
    <w:name w:val="Header-pool"/>
    <w:basedOn w:val="Normal-pool"/>
    <w:next w:val="Normal-pool"/>
    <w:uiPriority w:val="99"/>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uiPriority w:val="99"/>
    <w:rsid w:val="00160D74"/>
    <w:pPr>
      <w:tabs>
        <w:tab w:val="left" w:pos="1247"/>
        <w:tab w:val="left" w:pos="1814"/>
        <w:tab w:val="left" w:pos="2381"/>
        <w:tab w:val="left" w:pos="2948"/>
        <w:tab w:val="left" w:pos="3515"/>
        <w:tab w:val="left" w:pos="4082"/>
      </w:tabs>
    </w:pPr>
    <w:rPr>
      <w:sz w:val="20"/>
      <w:szCs w:val="20"/>
      <w:lang w:val="en-GB"/>
    </w:rPr>
  </w:style>
  <w:style w:type="character" w:styleId="FootnoteReference">
    <w:name w:val="footnote reference"/>
    <w:basedOn w:val="DefaultParagraphFont"/>
    <w:uiPriority w:val="99"/>
    <w:semiHidden/>
    <w:rsid w:val="000D6941"/>
    <w:rPr>
      <w:rFonts w:ascii="Times New Roman" w:hAnsi="Times New Roman" w:cs="Times New Roman"/>
      <w:color w:val="auto"/>
      <w:sz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customStyle="1" w:styleId="FootnoteTextChar">
    <w:name w:val="Footnote Text Char"/>
    <w:basedOn w:val="DefaultParagraphFont"/>
    <w:link w:val="FootnoteText"/>
    <w:uiPriority w:val="99"/>
    <w:semiHidden/>
    <w:locked/>
    <w:rsid w:val="002522F8"/>
    <w:rPr>
      <w:rFonts w:cs="Times New Roman"/>
      <w:sz w:val="20"/>
      <w:szCs w:val="20"/>
      <w:lang w:val="en-GB"/>
    </w:rPr>
  </w:style>
  <w:style w:type="paragraph" w:styleId="NormalWeb">
    <w:name w:val="Normal (Web)"/>
    <w:basedOn w:val="Normal"/>
    <w:uiPriority w:val="99"/>
    <w:rsid w:val="008E703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table" w:customStyle="1" w:styleId="AATable">
    <w:name w:val="AA_Table"/>
    <w:uiPriority w:val="99"/>
    <w:semiHidden/>
    <w:rsid w:val="003A77F1"/>
    <w:rPr>
      <w:sz w:val="20"/>
      <w:szCs w:val="20"/>
    </w:rPr>
    <w:tblPr>
      <w:tblStyleRowBandSize w:val="1"/>
      <w:tblStyleColBandSize w:val="1"/>
      <w:jc w:val="right"/>
      <w:tblInd w:w="0" w:type="dxa"/>
      <w:tblCellMar>
        <w:top w:w="0" w:type="dxa"/>
        <w:left w:w="108" w:type="dxa"/>
        <w:bottom w:w="0" w:type="dxa"/>
        <w:right w:w="108" w:type="dxa"/>
      </w:tblCellMar>
    </w:tblPr>
    <w:trPr>
      <w:jc w:val="right"/>
    </w:tr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uiPriority w:val="99"/>
    <w:rsid w:val="00160D74"/>
    <w:pPr>
      <w:tabs>
        <w:tab w:val="clear" w:pos="4082"/>
      </w:tabs>
      <w:spacing w:before="120" w:after="120"/>
      <w:ind w:right="4536"/>
    </w:pPr>
  </w:style>
  <w:style w:type="paragraph" w:customStyle="1" w:styleId="BBTitle">
    <w:name w:val="BB_Title"/>
    <w:basedOn w:val="Normalpool"/>
    <w:uiPriority w:val="99"/>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semiHidden/>
    <w:rsid w:val="00821395"/>
    <w:pPr>
      <w:tabs>
        <w:tab w:val="center" w:pos="4320"/>
        <w:tab w:val="right" w:pos="8640"/>
      </w:tabs>
      <w:spacing w:before="60" w:after="120"/>
    </w:pPr>
    <w:rPr>
      <w:sz w:val="18"/>
    </w:rPr>
  </w:style>
  <w:style w:type="character" w:customStyle="1" w:styleId="FooterChar">
    <w:name w:val="Footer Char"/>
    <w:basedOn w:val="DefaultParagraphFont"/>
    <w:link w:val="Footer"/>
    <w:uiPriority w:val="99"/>
    <w:semiHidden/>
    <w:locked/>
    <w:rsid w:val="002522F8"/>
    <w:rPr>
      <w:rFonts w:cs="Times New Roman"/>
      <w:sz w:val="20"/>
      <w:szCs w:val="20"/>
      <w:lang w:val="en-GB"/>
    </w:rPr>
  </w:style>
  <w:style w:type="paragraph" w:styleId="Header">
    <w:name w:val="header"/>
    <w:basedOn w:val="Normal"/>
    <w:link w:val="HeaderChar"/>
    <w:uiPriority w:val="99"/>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erChar">
    <w:name w:val="Header Char"/>
    <w:basedOn w:val="DefaultParagraphFont"/>
    <w:link w:val="Header"/>
    <w:uiPriority w:val="99"/>
    <w:semiHidden/>
    <w:locked/>
    <w:rsid w:val="002522F8"/>
    <w:rPr>
      <w:rFonts w:cs="Times New Roman"/>
      <w:sz w:val="20"/>
      <w:szCs w:val="20"/>
      <w:lang w:val="en-GB"/>
    </w:rPr>
  </w:style>
  <w:style w:type="character" w:styleId="Hyperlink">
    <w:name w:val="Hyperlink"/>
    <w:basedOn w:val="DefaultParagraphFont"/>
    <w:uiPriority w:val="99"/>
    <w:semiHidden/>
    <w:rsid w:val="000D6941"/>
    <w:rPr>
      <w:rFonts w:ascii="Times New Roman" w:hAnsi="Times New Roman" w:cs="Times New Roman"/>
      <w:color w:val="auto"/>
      <w:sz w:val="20"/>
      <w:u w:val="none"/>
      <w:lang w:val="fr-FR"/>
    </w:rPr>
  </w:style>
  <w:style w:type="paragraph" w:customStyle="1" w:styleId="NormalNonumber">
    <w:name w:val="Normal_No_number"/>
    <w:basedOn w:val="Normalpool"/>
    <w:uiPriority w:val="99"/>
    <w:rsid w:val="00160D74"/>
    <w:pPr>
      <w:spacing w:after="120"/>
      <w:ind w:left="1247"/>
    </w:pPr>
    <w:rPr>
      <w:lang w:val="en-GB"/>
    </w:rPr>
  </w:style>
  <w:style w:type="paragraph" w:customStyle="1" w:styleId="Normalnumber">
    <w:name w:val="Normal_number"/>
    <w:basedOn w:val="Normalpool"/>
    <w:uiPriority w:val="99"/>
    <w:rsid w:val="00160D74"/>
    <w:pPr>
      <w:spacing w:after="120"/>
    </w:pPr>
    <w:rPr>
      <w:lang w:val="en-GB"/>
    </w:rPr>
  </w:style>
  <w:style w:type="paragraph" w:customStyle="1" w:styleId="Titletable">
    <w:name w:val="Title_table"/>
    <w:basedOn w:val="Normalpool"/>
    <w:uiPriority w:val="99"/>
    <w:rsid w:val="00160D74"/>
    <w:pPr>
      <w:keepNext/>
      <w:keepLines/>
      <w:suppressAutoHyphens/>
      <w:spacing w:after="60"/>
      <w:ind w:left="1247"/>
    </w:pPr>
    <w:rPr>
      <w:b/>
      <w:bCs/>
      <w:lang w:val="en-GB"/>
    </w:rPr>
  </w:style>
  <w:style w:type="paragraph" w:styleId="TOC1">
    <w:name w:val="toc 1"/>
    <w:basedOn w:val="Normalpool"/>
    <w:next w:val="Normalpool"/>
    <w:uiPriority w:val="9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uiPriority w:val="99"/>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paragraph" w:customStyle="1" w:styleId="ColorfulList-Accent11">
    <w:name w:val="Colorful List - Accent 11"/>
    <w:basedOn w:val="Normal"/>
    <w:uiPriority w:val="99"/>
    <w:rsid w:val="00574179"/>
    <w:pPr>
      <w:ind w:left="720"/>
      <w:contextualSpacing/>
    </w:pPr>
    <w:rPr>
      <w:lang w:val="en-AU"/>
    </w:rPr>
  </w:style>
  <w:style w:type="numbering" w:customStyle="1" w:styleId="Normallist">
    <w:name w:val="Normal_list"/>
    <w:rsid w:val="00744D4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0298">
      <w:marLeft w:val="0"/>
      <w:marRight w:val="0"/>
      <w:marTop w:val="0"/>
      <w:marBottom w:val="0"/>
      <w:divBdr>
        <w:top w:val="none" w:sz="0" w:space="0" w:color="auto"/>
        <w:left w:val="none" w:sz="0" w:space="0" w:color="auto"/>
        <w:bottom w:val="none" w:sz="0" w:space="0" w:color="auto"/>
        <w:right w:val="none" w:sz="0" w:space="0" w:color="auto"/>
      </w:divBdr>
    </w:div>
    <w:div w:id="41490299">
      <w:marLeft w:val="0"/>
      <w:marRight w:val="0"/>
      <w:marTop w:val="0"/>
      <w:marBottom w:val="0"/>
      <w:divBdr>
        <w:top w:val="none" w:sz="0" w:space="0" w:color="auto"/>
        <w:left w:val="none" w:sz="0" w:space="0" w:color="auto"/>
        <w:bottom w:val="none" w:sz="0" w:space="0" w:color="auto"/>
        <w:right w:val="none" w:sz="0" w:space="0" w:color="auto"/>
      </w:divBdr>
    </w:div>
    <w:div w:id="41490300">
      <w:marLeft w:val="0"/>
      <w:marRight w:val="0"/>
      <w:marTop w:val="0"/>
      <w:marBottom w:val="0"/>
      <w:divBdr>
        <w:top w:val="none" w:sz="0" w:space="0" w:color="auto"/>
        <w:left w:val="none" w:sz="0" w:space="0" w:color="auto"/>
        <w:bottom w:val="none" w:sz="0" w:space="0" w:color="auto"/>
        <w:right w:val="none" w:sz="0" w:space="0" w:color="auto"/>
      </w:divBdr>
    </w:div>
    <w:div w:id="41490301">
      <w:marLeft w:val="0"/>
      <w:marRight w:val="0"/>
      <w:marTop w:val="0"/>
      <w:marBottom w:val="0"/>
      <w:divBdr>
        <w:top w:val="none" w:sz="0" w:space="0" w:color="auto"/>
        <w:left w:val="none" w:sz="0" w:space="0" w:color="auto"/>
        <w:bottom w:val="none" w:sz="0" w:space="0" w:color="auto"/>
        <w:right w:val="none" w:sz="0" w:space="0" w:color="auto"/>
      </w:divBdr>
    </w:div>
    <w:div w:id="41490303">
      <w:marLeft w:val="0"/>
      <w:marRight w:val="0"/>
      <w:marTop w:val="0"/>
      <w:marBottom w:val="0"/>
      <w:divBdr>
        <w:top w:val="none" w:sz="0" w:space="0" w:color="auto"/>
        <w:left w:val="none" w:sz="0" w:space="0" w:color="auto"/>
        <w:bottom w:val="none" w:sz="0" w:space="0" w:color="auto"/>
        <w:right w:val="none" w:sz="0" w:space="0" w:color="auto"/>
      </w:divBdr>
      <w:divsChild>
        <w:div w:id="41490302">
          <w:marLeft w:val="0"/>
          <w:marRight w:val="0"/>
          <w:marTop w:val="0"/>
          <w:marBottom w:val="0"/>
          <w:divBdr>
            <w:top w:val="none" w:sz="0" w:space="0" w:color="auto"/>
            <w:left w:val="none" w:sz="0" w:space="0" w:color="auto"/>
            <w:bottom w:val="none" w:sz="0" w:space="0" w:color="auto"/>
            <w:right w:val="none" w:sz="0" w:space="0" w:color="auto"/>
          </w:divBdr>
        </w:div>
      </w:divsChild>
    </w:div>
    <w:div w:id="67272614">
      <w:bodyDiv w:val="1"/>
      <w:marLeft w:val="0"/>
      <w:marRight w:val="0"/>
      <w:marTop w:val="0"/>
      <w:marBottom w:val="0"/>
      <w:divBdr>
        <w:top w:val="none" w:sz="0" w:space="0" w:color="auto"/>
        <w:left w:val="none" w:sz="0" w:space="0" w:color="auto"/>
        <w:bottom w:val="none" w:sz="0" w:space="0" w:color="auto"/>
        <w:right w:val="none" w:sz="0" w:space="0" w:color="auto"/>
      </w:divBdr>
      <w:divsChild>
        <w:div w:id="1747990865">
          <w:marLeft w:val="0"/>
          <w:marRight w:val="0"/>
          <w:marTop w:val="0"/>
          <w:marBottom w:val="0"/>
          <w:divBdr>
            <w:top w:val="none" w:sz="0" w:space="0" w:color="auto"/>
            <w:left w:val="none" w:sz="0" w:space="0" w:color="auto"/>
            <w:bottom w:val="none" w:sz="0" w:space="0" w:color="auto"/>
            <w:right w:val="none" w:sz="0" w:space="0" w:color="auto"/>
          </w:divBdr>
          <w:divsChild>
            <w:div w:id="87964462">
              <w:marLeft w:val="0"/>
              <w:marRight w:val="0"/>
              <w:marTop w:val="135"/>
              <w:marBottom w:val="0"/>
              <w:divBdr>
                <w:top w:val="dotted" w:sz="6" w:space="0" w:color="C0C0C0"/>
                <w:left w:val="none" w:sz="0" w:space="0" w:color="auto"/>
                <w:bottom w:val="none" w:sz="0" w:space="0" w:color="auto"/>
                <w:right w:val="none" w:sz="0" w:space="0" w:color="auto"/>
              </w:divBdr>
              <w:divsChild>
                <w:div w:id="1468627540">
                  <w:marLeft w:val="5"/>
                  <w:marRight w:val="0"/>
                  <w:marTop w:val="0"/>
                  <w:marBottom w:val="0"/>
                  <w:divBdr>
                    <w:top w:val="none" w:sz="0" w:space="0" w:color="auto"/>
                    <w:left w:val="none" w:sz="0" w:space="0" w:color="auto"/>
                    <w:bottom w:val="dotted" w:sz="6" w:space="5" w:color="C0C0C0"/>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2774</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Jimena Vallejo</cp:lastModifiedBy>
  <cp:revision>2</cp:revision>
  <cp:lastPrinted>2013-08-12T09:12:00Z</cp:lastPrinted>
  <dcterms:created xsi:type="dcterms:W3CDTF">2013-08-28T16:19:00Z</dcterms:created>
  <dcterms:modified xsi:type="dcterms:W3CDTF">2013-08-28T16:19:00Z</dcterms:modified>
</cp:coreProperties>
</file>