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809"/>
        <w:gridCol w:w="4536"/>
        <w:gridCol w:w="3435"/>
      </w:tblGrid>
      <w:tr w:rsidR="00F611B2" w:rsidRPr="008453FB">
        <w:trPr>
          <w:cantSplit/>
          <w:trHeight w:val="850"/>
        </w:trPr>
        <w:tc>
          <w:tcPr>
            <w:tcW w:w="1809" w:type="dxa"/>
          </w:tcPr>
          <w:p w:rsidR="00F611B2" w:rsidRPr="008453FB" w:rsidRDefault="00F611B2" w:rsidP="00F611B2">
            <w:pPr>
              <w:rPr>
                <w:rFonts w:ascii="Univers" w:hAnsi="Univers"/>
                <w:b/>
                <w:noProof/>
                <w:sz w:val="27"/>
                <w:szCs w:val="27"/>
                <w:lang w:val="es-ES"/>
              </w:rPr>
            </w:pPr>
            <w:bookmarkStart w:id="0" w:name="_GoBack"/>
            <w:bookmarkEnd w:id="0"/>
            <w:r w:rsidRPr="008453FB">
              <w:rPr>
                <w:rFonts w:ascii="Arial" w:hAnsi="Arial" w:cs="Arial"/>
                <w:b/>
                <w:sz w:val="27"/>
                <w:szCs w:val="27"/>
                <w:lang w:val="es-ES"/>
              </w:rPr>
              <w:t>NACIONES</w:t>
            </w:r>
            <w:r w:rsidRPr="008453FB">
              <w:rPr>
                <w:rFonts w:ascii="Arial" w:hAnsi="Arial" w:cs="Arial"/>
                <w:b/>
                <w:sz w:val="27"/>
                <w:szCs w:val="27"/>
                <w:lang w:val="es-ES"/>
              </w:rPr>
              <w:br/>
              <w:t>UNIDAS</w:t>
            </w:r>
          </w:p>
        </w:tc>
        <w:tc>
          <w:tcPr>
            <w:tcW w:w="4536" w:type="dxa"/>
          </w:tcPr>
          <w:p w:rsidR="00F611B2" w:rsidRPr="008453FB" w:rsidRDefault="00F611B2" w:rsidP="00F611B2">
            <w:pPr>
              <w:rPr>
                <w:rFonts w:ascii="Univers" w:hAnsi="Univers"/>
                <w:b/>
                <w:sz w:val="27"/>
                <w:szCs w:val="27"/>
                <w:lang w:val="es-ES"/>
              </w:rPr>
            </w:pPr>
          </w:p>
        </w:tc>
        <w:tc>
          <w:tcPr>
            <w:tcW w:w="3435" w:type="dxa"/>
          </w:tcPr>
          <w:p w:rsidR="00F611B2" w:rsidRPr="008453FB" w:rsidRDefault="00F611B2" w:rsidP="00F611B2">
            <w:pPr>
              <w:jc w:val="right"/>
              <w:rPr>
                <w:rFonts w:ascii="Arial" w:hAnsi="Arial" w:cs="Arial"/>
                <w:b/>
                <w:sz w:val="64"/>
                <w:szCs w:val="64"/>
                <w:lang w:val="es-ES"/>
              </w:rPr>
            </w:pPr>
            <w:r w:rsidRPr="008453FB">
              <w:rPr>
                <w:rFonts w:ascii="Arial" w:hAnsi="Arial" w:cs="Arial"/>
                <w:b/>
                <w:sz w:val="64"/>
                <w:szCs w:val="64"/>
                <w:lang w:val="es-ES"/>
              </w:rPr>
              <w:t>EP</w:t>
            </w:r>
          </w:p>
        </w:tc>
      </w:tr>
      <w:tr w:rsidR="00F611B2" w:rsidRPr="008453FB">
        <w:trPr>
          <w:cantSplit/>
          <w:trHeight w:val="281"/>
        </w:trPr>
        <w:tc>
          <w:tcPr>
            <w:tcW w:w="1809" w:type="dxa"/>
            <w:tcBorders>
              <w:bottom w:val="single" w:sz="4" w:space="0" w:color="auto"/>
            </w:tcBorders>
          </w:tcPr>
          <w:p w:rsidR="00F611B2" w:rsidRPr="008453FB" w:rsidRDefault="00F611B2" w:rsidP="00F611B2">
            <w:pPr>
              <w:rPr>
                <w:noProof/>
                <w:sz w:val="18"/>
                <w:szCs w:val="18"/>
                <w:lang w:val="es-ES"/>
              </w:rPr>
            </w:pPr>
          </w:p>
        </w:tc>
        <w:tc>
          <w:tcPr>
            <w:tcW w:w="4536" w:type="dxa"/>
            <w:tcBorders>
              <w:bottom w:val="single" w:sz="4" w:space="0" w:color="auto"/>
            </w:tcBorders>
          </w:tcPr>
          <w:p w:rsidR="00F611B2" w:rsidRPr="008453FB" w:rsidRDefault="00F611B2" w:rsidP="00F611B2">
            <w:pPr>
              <w:rPr>
                <w:rFonts w:ascii="Univers" w:hAnsi="Univers"/>
                <w:b/>
                <w:sz w:val="18"/>
                <w:szCs w:val="18"/>
                <w:lang w:val="es-ES"/>
              </w:rPr>
            </w:pPr>
          </w:p>
        </w:tc>
        <w:tc>
          <w:tcPr>
            <w:tcW w:w="3435" w:type="dxa"/>
            <w:tcBorders>
              <w:bottom w:val="single" w:sz="4" w:space="0" w:color="auto"/>
            </w:tcBorders>
          </w:tcPr>
          <w:p w:rsidR="00F611B2" w:rsidRPr="008453FB" w:rsidRDefault="00F611B2" w:rsidP="00F611B2">
            <w:pPr>
              <w:rPr>
                <w:noProof/>
                <w:sz w:val="18"/>
                <w:szCs w:val="18"/>
                <w:lang w:val="es-ES"/>
              </w:rPr>
            </w:pPr>
            <w:r w:rsidRPr="008453FB">
              <w:rPr>
                <w:b/>
                <w:bCs/>
                <w:sz w:val="28"/>
                <w:lang w:val="es-ES"/>
              </w:rPr>
              <w:t>UNEP</w:t>
            </w:r>
            <w:r w:rsidRPr="008453FB">
              <w:rPr>
                <w:sz w:val="20"/>
                <w:lang w:val="es-ES"/>
              </w:rPr>
              <w:t>(DTIE)/</w:t>
            </w:r>
            <w:bookmarkStart w:id="1" w:name="OLE_LINK1"/>
            <w:bookmarkStart w:id="2" w:name="OLE_LINK2"/>
            <w:r w:rsidRPr="008453FB">
              <w:rPr>
                <w:sz w:val="20"/>
                <w:lang w:val="es-ES"/>
              </w:rPr>
              <w:t>Hg/</w:t>
            </w:r>
            <w:bookmarkEnd w:id="1"/>
            <w:bookmarkEnd w:id="2"/>
            <w:r w:rsidRPr="008453FB">
              <w:rPr>
                <w:sz w:val="20"/>
                <w:lang w:val="es-ES"/>
              </w:rPr>
              <w:t>INC.7/9</w:t>
            </w:r>
          </w:p>
        </w:tc>
      </w:tr>
      <w:tr w:rsidR="00F611B2" w:rsidRPr="00723A44">
        <w:trPr>
          <w:cantSplit/>
          <w:trHeight w:val="2549"/>
        </w:trPr>
        <w:tc>
          <w:tcPr>
            <w:tcW w:w="1809" w:type="dxa"/>
            <w:tcBorders>
              <w:top w:val="single" w:sz="4" w:space="0" w:color="auto"/>
              <w:bottom w:val="single" w:sz="24" w:space="0" w:color="auto"/>
            </w:tcBorders>
          </w:tcPr>
          <w:p w:rsidR="00F611B2" w:rsidRPr="008453FB" w:rsidRDefault="00F611B2" w:rsidP="00F611B2">
            <w:pPr>
              <w:rPr>
                <w:noProof/>
                <w:lang w:val="es-ES"/>
              </w:rPr>
            </w:pPr>
            <w:r w:rsidRPr="008453FB">
              <w:rPr>
                <w:noProof/>
                <w:lang w:val="es-E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61.85pt" o:ole="" fillcolor="window">
                  <v:imagedata r:id="rId9" o:title=""/>
                </v:shape>
                <o:OLEObject Type="Embed" ProgID="Word.Picture.8" ShapeID="_x0000_i1025" DrawAspect="Content" ObjectID="_1516023760" r:id="rId10"/>
              </w:object>
            </w:r>
            <w:r w:rsidRPr="008453FB">
              <w:rPr>
                <w:noProof/>
                <w:lang w:eastAsia="zh-CN"/>
              </w:rPr>
              <w:drawing>
                <wp:inline distT="0" distB="0" distL="0" distR="0" wp14:anchorId="7A36C908" wp14:editId="22CB1FC2">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536" w:type="dxa"/>
            <w:tcBorders>
              <w:top w:val="single" w:sz="4" w:space="0" w:color="auto"/>
              <w:bottom w:val="single" w:sz="24" w:space="0" w:color="auto"/>
            </w:tcBorders>
          </w:tcPr>
          <w:p w:rsidR="00F611B2" w:rsidRPr="008453FB" w:rsidRDefault="00F611B2" w:rsidP="00F611B2">
            <w:pPr>
              <w:spacing w:before="1200"/>
              <w:rPr>
                <w:rFonts w:ascii="Arial" w:hAnsi="Arial" w:cs="Arial"/>
                <w:b/>
                <w:sz w:val="28"/>
                <w:lang w:val="es-ES"/>
              </w:rPr>
            </w:pPr>
            <w:r w:rsidRPr="008453FB">
              <w:rPr>
                <w:rFonts w:ascii="Arial" w:hAnsi="Arial" w:cs="Arial"/>
                <w:b/>
                <w:color w:val="000000"/>
                <w:sz w:val="32"/>
                <w:szCs w:val="32"/>
                <w:shd w:val="solid" w:color="FFFFFF" w:fill="auto"/>
                <w:lang w:val="es-ES" w:eastAsia="ru-RU"/>
              </w:rPr>
              <w:t>Programa de las</w:t>
            </w:r>
            <w:r w:rsidRPr="008453FB">
              <w:rPr>
                <w:rFonts w:ascii="Arial" w:hAnsi="Arial" w:cs="Arial"/>
                <w:b/>
                <w:color w:val="000000"/>
                <w:sz w:val="32"/>
                <w:szCs w:val="32"/>
                <w:shd w:val="solid" w:color="FFFFFF" w:fill="auto"/>
                <w:lang w:val="es-ES" w:eastAsia="ru-RU"/>
              </w:rPr>
              <w:br/>
            </w:r>
            <w:r w:rsidR="008453FB">
              <w:rPr>
                <w:rFonts w:ascii="Arial" w:hAnsi="Arial" w:cs="Arial"/>
                <w:b/>
                <w:color w:val="000000"/>
                <w:sz w:val="32"/>
                <w:szCs w:val="32"/>
                <w:shd w:val="solid" w:color="FFFFFF" w:fill="auto"/>
                <w:lang w:val="es-ES" w:eastAsia="ru-RU"/>
              </w:rPr>
              <w:t>Naciones Unidas</w:t>
            </w:r>
            <w:r w:rsidRPr="008453FB">
              <w:rPr>
                <w:rFonts w:ascii="Arial" w:hAnsi="Arial" w:cs="Arial"/>
                <w:b/>
                <w:color w:val="000000"/>
                <w:sz w:val="32"/>
                <w:szCs w:val="32"/>
                <w:shd w:val="solid" w:color="FFFFFF" w:fill="auto"/>
                <w:lang w:val="es-ES" w:eastAsia="ru-RU"/>
              </w:rPr>
              <w:br/>
              <w:t>para el Medio Ambiente</w:t>
            </w:r>
          </w:p>
        </w:tc>
        <w:tc>
          <w:tcPr>
            <w:tcW w:w="3435" w:type="dxa"/>
            <w:tcBorders>
              <w:top w:val="single" w:sz="4" w:space="0" w:color="auto"/>
              <w:bottom w:val="single" w:sz="24" w:space="0" w:color="auto"/>
            </w:tcBorders>
          </w:tcPr>
          <w:p w:rsidR="00F611B2" w:rsidRPr="008453FB" w:rsidRDefault="00F611B2" w:rsidP="00F611B2">
            <w:pPr>
              <w:spacing w:before="240"/>
              <w:rPr>
                <w:sz w:val="20"/>
                <w:lang w:val="es-ES"/>
              </w:rPr>
            </w:pPr>
            <w:r w:rsidRPr="008453FB">
              <w:rPr>
                <w:sz w:val="20"/>
                <w:lang w:val="es-ES"/>
              </w:rPr>
              <w:t>Distr. general</w:t>
            </w:r>
            <w:r w:rsidRPr="008453FB">
              <w:rPr>
                <w:sz w:val="20"/>
                <w:lang w:val="es-ES"/>
              </w:rPr>
              <w:br w:type="textWrapping" w:clear="all"/>
              <w:t>17 de noviembre 2015</w:t>
            </w:r>
          </w:p>
          <w:p w:rsidR="00F611B2" w:rsidRPr="008453FB" w:rsidRDefault="00F611B2" w:rsidP="00F611B2">
            <w:pPr>
              <w:spacing w:before="240"/>
              <w:rPr>
                <w:lang w:val="es-ES"/>
              </w:rPr>
            </w:pPr>
            <w:r w:rsidRPr="008453FB">
              <w:rPr>
                <w:sz w:val="20"/>
                <w:lang w:val="es-ES"/>
              </w:rPr>
              <w:t>Español</w:t>
            </w:r>
            <w:r w:rsidRPr="008453FB">
              <w:rPr>
                <w:sz w:val="20"/>
                <w:lang w:val="es-ES"/>
              </w:rPr>
              <w:br/>
              <w:t>Original: inglés</w:t>
            </w:r>
          </w:p>
        </w:tc>
      </w:tr>
    </w:tbl>
    <w:p w:rsidR="00F611B2" w:rsidRPr="008453FB" w:rsidRDefault="008C1F19" w:rsidP="008C1F19">
      <w:pPr>
        <w:pStyle w:val="AATitle"/>
        <w:keepNext w:val="0"/>
        <w:keepLines w:val="0"/>
        <w:ind w:right="4536"/>
        <w:rPr>
          <w:sz w:val="20"/>
          <w:lang w:val="es-ES"/>
        </w:rPr>
      </w:pPr>
      <w:r>
        <w:rPr>
          <w:sz w:val="20"/>
          <w:lang w:val="es-ES"/>
        </w:rPr>
        <w:t>Comité Intergubernamental de Negociación encargado de </w:t>
      </w:r>
      <w:r w:rsidR="00F611B2" w:rsidRPr="008453FB">
        <w:rPr>
          <w:sz w:val="20"/>
          <w:lang w:val="es-ES"/>
        </w:rPr>
        <w:t>elaborar un instrumento jurídicamente vinculante a nivel mundial sobre el mercurio</w:t>
      </w:r>
    </w:p>
    <w:p w:rsidR="00F611B2" w:rsidRPr="008453FB" w:rsidRDefault="00F611B2" w:rsidP="00F611B2">
      <w:pPr>
        <w:pStyle w:val="AATitle"/>
        <w:rPr>
          <w:sz w:val="20"/>
          <w:lang w:val="es-ES"/>
        </w:rPr>
      </w:pPr>
      <w:r w:rsidRPr="008453FB">
        <w:rPr>
          <w:sz w:val="20"/>
          <w:lang w:val="es-ES"/>
        </w:rPr>
        <w:t>Séptimo período de sesiones</w:t>
      </w:r>
    </w:p>
    <w:p w:rsidR="00F611B2" w:rsidRPr="008453FB" w:rsidRDefault="00F611B2" w:rsidP="00F611B2">
      <w:pPr>
        <w:pStyle w:val="AATitle"/>
        <w:keepNext w:val="0"/>
        <w:keepLines w:val="0"/>
        <w:outlineLvl w:val="0"/>
        <w:rPr>
          <w:b w:val="0"/>
          <w:sz w:val="20"/>
          <w:lang w:val="es-ES"/>
        </w:rPr>
      </w:pPr>
      <w:r w:rsidRPr="008453FB">
        <w:rPr>
          <w:b w:val="0"/>
          <w:sz w:val="20"/>
          <w:lang w:val="es-ES"/>
        </w:rPr>
        <w:t>Mar Muerto (Jordania), 10 a 15 de marzo de 2016</w:t>
      </w:r>
      <w:r w:rsidRPr="008453FB">
        <w:rPr>
          <w:sz w:val="20"/>
          <w:lang w:val="es-ES"/>
        </w:rPr>
        <w:t xml:space="preserve"> </w:t>
      </w:r>
    </w:p>
    <w:p w:rsidR="00F611B2" w:rsidRPr="008453FB" w:rsidRDefault="00F611B2" w:rsidP="00F611B2">
      <w:pPr>
        <w:pStyle w:val="AATitle"/>
        <w:keepNext w:val="0"/>
        <w:keepLines w:val="0"/>
        <w:rPr>
          <w:b w:val="0"/>
          <w:sz w:val="20"/>
          <w:lang w:val="es-ES"/>
        </w:rPr>
      </w:pPr>
      <w:r w:rsidRPr="008453FB">
        <w:rPr>
          <w:b w:val="0"/>
          <w:sz w:val="20"/>
          <w:lang w:val="es-ES"/>
        </w:rPr>
        <w:t>Tema 3 b) del programa provisional</w:t>
      </w:r>
      <w:r w:rsidRPr="008453FB">
        <w:rPr>
          <w:b w:val="0"/>
          <w:sz w:val="20"/>
          <w:lang w:val="es-ES"/>
        </w:rPr>
        <w:footnoteReference w:customMarkFollows="1" w:id="1"/>
        <w:t>*</w:t>
      </w:r>
    </w:p>
    <w:p w:rsidR="00F611B2" w:rsidRPr="008453FB" w:rsidRDefault="00F611B2" w:rsidP="008C1F19">
      <w:pPr>
        <w:pStyle w:val="AATitle2"/>
        <w:keepNext w:val="0"/>
        <w:keepLines w:val="0"/>
        <w:spacing w:before="60" w:after="0"/>
        <w:ind w:right="4253"/>
        <w:outlineLvl w:val="0"/>
        <w:rPr>
          <w:sz w:val="20"/>
          <w:lang w:val="es-ES"/>
        </w:rPr>
      </w:pPr>
      <w:r w:rsidRPr="008453FB">
        <w:rPr>
          <w:sz w:val="20"/>
          <w:lang w:val="es-ES"/>
        </w:rPr>
        <w:t>Labor de preparación de la entrada en vigor del Convenio de Minamata sobre el Mercurio y de la primera reunión de la Conferencia de las Partes</w:t>
      </w:r>
      <w:r w:rsidR="00E05CB1" w:rsidRPr="008453FB">
        <w:rPr>
          <w:sz w:val="20"/>
          <w:lang w:val="es-ES"/>
        </w:rPr>
        <w:t xml:space="preserve"> en el Convenio</w:t>
      </w:r>
      <w:r w:rsidRPr="008453FB">
        <w:rPr>
          <w:sz w:val="20"/>
          <w:lang w:val="es-ES"/>
        </w:rPr>
        <w:t>: cuestiones que, en virtud del Convenio, deberá decidir la Conferencia de las Partes en su primera reunión</w:t>
      </w:r>
    </w:p>
    <w:p w:rsidR="00377217" w:rsidRPr="008453FB" w:rsidRDefault="006E05C4" w:rsidP="00F429F7">
      <w:pPr>
        <w:pStyle w:val="BBTitle"/>
        <w:rPr>
          <w:lang w:val="es-ES"/>
        </w:rPr>
      </w:pPr>
      <w:r w:rsidRPr="008453FB">
        <w:rPr>
          <w:lang w:val="es-ES"/>
        </w:rPr>
        <w:t xml:space="preserve">Informe de los </w:t>
      </w:r>
      <w:r w:rsidR="00741041" w:rsidRPr="008453FB">
        <w:rPr>
          <w:lang w:val="es-ES"/>
        </w:rPr>
        <w:t>c</w:t>
      </w:r>
      <w:r w:rsidRPr="008453FB">
        <w:rPr>
          <w:lang w:val="es-ES"/>
        </w:rPr>
        <w:t xml:space="preserve">opresidentes del grupo de trabajo especial de expertos sobre financiación establecido en el sexto período de sesiones del </w:t>
      </w:r>
      <w:r w:rsidR="008C1F19">
        <w:rPr>
          <w:lang w:val="es-ES"/>
        </w:rPr>
        <w:t>Comité Intergubernamental de Negociación</w:t>
      </w:r>
      <w:r w:rsidR="00377217" w:rsidRPr="008453FB">
        <w:rPr>
          <w:lang w:val="es-ES"/>
        </w:rPr>
        <w:t xml:space="preserve"> </w:t>
      </w:r>
    </w:p>
    <w:p w:rsidR="00377217" w:rsidRPr="008453FB" w:rsidRDefault="00377217" w:rsidP="00F429F7">
      <w:pPr>
        <w:pStyle w:val="CH2"/>
        <w:rPr>
          <w:lang w:val="es-ES"/>
        </w:rPr>
      </w:pPr>
      <w:r w:rsidRPr="008453FB">
        <w:rPr>
          <w:lang w:val="es-ES"/>
        </w:rPr>
        <w:tab/>
      </w:r>
      <w:r w:rsidRPr="008453FB">
        <w:rPr>
          <w:lang w:val="es-ES"/>
        </w:rPr>
        <w:tab/>
        <w:t>Not</w:t>
      </w:r>
      <w:r w:rsidR="006E05C4" w:rsidRPr="008453FB">
        <w:rPr>
          <w:lang w:val="es-ES"/>
        </w:rPr>
        <w:t>a de la Secretaría</w:t>
      </w:r>
    </w:p>
    <w:p w:rsidR="00377217" w:rsidRPr="008453FB" w:rsidRDefault="004E7103" w:rsidP="00F429F7">
      <w:pPr>
        <w:pStyle w:val="Normalnumber"/>
        <w:ind w:left="1247"/>
        <w:rPr>
          <w:sz w:val="20"/>
          <w:lang w:val="es-ES"/>
        </w:rPr>
      </w:pPr>
      <w:r w:rsidRPr="008453FB">
        <w:rPr>
          <w:sz w:val="20"/>
          <w:lang w:val="es-ES"/>
        </w:rPr>
        <w:t>1.</w:t>
      </w:r>
      <w:r w:rsidRPr="008453FB">
        <w:rPr>
          <w:sz w:val="20"/>
          <w:lang w:val="es-ES"/>
        </w:rPr>
        <w:tab/>
      </w:r>
      <w:r w:rsidR="00354FC3" w:rsidRPr="008453FB">
        <w:rPr>
          <w:sz w:val="20"/>
          <w:lang w:val="es-ES"/>
        </w:rPr>
        <w:t>El Convenio de Minamata sobre el Mercurio, en su artículo 13, define un mecanismo para facilitar recursos financieros adecuados, previsibles y oportunos, a fin de apoyar a las Partes que son países en desarrollo y a las Partes con economías en transición en el cumplimiento de las obligaciones contraídas en virtud del presente Convenio.</w:t>
      </w:r>
      <w:r w:rsidR="00377217" w:rsidRPr="008453FB">
        <w:rPr>
          <w:sz w:val="20"/>
          <w:lang w:val="es-ES"/>
        </w:rPr>
        <w:t xml:space="preserve"> </w:t>
      </w:r>
      <w:r w:rsidR="00354FC3" w:rsidRPr="008453FB">
        <w:rPr>
          <w:sz w:val="20"/>
          <w:lang w:val="es-ES"/>
        </w:rPr>
        <w:t xml:space="preserve">Ese mecanismo incluye </w:t>
      </w:r>
      <w:r w:rsidR="00C90664" w:rsidRPr="008453FB">
        <w:rPr>
          <w:sz w:val="20"/>
          <w:lang w:val="es-ES"/>
        </w:rPr>
        <w:t>e</w:t>
      </w:r>
      <w:r w:rsidR="00354FC3" w:rsidRPr="008453FB">
        <w:rPr>
          <w:sz w:val="20"/>
          <w:lang w:val="es-ES"/>
        </w:rPr>
        <w:t>l Fondo Fiduciario del Fondo para el Medio Ambiente Mundial y un programa internacional específico para apoyar la creación de capacidad y la asistencia técnica. A propósito de este último,</w:t>
      </w:r>
      <w:r w:rsidR="00377217" w:rsidRPr="008453FB">
        <w:rPr>
          <w:sz w:val="20"/>
          <w:lang w:val="es-ES"/>
        </w:rPr>
        <w:t xml:space="preserve"> </w:t>
      </w:r>
      <w:r w:rsidR="00354FC3" w:rsidRPr="008453FB">
        <w:rPr>
          <w:sz w:val="20"/>
          <w:lang w:val="es-ES"/>
        </w:rPr>
        <w:t xml:space="preserve">el Convenio establece que funcionará bajo la orientación de la Conferencia de las Partes, a la que rendirá cuentas y que en su primera reunión tomará una decisión sobre la institución anfitriona, que será una entidad existente, y facilitará orientaciones a esta, incluso en lo </w:t>
      </w:r>
      <w:r w:rsidRPr="008453FB">
        <w:rPr>
          <w:sz w:val="20"/>
          <w:lang w:val="es-ES"/>
        </w:rPr>
        <w:t>relativo a la duración del programa</w:t>
      </w:r>
      <w:r w:rsidR="00354FC3" w:rsidRPr="008453FB">
        <w:rPr>
          <w:sz w:val="20"/>
          <w:lang w:val="es-ES"/>
        </w:rPr>
        <w:t>.</w:t>
      </w:r>
      <w:r w:rsidR="00377217" w:rsidRPr="008453FB">
        <w:rPr>
          <w:sz w:val="20"/>
          <w:lang w:val="es-ES"/>
        </w:rPr>
        <w:t xml:space="preserve"> </w:t>
      </w:r>
      <w:r w:rsidR="00354FC3" w:rsidRPr="008453FB">
        <w:rPr>
          <w:sz w:val="20"/>
          <w:lang w:val="es-ES"/>
        </w:rPr>
        <w:t>En el mismo artículo se invita a todas las Partes y otros grupos de interés a que aporten recursos financieros para el programa, con carácter voluntario</w:t>
      </w:r>
      <w:r w:rsidR="00377217" w:rsidRPr="008453FB">
        <w:rPr>
          <w:sz w:val="20"/>
          <w:lang w:val="es-ES"/>
        </w:rPr>
        <w:t xml:space="preserve">. </w:t>
      </w:r>
      <w:r w:rsidR="00354FC3" w:rsidRPr="008453FB">
        <w:rPr>
          <w:sz w:val="20"/>
          <w:lang w:val="es-ES"/>
        </w:rPr>
        <w:t>El artículo establece asimismo que, en su primera reunión, la Conferencia de las Partes</w:t>
      </w:r>
      <w:r w:rsidR="00E005B2" w:rsidRPr="008453FB">
        <w:rPr>
          <w:sz w:val="20"/>
          <w:lang w:val="es-ES"/>
        </w:rPr>
        <w:t xml:space="preserve"> acordará con las entidades integrantes del mecanismo las disposiciones necesarias para dar efecto al funcionamiento del mecanismo financiero</w:t>
      </w:r>
      <w:r w:rsidR="00377217" w:rsidRPr="008453FB">
        <w:rPr>
          <w:sz w:val="20"/>
          <w:lang w:val="es-ES"/>
        </w:rPr>
        <w:t>.</w:t>
      </w:r>
    </w:p>
    <w:p w:rsidR="00377217" w:rsidRPr="008453FB" w:rsidRDefault="004E7103" w:rsidP="00F429F7">
      <w:pPr>
        <w:pStyle w:val="Normalnumber"/>
        <w:ind w:left="1247"/>
        <w:rPr>
          <w:sz w:val="20"/>
          <w:lang w:val="es-ES"/>
        </w:rPr>
      </w:pPr>
      <w:r w:rsidRPr="008453FB">
        <w:rPr>
          <w:sz w:val="20"/>
          <w:lang w:val="es-ES"/>
        </w:rPr>
        <w:t>2.</w:t>
      </w:r>
      <w:r w:rsidRPr="008453FB">
        <w:rPr>
          <w:sz w:val="20"/>
          <w:lang w:val="es-ES"/>
        </w:rPr>
        <w:tab/>
      </w:r>
      <w:r w:rsidR="00E005B2" w:rsidRPr="008453FB">
        <w:rPr>
          <w:sz w:val="20"/>
          <w:lang w:val="es-ES"/>
        </w:rPr>
        <w:t>En su sexto período de sesiones,</w:t>
      </w:r>
      <w:r w:rsidR="00377217" w:rsidRPr="008453FB">
        <w:rPr>
          <w:sz w:val="20"/>
          <w:lang w:val="es-ES"/>
        </w:rPr>
        <w:t xml:space="preserve"> </w:t>
      </w:r>
      <w:r w:rsidR="00E005B2" w:rsidRPr="008453FB">
        <w:rPr>
          <w:sz w:val="20"/>
          <w:lang w:val="es-ES"/>
        </w:rPr>
        <w:t xml:space="preserve">celebrado en Bangkok del 3 al 7 de noviembre de 2014, </w:t>
      </w:r>
      <w:r w:rsidR="00C90664" w:rsidRPr="008453FB">
        <w:rPr>
          <w:sz w:val="20"/>
          <w:lang w:val="es-ES"/>
        </w:rPr>
        <w:t xml:space="preserve">el </w:t>
      </w:r>
      <w:r w:rsidR="008C1F19">
        <w:rPr>
          <w:sz w:val="20"/>
          <w:lang w:val="es-ES"/>
        </w:rPr>
        <w:t>Comité Intergubernamental de Negociación</w:t>
      </w:r>
      <w:r w:rsidR="00E005B2" w:rsidRPr="008453FB">
        <w:rPr>
          <w:sz w:val="20"/>
          <w:lang w:val="es-ES"/>
        </w:rPr>
        <w:t xml:space="preserve"> encargado de elaborar un instrumento jurídicamente vinculante a nivel mundial sobre el mercurio estableció un grupo de trabajo especial de expertos sobre financiación </w:t>
      </w:r>
      <w:r w:rsidR="00EB4BAF" w:rsidRPr="008453FB">
        <w:rPr>
          <w:sz w:val="20"/>
          <w:lang w:val="es-ES"/>
        </w:rPr>
        <w:t xml:space="preserve">para que llevase a cabo trabajo adicional en el período entre sesiones. El mandato del grupo consistía en hacer aportes al Comité durante su séptimo período de sesiones en lo referente a la aplicación de la decisión adoptada por la Conferencia de Plenipotenciarios sobre el Convenio de Minamata, celebrada en </w:t>
      </w:r>
      <w:r w:rsidR="00530AA7" w:rsidRPr="008453FB">
        <w:rPr>
          <w:sz w:val="20"/>
          <w:lang w:val="es-ES"/>
        </w:rPr>
        <w:t xml:space="preserve">Kumamoto </w:t>
      </w:r>
      <w:r w:rsidR="00EB4BAF" w:rsidRPr="008453FB">
        <w:rPr>
          <w:sz w:val="20"/>
          <w:lang w:val="es-ES"/>
        </w:rPr>
        <w:t>(Japón)</w:t>
      </w:r>
      <w:r w:rsidR="00530AA7" w:rsidRPr="008453FB">
        <w:rPr>
          <w:sz w:val="20"/>
          <w:lang w:val="es-ES"/>
        </w:rPr>
        <w:t xml:space="preserve">, </w:t>
      </w:r>
      <w:r w:rsidR="00EB4BAF" w:rsidRPr="008453FB">
        <w:rPr>
          <w:sz w:val="20"/>
          <w:lang w:val="es-ES"/>
        </w:rPr>
        <w:t xml:space="preserve">del </w:t>
      </w:r>
      <w:r w:rsidR="00377217" w:rsidRPr="008453FB">
        <w:rPr>
          <w:sz w:val="20"/>
          <w:lang w:val="es-ES"/>
        </w:rPr>
        <w:t>10 a</w:t>
      </w:r>
      <w:r w:rsidR="00EB4BAF" w:rsidRPr="008453FB">
        <w:rPr>
          <w:sz w:val="20"/>
          <w:lang w:val="es-ES"/>
        </w:rPr>
        <w:t>l</w:t>
      </w:r>
      <w:r w:rsidR="00377217" w:rsidRPr="008453FB">
        <w:rPr>
          <w:sz w:val="20"/>
          <w:lang w:val="es-ES"/>
        </w:rPr>
        <w:t xml:space="preserve"> 11 </w:t>
      </w:r>
      <w:r w:rsidR="00EB4BAF" w:rsidRPr="008453FB">
        <w:rPr>
          <w:sz w:val="20"/>
          <w:lang w:val="es-ES"/>
        </w:rPr>
        <w:t>de octubre de 2013</w:t>
      </w:r>
      <w:r w:rsidR="00377217" w:rsidRPr="008453FB">
        <w:rPr>
          <w:color w:val="000000"/>
          <w:sz w:val="20"/>
          <w:lang w:val="es-ES" w:eastAsia="zh-CN"/>
        </w:rPr>
        <w:t xml:space="preserve">, </w:t>
      </w:r>
      <w:r w:rsidR="00EB4BAF" w:rsidRPr="008453FB">
        <w:rPr>
          <w:sz w:val="20"/>
          <w:lang w:val="es-ES"/>
        </w:rPr>
        <w:t>como se indica en el párrafo 6 de la resolución del Acta Final sobre los arreglos financieros</w:t>
      </w:r>
      <w:r w:rsidR="00AD120E" w:rsidRPr="008453FB">
        <w:rPr>
          <w:color w:val="000000"/>
          <w:sz w:val="20"/>
          <w:lang w:val="es-ES" w:eastAsia="zh-CN"/>
        </w:rPr>
        <w:t xml:space="preserve"> </w:t>
      </w:r>
      <w:r w:rsidR="00C35A2C" w:rsidRPr="008453FB">
        <w:rPr>
          <w:color w:val="000000"/>
          <w:sz w:val="20"/>
          <w:lang w:val="es-ES" w:eastAsia="zh-CN"/>
        </w:rPr>
        <w:t>(UNEP(DTIE)/Hg/CONF/4, an</w:t>
      </w:r>
      <w:r w:rsidR="00EB4BAF" w:rsidRPr="008453FB">
        <w:rPr>
          <w:color w:val="000000"/>
          <w:sz w:val="20"/>
          <w:lang w:val="es-ES" w:eastAsia="zh-CN"/>
        </w:rPr>
        <w:t>e</w:t>
      </w:r>
      <w:r w:rsidR="00C35A2C" w:rsidRPr="008453FB">
        <w:rPr>
          <w:color w:val="000000"/>
          <w:sz w:val="20"/>
          <w:lang w:val="es-ES" w:eastAsia="zh-CN"/>
        </w:rPr>
        <w:t>x</w:t>
      </w:r>
      <w:r w:rsidR="00EB4BAF" w:rsidRPr="008453FB">
        <w:rPr>
          <w:color w:val="000000"/>
          <w:sz w:val="20"/>
          <w:lang w:val="es-ES" w:eastAsia="zh-CN"/>
        </w:rPr>
        <w:t>o</w:t>
      </w:r>
      <w:r w:rsidR="00C35A2C" w:rsidRPr="008453FB">
        <w:rPr>
          <w:color w:val="000000"/>
          <w:sz w:val="20"/>
          <w:lang w:val="es-ES" w:eastAsia="zh-CN"/>
        </w:rPr>
        <w:t xml:space="preserve"> I)</w:t>
      </w:r>
      <w:r w:rsidR="00377217" w:rsidRPr="008453FB">
        <w:rPr>
          <w:color w:val="000000"/>
          <w:sz w:val="20"/>
          <w:lang w:val="es-ES" w:eastAsia="zh-CN"/>
        </w:rPr>
        <w:t xml:space="preserve">, </w:t>
      </w:r>
      <w:r w:rsidR="00EB4BAF" w:rsidRPr="008453FB">
        <w:rPr>
          <w:color w:val="000000"/>
          <w:sz w:val="20"/>
          <w:lang w:val="es-ES" w:eastAsia="zh-CN"/>
        </w:rPr>
        <w:t xml:space="preserve">en la que se pedía al Comité que </w:t>
      </w:r>
      <w:r w:rsidR="00EB4BAF" w:rsidRPr="008453FB">
        <w:rPr>
          <w:sz w:val="20"/>
          <w:lang w:val="es-ES"/>
        </w:rPr>
        <w:t>elaborase una propuesta de institución de acogida del programa internacional específico, que incluyes</w:t>
      </w:r>
      <w:r w:rsidR="00994281" w:rsidRPr="008453FB">
        <w:rPr>
          <w:sz w:val="20"/>
          <w:lang w:val="es-ES"/>
        </w:rPr>
        <w:t>e</w:t>
      </w:r>
      <w:r w:rsidR="00EB4BAF" w:rsidRPr="008453FB">
        <w:rPr>
          <w:sz w:val="20"/>
          <w:lang w:val="es-ES"/>
        </w:rPr>
        <w:t xml:space="preserve"> todo arreglo necesario con la institución de acogida, </w:t>
      </w:r>
      <w:r w:rsidR="00EB4BAF" w:rsidRPr="008453FB">
        <w:rPr>
          <w:sz w:val="20"/>
          <w:lang w:val="es-ES"/>
        </w:rPr>
        <w:lastRenderedPageBreak/>
        <w:t>así como orientaciones sobre el funcionamiento y la duración de ese programa, para que la Conferencia de las Partes las examinara en su primera reunión</w:t>
      </w:r>
      <w:r w:rsidR="00377217" w:rsidRPr="008453FB">
        <w:rPr>
          <w:color w:val="000000"/>
          <w:sz w:val="20"/>
          <w:lang w:val="es-ES" w:eastAsia="zh-CN"/>
        </w:rPr>
        <w:t>.</w:t>
      </w:r>
    </w:p>
    <w:p w:rsidR="00377217" w:rsidRPr="008453FB" w:rsidRDefault="004E7103" w:rsidP="00F429F7">
      <w:pPr>
        <w:pStyle w:val="Normalnumber"/>
        <w:keepNext/>
        <w:keepLines/>
        <w:ind w:left="1247"/>
        <w:rPr>
          <w:sz w:val="20"/>
          <w:lang w:val="es-ES"/>
        </w:rPr>
      </w:pPr>
      <w:r w:rsidRPr="008453FB">
        <w:rPr>
          <w:iCs/>
          <w:sz w:val="20"/>
          <w:lang w:val="es-ES"/>
        </w:rPr>
        <w:t>3.</w:t>
      </w:r>
      <w:r w:rsidRPr="008453FB">
        <w:rPr>
          <w:iCs/>
          <w:sz w:val="20"/>
          <w:lang w:val="es-ES"/>
        </w:rPr>
        <w:tab/>
      </w:r>
      <w:r w:rsidR="00EB4BAF" w:rsidRPr="008453FB">
        <w:rPr>
          <w:iCs/>
          <w:sz w:val="20"/>
          <w:lang w:val="es-ES"/>
        </w:rPr>
        <w:t xml:space="preserve">El Comité seleccionó a la </w:t>
      </w:r>
      <w:r w:rsidR="00CF621A" w:rsidRPr="008453FB">
        <w:rPr>
          <w:sz w:val="20"/>
          <w:lang w:val="es-ES"/>
        </w:rPr>
        <w:t>Sra.</w:t>
      </w:r>
      <w:r w:rsidR="00377217" w:rsidRPr="008453FB">
        <w:rPr>
          <w:sz w:val="20"/>
          <w:lang w:val="es-ES"/>
        </w:rPr>
        <w:t xml:space="preserve"> </w:t>
      </w:r>
      <w:proofErr w:type="spellStart"/>
      <w:r w:rsidR="00377217" w:rsidRPr="008453FB">
        <w:rPr>
          <w:sz w:val="20"/>
          <w:lang w:val="es-ES"/>
        </w:rPr>
        <w:t>Gillian</w:t>
      </w:r>
      <w:proofErr w:type="spellEnd"/>
      <w:r w:rsidR="00377217" w:rsidRPr="008453FB">
        <w:rPr>
          <w:sz w:val="20"/>
          <w:lang w:val="es-ES"/>
        </w:rPr>
        <w:t xml:space="preserve"> </w:t>
      </w:r>
      <w:proofErr w:type="spellStart"/>
      <w:r w:rsidR="00377217" w:rsidRPr="008453FB">
        <w:rPr>
          <w:sz w:val="20"/>
          <w:lang w:val="es-ES"/>
        </w:rPr>
        <w:t>Guthrie</w:t>
      </w:r>
      <w:proofErr w:type="spellEnd"/>
      <w:r w:rsidR="00377217" w:rsidRPr="008453FB">
        <w:rPr>
          <w:sz w:val="20"/>
          <w:lang w:val="es-ES"/>
        </w:rPr>
        <w:t xml:space="preserve"> (Jamaica)</w:t>
      </w:r>
      <w:r w:rsidR="00EB4BAF" w:rsidRPr="008453FB">
        <w:rPr>
          <w:sz w:val="20"/>
          <w:lang w:val="es-ES"/>
        </w:rPr>
        <w:t xml:space="preserve"> y al </w:t>
      </w:r>
      <w:r w:rsidR="00CF621A" w:rsidRPr="008453FB">
        <w:rPr>
          <w:sz w:val="20"/>
          <w:lang w:val="es-ES"/>
        </w:rPr>
        <w:t>Sr.</w:t>
      </w:r>
      <w:r w:rsidR="00377217" w:rsidRPr="008453FB">
        <w:rPr>
          <w:sz w:val="20"/>
          <w:lang w:val="es-ES"/>
        </w:rPr>
        <w:t xml:space="preserve"> Greg Filyk (</w:t>
      </w:r>
      <w:r w:rsidR="00EB4BAF" w:rsidRPr="008453FB">
        <w:rPr>
          <w:sz w:val="20"/>
          <w:lang w:val="es-ES"/>
        </w:rPr>
        <w:t>Canadá</w:t>
      </w:r>
      <w:r w:rsidR="00377217" w:rsidRPr="008453FB">
        <w:rPr>
          <w:sz w:val="20"/>
          <w:lang w:val="es-ES"/>
        </w:rPr>
        <w:t xml:space="preserve">) </w:t>
      </w:r>
      <w:r w:rsidR="00BA28E2" w:rsidRPr="008453FB">
        <w:rPr>
          <w:sz w:val="20"/>
          <w:lang w:val="es-ES"/>
        </w:rPr>
        <w:t>como copresidentes del grupo de trabajo especial de expertos sobre financiación y les pidió que presentasen los aportes solicitados al Comité durante el séptimo período de sesiones en forma de un informe de los copresidentes sobre la labor del grupo. El Comité solicitó también a la Secretaría provisional</w:t>
      </w:r>
      <w:r w:rsidR="00377217" w:rsidRPr="008453FB">
        <w:rPr>
          <w:iCs/>
          <w:sz w:val="20"/>
          <w:lang w:val="es-ES"/>
        </w:rPr>
        <w:t xml:space="preserve"> </w:t>
      </w:r>
      <w:r w:rsidR="00BA28E2" w:rsidRPr="008453FB">
        <w:rPr>
          <w:sz w:val="20"/>
          <w:lang w:val="es-ES"/>
        </w:rPr>
        <w:t>que solicitase de las Partes representadas en el Comité observaciones sobre el mandato mencionado anteriormente y las recopilase, y que preparase después un documento en el que se esbozasen las opciones en materia de instituciones de acogida para el programa internacional específico y toda la información disponible sobre los arreglos con las instituciones de acogida, con el fin de facilitar la labor del grupo especial de expertos antes de su reunión</w:t>
      </w:r>
      <w:r w:rsidR="00377217" w:rsidRPr="008453FB">
        <w:rPr>
          <w:sz w:val="20"/>
          <w:lang w:val="es-ES"/>
        </w:rPr>
        <w:t>.</w:t>
      </w:r>
    </w:p>
    <w:p w:rsidR="00377217" w:rsidRPr="008453FB" w:rsidRDefault="004E7103" w:rsidP="00F429F7">
      <w:pPr>
        <w:pStyle w:val="Normalnumber"/>
        <w:ind w:left="1247"/>
        <w:rPr>
          <w:sz w:val="20"/>
          <w:lang w:val="es-ES"/>
        </w:rPr>
      </w:pPr>
      <w:r w:rsidRPr="008453FB">
        <w:rPr>
          <w:sz w:val="20"/>
          <w:lang w:val="es-ES"/>
        </w:rPr>
        <w:t>4.</w:t>
      </w:r>
      <w:r w:rsidRPr="008453FB">
        <w:rPr>
          <w:sz w:val="20"/>
          <w:lang w:val="es-ES"/>
        </w:rPr>
        <w:tab/>
      </w:r>
      <w:r w:rsidR="00BA28E2" w:rsidRPr="008453FB">
        <w:rPr>
          <w:sz w:val="20"/>
          <w:lang w:val="es-ES"/>
        </w:rPr>
        <w:t xml:space="preserve">Con anterioridad al séptimo período de sesiones del Comité, el grupo de trabajo especial de expertos organizó una reunión entre </w:t>
      </w:r>
      <w:r w:rsidRPr="008453FB">
        <w:rPr>
          <w:sz w:val="20"/>
          <w:lang w:val="es-ES"/>
        </w:rPr>
        <w:t>períodos de sesión</w:t>
      </w:r>
      <w:r w:rsidR="00BA28E2" w:rsidRPr="008453FB">
        <w:rPr>
          <w:sz w:val="20"/>
          <w:lang w:val="es-ES"/>
        </w:rPr>
        <w:t xml:space="preserve">, celebrada en </w:t>
      </w:r>
      <w:r w:rsidR="00C35A2C" w:rsidRPr="008453FB">
        <w:rPr>
          <w:sz w:val="20"/>
          <w:lang w:val="es-ES"/>
        </w:rPr>
        <w:t xml:space="preserve">Sao Paulo </w:t>
      </w:r>
      <w:r w:rsidR="00BA28E2" w:rsidRPr="008453FB">
        <w:rPr>
          <w:sz w:val="20"/>
          <w:lang w:val="es-ES"/>
        </w:rPr>
        <w:t xml:space="preserve">(Brasil) del 26 al 29 de octubre de 2015 por invitación del </w:t>
      </w:r>
      <w:r w:rsidR="0001415B" w:rsidRPr="008453FB">
        <w:rPr>
          <w:sz w:val="20"/>
          <w:lang w:val="es-ES"/>
        </w:rPr>
        <w:t xml:space="preserve">Gobierno </w:t>
      </w:r>
      <w:r w:rsidR="00BA28E2" w:rsidRPr="008453FB">
        <w:rPr>
          <w:sz w:val="20"/>
          <w:lang w:val="es-ES"/>
        </w:rPr>
        <w:t xml:space="preserve">del Brasil y con el apoyo económico del </w:t>
      </w:r>
      <w:r w:rsidR="0001415B" w:rsidRPr="008453FB">
        <w:rPr>
          <w:sz w:val="20"/>
          <w:lang w:val="es-ES"/>
        </w:rPr>
        <w:t xml:space="preserve">Gobierno </w:t>
      </w:r>
      <w:r w:rsidR="00BA28E2" w:rsidRPr="008453FB">
        <w:rPr>
          <w:sz w:val="20"/>
          <w:lang w:val="es-ES"/>
        </w:rPr>
        <w:t xml:space="preserve">de Alemania. </w:t>
      </w:r>
      <w:r w:rsidR="0001415B">
        <w:rPr>
          <w:sz w:val="20"/>
          <w:lang w:val="es-ES"/>
        </w:rPr>
        <w:t>Dieciocho</w:t>
      </w:r>
      <w:r w:rsidR="00BA28E2" w:rsidRPr="008453FB">
        <w:rPr>
          <w:sz w:val="20"/>
          <w:lang w:val="es-ES"/>
        </w:rPr>
        <w:t xml:space="preserve"> expertos designados por los cinco grupos regionales de las </w:t>
      </w:r>
      <w:r w:rsidR="008453FB">
        <w:rPr>
          <w:sz w:val="20"/>
          <w:lang w:val="es-ES"/>
        </w:rPr>
        <w:t>Naciones Unidas</w:t>
      </w:r>
      <w:r w:rsidR="00BA28E2" w:rsidRPr="008453FB">
        <w:rPr>
          <w:sz w:val="20"/>
          <w:lang w:val="es-ES"/>
        </w:rPr>
        <w:t xml:space="preserve"> acudieron a la reunión</w:t>
      </w:r>
      <w:r w:rsidR="00BD2782" w:rsidRPr="008453FB">
        <w:rPr>
          <w:sz w:val="20"/>
          <w:lang w:val="es-ES"/>
        </w:rPr>
        <w:t xml:space="preserve">, </w:t>
      </w:r>
      <w:r w:rsidR="00BA28E2" w:rsidRPr="008453FB">
        <w:rPr>
          <w:sz w:val="20"/>
          <w:lang w:val="es-ES"/>
        </w:rPr>
        <w:t>a la que prest</w:t>
      </w:r>
      <w:r w:rsidR="00FC0E02" w:rsidRPr="008453FB">
        <w:rPr>
          <w:sz w:val="20"/>
          <w:lang w:val="es-ES"/>
        </w:rPr>
        <w:t>aron</w:t>
      </w:r>
      <w:r w:rsidR="00BA28E2" w:rsidRPr="008453FB">
        <w:rPr>
          <w:sz w:val="20"/>
          <w:lang w:val="es-ES"/>
        </w:rPr>
        <w:t xml:space="preserve"> su apoyo el presidente del </w:t>
      </w:r>
      <w:r w:rsidR="008C1F19">
        <w:rPr>
          <w:sz w:val="20"/>
          <w:lang w:val="es-ES"/>
        </w:rPr>
        <w:t>Comité Intergubernamental de Negociación</w:t>
      </w:r>
      <w:r w:rsidR="00BA28E2" w:rsidRPr="008453FB">
        <w:rPr>
          <w:sz w:val="20"/>
          <w:lang w:val="es-ES"/>
        </w:rPr>
        <w:t xml:space="preserve"> </w:t>
      </w:r>
      <w:r w:rsidR="00FC0E02" w:rsidRPr="008453FB">
        <w:rPr>
          <w:sz w:val="20"/>
          <w:lang w:val="es-ES"/>
        </w:rPr>
        <w:t>y la Secretaría</w:t>
      </w:r>
      <w:r w:rsidR="00377217" w:rsidRPr="008453FB">
        <w:rPr>
          <w:sz w:val="20"/>
          <w:lang w:val="es-ES"/>
        </w:rPr>
        <w:t xml:space="preserve">. </w:t>
      </w:r>
      <w:r w:rsidR="00FC0E02" w:rsidRPr="008453FB">
        <w:rPr>
          <w:sz w:val="20"/>
          <w:lang w:val="es-ES"/>
        </w:rPr>
        <w:t>La Secretaría de</w:t>
      </w:r>
      <w:r w:rsidR="00D81466" w:rsidRPr="008453FB">
        <w:rPr>
          <w:sz w:val="20"/>
          <w:lang w:val="es-ES"/>
        </w:rPr>
        <w:t>l Fondo para el Medio Ambiente Mundial (FMAM) participó en calidad de observadora</w:t>
      </w:r>
      <w:r w:rsidR="00377217" w:rsidRPr="008453FB">
        <w:rPr>
          <w:sz w:val="20"/>
          <w:lang w:val="es-ES"/>
        </w:rPr>
        <w:t xml:space="preserve">. </w:t>
      </w:r>
      <w:r w:rsidR="0002672A">
        <w:rPr>
          <w:sz w:val="20"/>
          <w:lang w:val="es-ES"/>
        </w:rPr>
        <w:t>L</w:t>
      </w:r>
      <w:r w:rsidR="0002672A" w:rsidRPr="008453FB">
        <w:rPr>
          <w:sz w:val="20"/>
          <w:lang w:val="es-ES"/>
        </w:rPr>
        <w:t xml:space="preserve">a lista de expertos </w:t>
      </w:r>
      <w:r w:rsidR="0002672A">
        <w:rPr>
          <w:sz w:val="20"/>
          <w:lang w:val="es-ES"/>
        </w:rPr>
        <w:t xml:space="preserve">designados figura </w:t>
      </w:r>
      <w:r w:rsidR="0002672A" w:rsidRPr="008453FB">
        <w:rPr>
          <w:sz w:val="20"/>
          <w:lang w:val="es-ES"/>
        </w:rPr>
        <w:t>en el anexo II de la presente nota</w:t>
      </w:r>
      <w:r w:rsidR="0002672A">
        <w:rPr>
          <w:sz w:val="20"/>
          <w:lang w:val="es-ES"/>
        </w:rPr>
        <w:t>.</w:t>
      </w:r>
    </w:p>
    <w:p w:rsidR="00377217" w:rsidRPr="008453FB" w:rsidRDefault="004E7103" w:rsidP="00F429F7">
      <w:pPr>
        <w:pStyle w:val="Normalnumber"/>
        <w:ind w:left="1247"/>
        <w:rPr>
          <w:sz w:val="20"/>
          <w:lang w:val="es-ES"/>
        </w:rPr>
      </w:pPr>
      <w:r w:rsidRPr="008453FB">
        <w:rPr>
          <w:sz w:val="20"/>
          <w:lang w:val="es-ES"/>
        </w:rPr>
        <w:t>5.</w:t>
      </w:r>
      <w:r w:rsidRPr="008453FB">
        <w:rPr>
          <w:sz w:val="20"/>
          <w:lang w:val="es-ES"/>
        </w:rPr>
        <w:tab/>
      </w:r>
      <w:r w:rsidR="00D81466" w:rsidRPr="008453FB">
        <w:rPr>
          <w:sz w:val="20"/>
          <w:lang w:val="es-ES"/>
        </w:rPr>
        <w:t xml:space="preserve">Los resultados de la reunión aparecen reproducidos en el anexo </w:t>
      </w:r>
      <w:r w:rsidR="00377217" w:rsidRPr="008453FB">
        <w:rPr>
          <w:sz w:val="20"/>
          <w:lang w:val="es-ES"/>
        </w:rPr>
        <w:t>I</w:t>
      </w:r>
      <w:r w:rsidR="00D81466" w:rsidRPr="008453FB">
        <w:rPr>
          <w:sz w:val="20"/>
          <w:lang w:val="es-ES"/>
        </w:rPr>
        <w:t xml:space="preserve"> de la presente nota en forma de un informe de los copresidentes</w:t>
      </w:r>
      <w:r w:rsidR="00377217" w:rsidRPr="008453FB">
        <w:rPr>
          <w:sz w:val="20"/>
          <w:lang w:val="es-ES"/>
        </w:rPr>
        <w:t xml:space="preserve">. </w:t>
      </w:r>
      <w:r w:rsidR="00D81466" w:rsidRPr="008453FB">
        <w:rPr>
          <w:sz w:val="20"/>
          <w:lang w:val="es-ES"/>
        </w:rPr>
        <w:t>El informe refleja los debates mantenidos y detalla las opiniones expresadas a propósito de la institución de acogida del programa internacional específico, incluido todo arreglo necesario con la institución de acogida, así como orientaciones sobre el funcionamiento y la duración de ese programa</w:t>
      </w:r>
      <w:r w:rsidR="00377217" w:rsidRPr="008453FB">
        <w:rPr>
          <w:sz w:val="20"/>
          <w:lang w:val="es-ES"/>
        </w:rPr>
        <w:t xml:space="preserve">. </w:t>
      </w:r>
      <w:r w:rsidR="00D81466" w:rsidRPr="008453FB">
        <w:rPr>
          <w:sz w:val="20"/>
          <w:lang w:val="es-ES"/>
        </w:rPr>
        <w:t>El informe de los copresidentes no es un documento negociado. Su propósito es el de reflejar elementos de los debates de la reunión, incluidos puntos en los que exist</w:t>
      </w:r>
      <w:r w:rsidR="00994281" w:rsidRPr="008453FB">
        <w:rPr>
          <w:sz w:val="20"/>
          <w:lang w:val="es-ES"/>
        </w:rPr>
        <w:t>ió</w:t>
      </w:r>
      <w:r w:rsidR="00D81466" w:rsidRPr="008453FB">
        <w:rPr>
          <w:sz w:val="20"/>
          <w:lang w:val="es-ES"/>
        </w:rPr>
        <w:t xml:space="preserve"> coincidencia de opiniones</w:t>
      </w:r>
      <w:r w:rsidR="00377217" w:rsidRPr="008453FB">
        <w:rPr>
          <w:sz w:val="20"/>
          <w:lang w:val="es-ES"/>
        </w:rPr>
        <w:t>.</w:t>
      </w:r>
    </w:p>
    <w:p w:rsidR="00377217" w:rsidRPr="008453FB" w:rsidRDefault="004E7103" w:rsidP="00F429F7">
      <w:pPr>
        <w:pStyle w:val="Normalnumber"/>
        <w:ind w:left="1247"/>
        <w:rPr>
          <w:sz w:val="20"/>
          <w:lang w:val="es-ES" w:eastAsia="zh-CN"/>
        </w:rPr>
      </w:pPr>
      <w:r w:rsidRPr="008453FB">
        <w:rPr>
          <w:sz w:val="20"/>
          <w:lang w:val="es-ES"/>
        </w:rPr>
        <w:t>6.</w:t>
      </w:r>
      <w:r w:rsidRPr="008453FB">
        <w:rPr>
          <w:sz w:val="20"/>
          <w:lang w:val="es-ES"/>
        </w:rPr>
        <w:tab/>
      </w:r>
      <w:r w:rsidR="00D81466" w:rsidRPr="008453FB">
        <w:rPr>
          <w:sz w:val="20"/>
          <w:lang w:val="es-ES"/>
        </w:rPr>
        <w:t>El Comité quizá desee considerar el informe de los copresidentes</w:t>
      </w:r>
      <w:r w:rsidR="00994281" w:rsidRPr="008453FB">
        <w:rPr>
          <w:sz w:val="20"/>
          <w:lang w:val="es-ES"/>
        </w:rPr>
        <w:t xml:space="preserve"> y utilizarlo como base para la elaboración </w:t>
      </w:r>
      <w:r w:rsidR="00D81466" w:rsidRPr="008453FB">
        <w:rPr>
          <w:sz w:val="20"/>
          <w:lang w:val="es-ES"/>
        </w:rPr>
        <w:t>de una propuesta a propósito de la institución de acogida</w:t>
      </w:r>
      <w:r w:rsidR="00FF64DF" w:rsidRPr="008453FB">
        <w:rPr>
          <w:sz w:val="20"/>
          <w:lang w:val="es-ES"/>
        </w:rPr>
        <w:t xml:space="preserve"> y </w:t>
      </w:r>
      <w:r w:rsidRPr="008453FB">
        <w:rPr>
          <w:sz w:val="20"/>
          <w:lang w:val="es-ES"/>
        </w:rPr>
        <w:t>un</w:t>
      </w:r>
      <w:r w:rsidR="00FF64DF" w:rsidRPr="008453FB">
        <w:rPr>
          <w:sz w:val="20"/>
          <w:lang w:val="es-ES"/>
        </w:rPr>
        <w:t xml:space="preserve"> proyecto </w:t>
      </w:r>
      <w:r w:rsidR="00D81466" w:rsidRPr="008453FB">
        <w:rPr>
          <w:sz w:val="20"/>
          <w:lang w:val="es-ES"/>
        </w:rPr>
        <w:t>de orientación para el programa internacional específico, a fin de remitirlo a la Conferencia de las Partes durante su primera reunión</w:t>
      </w:r>
      <w:r w:rsidR="00741041" w:rsidRPr="008453FB">
        <w:rPr>
          <w:sz w:val="20"/>
          <w:lang w:val="es-ES"/>
        </w:rPr>
        <w:t xml:space="preserve"> para su examen y posible aprobación</w:t>
      </w:r>
      <w:r w:rsidR="00377217" w:rsidRPr="008453FB">
        <w:rPr>
          <w:sz w:val="20"/>
          <w:lang w:val="es-ES"/>
        </w:rPr>
        <w:t xml:space="preserve">. </w:t>
      </w:r>
    </w:p>
    <w:p w:rsidR="00377217" w:rsidRPr="008453FB" w:rsidRDefault="00377217" w:rsidP="00A402C9">
      <w:pPr>
        <w:pStyle w:val="ZZAnxheader"/>
        <w:rPr>
          <w:lang w:val="es-ES"/>
        </w:rPr>
      </w:pPr>
      <w:r w:rsidRPr="008453FB">
        <w:rPr>
          <w:lang w:val="es-ES"/>
        </w:rPr>
        <w:br w:type="page"/>
      </w:r>
      <w:r w:rsidR="00741041" w:rsidRPr="008453FB">
        <w:rPr>
          <w:lang w:val="es-ES"/>
        </w:rPr>
        <w:t xml:space="preserve">Anexo </w:t>
      </w:r>
      <w:r w:rsidRPr="008453FB">
        <w:rPr>
          <w:lang w:val="es-ES"/>
        </w:rPr>
        <w:t>I</w:t>
      </w:r>
    </w:p>
    <w:p w:rsidR="00741041" w:rsidRPr="008453FB" w:rsidRDefault="00741041" w:rsidP="00F429F7">
      <w:pPr>
        <w:pStyle w:val="ZZAnxtitle"/>
        <w:rPr>
          <w:lang w:val="es-ES"/>
        </w:rPr>
      </w:pPr>
      <w:r w:rsidRPr="008453FB">
        <w:rPr>
          <w:lang w:val="es-ES"/>
        </w:rPr>
        <w:t xml:space="preserve">Informe de los copresidentes del grupo de trabajo especial de expertos sobre financiación establecido en el sexto período de sesiones del </w:t>
      </w:r>
      <w:r w:rsidR="008C1F19">
        <w:rPr>
          <w:lang w:val="es-ES"/>
        </w:rPr>
        <w:t>Comité Intergubernamental de Negociación</w:t>
      </w:r>
      <w:r w:rsidRPr="008453FB">
        <w:rPr>
          <w:lang w:val="es-ES"/>
        </w:rPr>
        <w:t xml:space="preserve"> </w:t>
      </w:r>
    </w:p>
    <w:p w:rsidR="00377217" w:rsidRPr="008453FB" w:rsidRDefault="0093282D" w:rsidP="00F429F7">
      <w:pPr>
        <w:pStyle w:val="CH1"/>
        <w:rPr>
          <w:lang w:val="es-ES" w:eastAsia="zh-CN"/>
        </w:rPr>
      </w:pPr>
      <w:r w:rsidRPr="008453FB">
        <w:rPr>
          <w:lang w:val="es-ES" w:eastAsia="zh-CN"/>
        </w:rPr>
        <w:tab/>
      </w:r>
      <w:r w:rsidRPr="008453FB">
        <w:rPr>
          <w:lang w:val="es-ES" w:eastAsia="zh-CN"/>
        </w:rPr>
        <w:tab/>
      </w:r>
      <w:r w:rsidR="00377217" w:rsidRPr="008453FB">
        <w:rPr>
          <w:lang w:val="es-ES" w:eastAsia="zh-CN"/>
        </w:rPr>
        <w:t>Context</w:t>
      </w:r>
      <w:r w:rsidR="00741041" w:rsidRPr="008453FB">
        <w:rPr>
          <w:lang w:val="es-ES" w:eastAsia="zh-CN"/>
        </w:rPr>
        <w:t>o</w:t>
      </w:r>
    </w:p>
    <w:p w:rsidR="00377217" w:rsidRPr="008453FB" w:rsidRDefault="00741041" w:rsidP="00FF64DF">
      <w:pPr>
        <w:pStyle w:val="Normalnumber"/>
        <w:numPr>
          <w:ilvl w:val="0"/>
          <w:numId w:val="5"/>
        </w:numPr>
        <w:tabs>
          <w:tab w:val="clear" w:pos="1758"/>
        </w:tabs>
        <w:ind w:left="1247"/>
        <w:rPr>
          <w:sz w:val="20"/>
          <w:lang w:val="es-ES" w:eastAsia="zh-CN"/>
        </w:rPr>
      </w:pPr>
      <w:r w:rsidRPr="008453FB">
        <w:rPr>
          <w:sz w:val="20"/>
          <w:lang w:val="es-ES" w:eastAsia="zh-CN"/>
        </w:rPr>
        <w:t xml:space="preserve">El grupo de trabajo especial de expertos sobre financiación se reunió en </w:t>
      </w:r>
      <w:r w:rsidR="00377217" w:rsidRPr="008453FB">
        <w:rPr>
          <w:sz w:val="20"/>
          <w:lang w:val="es-ES" w:eastAsia="zh-CN"/>
        </w:rPr>
        <w:t xml:space="preserve">Sao Paulo </w:t>
      </w:r>
      <w:r w:rsidRPr="008453FB">
        <w:rPr>
          <w:sz w:val="20"/>
          <w:lang w:val="es-ES" w:eastAsia="zh-CN"/>
        </w:rPr>
        <w:t>(Bras</w:t>
      </w:r>
      <w:r w:rsidR="00377217" w:rsidRPr="008453FB">
        <w:rPr>
          <w:sz w:val="20"/>
          <w:lang w:val="es-ES" w:eastAsia="zh-CN"/>
        </w:rPr>
        <w:t>il</w:t>
      </w:r>
      <w:r w:rsidR="008453FB">
        <w:rPr>
          <w:sz w:val="20"/>
          <w:lang w:val="es-ES" w:eastAsia="zh-CN"/>
        </w:rPr>
        <w:t>) del </w:t>
      </w:r>
      <w:r w:rsidRPr="008453FB">
        <w:rPr>
          <w:sz w:val="20"/>
          <w:lang w:val="es-ES" w:eastAsia="zh-CN"/>
        </w:rPr>
        <w:t>26 al 29 de octubre de 2015</w:t>
      </w:r>
      <w:r w:rsidR="00377217" w:rsidRPr="008453FB">
        <w:rPr>
          <w:sz w:val="20"/>
          <w:lang w:val="es-ES" w:eastAsia="zh-CN"/>
        </w:rPr>
        <w:t xml:space="preserve"> </w:t>
      </w:r>
      <w:r w:rsidRPr="008453FB">
        <w:rPr>
          <w:sz w:val="20"/>
          <w:lang w:val="es-ES" w:eastAsia="zh-CN"/>
        </w:rPr>
        <w:t xml:space="preserve">por amable invitación del </w:t>
      </w:r>
      <w:r w:rsidR="0001415B">
        <w:rPr>
          <w:sz w:val="20"/>
          <w:lang w:val="es-ES" w:eastAsia="zh-CN"/>
        </w:rPr>
        <w:t>G</w:t>
      </w:r>
      <w:r w:rsidRPr="008453FB">
        <w:rPr>
          <w:sz w:val="20"/>
          <w:lang w:val="es-ES" w:eastAsia="zh-CN"/>
        </w:rPr>
        <w:t xml:space="preserve">obierno del Brasil; la reunión se </w:t>
      </w:r>
      <w:r w:rsidR="0002672A">
        <w:rPr>
          <w:sz w:val="20"/>
          <w:lang w:val="es-ES" w:eastAsia="zh-CN"/>
        </w:rPr>
        <w:t xml:space="preserve">organizó </w:t>
      </w:r>
      <w:r w:rsidRPr="008453FB">
        <w:rPr>
          <w:sz w:val="20"/>
          <w:lang w:val="es-ES" w:eastAsia="zh-CN"/>
        </w:rPr>
        <w:t xml:space="preserve">con el apoyo del Centro Regional del Convenio de Estocolmo para la Creación de Capacidad y la Transferencia de Tecnología </w:t>
      </w:r>
      <w:r w:rsidR="00994281" w:rsidRPr="008453FB">
        <w:rPr>
          <w:sz w:val="20"/>
          <w:lang w:val="es-ES" w:eastAsia="zh-CN"/>
        </w:rPr>
        <w:t>en</w:t>
      </w:r>
      <w:r w:rsidRPr="008453FB">
        <w:rPr>
          <w:sz w:val="20"/>
          <w:lang w:val="es-ES" w:eastAsia="zh-CN"/>
        </w:rPr>
        <w:t xml:space="preserve"> la región de América Latina y el Caribe</w:t>
      </w:r>
      <w:r w:rsidR="00377217" w:rsidRPr="008453FB">
        <w:rPr>
          <w:sz w:val="20"/>
          <w:lang w:val="es-ES" w:eastAsia="zh-CN"/>
        </w:rPr>
        <w:t>.</w:t>
      </w:r>
    </w:p>
    <w:p w:rsidR="00377217" w:rsidRPr="008453FB" w:rsidRDefault="005D7C78" w:rsidP="00FF64DF">
      <w:pPr>
        <w:pStyle w:val="Normalnumber"/>
        <w:numPr>
          <w:ilvl w:val="0"/>
          <w:numId w:val="5"/>
        </w:numPr>
        <w:tabs>
          <w:tab w:val="clear" w:pos="1758"/>
        </w:tabs>
        <w:ind w:left="1247"/>
        <w:rPr>
          <w:sz w:val="20"/>
          <w:lang w:val="es-ES" w:eastAsia="zh-CN"/>
        </w:rPr>
      </w:pPr>
      <w:r w:rsidRPr="008453FB">
        <w:rPr>
          <w:sz w:val="20"/>
          <w:lang w:val="es-ES" w:eastAsia="zh-CN"/>
        </w:rPr>
        <w:t xml:space="preserve">El mandato del grupo de trabajo especial de expertos sobre financiación establecido en el sexto período de sesiones del </w:t>
      </w:r>
      <w:r w:rsidR="008C1F19">
        <w:rPr>
          <w:sz w:val="20"/>
          <w:lang w:val="es-ES" w:eastAsia="zh-CN"/>
        </w:rPr>
        <w:t>Comité Intergubernamental de Negociación</w:t>
      </w:r>
      <w:r w:rsidRPr="008453FB">
        <w:rPr>
          <w:sz w:val="20"/>
          <w:lang w:val="es-ES" w:eastAsia="zh-CN"/>
        </w:rPr>
        <w:t xml:space="preserve"> se cifraba en </w:t>
      </w:r>
      <w:r w:rsidRPr="008453FB">
        <w:rPr>
          <w:sz w:val="20"/>
          <w:lang w:val="es-ES"/>
        </w:rPr>
        <w:t xml:space="preserve">proporcionar al Comité en su séptimo período de sesiones información relativa a la aplicación de la decisión de la Conferencia de Plenipotenciarios, como se indica en el párrafo 6 de la resolución </w:t>
      </w:r>
      <w:r w:rsidRPr="008453FB">
        <w:rPr>
          <w:sz w:val="20"/>
          <w:lang w:val="es-ES" w:eastAsia="zh-CN"/>
        </w:rPr>
        <w:t xml:space="preserve">sobre arreglos financieros del Acta Final, y concretamente elaborar </w:t>
      </w:r>
      <w:r w:rsidR="00377217" w:rsidRPr="008453FB">
        <w:rPr>
          <w:sz w:val="20"/>
          <w:lang w:val="es-ES" w:eastAsia="zh-CN"/>
        </w:rPr>
        <w:t>“</w:t>
      </w:r>
      <w:r w:rsidRPr="008453FB">
        <w:rPr>
          <w:sz w:val="20"/>
          <w:lang w:val="es-ES"/>
        </w:rPr>
        <w:t>una propuesta de institución de acogida del programa internacional específico, que incluya todo arreglo necesario con la institución de acogida, así como orientaciones sobre el funcionamiento y la duración de ese programa, para que la Conferencia de las Partes las examine en su primera reunión</w:t>
      </w:r>
      <w:r w:rsidR="00377217" w:rsidRPr="008453FB">
        <w:rPr>
          <w:sz w:val="20"/>
          <w:lang w:val="es-ES" w:eastAsia="zh-CN"/>
        </w:rPr>
        <w:t>”</w:t>
      </w:r>
      <w:r w:rsidR="00994281" w:rsidRPr="008453FB">
        <w:rPr>
          <w:sz w:val="20"/>
          <w:lang w:val="es-ES" w:eastAsia="zh-CN"/>
        </w:rPr>
        <w:t>.</w:t>
      </w:r>
    </w:p>
    <w:p w:rsidR="005D7C78" w:rsidRPr="008453FB" w:rsidRDefault="00892825" w:rsidP="005D7C78">
      <w:pPr>
        <w:pStyle w:val="Normalnumber"/>
        <w:ind w:left="1247"/>
        <w:rPr>
          <w:sz w:val="20"/>
          <w:lang w:val="es-ES"/>
        </w:rPr>
      </w:pPr>
      <w:r w:rsidRPr="008453FB">
        <w:rPr>
          <w:sz w:val="20"/>
          <w:lang w:val="es-ES" w:eastAsia="zh-CN"/>
        </w:rPr>
        <w:t>3.</w:t>
      </w:r>
      <w:r w:rsidRPr="008453FB">
        <w:rPr>
          <w:sz w:val="20"/>
          <w:lang w:val="es-ES" w:eastAsia="zh-CN"/>
        </w:rPr>
        <w:tab/>
      </w:r>
      <w:r w:rsidR="005D7C78" w:rsidRPr="008453FB">
        <w:rPr>
          <w:sz w:val="20"/>
          <w:lang w:val="es-ES" w:eastAsia="zh-CN"/>
        </w:rPr>
        <w:t xml:space="preserve">El presente informe de los copresidentes refleja los debates mantenidos y detalla las opiniones expresadas a propósito de la institución de acogida </w:t>
      </w:r>
      <w:r w:rsidR="005D7C78" w:rsidRPr="008453FB">
        <w:rPr>
          <w:sz w:val="20"/>
          <w:lang w:val="es-ES"/>
        </w:rPr>
        <w:t>del programa internacional específico, incluido todo arreglo necesario con la institución de acogida, así como orientaciones sobre el funcionamiento y la duración de ese programa. El informe de los copresidentes no es un documento negociado. Su propósito es el de reflejar elementos de los debates de la reunión, incluidos puntos en los que exista coincidencia de opiniones.</w:t>
      </w:r>
    </w:p>
    <w:p w:rsidR="00377217" w:rsidRPr="008453FB" w:rsidRDefault="00DB651A" w:rsidP="00F429F7">
      <w:pPr>
        <w:pStyle w:val="CH2"/>
        <w:rPr>
          <w:lang w:val="es-ES" w:eastAsia="zh-CN"/>
        </w:rPr>
      </w:pPr>
      <w:r w:rsidRPr="008453FB">
        <w:rPr>
          <w:lang w:val="es-ES"/>
        </w:rPr>
        <w:tab/>
        <w:t>A.</w:t>
      </w:r>
      <w:r w:rsidRPr="008453FB">
        <w:rPr>
          <w:lang w:val="es-ES"/>
        </w:rPr>
        <w:tab/>
      </w:r>
      <w:r w:rsidR="005D7C78" w:rsidRPr="008453FB">
        <w:rPr>
          <w:lang w:val="es-ES"/>
        </w:rPr>
        <w:t>I</w:t>
      </w:r>
      <w:r w:rsidR="005D7C78" w:rsidRPr="008453FB">
        <w:rPr>
          <w:lang w:val="es-ES" w:eastAsia="zh-CN"/>
        </w:rPr>
        <w:t>nstitución de acogida, incluidos los arreglos n</w:t>
      </w:r>
      <w:r w:rsidR="00723A44">
        <w:rPr>
          <w:lang w:val="es-ES" w:eastAsia="zh-CN"/>
        </w:rPr>
        <w:t>ecesarios con la institución de </w:t>
      </w:r>
      <w:r w:rsidR="005D7C78" w:rsidRPr="008453FB">
        <w:rPr>
          <w:lang w:val="es-ES" w:eastAsia="zh-CN"/>
        </w:rPr>
        <w:t xml:space="preserve">acogida </w:t>
      </w:r>
    </w:p>
    <w:p w:rsidR="00377217" w:rsidRPr="008453FB" w:rsidRDefault="005D7C78" w:rsidP="00FF64DF">
      <w:pPr>
        <w:pStyle w:val="Normalnumber"/>
        <w:numPr>
          <w:ilvl w:val="0"/>
          <w:numId w:val="5"/>
        </w:numPr>
        <w:tabs>
          <w:tab w:val="clear" w:pos="1758"/>
        </w:tabs>
        <w:ind w:left="1247"/>
        <w:rPr>
          <w:sz w:val="20"/>
          <w:lang w:val="es-ES" w:eastAsia="zh-CN"/>
        </w:rPr>
      </w:pPr>
      <w:r w:rsidRPr="008453FB">
        <w:rPr>
          <w:sz w:val="20"/>
          <w:lang w:val="es-ES" w:eastAsia="zh-CN"/>
        </w:rPr>
        <w:t xml:space="preserve">Durante su sexto período de </w:t>
      </w:r>
      <w:r w:rsidR="00892825" w:rsidRPr="008453FB">
        <w:rPr>
          <w:sz w:val="20"/>
          <w:lang w:val="es-ES" w:eastAsia="zh-CN"/>
        </w:rPr>
        <w:t>sesiones, el Comité pidió a la s</w:t>
      </w:r>
      <w:r w:rsidRPr="008453FB">
        <w:rPr>
          <w:sz w:val="20"/>
          <w:lang w:val="es-ES" w:eastAsia="zh-CN"/>
        </w:rPr>
        <w:t xml:space="preserve">ecretaría provisional que preparase </w:t>
      </w:r>
      <w:r w:rsidRPr="008453FB">
        <w:rPr>
          <w:sz w:val="20"/>
          <w:lang w:val="es-ES"/>
        </w:rPr>
        <w:t>un documento en el que se esbozasen las opciones en materia de instituciones de acogida para el programa internacional específico y toda la información disponible sobre los arreglos con las instituciones de acogida, con el fin de facilitar la labor del grupo especial de expertos antes de su reunión</w:t>
      </w:r>
      <w:r w:rsidR="00377217" w:rsidRPr="008453FB">
        <w:rPr>
          <w:sz w:val="20"/>
          <w:lang w:val="es-ES" w:eastAsia="zh-CN"/>
        </w:rPr>
        <w:t>.</w:t>
      </w:r>
      <w:r w:rsidR="00F400E6" w:rsidRPr="008453FB">
        <w:rPr>
          <w:sz w:val="20"/>
          <w:lang w:val="es-ES" w:eastAsia="zh-CN"/>
        </w:rPr>
        <w:t xml:space="preserve"> </w:t>
      </w:r>
      <w:r w:rsidR="00892825" w:rsidRPr="008453FB">
        <w:rPr>
          <w:sz w:val="20"/>
          <w:lang w:val="es-ES" w:eastAsia="zh-CN"/>
        </w:rPr>
        <w:t>El documento preparado por la s</w:t>
      </w:r>
      <w:r w:rsidRPr="008453FB">
        <w:rPr>
          <w:sz w:val="20"/>
          <w:lang w:val="es-ES" w:eastAsia="zh-CN"/>
        </w:rPr>
        <w:t xml:space="preserve">ecretaría internacional incluye información sobre una lista no exhaustiva de posibles instituciones de acogida existentes, concretamente el </w:t>
      </w:r>
      <w:r w:rsidRPr="008453FB">
        <w:rPr>
          <w:sz w:val="20"/>
          <w:lang w:val="es-ES"/>
        </w:rPr>
        <w:t>Fondo para el Medio Ambiente Mundial (FMAM)</w:t>
      </w:r>
      <w:r w:rsidR="00377217" w:rsidRPr="008453FB">
        <w:rPr>
          <w:sz w:val="20"/>
          <w:lang w:val="es-ES" w:eastAsia="zh-CN"/>
        </w:rPr>
        <w:t xml:space="preserve">, </w:t>
      </w:r>
      <w:r w:rsidRPr="008453FB">
        <w:rPr>
          <w:sz w:val="20"/>
          <w:lang w:val="es-ES" w:eastAsia="zh-CN"/>
        </w:rPr>
        <w:t xml:space="preserve">el Programa de las </w:t>
      </w:r>
      <w:r w:rsidR="008453FB">
        <w:rPr>
          <w:sz w:val="20"/>
          <w:lang w:val="es-ES" w:eastAsia="zh-CN"/>
        </w:rPr>
        <w:t>Naciones Unidas</w:t>
      </w:r>
      <w:r w:rsidRPr="008453FB">
        <w:rPr>
          <w:sz w:val="20"/>
          <w:lang w:val="es-ES" w:eastAsia="zh-CN"/>
        </w:rPr>
        <w:t xml:space="preserve"> para el Desarrollo (PNUD)</w:t>
      </w:r>
      <w:r w:rsidR="00377217" w:rsidRPr="008453FB">
        <w:rPr>
          <w:sz w:val="20"/>
          <w:lang w:val="es-ES" w:eastAsia="zh-CN"/>
        </w:rPr>
        <w:t xml:space="preserve">, </w:t>
      </w:r>
      <w:r w:rsidRPr="008453FB">
        <w:rPr>
          <w:sz w:val="20"/>
          <w:lang w:val="es-ES" w:eastAsia="zh-CN"/>
        </w:rPr>
        <w:t xml:space="preserve">el Programa de las </w:t>
      </w:r>
      <w:r w:rsidR="008453FB">
        <w:rPr>
          <w:sz w:val="20"/>
          <w:lang w:val="es-ES" w:eastAsia="zh-CN"/>
        </w:rPr>
        <w:t>Naciones Unidas</w:t>
      </w:r>
      <w:r w:rsidRPr="008453FB">
        <w:rPr>
          <w:sz w:val="20"/>
          <w:lang w:val="es-ES" w:eastAsia="zh-CN"/>
        </w:rPr>
        <w:t xml:space="preserve"> para el Medio Ambiente </w:t>
      </w:r>
      <w:r w:rsidR="00377217" w:rsidRPr="008453FB">
        <w:rPr>
          <w:sz w:val="20"/>
          <w:lang w:val="es-ES" w:eastAsia="zh-CN"/>
        </w:rPr>
        <w:t>(</w:t>
      </w:r>
      <w:r w:rsidRPr="008453FB">
        <w:rPr>
          <w:sz w:val="20"/>
          <w:lang w:val="es-ES" w:eastAsia="zh-CN"/>
        </w:rPr>
        <w:t>PNUMA</w:t>
      </w:r>
      <w:r w:rsidR="00377217" w:rsidRPr="008453FB">
        <w:rPr>
          <w:sz w:val="20"/>
          <w:lang w:val="es-ES" w:eastAsia="zh-CN"/>
        </w:rPr>
        <w:t xml:space="preserve">) </w:t>
      </w:r>
      <w:r w:rsidRPr="008453FB">
        <w:rPr>
          <w:sz w:val="20"/>
          <w:lang w:val="es-ES" w:eastAsia="zh-CN"/>
        </w:rPr>
        <w:t>y el Banco Mundial, así como información sobre sus respectivos mandatos, funciones y experiencia pertinente</w:t>
      </w:r>
      <w:r w:rsidR="00BD652B" w:rsidRPr="008453FB">
        <w:rPr>
          <w:sz w:val="20"/>
          <w:lang w:val="es-ES" w:eastAsia="zh-CN"/>
        </w:rPr>
        <w:t>s</w:t>
      </w:r>
      <w:r w:rsidRPr="008453FB">
        <w:rPr>
          <w:sz w:val="20"/>
          <w:lang w:val="es-ES" w:eastAsia="zh-CN"/>
        </w:rPr>
        <w:t xml:space="preserve"> </w:t>
      </w:r>
      <w:r w:rsidR="00BD652B" w:rsidRPr="008453FB">
        <w:rPr>
          <w:sz w:val="20"/>
          <w:lang w:val="es-ES" w:eastAsia="zh-CN"/>
        </w:rPr>
        <w:t>para</w:t>
      </w:r>
      <w:r w:rsidRPr="008453FB">
        <w:rPr>
          <w:sz w:val="20"/>
          <w:lang w:val="es-ES" w:eastAsia="zh-CN"/>
        </w:rPr>
        <w:t xml:space="preserve"> la acogida</w:t>
      </w:r>
      <w:r w:rsidR="00BD652B" w:rsidRPr="008453FB">
        <w:rPr>
          <w:sz w:val="20"/>
          <w:lang w:val="es-ES" w:eastAsia="zh-CN"/>
        </w:rPr>
        <w:t xml:space="preserve"> del programa internacional específico</w:t>
      </w:r>
      <w:r w:rsidR="00377217" w:rsidRPr="008453FB">
        <w:rPr>
          <w:sz w:val="20"/>
          <w:lang w:val="es-ES" w:eastAsia="zh-CN"/>
        </w:rPr>
        <w:t>.</w:t>
      </w:r>
    </w:p>
    <w:p w:rsidR="00377217" w:rsidRPr="008453FB" w:rsidRDefault="00BD652B" w:rsidP="00FF64DF">
      <w:pPr>
        <w:pStyle w:val="Normalnumber"/>
        <w:numPr>
          <w:ilvl w:val="0"/>
          <w:numId w:val="5"/>
        </w:numPr>
        <w:tabs>
          <w:tab w:val="clear" w:pos="1758"/>
        </w:tabs>
        <w:ind w:left="1247"/>
        <w:rPr>
          <w:sz w:val="20"/>
          <w:lang w:val="es-ES" w:eastAsia="zh-CN"/>
        </w:rPr>
      </w:pPr>
      <w:r w:rsidRPr="008453FB">
        <w:rPr>
          <w:sz w:val="20"/>
          <w:lang w:val="es-ES" w:eastAsia="zh-CN"/>
        </w:rPr>
        <w:t>Los expertos identificaron y debatieron una serie de principios y características claves para la selección de una institución de acogida</w:t>
      </w:r>
      <w:r w:rsidR="00377217" w:rsidRPr="008453FB">
        <w:rPr>
          <w:sz w:val="20"/>
          <w:lang w:val="es-ES" w:eastAsia="zh-CN"/>
        </w:rPr>
        <w:t>:</w:t>
      </w:r>
    </w:p>
    <w:p w:rsidR="00377217" w:rsidRPr="008453FB" w:rsidRDefault="00DF7FC8" w:rsidP="00892825">
      <w:pPr>
        <w:pStyle w:val="Normalnumber"/>
        <w:numPr>
          <w:ilvl w:val="0"/>
          <w:numId w:val="6"/>
        </w:numPr>
        <w:ind w:hanging="748"/>
        <w:rPr>
          <w:rFonts w:eastAsia="MS Gothic"/>
          <w:sz w:val="20"/>
          <w:lang w:val="es-ES" w:eastAsia="zh-CN"/>
        </w:rPr>
      </w:pPr>
      <w:r w:rsidRPr="008453FB">
        <w:rPr>
          <w:rFonts w:eastAsia="MS Gothic"/>
          <w:sz w:val="20"/>
          <w:lang w:val="es-ES" w:eastAsia="zh-CN"/>
        </w:rPr>
        <w:t>E</w:t>
      </w:r>
      <w:r w:rsidR="00892825" w:rsidRPr="008453FB">
        <w:rPr>
          <w:rFonts w:eastAsia="MS Gothic"/>
          <w:sz w:val="20"/>
          <w:lang w:val="es-ES" w:eastAsia="zh-CN"/>
        </w:rPr>
        <w:t>strecha relación con el C</w:t>
      </w:r>
      <w:r w:rsidR="002D4509" w:rsidRPr="008453FB">
        <w:rPr>
          <w:rFonts w:eastAsia="MS Gothic"/>
          <w:sz w:val="20"/>
          <w:lang w:val="es-ES" w:eastAsia="zh-CN"/>
        </w:rPr>
        <w:t xml:space="preserve">onvenio de </w:t>
      </w:r>
      <w:r w:rsidRPr="008453FB">
        <w:rPr>
          <w:rFonts w:eastAsia="MS Gothic"/>
          <w:sz w:val="20"/>
          <w:lang w:val="es-ES" w:eastAsia="zh-CN"/>
        </w:rPr>
        <w:t>Mina</w:t>
      </w:r>
      <w:r w:rsidR="002D4509" w:rsidRPr="008453FB">
        <w:rPr>
          <w:rFonts w:eastAsia="MS Gothic"/>
          <w:sz w:val="20"/>
          <w:lang w:val="es-ES" w:eastAsia="zh-CN"/>
        </w:rPr>
        <w:t>mata, o vínculos con él</w:t>
      </w:r>
      <w:r w:rsidR="00377217" w:rsidRPr="008453FB">
        <w:rPr>
          <w:rFonts w:eastAsia="MS Gothic"/>
          <w:sz w:val="20"/>
          <w:lang w:val="es-ES" w:eastAsia="zh-CN"/>
        </w:rPr>
        <w:t>;</w:t>
      </w:r>
    </w:p>
    <w:p w:rsidR="00377217" w:rsidRPr="008453FB" w:rsidRDefault="00DF7FC8" w:rsidP="00892825">
      <w:pPr>
        <w:pStyle w:val="Normalnumber"/>
        <w:numPr>
          <w:ilvl w:val="0"/>
          <w:numId w:val="6"/>
        </w:numPr>
        <w:ind w:hanging="748"/>
        <w:rPr>
          <w:rFonts w:eastAsia="MS Gothic"/>
          <w:sz w:val="20"/>
          <w:lang w:val="es-ES" w:eastAsia="zh-CN"/>
        </w:rPr>
      </w:pPr>
      <w:r w:rsidRPr="008453FB">
        <w:rPr>
          <w:rFonts w:eastAsia="MS Gothic"/>
          <w:sz w:val="20"/>
          <w:lang w:val="es-ES" w:eastAsia="zh-CN"/>
        </w:rPr>
        <w:t>Interés demostrado en acoger el programa internacional específico</w:t>
      </w:r>
      <w:r w:rsidR="00377217" w:rsidRPr="008453FB">
        <w:rPr>
          <w:rFonts w:eastAsia="MS Gothic"/>
          <w:sz w:val="20"/>
          <w:lang w:val="es-ES" w:eastAsia="zh-CN"/>
        </w:rPr>
        <w:t>;</w:t>
      </w:r>
    </w:p>
    <w:p w:rsidR="00377217" w:rsidRPr="008453FB" w:rsidRDefault="00DF7FC8" w:rsidP="00892825">
      <w:pPr>
        <w:pStyle w:val="Normalnumber"/>
        <w:numPr>
          <w:ilvl w:val="0"/>
          <w:numId w:val="6"/>
        </w:numPr>
        <w:tabs>
          <w:tab w:val="clear" w:pos="1247"/>
          <w:tab w:val="clear" w:pos="2495"/>
          <w:tab w:val="left" w:pos="2552"/>
        </w:tabs>
        <w:ind w:left="1276" w:firstLine="567"/>
        <w:rPr>
          <w:rFonts w:eastAsia="MS Gothic"/>
          <w:sz w:val="20"/>
          <w:lang w:val="es-ES" w:eastAsia="zh-CN"/>
        </w:rPr>
      </w:pPr>
      <w:r w:rsidRPr="008453FB">
        <w:rPr>
          <w:rFonts w:eastAsia="MS Gothic"/>
          <w:sz w:val="20"/>
          <w:lang w:val="es-ES" w:eastAsia="zh-CN"/>
        </w:rPr>
        <w:t xml:space="preserve">Complementariedad con el Fondo Fiduciario del FMAM como otro elemento del mecanismo financiero del Convenio de </w:t>
      </w:r>
      <w:r w:rsidR="00377217" w:rsidRPr="008453FB">
        <w:rPr>
          <w:rFonts w:eastAsia="MS Gothic"/>
          <w:sz w:val="20"/>
          <w:lang w:val="es-ES" w:eastAsia="zh-CN"/>
        </w:rPr>
        <w:t>Minamata;</w:t>
      </w:r>
    </w:p>
    <w:p w:rsidR="00377217" w:rsidRPr="008453FB" w:rsidRDefault="00DF7FC8" w:rsidP="00EA6282">
      <w:pPr>
        <w:pStyle w:val="Normalnumber"/>
        <w:numPr>
          <w:ilvl w:val="0"/>
          <w:numId w:val="6"/>
        </w:numPr>
        <w:tabs>
          <w:tab w:val="clear" w:pos="2495"/>
          <w:tab w:val="clear" w:pos="3119"/>
          <w:tab w:val="left" w:pos="1276"/>
          <w:tab w:val="left" w:pos="2552"/>
        </w:tabs>
        <w:ind w:left="1276" w:firstLine="567"/>
        <w:rPr>
          <w:rFonts w:eastAsia="MS Gothic"/>
          <w:sz w:val="20"/>
          <w:lang w:val="es-ES" w:eastAsia="zh-CN"/>
        </w:rPr>
      </w:pPr>
      <w:r w:rsidRPr="008453FB">
        <w:rPr>
          <w:rFonts w:eastAsia="MS Gothic"/>
          <w:sz w:val="20"/>
          <w:lang w:val="es-ES" w:eastAsia="zh-CN"/>
        </w:rPr>
        <w:t>Uso efici</w:t>
      </w:r>
      <w:r w:rsidR="00427B26" w:rsidRPr="008453FB">
        <w:rPr>
          <w:rFonts w:eastAsia="MS Gothic"/>
          <w:sz w:val="20"/>
          <w:lang w:val="es-ES" w:eastAsia="zh-CN"/>
        </w:rPr>
        <w:t>ente de los recursos mediante</w:t>
      </w:r>
      <w:r w:rsidRPr="008453FB">
        <w:rPr>
          <w:rFonts w:eastAsia="MS Gothic"/>
          <w:sz w:val="20"/>
          <w:lang w:val="es-ES" w:eastAsia="zh-CN"/>
        </w:rPr>
        <w:t xml:space="preserve"> beneficios colaterales estructurales y programáticos que resulten de programas y estructuras pertinentes y ya existentes</w:t>
      </w:r>
      <w:r w:rsidR="00377217" w:rsidRPr="008453FB">
        <w:rPr>
          <w:rFonts w:eastAsia="MS Gothic"/>
          <w:sz w:val="20"/>
          <w:lang w:val="es-ES" w:eastAsia="zh-CN"/>
        </w:rPr>
        <w:t>;</w:t>
      </w:r>
    </w:p>
    <w:p w:rsidR="00377217" w:rsidRPr="008453FB" w:rsidRDefault="00DF7FC8" w:rsidP="004C522E">
      <w:pPr>
        <w:pStyle w:val="Normalnumber"/>
        <w:numPr>
          <w:ilvl w:val="0"/>
          <w:numId w:val="6"/>
        </w:numPr>
        <w:tabs>
          <w:tab w:val="clear" w:pos="1247"/>
          <w:tab w:val="clear" w:pos="1871"/>
          <w:tab w:val="clear" w:pos="2495"/>
          <w:tab w:val="left" w:pos="2552"/>
        </w:tabs>
        <w:ind w:left="1276" w:firstLine="567"/>
        <w:rPr>
          <w:rFonts w:eastAsia="MS Gothic"/>
          <w:sz w:val="20"/>
          <w:lang w:val="es-ES" w:eastAsia="zh-CN"/>
        </w:rPr>
      </w:pPr>
      <w:r w:rsidRPr="008453FB">
        <w:rPr>
          <w:rFonts w:eastAsia="MS Gothic"/>
          <w:sz w:val="20"/>
          <w:lang w:val="es-ES" w:eastAsia="zh-CN"/>
        </w:rPr>
        <w:t>Buen historial como institución de acogida de programa</w:t>
      </w:r>
      <w:r w:rsidR="00994281" w:rsidRPr="008453FB">
        <w:rPr>
          <w:rFonts w:eastAsia="MS Gothic"/>
          <w:sz w:val="20"/>
          <w:lang w:val="es-ES" w:eastAsia="zh-CN"/>
        </w:rPr>
        <w:t xml:space="preserve">s de ayuda a la creación de </w:t>
      </w:r>
      <w:r w:rsidR="006316EB" w:rsidRPr="008453FB">
        <w:rPr>
          <w:rFonts w:eastAsia="MS Gothic"/>
          <w:sz w:val="20"/>
          <w:lang w:val="es-ES" w:eastAsia="zh-CN"/>
        </w:rPr>
        <w:t>capacidad</w:t>
      </w:r>
      <w:r w:rsidRPr="008453FB">
        <w:rPr>
          <w:rFonts w:eastAsia="MS Gothic"/>
          <w:sz w:val="20"/>
          <w:lang w:val="es-ES" w:eastAsia="zh-CN"/>
        </w:rPr>
        <w:t xml:space="preserve"> y la asistencia técnica, como indicador de idoneidad para acoger el programa</w:t>
      </w:r>
      <w:r w:rsidR="00377217" w:rsidRPr="008453FB">
        <w:rPr>
          <w:rFonts w:eastAsia="MS Gothic"/>
          <w:sz w:val="20"/>
          <w:lang w:val="es-ES" w:eastAsia="zh-CN"/>
        </w:rPr>
        <w:t>;</w:t>
      </w:r>
    </w:p>
    <w:p w:rsidR="00377217" w:rsidRPr="008453FB" w:rsidRDefault="00DF7FC8" w:rsidP="0037338D">
      <w:pPr>
        <w:pStyle w:val="Normalnumber"/>
        <w:numPr>
          <w:ilvl w:val="0"/>
          <w:numId w:val="6"/>
        </w:numPr>
        <w:tabs>
          <w:tab w:val="clear" w:pos="2495"/>
          <w:tab w:val="clear" w:pos="3119"/>
          <w:tab w:val="left" w:pos="1418"/>
          <w:tab w:val="left" w:pos="2552"/>
        </w:tabs>
        <w:ind w:left="1276" w:firstLine="567"/>
        <w:rPr>
          <w:rFonts w:eastAsia="MS Gothic"/>
          <w:sz w:val="20"/>
          <w:lang w:val="es-ES" w:eastAsia="zh-CN"/>
        </w:rPr>
      </w:pPr>
      <w:r w:rsidRPr="008453FB">
        <w:rPr>
          <w:rFonts w:eastAsia="MS Gothic"/>
          <w:sz w:val="20"/>
          <w:lang w:val="es-ES" w:eastAsia="zh-CN"/>
        </w:rPr>
        <w:t xml:space="preserve">Independencia y capacidad de alcanzar el objetivo del Convenio de </w:t>
      </w:r>
      <w:r w:rsidR="00377217" w:rsidRPr="008453FB">
        <w:rPr>
          <w:rFonts w:eastAsia="MS Gothic"/>
          <w:sz w:val="20"/>
          <w:lang w:val="es-ES" w:eastAsia="zh-CN"/>
        </w:rPr>
        <w:t>Minamata;</w:t>
      </w:r>
    </w:p>
    <w:p w:rsidR="00377217" w:rsidRPr="008453FB" w:rsidRDefault="00DF7FC8" w:rsidP="006A3A92">
      <w:pPr>
        <w:pStyle w:val="Normalnumber"/>
        <w:numPr>
          <w:ilvl w:val="0"/>
          <w:numId w:val="6"/>
        </w:numPr>
        <w:ind w:hanging="748"/>
        <w:rPr>
          <w:rFonts w:eastAsia="MS Gothic"/>
          <w:sz w:val="20"/>
          <w:lang w:val="es-ES" w:eastAsia="zh-CN"/>
        </w:rPr>
      </w:pPr>
      <w:r w:rsidRPr="008453FB">
        <w:rPr>
          <w:rFonts w:eastAsia="MS Gothic"/>
          <w:sz w:val="20"/>
          <w:lang w:val="es-ES" w:eastAsia="zh-CN"/>
        </w:rPr>
        <w:t>Ausencia de conflictos de intereses</w:t>
      </w:r>
      <w:r w:rsidR="00377217" w:rsidRPr="008453FB">
        <w:rPr>
          <w:rFonts w:eastAsia="MS Gothic"/>
          <w:sz w:val="20"/>
          <w:lang w:val="es-ES" w:eastAsia="zh-CN"/>
        </w:rPr>
        <w:t>;</w:t>
      </w:r>
    </w:p>
    <w:p w:rsidR="00377217" w:rsidRPr="008453FB" w:rsidRDefault="0003253F" w:rsidP="006A3A92">
      <w:pPr>
        <w:pStyle w:val="Normalnumber"/>
        <w:numPr>
          <w:ilvl w:val="0"/>
          <w:numId w:val="6"/>
        </w:numPr>
        <w:ind w:hanging="748"/>
        <w:rPr>
          <w:rFonts w:eastAsia="MS Gothic"/>
          <w:sz w:val="20"/>
          <w:lang w:val="es-ES" w:eastAsia="zh-CN"/>
        </w:rPr>
      </w:pPr>
      <w:r w:rsidRPr="008453FB">
        <w:rPr>
          <w:rFonts w:eastAsia="MS Gothic"/>
          <w:sz w:val="20"/>
          <w:lang w:val="es-ES" w:eastAsia="zh-CN"/>
        </w:rPr>
        <w:t>Flexibilidad y fácil acceso a apoyos</w:t>
      </w:r>
      <w:r w:rsidR="00377217" w:rsidRPr="008453FB">
        <w:rPr>
          <w:rFonts w:eastAsia="MS Gothic"/>
          <w:sz w:val="20"/>
          <w:lang w:val="es-ES" w:eastAsia="zh-CN"/>
        </w:rPr>
        <w:t>;</w:t>
      </w:r>
    </w:p>
    <w:p w:rsidR="00377217" w:rsidRPr="008453FB" w:rsidRDefault="0003253F" w:rsidP="006A3A92">
      <w:pPr>
        <w:pStyle w:val="Normalnumber"/>
        <w:numPr>
          <w:ilvl w:val="0"/>
          <w:numId w:val="6"/>
        </w:numPr>
        <w:tabs>
          <w:tab w:val="clear" w:pos="2495"/>
          <w:tab w:val="clear" w:pos="3119"/>
          <w:tab w:val="left" w:pos="1276"/>
          <w:tab w:val="left" w:pos="2552"/>
        </w:tabs>
        <w:ind w:left="1276" w:firstLine="567"/>
        <w:rPr>
          <w:rFonts w:eastAsia="MS Gothic"/>
          <w:sz w:val="20"/>
          <w:lang w:val="es-ES" w:eastAsia="zh-CN"/>
        </w:rPr>
      </w:pPr>
      <w:r w:rsidRPr="008453FB">
        <w:rPr>
          <w:rFonts w:eastAsia="MS Gothic"/>
          <w:sz w:val="20"/>
          <w:lang w:val="es-ES" w:eastAsia="zh-CN"/>
        </w:rPr>
        <w:t>Estructura institucional capaz de llevar a la práctica con eficacia el objetivo del programa y responder a las necesidades de sus integrantes</w:t>
      </w:r>
      <w:r w:rsidR="00377217" w:rsidRPr="008453FB">
        <w:rPr>
          <w:rFonts w:eastAsia="MS Gothic"/>
          <w:sz w:val="20"/>
          <w:lang w:val="es-ES" w:eastAsia="zh-CN"/>
        </w:rPr>
        <w:t>;</w:t>
      </w:r>
    </w:p>
    <w:p w:rsidR="00377217" w:rsidRPr="008453FB" w:rsidRDefault="0003253F" w:rsidP="006A3A92">
      <w:pPr>
        <w:pStyle w:val="Normalnumber"/>
        <w:numPr>
          <w:ilvl w:val="0"/>
          <w:numId w:val="6"/>
        </w:numPr>
        <w:tabs>
          <w:tab w:val="clear" w:pos="2495"/>
          <w:tab w:val="clear" w:pos="3119"/>
          <w:tab w:val="left" w:pos="2552"/>
        </w:tabs>
        <w:ind w:left="1276" w:firstLine="567"/>
        <w:rPr>
          <w:rFonts w:eastAsia="MS Gothic"/>
          <w:sz w:val="20"/>
          <w:lang w:val="es-ES" w:eastAsia="zh-CN"/>
        </w:rPr>
      </w:pPr>
      <w:r w:rsidRPr="008453FB">
        <w:rPr>
          <w:rFonts w:eastAsia="MS Gothic"/>
          <w:sz w:val="20"/>
          <w:lang w:val="es-ES" w:eastAsia="zh-CN"/>
        </w:rPr>
        <w:t>Capacidad, experiencia, conocimientos especializados y rendición de cuentas a nivel técnico, financiero y administrativo</w:t>
      </w:r>
      <w:r w:rsidR="00377217" w:rsidRPr="008453FB">
        <w:rPr>
          <w:rFonts w:eastAsia="MS Gothic"/>
          <w:sz w:val="20"/>
          <w:lang w:val="es-ES" w:eastAsia="zh-CN"/>
        </w:rPr>
        <w:t xml:space="preserve">; </w:t>
      </w:r>
    </w:p>
    <w:p w:rsidR="00377217" w:rsidRPr="008453FB" w:rsidRDefault="00377217" w:rsidP="006A3A92">
      <w:pPr>
        <w:pStyle w:val="Normalnumber"/>
        <w:numPr>
          <w:ilvl w:val="0"/>
          <w:numId w:val="6"/>
        </w:numPr>
        <w:ind w:hanging="748"/>
        <w:rPr>
          <w:rFonts w:eastAsia="MS Gothic"/>
          <w:sz w:val="20"/>
          <w:lang w:val="es-ES" w:eastAsia="zh-CN"/>
        </w:rPr>
      </w:pPr>
      <w:r w:rsidRPr="008453FB">
        <w:rPr>
          <w:rFonts w:eastAsia="MS Gothic"/>
          <w:sz w:val="20"/>
          <w:lang w:val="es-ES" w:eastAsia="zh-CN"/>
        </w:rPr>
        <w:t>Capaci</w:t>
      </w:r>
      <w:r w:rsidR="0003253F" w:rsidRPr="008453FB">
        <w:rPr>
          <w:rFonts w:eastAsia="MS Gothic"/>
          <w:sz w:val="20"/>
          <w:lang w:val="es-ES" w:eastAsia="zh-CN"/>
        </w:rPr>
        <w:t>dad para movilizar recursos</w:t>
      </w:r>
      <w:r w:rsidRPr="008453FB">
        <w:rPr>
          <w:rFonts w:eastAsia="MS Gothic"/>
          <w:sz w:val="20"/>
          <w:lang w:val="es-ES" w:eastAsia="zh-CN"/>
        </w:rPr>
        <w:t xml:space="preserve">. </w:t>
      </w:r>
    </w:p>
    <w:p w:rsidR="00377217" w:rsidRPr="008453FB" w:rsidRDefault="0003253F" w:rsidP="00FF64DF">
      <w:pPr>
        <w:pStyle w:val="Normalnumber"/>
        <w:numPr>
          <w:ilvl w:val="0"/>
          <w:numId w:val="5"/>
        </w:numPr>
        <w:tabs>
          <w:tab w:val="clear" w:pos="1758"/>
        </w:tabs>
        <w:ind w:left="1247"/>
        <w:rPr>
          <w:sz w:val="20"/>
          <w:lang w:val="es-ES" w:eastAsia="zh-CN"/>
        </w:rPr>
      </w:pPr>
      <w:r w:rsidRPr="008453FB">
        <w:rPr>
          <w:sz w:val="20"/>
          <w:lang w:val="es-ES" w:eastAsia="zh-CN"/>
        </w:rPr>
        <w:t>Sobre la base de estos principios y características, y tras un ex</w:t>
      </w:r>
      <w:r w:rsidR="0001415B">
        <w:rPr>
          <w:sz w:val="20"/>
          <w:lang w:val="es-ES" w:eastAsia="zh-CN"/>
        </w:rPr>
        <w:t>tenso</w:t>
      </w:r>
      <w:r w:rsidRPr="008453FB">
        <w:rPr>
          <w:sz w:val="20"/>
          <w:lang w:val="es-ES" w:eastAsia="zh-CN"/>
        </w:rPr>
        <w:t xml:space="preserve"> debate sobre alcance, actividades, elegibilidad y arreglos especiales, el grupo de expertos </w:t>
      </w:r>
      <w:r w:rsidR="00723A44">
        <w:rPr>
          <w:sz w:val="20"/>
          <w:lang w:val="es-ES" w:eastAsia="zh-CN"/>
        </w:rPr>
        <w:t>llegó a la conclusión de que el </w:t>
      </w:r>
      <w:r w:rsidRPr="008453FB">
        <w:rPr>
          <w:sz w:val="20"/>
          <w:lang w:val="es-ES" w:eastAsia="zh-CN"/>
        </w:rPr>
        <w:t xml:space="preserve">PNUMA sería la </w:t>
      </w:r>
      <w:r w:rsidR="00EF1CFB" w:rsidRPr="008453FB">
        <w:rPr>
          <w:sz w:val="20"/>
          <w:lang w:val="es-ES" w:eastAsia="zh-CN"/>
        </w:rPr>
        <w:t xml:space="preserve">institución </w:t>
      </w:r>
      <w:r w:rsidRPr="008453FB">
        <w:rPr>
          <w:sz w:val="20"/>
          <w:lang w:val="es-ES" w:eastAsia="zh-CN"/>
        </w:rPr>
        <w:t>de acogida más apropiada para el programa internacional específico.</w:t>
      </w:r>
      <w:r w:rsidR="00723A44">
        <w:rPr>
          <w:sz w:val="20"/>
          <w:lang w:val="es-ES" w:eastAsia="zh-CN"/>
        </w:rPr>
        <w:t xml:space="preserve"> En </w:t>
      </w:r>
      <w:r w:rsidR="009F7CFD" w:rsidRPr="008453FB">
        <w:rPr>
          <w:sz w:val="20"/>
          <w:lang w:val="es-ES" w:eastAsia="zh-CN"/>
        </w:rPr>
        <w:t>el marco del PNUMA, los expertos valoraron una serie de posibles a</w:t>
      </w:r>
      <w:r w:rsidR="00723A44">
        <w:rPr>
          <w:sz w:val="20"/>
          <w:lang w:val="es-ES" w:eastAsia="zh-CN"/>
        </w:rPr>
        <w:t>rreglos de acogida dentro de la </w:t>
      </w:r>
      <w:r w:rsidR="009F7CFD" w:rsidRPr="008453FB">
        <w:rPr>
          <w:sz w:val="20"/>
          <w:lang w:val="es-ES" w:eastAsia="zh-CN"/>
        </w:rPr>
        <w:t>estructura institucional del PNUMA</w:t>
      </w:r>
      <w:r w:rsidR="00377217" w:rsidRPr="008453FB">
        <w:rPr>
          <w:sz w:val="20"/>
          <w:lang w:val="es-ES" w:eastAsia="zh-CN"/>
        </w:rPr>
        <w:t>.</w:t>
      </w:r>
    </w:p>
    <w:p w:rsidR="00377217" w:rsidRPr="008453FB" w:rsidRDefault="009F7CFD" w:rsidP="00FF64DF">
      <w:pPr>
        <w:pStyle w:val="Normalnumber"/>
        <w:numPr>
          <w:ilvl w:val="0"/>
          <w:numId w:val="5"/>
        </w:numPr>
        <w:tabs>
          <w:tab w:val="clear" w:pos="1758"/>
        </w:tabs>
        <w:ind w:left="1247"/>
        <w:rPr>
          <w:sz w:val="20"/>
          <w:lang w:val="es-ES" w:eastAsia="zh-CN"/>
        </w:rPr>
      </w:pPr>
      <w:r w:rsidRPr="008453FB">
        <w:rPr>
          <w:sz w:val="20"/>
          <w:lang w:val="es-ES" w:eastAsia="zh-CN"/>
        </w:rPr>
        <w:t xml:space="preserve">En este contexto, y con el fin de </w:t>
      </w:r>
      <w:r w:rsidR="00001251" w:rsidRPr="008453FB">
        <w:rPr>
          <w:sz w:val="20"/>
          <w:lang w:val="es-ES" w:eastAsia="zh-CN"/>
        </w:rPr>
        <w:t xml:space="preserve">orientar los debates en el séptimo período de sesiones del Comité, el grupo de expertos invitó al Director Ejecutivo del PNUMA </w:t>
      </w:r>
      <w:r w:rsidR="0001415B">
        <w:rPr>
          <w:sz w:val="20"/>
          <w:lang w:val="es-ES" w:eastAsia="zh-CN"/>
        </w:rPr>
        <w:t xml:space="preserve">a </w:t>
      </w:r>
      <w:r w:rsidR="00001251" w:rsidRPr="008453FB">
        <w:rPr>
          <w:sz w:val="20"/>
          <w:lang w:val="es-ES" w:eastAsia="zh-CN"/>
        </w:rPr>
        <w:t>que preparase un documento informativo sobre las opciones que aparecen enumeradas en el documento sobre instituciones de acogida para el programa internacion</w:t>
      </w:r>
      <w:r w:rsidR="00EF1CFB" w:rsidRPr="008453FB">
        <w:rPr>
          <w:sz w:val="20"/>
          <w:lang w:val="es-ES" w:eastAsia="zh-CN"/>
        </w:rPr>
        <w:t>al específico preparado por la s</w:t>
      </w:r>
      <w:r w:rsidR="00001251" w:rsidRPr="008453FB">
        <w:rPr>
          <w:sz w:val="20"/>
          <w:lang w:val="es-ES" w:eastAsia="zh-CN"/>
        </w:rPr>
        <w:t>ecretaría provisional y sobre los arreg</w:t>
      </w:r>
      <w:r w:rsidR="00435730" w:rsidRPr="008453FB">
        <w:rPr>
          <w:sz w:val="20"/>
          <w:lang w:val="es-ES" w:eastAsia="zh-CN"/>
        </w:rPr>
        <w:t xml:space="preserve">los en materia de gobernanza </w:t>
      </w:r>
      <w:r w:rsidR="00001251" w:rsidRPr="008453FB">
        <w:rPr>
          <w:sz w:val="20"/>
          <w:lang w:val="es-ES" w:eastAsia="zh-CN"/>
        </w:rPr>
        <w:t xml:space="preserve">bajo el PNUMA como </w:t>
      </w:r>
      <w:r w:rsidR="00435730" w:rsidRPr="008453FB">
        <w:rPr>
          <w:sz w:val="20"/>
          <w:lang w:val="es-ES" w:eastAsia="zh-CN"/>
        </w:rPr>
        <w:t>institución</w:t>
      </w:r>
      <w:r w:rsidR="00001251" w:rsidRPr="008453FB">
        <w:rPr>
          <w:sz w:val="20"/>
          <w:lang w:val="es-ES" w:eastAsia="zh-CN"/>
        </w:rPr>
        <w:t xml:space="preserve"> de acogida que mejor puedan servir al programa internacional específico, sobre la base de los principios y características clave mencionados anteriormente</w:t>
      </w:r>
      <w:r w:rsidR="00377217" w:rsidRPr="008453FB">
        <w:rPr>
          <w:sz w:val="20"/>
          <w:lang w:val="es-ES" w:eastAsia="zh-CN"/>
        </w:rPr>
        <w:t>.</w:t>
      </w:r>
      <w:r w:rsidR="004D6CE5" w:rsidRPr="008453FB">
        <w:rPr>
          <w:sz w:val="20"/>
          <w:lang w:val="es-ES" w:eastAsia="zh-CN"/>
        </w:rPr>
        <w:t xml:space="preserve"> El grupo de expertos también invitó al Director Ejecutivo del PNUMA a que tomase en consideración las opiniones compartidas por los expertos referentes a la orientación de</w:t>
      </w:r>
      <w:r w:rsidR="00435730" w:rsidRPr="008453FB">
        <w:rPr>
          <w:sz w:val="20"/>
          <w:lang w:val="es-ES" w:eastAsia="zh-CN"/>
        </w:rPr>
        <w:t xml:space="preserve">l funcionamiento </w:t>
      </w:r>
      <w:r w:rsidR="00EF1CFB" w:rsidRPr="008453FB">
        <w:rPr>
          <w:sz w:val="20"/>
          <w:lang w:val="es-ES" w:eastAsia="zh-CN"/>
        </w:rPr>
        <w:t>del programa, e</w:t>
      </w:r>
      <w:r w:rsidR="004D6CE5" w:rsidRPr="008453FB">
        <w:rPr>
          <w:sz w:val="20"/>
          <w:lang w:val="es-ES" w:eastAsia="zh-CN"/>
        </w:rPr>
        <w:t xml:space="preserve"> incluyese en el documento información relativa al modo en el que cada arreglo contribuiría a alcanzar el objetivo del programa internacional específico.</w:t>
      </w:r>
    </w:p>
    <w:p w:rsidR="00377217" w:rsidRPr="008453FB" w:rsidRDefault="004D6CE5" w:rsidP="00FF64DF">
      <w:pPr>
        <w:pStyle w:val="Normalnumber"/>
        <w:numPr>
          <w:ilvl w:val="0"/>
          <w:numId w:val="5"/>
        </w:numPr>
        <w:tabs>
          <w:tab w:val="clear" w:pos="1758"/>
        </w:tabs>
        <w:ind w:left="1247"/>
        <w:rPr>
          <w:rFonts w:eastAsia="MS Gothic"/>
          <w:sz w:val="20"/>
          <w:lang w:val="es-ES" w:eastAsia="zh-CN"/>
        </w:rPr>
      </w:pPr>
      <w:r w:rsidRPr="008453FB">
        <w:rPr>
          <w:sz w:val="20"/>
          <w:lang w:val="es-ES" w:eastAsia="zh-CN"/>
        </w:rPr>
        <w:t>Hubo también coincidencia de opiniones a propósito de que las demás opciones presentadas en el documento preparado por la Secretaría provisional, es decir, el FMAM, el P</w:t>
      </w:r>
      <w:r w:rsidR="0001415B">
        <w:rPr>
          <w:sz w:val="20"/>
          <w:lang w:val="es-ES" w:eastAsia="zh-CN"/>
        </w:rPr>
        <w:t>N</w:t>
      </w:r>
      <w:r w:rsidRPr="008453FB">
        <w:rPr>
          <w:sz w:val="20"/>
          <w:lang w:val="es-ES" w:eastAsia="zh-CN"/>
        </w:rPr>
        <w:t xml:space="preserve">UD y el Banco Mundial, no cumplen con tanta claridad los principios y características identificados por los expertos. Durante la puesta en común de esas opiniones compartidas, los expertos percibieron en particular que el FMAM ya ofrece un apoyo firme al Convenio siendo como es la otra parte de su mecanismo financiero; y que </w:t>
      </w:r>
      <w:r w:rsidR="00435730" w:rsidRPr="008453FB">
        <w:rPr>
          <w:sz w:val="20"/>
          <w:lang w:val="es-ES" w:eastAsia="zh-CN"/>
        </w:rPr>
        <w:t xml:space="preserve">ni </w:t>
      </w:r>
      <w:r w:rsidRPr="008453FB">
        <w:rPr>
          <w:sz w:val="20"/>
          <w:lang w:val="es-ES" w:eastAsia="zh-CN"/>
        </w:rPr>
        <w:t xml:space="preserve">el PNUD </w:t>
      </w:r>
      <w:r w:rsidR="00435730" w:rsidRPr="008453FB">
        <w:rPr>
          <w:sz w:val="20"/>
          <w:lang w:val="es-ES" w:eastAsia="zh-CN"/>
        </w:rPr>
        <w:t>ni</w:t>
      </w:r>
      <w:r w:rsidRPr="008453FB">
        <w:rPr>
          <w:sz w:val="20"/>
          <w:lang w:val="es-ES" w:eastAsia="zh-CN"/>
        </w:rPr>
        <w:t xml:space="preserve"> el Banco Mundial tiene</w:t>
      </w:r>
      <w:r w:rsidR="00435730" w:rsidRPr="008453FB">
        <w:rPr>
          <w:sz w:val="20"/>
          <w:lang w:val="es-ES" w:eastAsia="zh-CN"/>
        </w:rPr>
        <w:t>n</w:t>
      </w:r>
      <w:r w:rsidRPr="008453FB">
        <w:rPr>
          <w:sz w:val="20"/>
          <w:lang w:val="es-ES" w:eastAsia="zh-CN"/>
        </w:rPr>
        <w:t xml:space="preserve"> relaciones ni vínculos suficientemente estrechos con el Convenio.</w:t>
      </w:r>
      <w:r w:rsidR="00377217" w:rsidRPr="008453FB">
        <w:rPr>
          <w:rFonts w:eastAsia="MS Gothic"/>
          <w:sz w:val="20"/>
          <w:lang w:val="es-ES" w:eastAsia="zh-CN"/>
        </w:rPr>
        <w:t xml:space="preserve"> </w:t>
      </w:r>
      <w:r w:rsidRPr="008453FB">
        <w:rPr>
          <w:rFonts w:eastAsia="MS Gothic"/>
          <w:sz w:val="20"/>
          <w:lang w:val="es-ES" w:eastAsia="zh-CN"/>
        </w:rPr>
        <w:t xml:space="preserve">Los expertos establecieron también una distinción entre la selección de una institución de acogida y las posibilidades de prestar apoyo en el futuro a la aplicación del Convenio de </w:t>
      </w:r>
      <w:r w:rsidR="00377217" w:rsidRPr="008453FB">
        <w:rPr>
          <w:rFonts w:eastAsia="MS Gothic"/>
          <w:sz w:val="20"/>
          <w:lang w:val="es-ES" w:eastAsia="zh-CN"/>
        </w:rPr>
        <w:t>Minamata;</w:t>
      </w:r>
      <w:r w:rsidRPr="008453FB">
        <w:rPr>
          <w:rFonts w:eastAsia="MS Gothic"/>
          <w:sz w:val="20"/>
          <w:lang w:val="es-ES" w:eastAsia="zh-CN"/>
        </w:rPr>
        <w:t xml:space="preserve"> en </w:t>
      </w:r>
      <w:r w:rsidR="00377217" w:rsidRPr="008453FB">
        <w:rPr>
          <w:rFonts w:eastAsia="MS Gothic"/>
          <w:sz w:val="20"/>
          <w:lang w:val="es-ES" w:eastAsia="zh-CN"/>
        </w:rPr>
        <w:t xml:space="preserve">particular, </w:t>
      </w:r>
      <w:r w:rsidRPr="008453FB">
        <w:rPr>
          <w:rFonts w:eastAsia="MS Gothic"/>
          <w:sz w:val="20"/>
          <w:lang w:val="es-ES" w:eastAsia="zh-CN"/>
        </w:rPr>
        <w:t>se señaló que el PNUD podría desempeñar un papel importante como facilitador de la aplicación del Convenio en su condición de institución</w:t>
      </w:r>
      <w:r w:rsidR="00723A44">
        <w:rPr>
          <w:rFonts w:eastAsia="MS Gothic"/>
          <w:sz w:val="20"/>
          <w:lang w:val="es-ES" w:eastAsia="zh-CN"/>
        </w:rPr>
        <w:t xml:space="preserve"> responsable de la aplicación o </w:t>
      </w:r>
      <w:r w:rsidRPr="008453FB">
        <w:rPr>
          <w:rFonts w:eastAsia="MS Gothic"/>
          <w:sz w:val="20"/>
          <w:lang w:val="es-ES" w:eastAsia="zh-CN"/>
        </w:rPr>
        <w:t>ejecución</w:t>
      </w:r>
      <w:r w:rsidR="00377217" w:rsidRPr="008453FB">
        <w:rPr>
          <w:rFonts w:eastAsia="MS Gothic"/>
          <w:sz w:val="20"/>
          <w:lang w:val="es-ES" w:eastAsia="zh-CN"/>
        </w:rPr>
        <w:t>.</w:t>
      </w:r>
    </w:p>
    <w:p w:rsidR="00377217" w:rsidRPr="008453FB" w:rsidRDefault="004D6CE5" w:rsidP="00FF64DF">
      <w:pPr>
        <w:pStyle w:val="Normalnumber"/>
        <w:numPr>
          <w:ilvl w:val="0"/>
          <w:numId w:val="5"/>
        </w:numPr>
        <w:tabs>
          <w:tab w:val="clear" w:pos="1758"/>
        </w:tabs>
        <w:ind w:left="1247"/>
        <w:rPr>
          <w:rFonts w:eastAsia="MS Gothic"/>
          <w:sz w:val="20"/>
          <w:lang w:val="es-ES" w:eastAsia="zh-CN"/>
        </w:rPr>
      </w:pPr>
      <w:r w:rsidRPr="008453FB">
        <w:rPr>
          <w:rFonts w:eastAsia="MS Gothic"/>
          <w:sz w:val="20"/>
          <w:lang w:val="es-ES" w:eastAsia="zh-CN"/>
        </w:rPr>
        <w:t>A propósito de los arreglos necesarios con</w:t>
      </w:r>
      <w:r w:rsidR="008C5EE1" w:rsidRPr="008453FB">
        <w:rPr>
          <w:rFonts w:eastAsia="MS Gothic"/>
          <w:sz w:val="20"/>
          <w:lang w:val="es-ES" w:eastAsia="zh-CN"/>
        </w:rPr>
        <w:t xml:space="preserve"> la institución </w:t>
      </w:r>
      <w:r w:rsidRPr="008453FB">
        <w:rPr>
          <w:rFonts w:eastAsia="MS Gothic"/>
          <w:sz w:val="20"/>
          <w:lang w:val="es-ES" w:eastAsia="zh-CN"/>
        </w:rPr>
        <w:t xml:space="preserve">de acogida, el grupo de expertos consideró que </w:t>
      </w:r>
      <w:r w:rsidR="008C5EE1" w:rsidRPr="008453FB">
        <w:rPr>
          <w:rFonts w:eastAsia="MS Gothic"/>
          <w:sz w:val="20"/>
          <w:lang w:val="es-ES" w:eastAsia="zh-CN"/>
        </w:rPr>
        <w:t xml:space="preserve">entre el Convenio y la </w:t>
      </w:r>
      <w:r w:rsidR="00C42C7E" w:rsidRPr="008453FB">
        <w:rPr>
          <w:rFonts w:eastAsia="MS Gothic"/>
          <w:sz w:val="20"/>
          <w:lang w:val="es-ES" w:eastAsia="zh-CN"/>
        </w:rPr>
        <w:t xml:space="preserve">institución </w:t>
      </w:r>
      <w:r w:rsidR="008C5EE1" w:rsidRPr="008453FB">
        <w:rPr>
          <w:rFonts w:eastAsia="MS Gothic"/>
          <w:sz w:val="20"/>
          <w:lang w:val="es-ES" w:eastAsia="zh-CN"/>
        </w:rPr>
        <w:t xml:space="preserve">de acogida debería elaborarse </w:t>
      </w:r>
      <w:r w:rsidRPr="008453FB">
        <w:rPr>
          <w:rFonts w:eastAsia="MS Gothic"/>
          <w:sz w:val="20"/>
          <w:lang w:val="es-ES" w:eastAsia="zh-CN"/>
        </w:rPr>
        <w:t xml:space="preserve">un arreglo vinculante, como un </w:t>
      </w:r>
      <w:r w:rsidR="008C5EE1" w:rsidRPr="008453FB">
        <w:rPr>
          <w:rFonts w:eastAsia="MS Gothic"/>
          <w:sz w:val="20"/>
          <w:lang w:val="es-ES" w:eastAsia="zh-CN"/>
        </w:rPr>
        <w:t>memorando de entendimiento, en el que se definiesen, entre otras cuestiones, los papeles y responsabilidades, honorarios eficaces en función de los costos</w:t>
      </w:r>
      <w:r w:rsidR="00377217" w:rsidRPr="008453FB">
        <w:rPr>
          <w:rFonts w:eastAsia="MS Gothic"/>
          <w:sz w:val="20"/>
          <w:lang w:val="es-ES" w:eastAsia="zh-CN"/>
        </w:rPr>
        <w:t xml:space="preserve"> (</w:t>
      </w:r>
      <w:r w:rsidR="008C5EE1" w:rsidRPr="008453FB">
        <w:rPr>
          <w:rFonts w:eastAsia="MS Gothic"/>
          <w:sz w:val="20"/>
          <w:lang w:val="es-ES" w:eastAsia="zh-CN"/>
        </w:rPr>
        <w:t>gastos administrativos</w:t>
      </w:r>
      <w:r w:rsidR="00377217" w:rsidRPr="008453FB">
        <w:rPr>
          <w:rFonts w:eastAsia="MS Gothic"/>
          <w:sz w:val="20"/>
          <w:lang w:val="es-ES" w:eastAsia="zh-CN"/>
        </w:rPr>
        <w:t xml:space="preserve">), </w:t>
      </w:r>
      <w:r w:rsidR="008C5EE1" w:rsidRPr="008453FB">
        <w:rPr>
          <w:rFonts w:eastAsia="MS Gothic"/>
          <w:sz w:val="20"/>
          <w:lang w:val="es-ES" w:eastAsia="zh-CN"/>
        </w:rPr>
        <w:t>el marco para la rendición de cuentas y los requisitos de la presentación de informes</w:t>
      </w:r>
      <w:r w:rsidR="00377217" w:rsidRPr="008453FB">
        <w:rPr>
          <w:rFonts w:eastAsia="MS Gothic"/>
          <w:sz w:val="20"/>
          <w:lang w:val="es-ES" w:eastAsia="zh-CN"/>
        </w:rPr>
        <w:t>.</w:t>
      </w:r>
    </w:p>
    <w:p w:rsidR="00377217" w:rsidRPr="008453FB" w:rsidRDefault="00DB651A" w:rsidP="00F429F7">
      <w:pPr>
        <w:pStyle w:val="CH2"/>
        <w:rPr>
          <w:lang w:val="es-ES"/>
        </w:rPr>
      </w:pPr>
      <w:r w:rsidRPr="008453FB">
        <w:rPr>
          <w:lang w:val="es-ES"/>
        </w:rPr>
        <w:tab/>
      </w:r>
      <w:r w:rsidR="00997AD6" w:rsidRPr="008453FB">
        <w:rPr>
          <w:lang w:val="es-ES"/>
        </w:rPr>
        <w:t>B</w:t>
      </w:r>
      <w:r w:rsidRPr="008453FB">
        <w:rPr>
          <w:lang w:val="es-ES"/>
        </w:rPr>
        <w:t>.</w:t>
      </w:r>
      <w:r w:rsidRPr="008453FB">
        <w:rPr>
          <w:lang w:val="es-ES"/>
        </w:rPr>
        <w:tab/>
      </w:r>
      <w:r w:rsidR="00BB6A1E" w:rsidRPr="008453FB">
        <w:rPr>
          <w:lang w:val="es-ES"/>
        </w:rPr>
        <w:t xml:space="preserve">Orientación para el funcionamiento del programa internacional específico </w:t>
      </w:r>
    </w:p>
    <w:p w:rsidR="00BB6A1E" w:rsidRPr="008453FB" w:rsidRDefault="00DB651A" w:rsidP="00BB6A1E">
      <w:pPr>
        <w:pStyle w:val="CH3"/>
        <w:rPr>
          <w:lang w:val="es-ES"/>
        </w:rPr>
      </w:pPr>
      <w:r w:rsidRPr="008453FB">
        <w:rPr>
          <w:lang w:val="es-ES"/>
        </w:rPr>
        <w:tab/>
      </w:r>
      <w:r w:rsidR="0002672A">
        <w:rPr>
          <w:lang w:val="es-ES"/>
        </w:rPr>
        <w:t>1.</w:t>
      </w:r>
      <w:r w:rsidRPr="008453FB">
        <w:rPr>
          <w:lang w:val="es-ES"/>
        </w:rPr>
        <w:tab/>
      </w:r>
      <w:r w:rsidR="00BB6A1E" w:rsidRPr="008453FB">
        <w:rPr>
          <w:lang w:val="es-ES"/>
        </w:rPr>
        <w:t>Alcance y elegibilidad</w:t>
      </w:r>
    </w:p>
    <w:p w:rsidR="00377217" w:rsidRPr="008453FB" w:rsidRDefault="00BB6A1E" w:rsidP="00FF64DF">
      <w:pPr>
        <w:pStyle w:val="Normalnumber"/>
        <w:numPr>
          <w:ilvl w:val="0"/>
          <w:numId w:val="5"/>
        </w:numPr>
        <w:tabs>
          <w:tab w:val="clear" w:pos="1758"/>
        </w:tabs>
        <w:ind w:left="1247"/>
        <w:rPr>
          <w:sz w:val="20"/>
          <w:lang w:val="es-ES" w:eastAsia="zh-CN"/>
        </w:rPr>
      </w:pPr>
      <w:r w:rsidRPr="008453FB">
        <w:rPr>
          <w:sz w:val="20"/>
          <w:lang w:val="es-ES"/>
        </w:rPr>
        <w:t xml:space="preserve">De acuerdo con el párrafo </w:t>
      </w:r>
      <w:r w:rsidR="00377217" w:rsidRPr="008453FB">
        <w:rPr>
          <w:sz w:val="20"/>
          <w:lang w:val="es-ES" w:eastAsia="zh-CN"/>
        </w:rPr>
        <w:t>6</w:t>
      </w:r>
      <w:r w:rsidR="00A402C9" w:rsidRPr="008453FB">
        <w:rPr>
          <w:sz w:val="20"/>
          <w:lang w:val="es-ES" w:eastAsia="zh-CN"/>
        </w:rPr>
        <w:t xml:space="preserve"> </w:t>
      </w:r>
      <w:r w:rsidR="00377217" w:rsidRPr="008453FB">
        <w:rPr>
          <w:sz w:val="20"/>
          <w:lang w:val="es-ES" w:eastAsia="zh-CN"/>
        </w:rPr>
        <w:t>b)</w:t>
      </w:r>
      <w:r w:rsidRPr="008453FB">
        <w:rPr>
          <w:sz w:val="20"/>
          <w:lang w:val="es-ES" w:eastAsia="zh-CN"/>
        </w:rPr>
        <w:t xml:space="preserve"> del artículo </w:t>
      </w:r>
      <w:r w:rsidR="00377217" w:rsidRPr="008453FB">
        <w:rPr>
          <w:sz w:val="20"/>
          <w:lang w:val="es-ES" w:eastAsia="zh-CN"/>
        </w:rPr>
        <w:t>13,</w:t>
      </w:r>
      <w:r w:rsidRPr="008453FB">
        <w:rPr>
          <w:sz w:val="20"/>
          <w:lang w:val="es-ES" w:eastAsia="zh-CN"/>
        </w:rPr>
        <w:t xml:space="preserve"> el programa internacional específico tiene por objetivo apoyar la creación de capacidad y la asistencia técnica</w:t>
      </w:r>
      <w:r w:rsidR="00A402C9" w:rsidRPr="008453FB">
        <w:rPr>
          <w:sz w:val="20"/>
          <w:lang w:val="es-ES" w:eastAsia="zh-CN"/>
        </w:rPr>
        <w:t>.</w:t>
      </w:r>
    </w:p>
    <w:p w:rsidR="00377217" w:rsidRPr="008453FB" w:rsidRDefault="00BB6A1E" w:rsidP="00FF64DF">
      <w:pPr>
        <w:pStyle w:val="Normalnumber"/>
        <w:numPr>
          <w:ilvl w:val="0"/>
          <w:numId w:val="5"/>
        </w:numPr>
        <w:tabs>
          <w:tab w:val="clear" w:pos="1758"/>
        </w:tabs>
        <w:ind w:left="1247"/>
        <w:rPr>
          <w:sz w:val="20"/>
          <w:lang w:val="es-ES" w:eastAsia="zh-CN"/>
        </w:rPr>
      </w:pPr>
      <w:r w:rsidRPr="008453FB">
        <w:rPr>
          <w:sz w:val="20"/>
          <w:lang w:val="es-ES" w:eastAsia="zh-CN"/>
        </w:rPr>
        <w:t xml:space="preserve">El párrafo 5 del artículo 13 del Convenio define qué Partes tendrán derecho a obtener recursos a través del mecanismo financiero, concretamente las Partes que sean países en desarrollo y las Partes con economías en transición. El programa internacional específico deberá también tomar en plena consideración las necesidades específicas y las circunstancias especiales de las Partes que son pequeños </w:t>
      </w:r>
      <w:r w:rsidR="007422AA" w:rsidRPr="008453FB">
        <w:rPr>
          <w:sz w:val="20"/>
          <w:lang w:val="es-ES" w:eastAsia="zh-CN"/>
        </w:rPr>
        <w:t>E</w:t>
      </w:r>
      <w:r w:rsidRPr="008453FB">
        <w:rPr>
          <w:sz w:val="20"/>
          <w:lang w:val="es-ES" w:eastAsia="zh-CN"/>
        </w:rPr>
        <w:t>stados insulares en desarrollo</w:t>
      </w:r>
      <w:r w:rsidR="007422AA" w:rsidRPr="008453FB">
        <w:rPr>
          <w:sz w:val="20"/>
          <w:lang w:val="es-ES" w:eastAsia="zh-CN"/>
        </w:rPr>
        <w:t xml:space="preserve"> o países menos desarrollados</w:t>
      </w:r>
      <w:r w:rsidR="008453FB">
        <w:rPr>
          <w:sz w:val="20"/>
          <w:lang w:val="es-ES" w:eastAsia="zh-CN"/>
        </w:rPr>
        <w:t>, de conformidad con el párrafo </w:t>
      </w:r>
      <w:r w:rsidR="00377217" w:rsidRPr="008453FB">
        <w:rPr>
          <w:sz w:val="20"/>
          <w:lang w:val="es-ES" w:eastAsia="zh-CN"/>
        </w:rPr>
        <w:t>4</w:t>
      </w:r>
      <w:r w:rsidR="007422AA" w:rsidRPr="008453FB">
        <w:rPr>
          <w:sz w:val="20"/>
          <w:lang w:val="es-ES" w:eastAsia="zh-CN"/>
        </w:rPr>
        <w:t xml:space="preserve"> del artículo </w:t>
      </w:r>
      <w:r w:rsidR="00377217" w:rsidRPr="008453FB">
        <w:rPr>
          <w:sz w:val="20"/>
          <w:lang w:val="es-ES" w:eastAsia="zh-CN"/>
        </w:rPr>
        <w:t>13.</w:t>
      </w:r>
    </w:p>
    <w:p w:rsidR="00377217" w:rsidRPr="008453FB" w:rsidRDefault="007422AA" w:rsidP="00FF64DF">
      <w:pPr>
        <w:pStyle w:val="Normalnumber"/>
        <w:numPr>
          <w:ilvl w:val="0"/>
          <w:numId w:val="5"/>
        </w:numPr>
        <w:tabs>
          <w:tab w:val="clear" w:pos="1758"/>
        </w:tabs>
        <w:ind w:left="1247"/>
        <w:rPr>
          <w:sz w:val="20"/>
          <w:lang w:val="es-ES" w:eastAsia="zh-CN"/>
        </w:rPr>
      </w:pPr>
      <w:r w:rsidRPr="008453FB">
        <w:rPr>
          <w:sz w:val="20"/>
          <w:lang w:val="es-ES" w:eastAsia="zh-CN"/>
        </w:rPr>
        <w:t xml:space="preserve">De los debates del grupo de expertos </w:t>
      </w:r>
      <w:r w:rsidR="00471BD1" w:rsidRPr="008453FB">
        <w:rPr>
          <w:sz w:val="20"/>
          <w:lang w:val="es-ES" w:eastAsia="zh-CN"/>
        </w:rPr>
        <w:t>s</w:t>
      </w:r>
      <w:r w:rsidRPr="008453FB">
        <w:rPr>
          <w:sz w:val="20"/>
          <w:lang w:val="es-ES" w:eastAsia="zh-CN"/>
        </w:rPr>
        <w:t>urgió una lista no exhaustiva de actividades que podrían tener derecho a obtener recursos de conformidad con lo establecido en el Convenio</w:t>
      </w:r>
      <w:r w:rsidR="00377217" w:rsidRPr="008453FB">
        <w:rPr>
          <w:sz w:val="20"/>
          <w:lang w:val="es-ES" w:eastAsia="zh-CN"/>
        </w:rPr>
        <w:t xml:space="preserve">. </w:t>
      </w:r>
      <w:r w:rsidRPr="008453FB">
        <w:rPr>
          <w:sz w:val="20"/>
          <w:lang w:val="es-ES" w:eastAsia="zh-CN"/>
        </w:rPr>
        <w:t>Se consideró que la lista resultaría útil para comprender colectivamente de qué manera el programa internacional</w:t>
      </w:r>
      <w:r w:rsidR="00C42C7E" w:rsidRPr="008453FB">
        <w:rPr>
          <w:sz w:val="20"/>
          <w:lang w:val="es-ES" w:eastAsia="zh-CN"/>
        </w:rPr>
        <w:t xml:space="preserve"> específico</w:t>
      </w:r>
      <w:r w:rsidRPr="008453FB">
        <w:rPr>
          <w:sz w:val="20"/>
          <w:lang w:val="es-ES" w:eastAsia="zh-CN"/>
        </w:rPr>
        <w:t xml:space="preserve"> podría complementar al FMAM y servir de base a los debates sobre las instituciones de acogida apropiadas. El grupo de expertos decidió no presentar la lista en el informe final resumido de los copresidentes, ya que incluso una lista no exhaustiva podría ser limitante</w:t>
      </w:r>
      <w:r w:rsidR="00377217" w:rsidRPr="008453FB">
        <w:rPr>
          <w:sz w:val="20"/>
          <w:lang w:val="es-ES" w:eastAsia="zh-CN"/>
        </w:rPr>
        <w:t>.</w:t>
      </w:r>
    </w:p>
    <w:p w:rsidR="00377217" w:rsidRPr="008453FB" w:rsidRDefault="007422AA" w:rsidP="00FF64DF">
      <w:pPr>
        <w:pStyle w:val="Normalnumber"/>
        <w:numPr>
          <w:ilvl w:val="0"/>
          <w:numId w:val="5"/>
        </w:numPr>
        <w:tabs>
          <w:tab w:val="clear" w:pos="1758"/>
        </w:tabs>
        <w:ind w:left="1247"/>
        <w:rPr>
          <w:sz w:val="20"/>
          <w:lang w:val="es-ES"/>
        </w:rPr>
      </w:pPr>
      <w:r w:rsidRPr="008453FB">
        <w:rPr>
          <w:sz w:val="20"/>
          <w:lang w:val="es-ES" w:eastAsia="zh-CN"/>
        </w:rPr>
        <w:t>El grupo alcanzó una postura común sobre los siguientes puntos</w:t>
      </w:r>
      <w:r w:rsidR="00377217" w:rsidRPr="008453FB">
        <w:rPr>
          <w:sz w:val="20"/>
          <w:lang w:val="es-ES"/>
        </w:rPr>
        <w:t>:</w:t>
      </w:r>
    </w:p>
    <w:p w:rsidR="00377217" w:rsidRPr="008453FB" w:rsidRDefault="00C42C7E" w:rsidP="00C42C7E">
      <w:pPr>
        <w:pStyle w:val="Normalnumber"/>
        <w:numPr>
          <w:ilvl w:val="0"/>
          <w:numId w:val="0"/>
        </w:numPr>
        <w:ind w:left="1248"/>
        <w:rPr>
          <w:sz w:val="20"/>
          <w:lang w:val="es-ES"/>
        </w:rPr>
      </w:pPr>
      <w:r w:rsidRPr="008453FB">
        <w:rPr>
          <w:sz w:val="20"/>
          <w:lang w:val="es-ES"/>
        </w:rPr>
        <w:tab/>
        <w:t>a)</w:t>
      </w:r>
      <w:r w:rsidRPr="008453FB">
        <w:rPr>
          <w:sz w:val="20"/>
          <w:lang w:val="es-ES"/>
        </w:rPr>
        <w:tab/>
      </w:r>
      <w:r w:rsidR="007422AA" w:rsidRPr="008453FB">
        <w:rPr>
          <w:sz w:val="20"/>
          <w:lang w:val="es-ES"/>
        </w:rPr>
        <w:t>La Conferencia de las Partes debería considerar la adopción de un programa para la aplicación del programa internacional específico, que podría ser revisado en caso necesario.</w:t>
      </w:r>
      <w:r w:rsidR="00377217" w:rsidRPr="008453FB">
        <w:rPr>
          <w:sz w:val="20"/>
          <w:lang w:val="es-ES"/>
        </w:rPr>
        <w:t xml:space="preserve"> </w:t>
      </w:r>
      <w:r w:rsidR="007422AA" w:rsidRPr="008453FB">
        <w:rPr>
          <w:sz w:val="20"/>
          <w:lang w:val="es-ES"/>
        </w:rPr>
        <w:t xml:space="preserve">El programa </w:t>
      </w:r>
      <w:r w:rsidR="007C3E50" w:rsidRPr="008453FB">
        <w:rPr>
          <w:sz w:val="20"/>
          <w:lang w:val="es-ES"/>
        </w:rPr>
        <w:t>señalaría los aspectos del Convenio en los que concentrarse durante un período de tiempo específico</w:t>
      </w:r>
      <w:r w:rsidR="00377217" w:rsidRPr="008453FB">
        <w:rPr>
          <w:sz w:val="20"/>
          <w:lang w:val="es-ES"/>
        </w:rPr>
        <w:t xml:space="preserve">. </w:t>
      </w:r>
      <w:r w:rsidRPr="008453FB">
        <w:rPr>
          <w:sz w:val="20"/>
          <w:lang w:val="es-ES"/>
        </w:rPr>
        <w:t>E</w:t>
      </w:r>
      <w:r w:rsidR="007C3E50" w:rsidRPr="008453FB">
        <w:rPr>
          <w:sz w:val="20"/>
          <w:lang w:val="es-ES"/>
        </w:rPr>
        <w:t xml:space="preserve">ste enfoque programático </w:t>
      </w:r>
      <w:r w:rsidRPr="008453FB">
        <w:rPr>
          <w:sz w:val="20"/>
          <w:lang w:val="es-ES"/>
        </w:rPr>
        <w:t>se aplicaría mediante</w:t>
      </w:r>
      <w:r w:rsidR="007C3E50" w:rsidRPr="008453FB">
        <w:rPr>
          <w:sz w:val="20"/>
          <w:lang w:val="es-ES"/>
        </w:rPr>
        <w:t xml:space="preserve"> proyectos individuales prop</w:t>
      </w:r>
      <w:r w:rsidRPr="008453FB">
        <w:rPr>
          <w:sz w:val="20"/>
          <w:lang w:val="es-ES"/>
        </w:rPr>
        <w:t>uestos por las Partes que reuniesen</w:t>
      </w:r>
      <w:r w:rsidR="007C3E50" w:rsidRPr="008453FB">
        <w:rPr>
          <w:sz w:val="20"/>
          <w:lang w:val="es-ES"/>
        </w:rPr>
        <w:t xml:space="preserve"> las condiciones establecidas, y cada proyecto incluiría propuestas de actividades a través de las cuales materializar el alcance del programa internacional específico</w:t>
      </w:r>
      <w:r w:rsidR="00377217" w:rsidRPr="008453FB">
        <w:rPr>
          <w:sz w:val="20"/>
          <w:lang w:val="es-ES"/>
        </w:rPr>
        <w:t>;</w:t>
      </w:r>
    </w:p>
    <w:p w:rsidR="00377217" w:rsidRPr="008453FB" w:rsidRDefault="00C42C7E" w:rsidP="00C42C7E">
      <w:pPr>
        <w:pStyle w:val="Normalnumber"/>
        <w:numPr>
          <w:ilvl w:val="0"/>
          <w:numId w:val="0"/>
        </w:numPr>
        <w:ind w:left="1248"/>
        <w:rPr>
          <w:sz w:val="20"/>
          <w:lang w:val="es-ES"/>
        </w:rPr>
      </w:pPr>
      <w:r w:rsidRPr="008453FB">
        <w:rPr>
          <w:sz w:val="20"/>
          <w:lang w:val="es-ES"/>
        </w:rPr>
        <w:tab/>
        <w:t>b)</w:t>
      </w:r>
      <w:r w:rsidRPr="008453FB">
        <w:rPr>
          <w:sz w:val="20"/>
          <w:lang w:val="es-ES"/>
        </w:rPr>
        <w:tab/>
      </w:r>
      <w:r w:rsidR="007C3E50" w:rsidRPr="008453FB">
        <w:rPr>
          <w:sz w:val="20"/>
          <w:lang w:val="es-ES"/>
        </w:rPr>
        <w:t>El programa internacional específico debería garantizar la complementariedad y evitar la duplicación con otros arreglos ya existentes para la provisión de creación de capacidad y apoyo técnico, en particular el FMAM y el programa especial para apoyar el fortalecimiento institucional a nivel nacional para la aplicación de los Convenios de Basilea, Estocolmo y Rotterdam, el Convenio de Minamata y el Enfoque Estratégico para la Gestión de los Productos Químicos a Nivel Internacional, así como otros marcos existentes de prestación de asistencia</w:t>
      </w:r>
      <w:r w:rsidR="00377217" w:rsidRPr="008453FB">
        <w:rPr>
          <w:sz w:val="20"/>
          <w:lang w:val="es-ES"/>
        </w:rPr>
        <w:t>;</w:t>
      </w:r>
    </w:p>
    <w:p w:rsidR="00377217" w:rsidRPr="008453FB" w:rsidRDefault="00C42C7E" w:rsidP="00C42C7E">
      <w:pPr>
        <w:pStyle w:val="Normalnumber"/>
        <w:numPr>
          <w:ilvl w:val="0"/>
          <w:numId w:val="0"/>
        </w:numPr>
        <w:ind w:left="1248"/>
        <w:rPr>
          <w:sz w:val="20"/>
          <w:lang w:val="es-ES"/>
        </w:rPr>
      </w:pPr>
      <w:r w:rsidRPr="008453FB">
        <w:rPr>
          <w:sz w:val="20"/>
          <w:lang w:val="es-ES"/>
        </w:rPr>
        <w:tab/>
        <w:t>c)</w:t>
      </w:r>
      <w:r w:rsidRPr="008453FB">
        <w:rPr>
          <w:sz w:val="20"/>
          <w:lang w:val="es-ES"/>
        </w:rPr>
        <w:tab/>
      </w:r>
      <w:r w:rsidR="007C3E50" w:rsidRPr="008453FB">
        <w:rPr>
          <w:sz w:val="20"/>
          <w:lang w:val="es-ES"/>
        </w:rPr>
        <w:t>El programa internacional específico debería aprov</w:t>
      </w:r>
      <w:r w:rsidRPr="008453FB">
        <w:rPr>
          <w:sz w:val="20"/>
          <w:lang w:val="es-ES"/>
        </w:rPr>
        <w:t xml:space="preserve">echar las lecciones aprendidas y </w:t>
      </w:r>
      <w:r w:rsidR="007C3E50" w:rsidRPr="008453FB">
        <w:rPr>
          <w:sz w:val="20"/>
          <w:lang w:val="es-ES"/>
        </w:rPr>
        <w:t xml:space="preserve">actuar a escala nacional y regional, </w:t>
      </w:r>
      <w:r w:rsidRPr="008453FB">
        <w:rPr>
          <w:sz w:val="20"/>
          <w:lang w:val="es-ES"/>
        </w:rPr>
        <w:t xml:space="preserve">entre otras cosas </w:t>
      </w:r>
      <w:r w:rsidR="007C3E50" w:rsidRPr="008453FB">
        <w:rPr>
          <w:sz w:val="20"/>
          <w:lang w:val="es-ES"/>
        </w:rPr>
        <w:t>promovi</w:t>
      </w:r>
      <w:r w:rsidR="00282D69" w:rsidRPr="008453FB">
        <w:rPr>
          <w:sz w:val="20"/>
          <w:lang w:val="es-ES"/>
        </w:rPr>
        <w:t>en</w:t>
      </w:r>
      <w:r w:rsidR="007C3E50" w:rsidRPr="008453FB">
        <w:rPr>
          <w:sz w:val="20"/>
          <w:lang w:val="es-ES"/>
        </w:rPr>
        <w:t>do la cooperación Sur</w:t>
      </w:r>
      <w:r w:rsidR="008615A1">
        <w:rPr>
          <w:sz w:val="20"/>
          <w:lang w:val="es-ES"/>
        </w:rPr>
        <w:noBreakHyphen/>
      </w:r>
      <w:r w:rsidR="007C3E50" w:rsidRPr="008453FB">
        <w:rPr>
          <w:sz w:val="20"/>
          <w:lang w:val="es-ES"/>
        </w:rPr>
        <w:t>Su</w:t>
      </w:r>
      <w:r w:rsidR="00471BD1" w:rsidRPr="008453FB">
        <w:rPr>
          <w:sz w:val="20"/>
          <w:lang w:val="es-ES"/>
        </w:rPr>
        <w:t>r</w:t>
      </w:r>
      <w:r w:rsidR="00377217" w:rsidRPr="008453FB">
        <w:rPr>
          <w:sz w:val="20"/>
          <w:lang w:val="es-ES"/>
        </w:rPr>
        <w:t xml:space="preserve">; </w:t>
      </w:r>
    </w:p>
    <w:p w:rsidR="00377217" w:rsidRPr="008453FB" w:rsidRDefault="00C42C7E" w:rsidP="00C42C7E">
      <w:pPr>
        <w:pStyle w:val="Normalnumber"/>
        <w:numPr>
          <w:ilvl w:val="0"/>
          <w:numId w:val="0"/>
        </w:numPr>
        <w:ind w:left="1248"/>
        <w:rPr>
          <w:sz w:val="20"/>
          <w:lang w:val="es-ES"/>
        </w:rPr>
      </w:pPr>
      <w:r w:rsidRPr="008453FB">
        <w:rPr>
          <w:sz w:val="20"/>
          <w:lang w:val="es-ES"/>
        </w:rPr>
        <w:tab/>
        <w:t>d)</w:t>
      </w:r>
      <w:r w:rsidRPr="008453FB">
        <w:rPr>
          <w:sz w:val="20"/>
          <w:lang w:val="es-ES"/>
        </w:rPr>
        <w:tab/>
        <w:t>Las</w:t>
      </w:r>
      <w:r w:rsidR="00471BD1" w:rsidRPr="008453FB">
        <w:rPr>
          <w:sz w:val="20"/>
          <w:lang w:val="es-ES"/>
        </w:rPr>
        <w:t xml:space="preserve"> actividades del programa internacional específico </w:t>
      </w:r>
      <w:r w:rsidRPr="008453FB">
        <w:rPr>
          <w:sz w:val="20"/>
          <w:lang w:val="es-ES"/>
        </w:rPr>
        <w:t>podrían reunir las características siguientes:</w:t>
      </w:r>
      <w:r w:rsidR="00471BD1" w:rsidRPr="008453FB">
        <w:rPr>
          <w:sz w:val="20"/>
          <w:lang w:val="es-ES"/>
        </w:rPr>
        <w:t xml:space="preserve"> un enfoqu</w:t>
      </w:r>
      <w:r w:rsidRPr="008453FB">
        <w:rPr>
          <w:sz w:val="20"/>
          <w:lang w:val="es-ES"/>
        </w:rPr>
        <w:t xml:space="preserve">e impulsado por los países; </w:t>
      </w:r>
      <w:r w:rsidR="00471BD1" w:rsidRPr="008453FB">
        <w:rPr>
          <w:sz w:val="20"/>
          <w:lang w:val="es-ES"/>
        </w:rPr>
        <w:t xml:space="preserve">prioridades nacionales; </w:t>
      </w:r>
      <w:r w:rsidR="00282D69" w:rsidRPr="008453FB">
        <w:rPr>
          <w:sz w:val="20"/>
          <w:lang w:val="es-ES"/>
        </w:rPr>
        <w:t xml:space="preserve">el </w:t>
      </w:r>
      <w:r w:rsidR="00471BD1" w:rsidRPr="008453FB">
        <w:rPr>
          <w:sz w:val="20"/>
          <w:lang w:val="es-ES"/>
        </w:rPr>
        <w:t>sentido de identificación de los países con el programa</w:t>
      </w:r>
      <w:r w:rsidR="00377217" w:rsidRPr="008453FB">
        <w:rPr>
          <w:sz w:val="20"/>
          <w:lang w:val="es-ES"/>
        </w:rPr>
        <w:t xml:space="preserve">; </w:t>
      </w:r>
      <w:r w:rsidR="00282D69" w:rsidRPr="008453FB">
        <w:rPr>
          <w:sz w:val="20"/>
          <w:lang w:val="es-ES"/>
        </w:rPr>
        <w:t xml:space="preserve">y la </w:t>
      </w:r>
      <w:r w:rsidR="00471BD1" w:rsidRPr="008453FB">
        <w:rPr>
          <w:sz w:val="20"/>
          <w:lang w:val="es-ES"/>
        </w:rPr>
        <w:t>aplicación sostenible de las obligaciones</w:t>
      </w:r>
      <w:r w:rsidR="00377217" w:rsidRPr="008453FB">
        <w:rPr>
          <w:sz w:val="20"/>
          <w:lang w:val="es-ES"/>
        </w:rPr>
        <w:t xml:space="preserve">. </w:t>
      </w:r>
      <w:r w:rsidR="00471BD1" w:rsidRPr="008453FB">
        <w:rPr>
          <w:sz w:val="20"/>
          <w:lang w:val="es-ES"/>
        </w:rPr>
        <w:t>Al presentar sus proyectos individuales, las Partes con derecho a ello pueden considerar la posible participación de instituciones de aplicación o ejecución u otras instituciones como organizaciones no gubernamentales y los centros regionales del Convenio de Basilea sobre el Control de los Movimientos Transfronterizos de los Desechos Peligrosos y su Eliminación, y del Convenio de Estocolmo sobre Contaminantes Orgánicos Persistentes</w:t>
      </w:r>
      <w:r w:rsidR="00E436C2" w:rsidRPr="008453FB">
        <w:rPr>
          <w:sz w:val="20"/>
          <w:lang w:val="es-ES"/>
        </w:rPr>
        <w:t>;</w:t>
      </w:r>
    </w:p>
    <w:p w:rsidR="00377217" w:rsidRPr="008453FB" w:rsidRDefault="00C42C7E" w:rsidP="00C42C7E">
      <w:pPr>
        <w:pStyle w:val="Normalnumber"/>
        <w:numPr>
          <w:ilvl w:val="0"/>
          <w:numId w:val="0"/>
        </w:numPr>
        <w:ind w:left="1248"/>
        <w:rPr>
          <w:sz w:val="20"/>
          <w:lang w:val="es-ES"/>
        </w:rPr>
      </w:pPr>
      <w:r w:rsidRPr="008453FB">
        <w:rPr>
          <w:sz w:val="20"/>
          <w:lang w:val="es-ES"/>
        </w:rPr>
        <w:tab/>
        <w:t>e)</w:t>
      </w:r>
      <w:r w:rsidRPr="008453FB">
        <w:rPr>
          <w:sz w:val="20"/>
          <w:lang w:val="es-ES"/>
        </w:rPr>
        <w:tab/>
      </w:r>
      <w:r w:rsidR="00471BD1" w:rsidRPr="008453FB">
        <w:rPr>
          <w:sz w:val="20"/>
          <w:lang w:val="es-ES"/>
        </w:rPr>
        <w:t>El</w:t>
      </w:r>
      <w:r w:rsidR="00BB781B" w:rsidRPr="008453FB">
        <w:rPr>
          <w:sz w:val="20"/>
          <w:lang w:val="es-ES"/>
        </w:rPr>
        <w:t xml:space="preserve"> programa internacional específico debería contar con un</w:t>
      </w:r>
      <w:r w:rsidR="00282D69" w:rsidRPr="008453FB">
        <w:rPr>
          <w:sz w:val="20"/>
          <w:lang w:val="es-ES"/>
        </w:rPr>
        <w:t>a estructura ligera y eficiente y ser</w:t>
      </w:r>
      <w:r w:rsidR="00BB781B" w:rsidRPr="008453FB">
        <w:rPr>
          <w:sz w:val="20"/>
          <w:lang w:val="es-ES"/>
        </w:rPr>
        <w:t xml:space="preserve"> capaz de reaccionar con flexibilidad y de acceder con facilidad a los recursos</w:t>
      </w:r>
      <w:r w:rsidR="00377217" w:rsidRPr="008453FB">
        <w:rPr>
          <w:sz w:val="20"/>
          <w:lang w:val="es-ES"/>
        </w:rPr>
        <w:t>.</w:t>
      </w:r>
    </w:p>
    <w:p w:rsidR="00377217" w:rsidRPr="008453FB" w:rsidRDefault="00641A0E" w:rsidP="00FF64DF">
      <w:pPr>
        <w:pStyle w:val="Normalnumber"/>
        <w:numPr>
          <w:ilvl w:val="0"/>
          <w:numId w:val="5"/>
        </w:numPr>
        <w:tabs>
          <w:tab w:val="clear" w:pos="1758"/>
        </w:tabs>
        <w:ind w:left="1247"/>
        <w:rPr>
          <w:sz w:val="20"/>
          <w:lang w:val="es-ES"/>
        </w:rPr>
      </w:pPr>
      <w:r w:rsidRPr="008453FB">
        <w:rPr>
          <w:sz w:val="20"/>
          <w:lang w:val="es-ES" w:eastAsia="zh-CN"/>
        </w:rPr>
        <w:t>Existía un entendimiento común en el sentido de q</w:t>
      </w:r>
      <w:r w:rsidR="0001415B">
        <w:rPr>
          <w:sz w:val="20"/>
          <w:lang w:val="es-ES" w:eastAsia="zh-CN"/>
        </w:rPr>
        <w:t>ue los Estados que no son Parte</w:t>
      </w:r>
      <w:r w:rsidRPr="008453FB">
        <w:rPr>
          <w:sz w:val="20"/>
          <w:lang w:val="es-ES" w:eastAsia="zh-CN"/>
        </w:rPr>
        <w:t xml:space="preserve"> no tendrían derecho a solicitar financiación, pero de contar con la invitación de una de las Partes podría aprobarse su participación caso por caso en algunas de las actividades emprendidas por el programa internacional específico</w:t>
      </w:r>
      <w:r w:rsidR="00377217" w:rsidRPr="008453FB">
        <w:rPr>
          <w:sz w:val="20"/>
          <w:lang w:val="es-ES"/>
        </w:rPr>
        <w:t xml:space="preserve">. </w:t>
      </w:r>
      <w:r w:rsidRPr="008453FB">
        <w:rPr>
          <w:sz w:val="20"/>
          <w:lang w:val="es-ES"/>
        </w:rPr>
        <w:t xml:space="preserve">El grupo reconoció que la flexibilidad con respecto a </w:t>
      </w:r>
      <w:r w:rsidR="00282D69" w:rsidRPr="008453FB">
        <w:rPr>
          <w:sz w:val="20"/>
          <w:lang w:val="es-ES"/>
        </w:rPr>
        <w:t>E</w:t>
      </w:r>
      <w:r w:rsidR="000E4036" w:rsidRPr="008453FB">
        <w:rPr>
          <w:sz w:val="20"/>
          <w:lang w:val="es-ES"/>
        </w:rPr>
        <w:t>stados que no son P</w:t>
      </w:r>
      <w:r w:rsidRPr="008453FB">
        <w:rPr>
          <w:sz w:val="20"/>
          <w:lang w:val="es-ES"/>
        </w:rPr>
        <w:t>arte est</w:t>
      </w:r>
      <w:r w:rsidR="0002672A">
        <w:rPr>
          <w:sz w:val="20"/>
          <w:lang w:val="es-ES"/>
        </w:rPr>
        <w:t>aba</w:t>
      </w:r>
      <w:r w:rsidRPr="008453FB">
        <w:rPr>
          <w:sz w:val="20"/>
          <w:lang w:val="es-ES"/>
        </w:rPr>
        <w:t xml:space="preserve"> presente ya en otras fuentes de financiación, como por ejemplo el </w:t>
      </w:r>
      <w:r w:rsidR="004914C2" w:rsidRPr="008453FB">
        <w:rPr>
          <w:sz w:val="20"/>
          <w:lang w:val="es-ES"/>
        </w:rPr>
        <w:t xml:space="preserve">programa especial para el fortalecimiento institucional y </w:t>
      </w:r>
      <w:r w:rsidR="0002672A">
        <w:rPr>
          <w:sz w:val="20"/>
          <w:lang w:val="es-ES"/>
        </w:rPr>
        <w:t xml:space="preserve">en </w:t>
      </w:r>
      <w:r w:rsidR="004914C2" w:rsidRPr="008453FB">
        <w:rPr>
          <w:sz w:val="20"/>
          <w:lang w:val="es-ES"/>
        </w:rPr>
        <w:t>la orientación provisional a propósito del FMAM que el Comité adoptó en su sexto período de sesiones</w:t>
      </w:r>
      <w:r w:rsidR="00377217" w:rsidRPr="008453FB">
        <w:rPr>
          <w:sz w:val="20"/>
          <w:lang w:val="es-ES"/>
        </w:rPr>
        <w:t>.</w:t>
      </w:r>
    </w:p>
    <w:p w:rsidR="00282D69" w:rsidRPr="008453FB" w:rsidRDefault="004B45F4" w:rsidP="00282D69">
      <w:pPr>
        <w:pStyle w:val="CH3"/>
        <w:rPr>
          <w:lang w:val="es-ES"/>
        </w:rPr>
      </w:pPr>
      <w:r w:rsidRPr="008453FB">
        <w:rPr>
          <w:lang w:val="es-ES"/>
        </w:rPr>
        <w:tab/>
      </w:r>
      <w:r w:rsidR="0002672A">
        <w:rPr>
          <w:lang w:val="es-ES"/>
        </w:rPr>
        <w:t>2.</w:t>
      </w:r>
      <w:r w:rsidRPr="008453FB">
        <w:rPr>
          <w:lang w:val="es-ES"/>
        </w:rPr>
        <w:tab/>
      </w:r>
      <w:r w:rsidR="004914C2" w:rsidRPr="008453FB">
        <w:rPr>
          <w:lang w:val="es-ES"/>
        </w:rPr>
        <w:t>Fuen</w:t>
      </w:r>
      <w:r w:rsidR="00282D69" w:rsidRPr="008453FB">
        <w:rPr>
          <w:lang w:val="es-ES"/>
        </w:rPr>
        <w:t xml:space="preserve">tes de recursos </w:t>
      </w:r>
    </w:p>
    <w:p w:rsidR="00377217" w:rsidRPr="008453FB" w:rsidRDefault="004914C2" w:rsidP="00FF64DF">
      <w:pPr>
        <w:pStyle w:val="Normalnumber"/>
        <w:numPr>
          <w:ilvl w:val="0"/>
          <w:numId w:val="5"/>
        </w:numPr>
        <w:tabs>
          <w:tab w:val="clear" w:pos="1758"/>
        </w:tabs>
        <w:ind w:left="1247"/>
        <w:rPr>
          <w:sz w:val="20"/>
          <w:lang w:val="es-ES"/>
        </w:rPr>
      </w:pPr>
      <w:r w:rsidRPr="008453FB">
        <w:rPr>
          <w:sz w:val="20"/>
          <w:lang w:val="es-ES"/>
        </w:rPr>
        <w:t xml:space="preserve">En lo referente </w:t>
      </w:r>
      <w:r w:rsidR="0001417C" w:rsidRPr="008453FB">
        <w:rPr>
          <w:sz w:val="20"/>
          <w:lang w:val="es-ES"/>
        </w:rPr>
        <w:t xml:space="preserve">a </w:t>
      </w:r>
      <w:r w:rsidRPr="008453FB">
        <w:rPr>
          <w:sz w:val="20"/>
          <w:lang w:val="es-ES"/>
        </w:rPr>
        <w:t>fuentes de recursos para el programa internacional específico, el grupo de expertos alcanzó el siguiente entendimiento común</w:t>
      </w:r>
      <w:r w:rsidR="00377217" w:rsidRPr="008453FB">
        <w:rPr>
          <w:sz w:val="20"/>
          <w:lang w:val="es-ES"/>
        </w:rPr>
        <w:t>:</w:t>
      </w:r>
    </w:p>
    <w:p w:rsidR="00377217" w:rsidRPr="008453FB" w:rsidRDefault="0001417C" w:rsidP="0001417C">
      <w:pPr>
        <w:pStyle w:val="Normalnumber"/>
        <w:numPr>
          <w:ilvl w:val="0"/>
          <w:numId w:val="0"/>
        </w:numPr>
        <w:ind w:left="1248"/>
        <w:rPr>
          <w:sz w:val="20"/>
          <w:lang w:val="es-ES"/>
        </w:rPr>
      </w:pPr>
      <w:r w:rsidRPr="008453FB">
        <w:rPr>
          <w:sz w:val="20"/>
          <w:lang w:val="es-ES"/>
        </w:rPr>
        <w:tab/>
        <w:t>a)</w:t>
      </w:r>
      <w:r w:rsidRPr="008453FB">
        <w:rPr>
          <w:sz w:val="20"/>
          <w:lang w:val="es-ES"/>
        </w:rPr>
        <w:tab/>
      </w:r>
      <w:r w:rsidR="004914C2" w:rsidRPr="008453FB">
        <w:rPr>
          <w:sz w:val="20"/>
          <w:lang w:val="es-ES"/>
        </w:rPr>
        <w:t xml:space="preserve">Deben fomentarse las aportaciones de recursos (económicos, en especie o en forma de conocimientos especializados) procedentes de un amplio abanico de fuentes, y el programa internacional específico debería resultar atractivo a un amplio grupo de donantes. Entre estos se incluyen todas las Partes en el Convenio de </w:t>
      </w:r>
      <w:r w:rsidR="00377217" w:rsidRPr="008453FB">
        <w:rPr>
          <w:sz w:val="20"/>
          <w:lang w:val="es-ES"/>
        </w:rPr>
        <w:t xml:space="preserve">Minamata </w:t>
      </w:r>
      <w:r w:rsidR="004914C2" w:rsidRPr="008453FB">
        <w:rPr>
          <w:sz w:val="20"/>
          <w:lang w:val="es-ES"/>
        </w:rPr>
        <w:t>susceptibles de hacer aportaciones, así como otros interesados</w:t>
      </w:r>
      <w:r w:rsidR="005449FA" w:rsidRPr="008453FB">
        <w:rPr>
          <w:sz w:val="20"/>
          <w:lang w:val="es-ES"/>
        </w:rPr>
        <w:t xml:space="preserve"> pertinentes, incluidos gobiernos, el sector privado, fundaciones, organizaciones no gubernamentales, organizaciones intergubernamentales, el mundo académico y otros agentes de la sociedad civil</w:t>
      </w:r>
      <w:r w:rsidR="00377217" w:rsidRPr="008453FB">
        <w:rPr>
          <w:sz w:val="20"/>
          <w:lang w:val="es-ES"/>
        </w:rPr>
        <w:t>;</w:t>
      </w:r>
    </w:p>
    <w:p w:rsidR="00377217" w:rsidRPr="008453FB" w:rsidRDefault="0001417C" w:rsidP="0001417C">
      <w:pPr>
        <w:pStyle w:val="Normalnumber"/>
        <w:numPr>
          <w:ilvl w:val="0"/>
          <w:numId w:val="0"/>
        </w:numPr>
        <w:ind w:left="1248"/>
        <w:rPr>
          <w:sz w:val="20"/>
          <w:lang w:val="es-ES"/>
        </w:rPr>
      </w:pPr>
      <w:r w:rsidRPr="008453FB">
        <w:rPr>
          <w:sz w:val="20"/>
          <w:lang w:val="es-ES"/>
        </w:rPr>
        <w:tab/>
        <w:t>b)</w:t>
      </w:r>
      <w:r w:rsidRPr="008453FB">
        <w:rPr>
          <w:sz w:val="20"/>
          <w:lang w:val="es-ES"/>
        </w:rPr>
        <w:tab/>
      </w:r>
      <w:r w:rsidR="005449FA" w:rsidRPr="008453FB">
        <w:rPr>
          <w:sz w:val="20"/>
          <w:lang w:val="es-ES"/>
        </w:rPr>
        <w:t xml:space="preserve">El enfoque integrado para la financiación de la gestión racional de los productos químicos y los </w:t>
      </w:r>
      <w:r w:rsidRPr="008453FB">
        <w:rPr>
          <w:sz w:val="20"/>
          <w:lang w:val="es-ES"/>
        </w:rPr>
        <w:t xml:space="preserve">desechos </w:t>
      </w:r>
      <w:r w:rsidR="005449FA" w:rsidRPr="008453FB">
        <w:rPr>
          <w:sz w:val="20"/>
          <w:lang w:val="es-ES"/>
        </w:rPr>
        <w:t>es pertinente para la aplicación del Convenio</w:t>
      </w:r>
      <w:r w:rsidR="00377217" w:rsidRPr="008453FB">
        <w:rPr>
          <w:sz w:val="20"/>
          <w:lang w:val="es-ES"/>
        </w:rPr>
        <w:t>;</w:t>
      </w:r>
    </w:p>
    <w:p w:rsidR="00377217" w:rsidRPr="008453FB" w:rsidRDefault="0001417C" w:rsidP="0001417C">
      <w:pPr>
        <w:pStyle w:val="Normalnumber"/>
        <w:numPr>
          <w:ilvl w:val="0"/>
          <w:numId w:val="0"/>
        </w:numPr>
        <w:ind w:left="1248"/>
        <w:rPr>
          <w:sz w:val="20"/>
          <w:lang w:val="es-ES"/>
        </w:rPr>
      </w:pPr>
      <w:r w:rsidRPr="008453FB">
        <w:rPr>
          <w:sz w:val="20"/>
          <w:lang w:val="es-ES"/>
        </w:rPr>
        <w:tab/>
        <w:t>c)</w:t>
      </w:r>
      <w:r w:rsidRPr="008453FB">
        <w:rPr>
          <w:sz w:val="20"/>
          <w:lang w:val="es-ES"/>
        </w:rPr>
        <w:tab/>
      </w:r>
      <w:r w:rsidR="005449FA" w:rsidRPr="008453FB">
        <w:rPr>
          <w:sz w:val="20"/>
          <w:lang w:val="es-ES"/>
        </w:rPr>
        <w:t xml:space="preserve">Debería elaborarse una estrategia de movilización de recursos a fin de alcanzar el objetivo del Convenio </w:t>
      </w:r>
      <w:r w:rsidR="00B820FD" w:rsidRPr="008453FB">
        <w:rPr>
          <w:sz w:val="20"/>
          <w:lang w:val="es-ES"/>
        </w:rPr>
        <w:t>y atraer un amplio espectro de donantes, aprovechando las lecciones aprendidas en otros ámbitos. Esta estrategia debería incluir enfoques para obtener recursos de agentes no estatales, incluidos recursos en especie. Debería seguir un modelo de ap</w:t>
      </w:r>
      <w:r w:rsidR="004D0E69" w:rsidRPr="008453FB">
        <w:rPr>
          <w:sz w:val="20"/>
          <w:lang w:val="es-ES"/>
        </w:rPr>
        <w:t>ortaciones de</w:t>
      </w:r>
      <w:r w:rsidR="00B820FD" w:rsidRPr="008453FB">
        <w:rPr>
          <w:sz w:val="20"/>
          <w:lang w:val="es-ES"/>
        </w:rPr>
        <w:t xml:space="preserve"> fondo fiduciario y aportaciones ajenas </w:t>
      </w:r>
      <w:r w:rsidR="002D37B5" w:rsidRPr="008453FB">
        <w:rPr>
          <w:sz w:val="20"/>
          <w:lang w:val="es-ES"/>
        </w:rPr>
        <w:t>a ese fondo</w:t>
      </w:r>
      <w:r w:rsidR="00377217" w:rsidRPr="008453FB">
        <w:rPr>
          <w:sz w:val="20"/>
          <w:lang w:val="es-ES"/>
        </w:rPr>
        <w:t>;</w:t>
      </w:r>
    </w:p>
    <w:p w:rsidR="00377217" w:rsidRPr="008453FB" w:rsidRDefault="0001417C" w:rsidP="0001417C">
      <w:pPr>
        <w:pStyle w:val="Normalnumber"/>
        <w:numPr>
          <w:ilvl w:val="0"/>
          <w:numId w:val="0"/>
        </w:numPr>
        <w:ind w:left="1248"/>
        <w:rPr>
          <w:sz w:val="20"/>
          <w:lang w:val="es-ES"/>
        </w:rPr>
      </w:pPr>
      <w:r w:rsidRPr="008453FB">
        <w:rPr>
          <w:sz w:val="20"/>
          <w:lang w:val="es-ES"/>
        </w:rPr>
        <w:tab/>
        <w:t>d)</w:t>
      </w:r>
      <w:r w:rsidRPr="008453FB">
        <w:rPr>
          <w:sz w:val="20"/>
          <w:lang w:val="es-ES"/>
        </w:rPr>
        <w:tab/>
      </w:r>
      <w:r w:rsidR="005449FA" w:rsidRPr="008453FB">
        <w:rPr>
          <w:sz w:val="20"/>
          <w:lang w:val="es-ES"/>
        </w:rPr>
        <w:t xml:space="preserve">Deberían maximizarse los vínculos con los objetivos del Convenio de </w:t>
      </w:r>
      <w:r w:rsidR="00377217" w:rsidRPr="008453FB">
        <w:rPr>
          <w:sz w:val="20"/>
          <w:lang w:val="es-ES"/>
        </w:rPr>
        <w:t>Minamata</w:t>
      </w:r>
      <w:r w:rsidR="005449FA" w:rsidRPr="008453FB">
        <w:rPr>
          <w:sz w:val="20"/>
          <w:lang w:val="es-ES"/>
        </w:rPr>
        <w:t xml:space="preserve"> y otros programas e iniciativas ya existentes y bien dotados de manera sistemática, con el objetivo de obtener beneficios </w:t>
      </w:r>
      <w:r w:rsidR="00B820FD" w:rsidRPr="008453FB">
        <w:rPr>
          <w:sz w:val="20"/>
          <w:lang w:val="es-ES"/>
        </w:rPr>
        <w:t>compartidos cuando sea posible</w:t>
      </w:r>
      <w:r w:rsidR="00377217" w:rsidRPr="008453FB">
        <w:rPr>
          <w:sz w:val="20"/>
          <w:lang w:val="es-ES"/>
        </w:rPr>
        <w:t xml:space="preserve">; </w:t>
      </w:r>
    </w:p>
    <w:p w:rsidR="00377217" w:rsidRPr="008453FB" w:rsidRDefault="004D0E69" w:rsidP="0001417C">
      <w:pPr>
        <w:pStyle w:val="Normalnumber"/>
        <w:numPr>
          <w:ilvl w:val="0"/>
          <w:numId w:val="0"/>
        </w:numPr>
        <w:ind w:left="1248"/>
        <w:rPr>
          <w:sz w:val="20"/>
          <w:lang w:val="es-ES"/>
        </w:rPr>
      </w:pPr>
      <w:r w:rsidRPr="008453FB">
        <w:rPr>
          <w:sz w:val="20"/>
          <w:lang w:val="es-ES"/>
        </w:rPr>
        <w:tab/>
        <w:t>e</w:t>
      </w:r>
      <w:r w:rsidR="0001417C" w:rsidRPr="008453FB">
        <w:rPr>
          <w:sz w:val="20"/>
          <w:lang w:val="es-ES"/>
        </w:rPr>
        <w:t>)</w:t>
      </w:r>
      <w:r w:rsidR="0001417C" w:rsidRPr="008453FB">
        <w:rPr>
          <w:sz w:val="20"/>
          <w:lang w:val="es-ES"/>
        </w:rPr>
        <w:tab/>
      </w:r>
      <w:r w:rsidR="005449FA" w:rsidRPr="008453FB">
        <w:rPr>
          <w:sz w:val="20"/>
          <w:lang w:val="es-ES"/>
        </w:rPr>
        <w:t>Deberían promoverse y acordarse colaboraciones y coop</w:t>
      </w:r>
      <w:r w:rsidR="00723A44">
        <w:rPr>
          <w:sz w:val="20"/>
          <w:lang w:val="es-ES"/>
        </w:rPr>
        <w:t>eraciones a fin de facilitar la </w:t>
      </w:r>
      <w:r w:rsidR="005449FA" w:rsidRPr="008453FB">
        <w:rPr>
          <w:sz w:val="20"/>
          <w:lang w:val="es-ES"/>
        </w:rPr>
        <w:t>aplicación del Convenio</w:t>
      </w:r>
      <w:r w:rsidR="00377217" w:rsidRPr="008453FB">
        <w:rPr>
          <w:sz w:val="20"/>
          <w:lang w:val="es-ES"/>
        </w:rPr>
        <w:t>,</w:t>
      </w:r>
      <w:r w:rsidR="005449FA" w:rsidRPr="008453FB">
        <w:rPr>
          <w:sz w:val="20"/>
          <w:lang w:val="es-ES"/>
        </w:rPr>
        <w:t xml:space="preserve"> también a través del aprovechamiento de la</w:t>
      </w:r>
      <w:r w:rsidR="00723A44">
        <w:rPr>
          <w:sz w:val="20"/>
          <w:lang w:val="es-ES"/>
        </w:rPr>
        <w:t>s lecciones aprendidas en otros </w:t>
      </w:r>
      <w:r w:rsidR="005449FA" w:rsidRPr="008453FB">
        <w:rPr>
          <w:sz w:val="20"/>
          <w:lang w:val="es-ES"/>
        </w:rPr>
        <w:t>Convenios</w:t>
      </w:r>
      <w:r w:rsidR="00377217" w:rsidRPr="008453FB">
        <w:rPr>
          <w:sz w:val="20"/>
          <w:lang w:val="es-ES"/>
        </w:rPr>
        <w:t>.</w:t>
      </w:r>
    </w:p>
    <w:p w:rsidR="00377217" w:rsidRPr="008453FB" w:rsidRDefault="005B5833" w:rsidP="008453FB">
      <w:pPr>
        <w:pStyle w:val="CH2"/>
        <w:rPr>
          <w:lang w:val="es-ES"/>
        </w:rPr>
      </w:pPr>
      <w:r w:rsidRPr="008453FB">
        <w:rPr>
          <w:lang w:val="es-ES"/>
        </w:rPr>
        <w:tab/>
        <w:t>C.</w:t>
      </w:r>
      <w:r w:rsidRPr="008453FB">
        <w:rPr>
          <w:lang w:val="es-ES"/>
        </w:rPr>
        <w:tab/>
      </w:r>
      <w:r w:rsidR="0006245E" w:rsidRPr="008453FB">
        <w:rPr>
          <w:lang w:val="es-ES"/>
        </w:rPr>
        <w:t>Duración</w:t>
      </w:r>
    </w:p>
    <w:p w:rsidR="00377217" w:rsidRPr="008453FB" w:rsidRDefault="0006245E" w:rsidP="008453FB">
      <w:pPr>
        <w:pStyle w:val="Normalnumber"/>
        <w:keepNext/>
        <w:keepLines/>
        <w:numPr>
          <w:ilvl w:val="0"/>
          <w:numId w:val="5"/>
        </w:numPr>
        <w:tabs>
          <w:tab w:val="clear" w:pos="1758"/>
        </w:tabs>
        <w:ind w:left="1247"/>
        <w:rPr>
          <w:sz w:val="20"/>
          <w:lang w:val="es-ES"/>
        </w:rPr>
      </w:pPr>
      <w:r w:rsidRPr="008453FB">
        <w:rPr>
          <w:sz w:val="20"/>
          <w:lang w:val="es-ES"/>
        </w:rPr>
        <w:t>El grupo de expertos mantuvo un debate a propósito de la duración del programa internacional específico. El grupo de expertos, sin embargo, reconoció que sin conocer exactamente los arreglos de acogida y los elementos del programa, ese debate era prematuro. Entre las opiniones expresadas estuvieron las siguientes:</w:t>
      </w:r>
    </w:p>
    <w:p w:rsidR="00377217" w:rsidRPr="008453FB" w:rsidRDefault="004D0E69" w:rsidP="004D0E69">
      <w:pPr>
        <w:pStyle w:val="Normalnumber"/>
        <w:numPr>
          <w:ilvl w:val="0"/>
          <w:numId w:val="0"/>
        </w:numPr>
        <w:ind w:left="1248"/>
        <w:rPr>
          <w:sz w:val="20"/>
          <w:lang w:val="es-ES"/>
        </w:rPr>
      </w:pPr>
      <w:r w:rsidRPr="008453FB">
        <w:rPr>
          <w:sz w:val="20"/>
          <w:lang w:val="es-ES"/>
        </w:rPr>
        <w:tab/>
        <w:t>a)</w:t>
      </w:r>
      <w:r w:rsidRPr="008453FB">
        <w:rPr>
          <w:sz w:val="20"/>
          <w:lang w:val="es-ES"/>
        </w:rPr>
        <w:tab/>
      </w:r>
      <w:r w:rsidR="0006245E" w:rsidRPr="008453FB">
        <w:rPr>
          <w:sz w:val="20"/>
          <w:lang w:val="es-ES"/>
        </w:rPr>
        <w:t>El programa internacional específico podría ser a tiempo limitado</w:t>
      </w:r>
      <w:r w:rsidR="00377217" w:rsidRPr="008453FB">
        <w:rPr>
          <w:sz w:val="20"/>
          <w:lang w:val="es-ES"/>
        </w:rPr>
        <w:t xml:space="preserve">; </w:t>
      </w:r>
    </w:p>
    <w:p w:rsidR="00377217" w:rsidRPr="008453FB" w:rsidRDefault="004D0E69" w:rsidP="004D0E69">
      <w:pPr>
        <w:pStyle w:val="Normalnumber"/>
        <w:numPr>
          <w:ilvl w:val="0"/>
          <w:numId w:val="0"/>
        </w:numPr>
        <w:ind w:left="1248"/>
        <w:rPr>
          <w:sz w:val="20"/>
          <w:lang w:val="es-ES"/>
        </w:rPr>
      </w:pPr>
      <w:r w:rsidRPr="008453FB">
        <w:rPr>
          <w:sz w:val="20"/>
          <w:lang w:val="es-ES"/>
        </w:rPr>
        <w:tab/>
        <w:t>b)</w:t>
      </w:r>
      <w:r w:rsidRPr="008453FB">
        <w:rPr>
          <w:sz w:val="20"/>
          <w:lang w:val="es-ES"/>
        </w:rPr>
        <w:tab/>
      </w:r>
      <w:r w:rsidR="0006245E" w:rsidRPr="008453FB">
        <w:rPr>
          <w:sz w:val="20"/>
          <w:lang w:val="es-ES"/>
        </w:rPr>
        <w:t>Las obligaciones expre</w:t>
      </w:r>
      <w:r w:rsidRPr="008453FB">
        <w:rPr>
          <w:sz w:val="20"/>
          <w:lang w:val="es-ES"/>
        </w:rPr>
        <w:t>sadas en algunos artículos del C</w:t>
      </w:r>
      <w:r w:rsidR="0006245E" w:rsidRPr="008453FB">
        <w:rPr>
          <w:sz w:val="20"/>
          <w:lang w:val="es-ES"/>
        </w:rPr>
        <w:t>onvenio tienen plazos precisos, mientras otras obligaciones no tienen limitaciones temporales. Se señaló que la duración podría estar vinculada a las obligaciones definidas en el Convenio, por ejemplo tomando en consideración los períodos de eliminación gradual establecidos en el Convenio para los artículos con plazos precisos</w:t>
      </w:r>
      <w:r w:rsidR="00377217" w:rsidRPr="008453FB">
        <w:rPr>
          <w:sz w:val="20"/>
          <w:lang w:val="es-ES"/>
        </w:rPr>
        <w:t xml:space="preserve">; </w:t>
      </w:r>
    </w:p>
    <w:p w:rsidR="00377217" w:rsidRPr="008453FB" w:rsidRDefault="004D0E69" w:rsidP="004D0E69">
      <w:pPr>
        <w:pStyle w:val="Normalnumber"/>
        <w:numPr>
          <w:ilvl w:val="0"/>
          <w:numId w:val="0"/>
        </w:numPr>
        <w:ind w:left="1248"/>
        <w:rPr>
          <w:iCs/>
          <w:sz w:val="20"/>
          <w:lang w:val="es-ES"/>
        </w:rPr>
      </w:pPr>
      <w:r w:rsidRPr="008453FB">
        <w:rPr>
          <w:sz w:val="20"/>
          <w:lang w:val="es-ES"/>
        </w:rPr>
        <w:tab/>
        <w:t>c)</w:t>
      </w:r>
      <w:r w:rsidRPr="008453FB">
        <w:rPr>
          <w:sz w:val="20"/>
          <w:lang w:val="es-ES"/>
        </w:rPr>
        <w:tab/>
      </w:r>
      <w:r w:rsidR="002D37B5" w:rsidRPr="008453FB">
        <w:rPr>
          <w:sz w:val="20"/>
          <w:lang w:val="es-ES"/>
        </w:rPr>
        <w:t xml:space="preserve">La </w:t>
      </w:r>
      <w:r w:rsidR="0006245E" w:rsidRPr="008453FB">
        <w:rPr>
          <w:sz w:val="20"/>
          <w:lang w:val="es-ES"/>
        </w:rPr>
        <w:t>duración del programa internacional específico podría ser ilimitada</w:t>
      </w:r>
      <w:r w:rsidR="00377217" w:rsidRPr="008453FB">
        <w:rPr>
          <w:iCs/>
          <w:sz w:val="20"/>
          <w:lang w:val="es-ES"/>
        </w:rPr>
        <w:t>.</w:t>
      </w:r>
    </w:p>
    <w:p w:rsidR="00377217" w:rsidRPr="008453FB" w:rsidRDefault="00377217" w:rsidP="00A402C9">
      <w:pPr>
        <w:pStyle w:val="ZZAnxheader"/>
        <w:rPr>
          <w:lang w:val="es-ES"/>
        </w:rPr>
      </w:pPr>
      <w:r w:rsidRPr="008453FB">
        <w:rPr>
          <w:sz w:val="20"/>
          <w:lang w:val="es-ES"/>
        </w:rPr>
        <w:br w:type="page"/>
      </w:r>
      <w:r w:rsidR="006E05C4" w:rsidRPr="008453FB">
        <w:rPr>
          <w:lang w:val="es-ES"/>
        </w:rPr>
        <w:t>Anexo</w:t>
      </w:r>
      <w:r w:rsidRPr="008453FB">
        <w:rPr>
          <w:lang w:val="es-ES"/>
        </w:rPr>
        <w:t xml:space="preserve"> II</w:t>
      </w:r>
    </w:p>
    <w:p w:rsidR="00CF621A" w:rsidRPr="008453FB" w:rsidRDefault="00377217" w:rsidP="00CF621A">
      <w:pPr>
        <w:pStyle w:val="ZZAnxtitle"/>
        <w:rPr>
          <w:lang w:val="es-ES"/>
        </w:rPr>
      </w:pPr>
      <w:r w:rsidRPr="008453FB">
        <w:rPr>
          <w:lang w:val="es-ES"/>
        </w:rPr>
        <w:t>List</w:t>
      </w:r>
      <w:r w:rsidR="006E05C4" w:rsidRPr="008453FB">
        <w:rPr>
          <w:lang w:val="es-ES"/>
        </w:rPr>
        <w:t>a</w:t>
      </w:r>
      <w:r w:rsidRPr="008453FB">
        <w:rPr>
          <w:lang w:val="es-ES"/>
        </w:rPr>
        <w:t xml:space="preserve"> </w:t>
      </w:r>
      <w:r w:rsidR="006E05C4" w:rsidRPr="008453FB">
        <w:rPr>
          <w:lang w:val="es-ES"/>
        </w:rPr>
        <w:t>de</w:t>
      </w:r>
      <w:r w:rsidRPr="008453FB">
        <w:rPr>
          <w:lang w:val="es-ES"/>
        </w:rPr>
        <w:t xml:space="preserve"> expert</w:t>
      </w:r>
      <w:r w:rsidR="006E05C4" w:rsidRPr="008453FB">
        <w:rPr>
          <w:lang w:val="es-ES"/>
        </w:rPr>
        <w:t>o</w:t>
      </w:r>
      <w:r w:rsidRPr="008453FB">
        <w:rPr>
          <w:lang w:val="es-ES"/>
        </w:rPr>
        <w:t>s designa</w:t>
      </w:r>
      <w:r w:rsidR="006E05C4" w:rsidRPr="008453FB">
        <w:rPr>
          <w:lang w:val="es-ES"/>
        </w:rPr>
        <w:t xml:space="preserve">dos por los cinco grupos regionales de </w:t>
      </w:r>
      <w:r w:rsidR="008453FB">
        <w:rPr>
          <w:lang w:val="es-ES"/>
        </w:rPr>
        <w:t>Naciones Unidas</w:t>
      </w:r>
      <w:r w:rsidR="006E05C4" w:rsidRPr="008453FB">
        <w:rPr>
          <w:lang w:val="es-ES"/>
        </w:rPr>
        <w:t xml:space="preserve"> para participar en el grupo de trabajo especial de expertos en financiación </w:t>
      </w:r>
    </w:p>
    <w:p w:rsidR="00377217" w:rsidRPr="008453FB" w:rsidRDefault="00377217" w:rsidP="00377217">
      <w:pPr>
        <w:pStyle w:val="CH2"/>
        <w:keepNext w:val="0"/>
        <w:keepLines w:val="0"/>
        <w:rPr>
          <w:lang w:val="es-ES"/>
        </w:rPr>
      </w:pPr>
    </w:p>
    <w:p w:rsidR="00377217" w:rsidRPr="008453FB" w:rsidRDefault="00377217" w:rsidP="00377217">
      <w:pPr>
        <w:rPr>
          <w:b/>
          <w:bCs/>
          <w:color w:val="000000"/>
          <w:u w:val="single"/>
          <w:lang w:val="es-ES"/>
        </w:rPr>
        <w:sectPr w:rsidR="00377217" w:rsidRPr="008453F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377217" w:rsidRPr="008453FB" w:rsidRDefault="00CF621A" w:rsidP="00F429F7">
      <w:pPr>
        <w:pStyle w:val="Normal-pool"/>
        <w:spacing w:after="120"/>
        <w:rPr>
          <w:sz w:val="20"/>
          <w:lang w:val="es-ES"/>
        </w:rPr>
      </w:pPr>
      <w:r w:rsidRPr="008453FB">
        <w:rPr>
          <w:b/>
          <w:sz w:val="20"/>
          <w:lang w:val="es-ES"/>
        </w:rPr>
        <w:t>Á</w:t>
      </w:r>
      <w:r w:rsidR="00CE1FD4" w:rsidRPr="008453FB">
        <w:rPr>
          <w:b/>
          <w:sz w:val="20"/>
          <w:lang w:val="es-ES"/>
        </w:rPr>
        <w:t>frica</w:t>
      </w:r>
    </w:p>
    <w:p w:rsidR="008A307D" w:rsidRPr="008453FB" w:rsidRDefault="00CF621A" w:rsidP="008A307D">
      <w:pPr>
        <w:pStyle w:val="Normal-pool"/>
        <w:spacing w:before="120"/>
        <w:rPr>
          <w:sz w:val="20"/>
          <w:lang w:val="es-ES"/>
        </w:rPr>
      </w:pPr>
      <w:r w:rsidRPr="008453FB">
        <w:rPr>
          <w:sz w:val="20"/>
          <w:lang w:val="es-ES"/>
        </w:rPr>
        <w:t>Sr.</w:t>
      </w:r>
      <w:r w:rsidR="008A307D" w:rsidRPr="008453FB">
        <w:rPr>
          <w:sz w:val="20"/>
          <w:lang w:val="es-ES"/>
        </w:rPr>
        <w:t xml:space="preserve"> </w:t>
      </w:r>
      <w:proofErr w:type="spellStart"/>
      <w:r w:rsidR="008A307D" w:rsidRPr="008453FB">
        <w:rPr>
          <w:sz w:val="20"/>
          <w:lang w:val="es-ES"/>
        </w:rPr>
        <w:t>Adel</w:t>
      </w:r>
      <w:proofErr w:type="spellEnd"/>
      <w:r w:rsidR="008A307D" w:rsidRPr="008453FB">
        <w:rPr>
          <w:sz w:val="20"/>
          <w:lang w:val="es-ES"/>
        </w:rPr>
        <w:t xml:space="preserve"> Shafei </w:t>
      </w:r>
      <w:proofErr w:type="spellStart"/>
      <w:r w:rsidR="008A307D" w:rsidRPr="008453FB">
        <w:rPr>
          <w:sz w:val="20"/>
          <w:lang w:val="es-ES"/>
        </w:rPr>
        <w:t>Osman</w:t>
      </w:r>
      <w:proofErr w:type="spellEnd"/>
      <w:r w:rsidR="008A307D" w:rsidRPr="008453FB">
        <w:rPr>
          <w:sz w:val="20"/>
          <w:lang w:val="es-ES"/>
        </w:rPr>
        <w:t xml:space="preserve"> </w:t>
      </w:r>
    </w:p>
    <w:p w:rsidR="008A307D" w:rsidRPr="008453FB" w:rsidRDefault="00CF621A" w:rsidP="008A307D">
      <w:pPr>
        <w:pStyle w:val="Normal-pool"/>
        <w:rPr>
          <w:sz w:val="20"/>
          <w:lang w:val="es-ES"/>
        </w:rPr>
      </w:pPr>
      <w:r w:rsidRPr="008453FB">
        <w:rPr>
          <w:sz w:val="20"/>
          <w:lang w:val="es-ES"/>
        </w:rPr>
        <w:t>Director general</w:t>
      </w:r>
    </w:p>
    <w:p w:rsidR="008A307D" w:rsidRPr="008453FB" w:rsidRDefault="00CF621A" w:rsidP="008A307D">
      <w:pPr>
        <w:pStyle w:val="Normal-pool"/>
        <w:rPr>
          <w:sz w:val="20"/>
          <w:lang w:val="es-ES"/>
        </w:rPr>
      </w:pPr>
      <w:r w:rsidRPr="008453FB">
        <w:rPr>
          <w:sz w:val="20"/>
          <w:lang w:val="es-ES"/>
        </w:rPr>
        <w:t>Departamento de productos químicos y desechos</w:t>
      </w:r>
    </w:p>
    <w:p w:rsidR="008A307D" w:rsidRPr="008453FB" w:rsidRDefault="00F24308" w:rsidP="008A307D">
      <w:pPr>
        <w:pStyle w:val="Normal-pool"/>
        <w:rPr>
          <w:sz w:val="20"/>
          <w:lang w:val="es-ES"/>
        </w:rPr>
      </w:pPr>
      <w:r w:rsidRPr="008453FB">
        <w:rPr>
          <w:sz w:val="20"/>
          <w:lang w:val="es-ES"/>
        </w:rPr>
        <w:t>Ministerio de Medio Ambiente</w:t>
      </w:r>
    </w:p>
    <w:p w:rsidR="008A307D" w:rsidRPr="008453FB" w:rsidRDefault="008A307D" w:rsidP="008A307D">
      <w:pPr>
        <w:pStyle w:val="Normal-pool"/>
        <w:rPr>
          <w:sz w:val="20"/>
          <w:lang w:val="es-ES"/>
        </w:rPr>
      </w:pPr>
      <w:r w:rsidRPr="008453FB">
        <w:rPr>
          <w:sz w:val="20"/>
          <w:lang w:val="es-ES"/>
        </w:rPr>
        <w:t>Eg</w:t>
      </w:r>
      <w:r w:rsidR="006D78D2" w:rsidRPr="008453FB">
        <w:rPr>
          <w:sz w:val="20"/>
          <w:lang w:val="es-ES"/>
        </w:rPr>
        <w:t>i</w:t>
      </w:r>
      <w:r w:rsidRPr="008453FB">
        <w:rPr>
          <w:sz w:val="20"/>
          <w:lang w:val="es-ES"/>
        </w:rPr>
        <w:t>pt</w:t>
      </w:r>
      <w:r w:rsidR="006D78D2" w:rsidRPr="008453FB">
        <w:rPr>
          <w:sz w:val="20"/>
          <w:lang w:val="es-ES"/>
        </w:rPr>
        <w:t>o</w:t>
      </w:r>
    </w:p>
    <w:p w:rsidR="00377217" w:rsidRPr="008453FB" w:rsidRDefault="00CF621A" w:rsidP="00F429F7">
      <w:pPr>
        <w:pStyle w:val="Normal-pool"/>
        <w:spacing w:before="120"/>
        <w:rPr>
          <w:sz w:val="20"/>
          <w:lang w:val="es-ES"/>
        </w:rPr>
      </w:pPr>
      <w:r w:rsidRPr="008453FB">
        <w:rPr>
          <w:sz w:val="20"/>
          <w:lang w:val="es-ES"/>
        </w:rPr>
        <w:t>Sr.</w:t>
      </w:r>
      <w:r w:rsidR="00377217" w:rsidRPr="008453FB">
        <w:rPr>
          <w:sz w:val="20"/>
          <w:lang w:val="es-ES"/>
        </w:rPr>
        <w:t xml:space="preserve"> </w:t>
      </w:r>
      <w:proofErr w:type="spellStart"/>
      <w:r w:rsidR="00377217" w:rsidRPr="008453FB">
        <w:rPr>
          <w:sz w:val="20"/>
          <w:lang w:val="es-ES"/>
        </w:rPr>
        <w:t>Serge</w:t>
      </w:r>
      <w:proofErr w:type="spellEnd"/>
      <w:r w:rsidR="00377217" w:rsidRPr="008453FB">
        <w:rPr>
          <w:sz w:val="20"/>
          <w:lang w:val="es-ES"/>
        </w:rPr>
        <w:t xml:space="preserve"> </w:t>
      </w:r>
      <w:proofErr w:type="spellStart"/>
      <w:r w:rsidR="00377217" w:rsidRPr="008453FB">
        <w:rPr>
          <w:sz w:val="20"/>
          <w:lang w:val="es-ES"/>
        </w:rPr>
        <w:t>Molly</w:t>
      </w:r>
      <w:proofErr w:type="spellEnd"/>
      <w:r w:rsidR="00377217" w:rsidRPr="008453FB">
        <w:rPr>
          <w:sz w:val="20"/>
          <w:lang w:val="es-ES"/>
        </w:rPr>
        <w:t xml:space="preserve"> </w:t>
      </w:r>
      <w:proofErr w:type="spellStart"/>
      <w:r w:rsidR="00377217" w:rsidRPr="008453FB">
        <w:rPr>
          <w:sz w:val="20"/>
          <w:lang w:val="es-ES"/>
        </w:rPr>
        <w:t>Allo'o</w:t>
      </w:r>
      <w:proofErr w:type="spellEnd"/>
      <w:r w:rsidR="00377217" w:rsidRPr="008453FB">
        <w:rPr>
          <w:sz w:val="20"/>
          <w:lang w:val="es-ES"/>
        </w:rPr>
        <w:t xml:space="preserve"> </w:t>
      </w:r>
      <w:proofErr w:type="spellStart"/>
      <w:r w:rsidR="00377217" w:rsidRPr="008453FB">
        <w:rPr>
          <w:sz w:val="20"/>
          <w:lang w:val="es-ES"/>
        </w:rPr>
        <w:t>Allo'o</w:t>
      </w:r>
      <w:proofErr w:type="spellEnd"/>
    </w:p>
    <w:p w:rsidR="00377217" w:rsidRPr="008453FB" w:rsidRDefault="002F040C" w:rsidP="00F429F7">
      <w:pPr>
        <w:pStyle w:val="Normal-pool"/>
        <w:rPr>
          <w:sz w:val="20"/>
          <w:lang w:val="es-ES"/>
        </w:rPr>
      </w:pPr>
      <w:r w:rsidRPr="008453FB">
        <w:rPr>
          <w:sz w:val="20"/>
          <w:lang w:val="es-ES"/>
        </w:rPr>
        <w:t>Director Técnico</w:t>
      </w:r>
    </w:p>
    <w:p w:rsidR="00377217" w:rsidRPr="008453FB" w:rsidRDefault="002F040C" w:rsidP="00F429F7">
      <w:pPr>
        <w:pStyle w:val="Normal-pool"/>
        <w:rPr>
          <w:sz w:val="20"/>
          <w:lang w:val="es-ES"/>
        </w:rPr>
      </w:pPr>
      <w:r w:rsidRPr="008453FB">
        <w:rPr>
          <w:sz w:val="20"/>
          <w:lang w:val="es-ES"/>
        </w:rPr>
        <w:t xml:space="preserve">Centro Nacional </w:t>
      </w:r>
      <w:proofErr w:type="spellStart"/>
      <w:r w:rsidRPr="008453FB">
        <w:rPr>
          <w:sz w:val="20"/>
          <w:lang w:val="es-ES"/>
        </w:rPr>
        <w:t>Antipolución</w:t>
      </w:r>
      <w:proofErr w:type="spellEnd"/>
      <w:r w:rsidR="00377217" w:rsidRPr="008453FB">
        <w:rPr>
          <w:sz w:val="20"/>
          <w:lang w:val="es-ES"/>
        </w:rPr>
        <w:t xml:space="preserve"> (CNAP)</w:t>
      </w:r>
    </w:p>
    <w:p w:rsidR="002F040C" w:rsidRPr="008453FB" w:rsidRDefault="002F040C" w:rsidP="002F040C">
      <w:pPr>
        <w:pStyle w:val="Normal-pool"/>
        <w:rPr>
          <w:sz w:val="20"/>
          <w:lang w:val="es-ES"/>
        </w:rPr>
      </w:pPr>
      <w:r w:rsidRPr="008453FB">
        <w:rPr>
          <w:sz w:val="20"/>
          <w:lang w:val="es-ES"/>
        </w:rPr>
        <w:t>Ministerio de los Bosques, el Medio Ambiente y la Protección de los Recursos Naturales</w:t>
      </w:r>
    </w:p>
    <w:p w:rsidR="00377217" w:rsidRPr="008453FB" w:rsidRDefault="00377217" w:rsidP="00F429F7">
      <w:pPr>
        <w:pStyle w:val="Normal-pool"/>
        <w:rPr>
          <w:sz w:val="20"/>
          <w:lang w:val="es-ES"/>
        </w:rPr>
      </w:pPr>
      <w:r w:rsidRPr="008453FB">
        <w:rPr>
          <w:sz w:val="20"/>
          <w:lang w:val="es-ES"/>
        </w:rPr>
        <w:t>Gab</w:t>
      </w:r>
      <w:r w:rsidR="002F040C" w:rsidRPr="008453FB">
        <w:rPr>
          <w:sz w:val="20"/>
          <w:lang w:val="es-ES"/>
        </w:rPr>
        <w:t>ó</w:t>
      </w:r>
      <w:r w:rsidRPr="008453FB">
        <w:rPr>
          <w:sz w:val="20"/>
          <w:lang w:val="es-ES"/>
        </w:rPr>
        <w:t>n</w:t>
      </w:r>
    </w:p>
    <w:p w:rsidR="00377217" w:rsidRPr="008453FB" w:rsidRDefault="00CF621A" w:rsidP="00F429F7">
      <w:pPr>
        <w:pStyle w:val="Normal-pool"/>
        <w:spacing w:before="120"/>
        <w:rPr>
          <w:sz w:val="20"/>
          <w:lang w:val="es-ES"/>
        </w:rPr>
      </w:pPr>
      <w:r w:rsidRPr="008453FB">
        <w:rPr>
          <w:sz w:val="20"/>
          <w:lang w:val="es-ES"/>
        </w:rPr>
        <w:t>Sr.</w:t>
      </w:r>
      <w:r w:rsidR="00377217" w:rsidRPr="008453FB">
        <w:rPr>
          <w:sz w:val="20"/>
          <w:lang w:val="es-ES"/>
        </w:rPr>
        <w:t xml:space="preserve"> </w:t>
      </w:r>
      <w:proofErr w:type="spellStart"/>
      <w:r w:rsidR="00377217" w:rsidRPr="008453FB">
        <w:rPr>
          <w:sz w:val="20"/>
          <w:lang w:val="es-ES"/>
        </w:rPr>
        <w:t>Oludayo</w:t>
      </w:r>
      <w:proofErr w:type="spellEnd"/>
      <w:r w:rsidR="00377217" w:rsidRPr="008453FB">
        <w:rPr>
          <w:sz w:val="20"/>
          <w:lang w:val="es-ES"/>
        </w:rPr>
        <w:t xml:space="preserve"> Dada</w:t>
      </w:r>
    </w:p>
    <w:p w:rsidR="00377217" w:rsidRPr="008453FB" w:rsidRDefault="002F040C" w:rsidP="00F429F7">
      <w:pPr>
        <w:pStyle w:val="Normal-pool"/>
        <w:rPr>
          <w:sz w:val="20"/>
          <w:lang w:val="es-ES"/>
        </w:rPr>
      </w:pPr>
      <w:r w:rsidRPr="008453FB">
        <w:rPr>
          <w:sz w:val="20"/>
          <w:lang w:val="es-ES"/>
        </w:rPr>
        <w:t>Asesor de políticas</w:t>
      </w:r>
    </w:p>
    <w:p w:rsidR="00377217" w:rsidRPr="008453FB" w:rsidRDefault="00377217" w:rsidP="00F429F7">
      <w:pPr>
        <w:pStyle w:val="Normal-pool"/>
        <w:rPr>
          <w:sz w:val="20"/>
          <w:lang w:val="es-ES"/>
        </w:rPr>
      </w:pPr>
      <w:r w:rsidRPr="008453FB">
        <w:rPr>
          <w:sz w:val="20"/>
          <w:lang w:val="es-ES"/>
        </w:rPr>
        <w:t>Newport Technologies</w:t>
      </w:r>
    </w:p>
    <w:p w:rsidR="00377217" w:rsidRPr="008453FB" w:rsidRDefault="002F040C" w:rsidP="00F429F7">
      <w:pPr>
        <w:pStyle w:val="Normal-pool"/>
        <w:rPr>
          <w:sz w:val="20"/>
          <w:lang w:val="es-ES"/>
        </w:rPr>
      </w:pPr>
      <w:r w:rsidRPr="008453FB">
        <w:rPr>
          <w:sz w:val="20"/>
          <w:lang w:val="es-ES"/>
        </w:rPr>
        <w:t xml:space="preserve">Comisión de la Unión Africana </w:t>
      </w:r>
    </w:p>
    <w:p w:rsidR="00377217" w:rsidRPr="008453FB" w:rsidRDefault="00377217" w:rsidP="00F429F7">
      <w:pPr>
        <w:pStyle w:val="Normal-pool"/>
        <w:rPr>
          <w:sz w:val="20"/>
          <w:lang w:val="es-ES"/>
        </w:rPr>
      </w:pPr>
      <w:r w:rsidRPr="008453FB">
        <w:rPr>
          <w:sz w:val="20"/>
          <w:lang w:val="es-ES"/>
        </w:rPr>
        <w:t>Nigeria</w:t>
      </w:r>
    </w:p>
    <w:p w:rsidR="00377217" w:rsidRPr="008453FB" w:rsidRDefault="002F040C" w:rsidP="00F429F7">
      <w:pPr>
        <w:pStyle w:val="Normal-pool"/>
        <w:spacing w:before="120" w:after="120"/>
        <w:rPr>
          <w:b/>
          <w:sz w:val="20"/>
          <w:lang w:val="es-ES"/>
        </w:rPr>
      </w:pPr>
      <w:r w:rsidRPr="008453FB">
        <w:rPr>
          <w:b/>
          <w:sz w:val="20"/>
          <w:lang w:val="es-ES"/>
        </w:rPr>
        <w:t>Asia y el Pacífico</w:t>
      </w:r>
    </w:p>
    <w:p w:rsidR="008A307D" w:rsidRPr="008453FB" w:rsidRDefault="00CF621A" w:rsidP="008A307D">
      <w:pPr>
        <w:pStyle w:val="Normal-pool"/>
        <w:spacing w:before="120"/>
        <w:rPr>
          <w:sz w:val="20"/>
          <w:lang w:val="es-ES"/>
        </w:rPr>
      </w:pPr>
      <w:r w:rsidRPr="008453FB">
        <w:rPr>
          <w:sz w:val="20"/>
          <w:lang w:val="es-ES"/>
        </w:rPr>
        <w:t>Sr.</w:t>
      </w:r>
      <w:r w:rsidR="008A307D" w:rsidRPr="008453FB">
        <w:rPr>
          <w:sz w:val="20"/>
          <w:lang w:val="es-ES"/>
        </w:rPr>
        <w:t xml:space="preserve"> </w:t>
      </w:r>
      <w:proofErr w:type="spellStart"/>
      <w:r w:rsidR="008A307D" w:rsidRPr="008453FB">
        <w:rPr>
          <w:sz w:val="20"/>
          <w:lang w:val="es-ES"/>
        </w:rPr>
        <w:t>Sun</w:t>
      </w:r>
      <w:proofErr w:type="spellEnd"/>
      <w:r w:rsidR="008A307D" w:rsidRPr="008453FB">
        <w:rPr>
          <w:sz w:val="20"/>
          <w:lang w:val="es-ES"/>
        </w:rPr>
        <w:t xml:space="preserve"> </w:t>
      </w:r>
      <w:proofErr w:type="spellStart"/>
      <w:r w:rsidR="008A307D" w:rsidRPr="008453FB">
        <w:rPr>
          <w:sz w:val="20"/>
          <w:lang w:val="es-ES"/>
        </w:rPr>
        <w:t>Yangzhao</w:t>
      </w:r>
      <w:proofErr w:type="spellEnd"/>
    </w:p>
    <w:p w:rsidR="008A307D" w:rsidRPr="008453FB" w:rsidRDefault="008A307D" w:rsidP="008A307D">
      <w:pPr>
        <w:pStyle w:val="Normal-pool"/>
        <w:rPr>
          <w:sz w:val="20"/>
          <w:lang w:val="es-ES"/>
        </w:rPr>
      </w:pPr>
      <w:r w:rsidRPr="008453FB">
        <w:rPr>
          <w:sz w:val="20"/>
          <w:lang w:val="es-ES"/>
        </w:rPr>
        <w:t>Director</w:t>
      </w:r>
    </w:p>
    <w:p w:rsidR="008A307D" w:rsidRPr="008453FB" w:rsidRDefault="002F040C" w:rsidP="008A307D">
      <w:pPr>
        <w:pStyle w:val="Normal-pool"/>
        <w:rPr>
          <w:sz w:val="20"/>
          <w:lang w:val="es-ES"/>
        </w:rPr>
      </w:pPr>
      <w:r w:rsidRPr="008453FB">
        <w:rPr>
          <w:sz w:val="20"/>
          <w:lang w:val="es-ES"/>
        </w:rPr>
        <w:t>División de Aplicación del Convenio sobre el Mercurio</w:t>
      </w:r>
    </w:p>
    <w:p w:rsidR="008A307D" w:rsidRPr="008453FB" w:rsidRDefault="002F040C" w:rsidP="008A307D">
      <w:pPr>
        <w:pStyle w:val="Normal-pool"/>
        <w:rPr>
          <w:sz w:val="20"/>
          <w:lang w:val="es-ES"/>
        </w:rPr>
      </w:pPr>
      <w:r w:rsidRPr="008453FB">
        <w:rPr>
          <w:sz w:val="20"/>
          <w:lang w:val="es-ES"/>
        </w:rPr>
        <w:t>Oficina de Cooperación Económica Exterior</w:t>
      </w:r>
      <w:r w:rsidR="008A307D" w:rsidRPr="008453FB">
        <w:rPr>
          <w:sz w:val="20"/>
          <w:lang w:val="es-ES"/>
        </w:rPr>
        <w:t xml:space="preserve"> </w:t>
      </w:r>
    </w:p>
    <w:p w:rsidR="008A307D" w:rsidRPr="008453FB" w:rsidRDefault="002F040C" w:rsidP="008A307D">
      <w:pPr>
        <w:pStyle w:val="Normal-pool"/>
        <w:rPr>
          <w:sz w:val="20"/>
          <w:lang w:val="es-ES"/>
        </w:rPr>
      </w:pPr>
      <w:r w:rsidRPr="008453FB">
        <w:rPr>
          <w:sz w:val="20"/>
          <w:lang w:val="es-ES"/>
        </w:rPr>
        <w:t>Ministerio de Protección Ambiental</w:t>
      </w:r>
      <w:r w:rsidR="008A307D" w:rsidRPr="008453FB">
        <w:rPr>
          <w:sz w:val="20"/>
          <w:lang w:val="es-ES"/>
        </w:rPr>
        <w:t xml:space="preserve"> </w:t>
      </w:r>
    </w:p>
    <w:p w:rsidR="008A307D" w:rsidRPr="008453FB" w:rsidRDefault="008A307D" w:rsidP="008A307D">
      <w:pPr>
        <w:pStyle w:val="Normal-pool"/>
        <w:rPr>
          <w:sz w:val="20"/>
          <w:lang w:val="es-ES"/>
        </w:rPr>
      </w:pPr>
      <w:r w:rsidRPr="008453FB">
        <w:rPr>
          <w:sz w:val="20"/>
          <w:lang w:val="es-ES"/>
        </w:rPr>
        <w:t xml:space="preserve">China </w:t>
      </w:r>
    </w:p>
    <w:p w:rsidR="008A307D" w:rsidRPr="008453FB" w:rsidRDefault="00CF621A" w:rsidP="008A307D">
      <w:pPr>
        <w:pStyle w:val="Normal-pool"/>
        <w:spacing w:before="120"/>
        <w:rPr>
          <w:sz w:val="20"/>
          <w:lang w:val="es-ES"/>
        </w:rPr>
      </w:pPr>
      <w:r w:rsidRPr="008453FB">
        <w:rPr>
          <w:sz w:val="20"/>
          <w:lang w:val="es-ES"/>
        </w:rPr>
        <w:t>Sr.</w:t>
      </w:r>
      <w:r w:rsidR="008A307D" w:rsidRPr="008453FB">
        <w:rPr>
          <w:sz w:val="20"/>
          <w:lang w:val="es-ES"/>
        </w:rPr>
        <w:t xml:space="preserve"> </w:t>
      </w:r>
      <w:proofErr w:type="spellStart"/>
      <w:r w:rsidR="008A307D" w:rsidRPr="008453FB">
        <w:rPr>
          <w:sz w:val="20"/>
          <w:lang w:val="es-ES"/>
        </w:rPr>
        <w:t>Bishwanath</w:t>
      </w:r>
      <w:proofErr w:type="spellEnd"/>
      <w:r w:rsidR="008A307D" w:rsidRPr="008453FB">
        <w:rPr>
          <w:sz w:val="20"/>
          <w:lang w:val="es-ES"/>
        </w:rPr>
        <w:t xml:space="preserve"> </w:t>
      </w:r>
      <w:proofErr w:type="spellStart"/>
      <w:r w:rsidR="008A307D" w:rsidRPr="008453FB">
        <w:rPr>
          <w:sz w:val="20"/>
          <w:lang w:val="es-ES"/>
        </w:rPr>
        <w:t>Sinha</w:t>
      </w:r>
      <w:proofErr w:type="spellEnd"/>
    </w:p>
    <w:p w:rsidR="008A307D" w:rsidRPr="008453FB" w:rsidRDefault="008715E9" w:rsidP="008A307D">
      <w:pPr>
        <w:pStyle w:val="Normal-pool"/>
        <w:rPr>
          <w:sz w:val="20"/>
          <w:lang w:val="es-ES"/>
        </w:rPr>
      </w:pPr>
      <w:r w:rsidRPr="008453FB">
        <w:rPr>
          <w:sz w:val="20"/>
          <w:lang w:val="es-ES"/>
        </w:rPr>
        <w:t>Cosecretario</w:t>
      </w:r>
      <w:r w:rsidR="008A307D" w:rsidRPr="008453FB">
        <w:rPr>
          <w:sz w:val="20"/>
          <w:lang w:val="es-ES"/>
        </w:rPr>
        <w:t xml:space="preserve">, HSM </w:t>
      </w:r>
      <w:proofErr w:type="spellStart"/>
      <w:r w:rsidR="008A307D" w:rsidRPr="008453FB">
        <w:rPr>
          <w:sz w:val="20"/>
          <w:lang w:val="es-ES"/>
        </w:rPr>
        <w:t>Division</w:t>
      </w:r>
      <w:proofErr w:type="spellEnd"/>
    </w:p>
    <w:p w:rsidR="008A307D" w:rsidRPr="008453FB" w:rsidRDefault="002D37B5" w:rsidP="008A307D">
      <w:pPr>
        <w:pStyle w:val="Normal-pool"/>
        <w:rPr>
          <w:sz w:val="20"/>
          <w:lang w:val="es-ES"/>
        </w:rPr>
      </w:pPr>
      <w:r w:rsidRPr="008453FB">
        <w:rPr>
          <w:sz w:val="20"/>
          <w:lang w:val="es-ES"/>
        </w:rPr>
        <w:t xml:space="preserve">Ministerio del Medio Ambiente, Bosques y Cambio Climático </w:t>
      </w:r>
    </w:p>
    <w:p w:rsidR="008A307D" w:rsidRPr="008453FB" w:rsidRDefault="008A307D" w:rsidP="008A307D">
      <w:pPr>
        <w:pStyle w:val="Normal-pool"/>
        <w:rPr>
          <w:sz w:val="20"/>
          <w:lang w:val="es-ES"/>
        </w:rPr>
      </w:pPr>
      <w:r w:rsidRPr="008453FB">
        <w:rPr>
          <w:sz w:val="20"/>
          <w:lang w:val="es-ES"/>
        </w:rPr>
        <w:t xml:space="preserve">India </w:t>
      </w:r>
    </w:p>
    <w:p w:rsidR="008A307D" w:rsidRPr="008453FB" w:rsidRDefault="00CF621A" w:rsidP="008A307D">
      <w:pPr>
        <w:pStyle w:val="Normal-pool"/>
        <w:spacing w:before="120"/>
        <w:rPr>
          <w:sz w:val="20"/>
          <w:lang w:val="es-ES"/>
        </w:rPr>
      </w:pPr>
      <w:r w:rsidRPr="008453FB">
        <w:rPr>
          <w:sz w:val="20"/>
          <w:lang w:val="es-ES"/>
        </w:rPr>
        <w:t>Sra.</w:t>
      </w:r>
      <w:r w:rsidR="008A307D" w:rsidRPr="008453FB">
        <w:rPr>
          <w:sz w:val="20"/>
          <w:lang w:val="es-ES"/>
        </w:rPr>
        <w:t xml:space="preserve"> </w:t>
      </w:r>
      <w:proofErr w:type="spellStart"/>
      <w:r w:rsidR="008A307D" w:rsidRPr="008453FB">
        <w:rPr>
          <w:sz w:val="20"/>
          <w:lang w:val="es-ES"/>
        </w:rPr>
        <w:t>Yuki</w:t>
      </w:r>
      <w:proofErr w:type="spellEnd"/>
      <w:r w:rsidR="008A307D" w:rsidRPr="008453FB">
        <w:rPr>
          <w:sz w:val="20"/>
          <w:lang w:val="es-ES"/>
        </w:rPr>
        <w:t xml:space="preserve"> </w:t>
      </w:r>
      <w:proofErr w:type="spellStart"/>
      <w:r w:rsidR="008A307D" w:rsidRPr="008453FB">
        <w:rPr>
          <w:sz w:val="20"/>
          <w:lang w:val="es-ES"/>
        </w:rPr>
        <w:t>Takahashi</w:t>
      </w:r>
      <w:proofErr w:type="spellEnd"/>
    </w:p>
    <w:p w:rsidR="008A307D" w:rsidRPr="008453FB" w:rsidRDefault="002D37B5" w:rsidP="008A307D">
      <w:pPr>
        <w:pStyle w:val="Normal-pool"/>
        <w:rPr>
          <w:sz w:val="20"/>
          <w:lang w:val="es-ES"/>
        </w:rPr>
      </w:pPr>
      <w:r w:rsidRPr="008453FB">
        <w:rPr>
          <w:sz w:val="20"/>
          <w:lang w:val="es-ES"/>
        </w:rPr>
        <w:t>Funcionaria</w:t>
      </w:r>
    </w:p>
    <w:p w:rsidR="002D37B5" w:rsidRPr="008453FB" w:rsidRDefault="002D37B5" w:rsidP="002D37B5">
      <w:pPr>
        <w:pStyle w:val="Normal-pool"/>
        <w:rPr>
          <w:sz w:val="20"/>
          <w:lang w:val="es-ES"/>
        </w:rPr>
      </w:pPr>
      <w:r w:rsidRPr="008453FB">
        <w:rPr>
          <w:sz w:val="20"/>
          <w:lang w:val="es-ES"/>
        </w:rPr>
        <w:t>División Medioambiental Global</w:t>
      </w:r>
    </w:p>
    <w:p w:rsidR="002D37B5" w:rsidRPr="008453FB" w:rsidRDefault="002D37B5" w:rsidP="002D37B5">
      <w:pPr>
        <w:pStyle w:val="Normal-pool"/>
        <w:rPr>
          <w:sz w:val="20"/>
          <w:lang w:val="es-ES"/>
        </w:rPr>
      </w:pPr>
      <w:r w:rsidRPr="008453FB">
        <w:rPr>
          <w:sz w:val="20"/>
          <w:lang w:val="es-ES"/>
        </w:rPr>
        <w:t>Oficina de Cooperación Internacional</w:t>
      </w:r>
    </w:p>
    <w:p w:rsidR="008A307D" w:rsidRPr="008453FB" w:rsidRDefault="00E71146" w:rsidP="002D37B5">
      <w:pPr>
        <w:pStyle w:val="Normal-pool"/>
        <w:rPr>
          <w:sz w:val="20"/>
          <w:lang w:val="es-ES"/>
        </w:rPr>
      </w:pPr>
      <w:r w:rsidRPr="008453FB">
        <w:rPr>
          <w:sz w:val="20"/>
          <w:lang w:val="es-ES"/>
        </w:rPr>
        <w:t>Ministerio d</w:t>
      </w:r>
      <w:r w:rsidR="002D37B5" w:rsidRPr="008453FB">
        <w:rPr>
          <w:sz w:val="20"/>
          <w:lang w:val="es-ES"/>
        </w:rPr>
        <w:t xml:space="preserve">e Asuntos Exteriores </w:t>
      </w:r>
    </w:p>
    <w:p w:rsidR="008A307D" w:rsidRPr="008453FB" w:rsidRDefault="002D37B5" w:rsidP="008A307D">
      <w:pPr>
        <w:pStyle w:val="Normal-pool"/>
        <w:rPr>
          <w:sz w:val="20"/>
          <w:lang w:val="es-ES"/>
        </w:rPr>
      </w:pPr>
      <w:r w:rsidRPr="008453FB">
        <w:rPr>
          <w:sz w:val="20"/>
          <w:lang w:val="es-ES"/>
        </w:rPr>
        <w:t xml:space="preserve">Japón </w:t>
      </w:r>
    </w:p>
    <w:p w:rsidR="002D37B5" w:rsidRPr="008453FB" w:rsidRDefault="00CF621A" w:rsidP="002D37B5">
      <w:pPr>
        <w:pStyle w:val="Normal-pool"/>
        <w:spacing w:before="120"/>
        <w:rPr>
          <w:sz w:val="20"/>
          <w:lang w:val="es-ES"/>
        </w:rPr>
      </w:pPr>
      <w:r w:rsidRPr="008453FB">
        <w:rPr>
          <w:sz w:val="20"/>
          <w:lang w:val="es-ES"/>
        </w:rPr>
        <w:t>Sr.</w:t>
      </w:r>
      <w:r w:rsidR="00377217" w:rsidRPr="008453FB">
        <w:rPr>
          <w:sz w:val="20"/>
          <w:lang w:val="es-ES"/>
        </w:rPr>
        <w:t xml:space="preserve"> Mohammed Khashashneh</w:t>
      </w:r>
      <w:r w:rsidR="00377217" w:rsidRPr="008453FB">
        <w:rPr>
          <w:sz w:val="20"/>
          <w:lang w:val="es-ES"/>
        </w:rPr>
        <w:br/>
        <w:t>Director</w:t>
      </w:r>
      <w:r w:rsidR="002D37B5" w:rsidRPr="008453FB">
        <w:rPr>
          <w:sz w:val="20"/>
          <w:lang w:val="es-ES"/>
        </w:rPr>
        <w:t xml:space="preserve"> de la Dirección de Sustancias Peligrosas y Gestión de Residuos</w:t>
      </w:r>
    </w:p>
    <w:p w:rsidR="00377217" w:rsidRPr="008453FB" w:rsidRDefault="002D37B5" w:rsidP="00F429F7">
      <w:pPr>
        <w:pStyle w:val="Normal-pool"/>
        <w:rPr>
          <w:sz w:val="20"/>
          <w:lang w:val="es-ES"/>
        </w:rPr>
      </w:pPr>
      <w:r w:rsidRPr="008453FB">
        <w:rPr>
          <w:sz w:val="20"/>
          <w:lang w:val="es-ES"/>
        </w:rPr>
        <w:t>Ministerio del Medio Ambiente</w:t>
      </w:r>
    </w:p>
    <w:p w:rsidR="00377217" w:rsidRPr="008453FB" w:rsidRDefault="002D37B5" w:rsidP="00F429F7">
      <w:pPr>
        <w:pStyle w:val="Normal-pool"/>
        <w:rPr>
          <w:sz w:val="20"/>
          <w:lang w:val="es-ES"/>
        </w:rPr>
      </w:pPr>
      <w:r w:rsidRPr="008453FB">
        <w:rPr>
          <w:sz w:val="20"/>
          <w:lang w:val="es-ES"/>
        </w:rPr>
        <w:t xml:space="preserve">Jordania </w:t>
      </w:r>
    </w:p>
    <w:p w:rsidR="008A307D" w:rsidRPr="008453FB" w:rsidRDefault="00CF621A" w:rsidP="00F429F7">
      <w:pPr>
        <w:pStyle w:val="Normal-pool"/>
        <w:spacing w:before="120"/>
        <w:rPr>
          <w:sz w:val="20"/>
          <w:lang w:val="es-ES"/>
        </w:rPr>
      </w:pPr>
      <w:r w:rsidRPr="008453FB">
        <w:rPr>
          <w:sz w:val="20"/>
          <w:lang w:val="es-ES"/>
        </w:rPr>
        <w:t>Sra.</w:t>
      </w:r>
      <w:r w:rsidR="008A307D" w:rsidRPr="008453FB">
        <w:rPr>
          <w:sz w:val="20"/>
          <w:lang w:val="es-ES"/>
        </w:rPr>
        <w:t xml:space="preserve"> </w:t>
      </w:r>
      <w:proofErr w:type="spellStart"/>
      <w:r w:rsidR="008A307D" w:rsidRPr="008453FB">
        <w:rPr>
          <w:sz w:val="20"/>
          <w:lang w:val="es-ES"/>
        </w:rPr>
        <w:t>Azniza</w:t>
      </w:r>
      <w:proofErr w:type="spellEnd"/>
      <w:r w:rsidR="008A307D" w:rsidRPr="008453FB">
        <w:rPr>
          <w:sz w:val="20"/>
          <w:lang w:val="es-ES"/>
        </w:rPr>
        <w:t xml:space="preserve"> </w:t>
      </w:r>
      <w:proofErr w:type="spellStart"/>
      <w:r w:rsidR="008A307D" w:rsidRPr="008453FB">
        <w:rPr>
          <w:sz w:val="20"/>
          <w:lang w:val="es-ES"/>
        </w:rPr>
        <w:t>Azmi</w:t>
      </w:r>
      <w:proofErr w:type="spellEnd"/>
    </w:p>
    <w:p w:rsidR="008A307D" w:rsidRPr="008453FB" w:rsidRDefault="002D37B5" w:rsidP="008A307D">
      <w:pPr>
        <w:pStyle w:val="Normal-pool"/>
        <w:rPr>
          <w:sz w:val="20"/>
          <w:lang w:val="es-ES"/>
        </w:rPr>
      </w:pPr>
      <w:r w:rsidRPr="008453FB">
        <w:rPr>
          <w:sz w:val="20"/>
          <w:lang w:val="es-ES"/>
        </w:rPr>
        <w:t>Subsecretaria principal</w:t>
      </w:r>
    </w:p>
    <w:p w:rsidR="008A307D" w:rsidRPr="008453FB" w:rsidRDefault="002D37B5" w:rsidP="008A307D">
      <w:pPr>
        <w:pStyle w:val="Normal-pool"/>
        <w:rPr>
          <w:sz w:val="20"/>
          <w:lang w:val="es-ES"/>
        </w:rPr>
      </w:pPr>
      <w:r w:rsidRPr="008453FB">
        <w:rPr>
          <w:sz w:val="20"/>
          <w:lang w:val="es-ES"/>
        </w:rPr>
        <w:t xml:space="preserve">Gestión Ambiental y Clima </w:t>
      </w:r>
    </w:p>
    <w:p w:rsidR="008A307D" w:rsidRPr="008453FB" w:rsidRDefault="002D37B5" w:rsidP="008A307D">
      <w:pPr>
        <w:pStyle w:val="Normal-pool"/>
        <w:rPr>
          <w:sz w:val="20"/>
          <w:lang w:val="es-ES"/>
        </w:rPr>
      </w:pPr>
      <w:r w:rsidRPr="008453FB">
        <w:rPr>
          <w:sz w:val="20"/>
          <w:lang w:val="es-ES"/>
        </w:rPr>
        <w:t>Ministerio de Recursos Naturales y Medio Ambiente</w:t>
      </w:r>
    </w:p>
    <w:p w:rsidR="00621EB4" w:rsidRPr="008453FB" w:rsidRDefault="002D37B5" w:rsidP="00F429F7">
      <w:pPr>
        <w:pStyle w:val="Normal-pool"/>
        <w:rPr>
          <w:sz w:val="20"/>
          <w:lang w:val="es-ES"/>
        </w:rPr>
      </w:pPr>
      <w:r w:rsidRPr="008453FB">
        <w:rPr>
          <w:sz w:val="20"/>
          <w:lang w:val="es-ES"/>
        </w:rPr>
        <w:t>Malasia</w:t>
      </w:r>
    </w:p>
    <w:p w:rsidR="008A307D" w:rsidRPr="008453FB" w:rsidRDefault="008A307D" w:rsidP="00F429F7">
      <w:pPr>
        <w:pStyle w:val="Normal-pool"/>
        <w:rPr>
          <w:sz w:val="20"/>
          <w:lang w:val="es-ES"/>
        </w:rPr>
      </w:pPr>
    </w:p>
    <w:p w:rsidR="008A307D" w:rsidRPr="008453FB" w:rsidRDefault="008A307D" w:rsidP="00F429F7">
      <w:pPr>
        <w:pStyle w:val="Normal-pool"/>
        <w:rPr>
          <w:sz w:val="20"/>
          <w:lang w:val="es-ES"/>
        </w:rPr>
      </w:pPr>
    </w:p>
    <w:p w:rsidR="00377217" w:rsidRPr="008453FB" w:rsidRDefault="002D37B5" w:rsidP="00BF6B59">
      <w:pPr>
        <w:pStyle w:val="Normal-pool"/>
        <w:keepNext/>
        <w:keepLines/>
        <w:spacing w:before="120" w:after="120"/>
        <w:rPr>
          <w:b/>
          <w:sz w:val="20"/>
          <w:lang w:val="es-ES"/>
        </w:rPr>
      </w:pPr>
      <w:r w:rsidRPr="008453FB">
        <w:rPr>
          <w:b/>
          <w:sz w:val="20"/>
          <w:lang w:val="es-ES"/>
        </w:rPr>
        <w:t xml:space="preserve">Europa </w:t>
      </w:r>
      <w:r w:rsidR="00C8532A" w:rsidRPr="008453FB">
        <w:rPr>
          <w:b/>
          <w:sz w:val="20"/>
          <w:lang w:val="es-ES"/>
        </w:rPr>
        <w:t>C</w:t>
      </w:r>
      <w:r w:rsidRPr="008453FB">
        <w:rPr>
          <w:b/>
          <w:sz w:val="20"/>
          <w:lang w:val="es-ES"/>
        </w:rPr>
        <w:t xml:space="preserve">entral y </w:t>
      </w:r>
      <w:r w:rsidR="00C8532A" w:rsidRPr="008453FB">
        <w:rPr>
          <w:b/>
          <w:sz w:val="20"/>
          <w:lang w:val="es-ES"/>
        </w:rPr>
        <w:t>O</w:t>
      </w:r>
      <w:r w:rsidRPr="008453FB">
        <w:rPr>
          <w:b/>
          <w:sz w:val="20"/>
          <w:lang w:val="es-ES"/>
        </w:rPr>
        <w:t>riental</w:t>
      </w:r>
    </w:p>
    <w:p w:rsidR="00377217" w:rsidRPr="008453FB" w:rsidRDefault="00CF621A" w:rsidP="00F429F7">
      <w:pPr>
        <w:pStyle w:val="Normal-pool"/>
        <w:rPr>
          <w:sz w:val="20"/>
          <w:lang w:val="es-ES"/>
        </w:rPr>
      </w:pPr>
      <w:r w:rsidRPr="008453FB">
        <w:rPr>
          <w:sz w:val="20"/>
          <w:lang w:val="es-ES"/>
        </w:rPr>
        <w:t>Sra.</w:t>
      </w:r>
      <w:r w:rsidR="00377217" w:rsidRPr="008453FB">
        <w:rPr>
          <w:sz w:val="20"/>
          <w:lang w:val="es-ES"/>
        </w:rPr>
        <w:t xml:space="preserve"> Irma </w:t>
      </w:r>
      <w:proofErr w:type="spellStart"/>
      <w:r w:rsidR="00377217" w:rsidRPr="008453FB">
        <w:rPr>
          <w:sz w:val="20"/>
          <w:lang w:val="es-ES"/>
        </w:rPr>
        <w:t>Gurguliani</w:t>
      </w:r>
      <w:proofErr w:type="spellEnd"/>
      <w:r w:rsidR="00377217" w:rsidRPr="008453FB">
        <w:rPr>
          <w:sz w:val="20"/>
          <w:lang w:val="es-ES"/>
        </w:rPr>
        <w:t xml:space="preserve"> </w:t>
      </w:r>
    </w:p>
    <w:p w:rsidR="00377217" w:rsidRPr="008453FB" w:rsidRDefault="002F040C" w:rsidP="00F429F7">
      <w:pPr>
        <w:pStyle w:val="Normal-pool"/>
        <w:rPr>
          <w:sz w:val="20"/>
          <w:lang w:val="es-ES"/>
        </w:rPr>
      </w:pPr>
      <w:r w:rsidRPr="008453FB">
        <w:rPr>
          <w:sz w:val="20"/>
          <w:lang w:val="es-ES"/>
        </w:rPr>
        <w:t>Jefa</w:t>
      </w:r>
      <w:r w:rsidR="000858CE" w:rsidRPr="008453FB">
        <w:rPr>
          <w:sz w:val="20"/>
          <w:lang w:val="es-ES"/>
        </w:rPr>
        <w:t xml:space="preserve"> Adjunta</w:t>
      </w:r>
    </w:p>
    <w:p w:rsidR="00377217" w:rsidRPr="008453FB" w:rsidRDefault="002F040C" w:rsidP="00F429F7">
      <w:pPr>
        <w:pStyle w:val="Normal-pool"/>
        <w:rPr>
          <w:sz w:val="20"/>
          <w:lang w:val="es-ES"/>
        </w:rPr>
      </w:pPr>
      <w:r w:rsidRPr="008453FB">
        <w:rPr>
          <w:sz w:val="20"/>
          <w:lang w:val="es-ES"/>
        </w:rPr>
        <w:t>Servicio de Gestión de Desechos y Productos Químicos</w:t>
      </w:r>
    </w:p>
    <w:p w:rsidR="00377217" w:rsidRPr="008453FB" w:rsidRDefault="00377217" w:rsidP="00F429F7">
      <w:pPr>
        <w:pStyle w:val="Normal-pool"/>
        <w:rPr>
          <w:sz w:val="20"/>
          <w:lang w:val="es-ES"/>
        </w:rPr>
      </w:pPr>
      <w:r w:rsidRPr="008453FB">
        <w:rPr>
          <w:sz w:val="20"/>
          <w:lang w:val="es-ES"/>
        </w:rPr>
        <w:t>Minist</w:t>
      </w:r>
      <w:r w:rsidR="002F040C" w:rsidRPr="008453FB">
        <w:rPr>
          <w:sz w:val="20"/>
          <w:lang w:val="es-ES"/>
        </w:rPr>
        <w:t>erio de Protección del Medio Ambiente y los recursos Naturales</w:t>
      </w:r>
      <w:r w:rsidRPr="008453FB">
        <w:rPr>
          <w:sz w:val="20"/>
          <w:lang w:val="es-ES"/>
        </w:rPr>
        <w:t xml:space="preserve"> </w:t>
      </w:r>
    </w:p>
    <w:p w:rsidR="00377217" w:rsidRPr="008453FB" w:rsidRDefault="00377217" w:rsidP="00F429F7">
      <w:pPr>
        <w:pStyle w:val="Normal-pool"/>
        <w:rPr>
          <w:sz w:val="20"/>
          <w:lang w:val="es-ES"/>
        </w:rPr>
      </w:pPr>
      <w:r w:rsidRPr="008453FB">
        <w:rPr>
          <w:sz w:val="20"/>
          <w:lang w:val="es-ES"/>
        </w:rPr>
        <w:t>Georgia</w:t>
      </w:r>
    </w:p>
    <w:p w:rsidR="00377217" w:rsidRPr="008453FB" w:rsidRDefault="00377217" w:rsidP="00F429F7">
      <w:pPr>
        <w:pStyle w:val="Normal-pool"/>
        <w:rPr>
          <w:sz w:val="20"/>
          <w:lang w:val="es-ES"/>
        </w:rPr>
      </w:pPr>
      <w:r w:rsidRPr="008453FB">
        <w:rPr>
          <w:sz w:val="20"/>
          <w:lang w:val="es-ES"/>
        </w:rPr>
        <w:t>(</w:t>
      </w:r>
      <w:r w:rsidR="002F040C" w:rsidRPr="008453FB">
        <w:rPr>
          <w:i/>
          <w:sz w:val="20"/>
          <w:lang w:val="es-ES"/>
        </w:rPr>
        <w:t xml:space="preserve">La </w:t>
      </w:r>
      <w:r w:rsidR="00CF621A" w:rsidRPr="008453FB">
        <w:rPr>
          <w:i/>
          <w:iCs/>
          <w:sz w:val="20"/>
          <w:lang w:val="es-ES"/>
        </w:rPr>
        <w:t>Sra.</w:t>
      </w:r>
      <w:r w:rsidRPr="008453FB">
        <w:rPr>
          <w:i/>
          <w:iCs/>
          <w:sz w:val="20"/>
          <w:lang w:val="es-ES"/>
        </w:rPr>
        <w:t xml:space="preserve"> </w:t>
      </w:r>
      <w:proofErr w:type="spellStart"/>
      <w:r w:rsidRPr="008453FB">
        <w:rPr>
          <w:i/>
          <w:iCs/>
          <w:sz w:val="20"/>
          <w:lang w:val="es-ES"/>
        </w:rPr>
        <w:t>Gurguliani</w:t>
      </w:r>
      <w:proofErr w:type="spellEnd"/>
      <w:r w:rsidR="00F400E6" w:rsidRPr="008453FB">
        <w:rPr>
          <w:i/>
          <w:sz w:val="20"/>
          <w:lang w:val="es-ES"/>
        </w:rPr>
        <w:t xml:space="preserve"> </w:t>
      </w:r>
      <w:r w:rsidR="002F040C" w:rsidRPr="008453FB">
        <w:rPr>
          <w:i/>
          <w:sz w:val="20"/>
          <w:lang w:val="es-ES"/>
        </w:rPr>
        <w:t>no pudo participar en la reunión de grupo de trabajo especial de expertos</w:t>
      </w:r>
      <w:r w:rsidRPr="008453FB">
        <w:rPr>
          <w:sz w:val="20"/>
          <w:lang w:val="es-ES"/>
        </w:rPr>
        <w:t>)</w:t>
      </w:r>
    </w:p>
    <w:p w:rsidR="00377217" w:rsidRPr="008453FB" w:rsidRDefault="00CF621A" w:rsidP="00BF6B59">
      <w:pPr>
        <w:pStyle w:val="Normal-pool"/>
        <w:spacing w:before="80"/>
        <w:rPr>
          <w:sz w:val="20"/>
          <w:lang w:val="es-ES"/>
        </w:rPr>
      </w:pPr>
      <w:r w:rsidRPr="008453FB">
        <w:rPr>
          <w:sz w:val="20"/>
          <w:lang w:val="es-ES"/>
        </w:rPr>
        <w:t>Sra.</w:t>
      </w:r>
      <w:r w:rsidR="00377217" w:rsidRPr="008453FB">
        <w:rPr>
          <w:sz w:val="20"/>
          <w:lang w:val="es-ES"/>
        </w:rPr>
        <w:t xml:space="preserve"> </w:t>
      </w:r>
      <w:proofErr w:type="spellStart"/>
      <w:r w:rsidR="00377217" w:rsidRPr="008453FB">
        <w:rPr>
          <w:sz w:val="20"/>
          <w:lang w:val="es-ES"/>
        </w:rPr>
        <w:t>Daina</w:t>
      </w:r>
      <w:proofErr w:type="spellEnd"/>
      <w:r w:rsidR="00377217" w:rsidRPr="008453FB">
        <w:rPr>
          <w:sz w:val="20"/>
          <w:lang w:val="es-ES"/>
        </w:rPr>
        <w:t xml:space="preserve"> </w:t>
      </w:r>
      <w:proofErr w:type="spellStart"/>
      <w:r w:rsidR="00377217" w:rsidRPr="008453FB">
        <w:rPr>
          <w:sz w:val="20"/>
          <w:lang w:val="es-ES"/>
        </w:rPr>
        <w:t>Ozola</w:t>
      </w:r>
      <w:proofErr w:type="spellEnd"/>
      <w:r w:rsidR="00377217" w:rsidRPr="008453FB">
        <w:rPr>
          <w:sz w:val="20"/>
          <w:lang w:val="es-ES"/>
        </w:rPr>
        <w:t xml:space="preserve"> </w:t>
      </w:r>
    </w:p>
    <w:p w:rsidR="00543A8D" w:rsidRPr="008453FB" w:rsidRDefault="0028055F" w:rsidP="00F429F7">
      <w:pPr>
        <w:pStyle w:val="Normal-pool"/>
        <w:rPr>
          <w:sz w:val="20"/>
          <w:lang w:val="es-ES"/>
        </w:rPr>
      </w:pPr>
      <w:r w:rsidRPr="008453FB">
        <w:rPr>
          <w:sz w:val="20"/>
          <w:lang w:val="es-ES"/>
        </w:rPr>
        <w:t>Jefa</w:t>
      </w:r>
      <w:r w:rsidR="002F040C" w:rsidRPr="008453FB">
        <w:rPr>
          <w:sz w:val="20"/>
          <w:lang w:val="es-ES"/>
        </w:rPr>
        <w:t xml:space="preserve"> de división</w:t>
      </w:r>
    </w:p>
    <w:p w:rsidR="00543A8D" w:rsidRPr="008453FB" w:rsidRDefault="002D37B5" w:rsidP="00F429F7">
      <w:pPr>
        <w:pStyle w:val="Normal-pool"/>
        <w:rPr>
          <w:sz w:val="20"/>
          <w:lang w:val="es-ES"/>
        </w:rPr>
      </w:pPr>
      <w:r w:rsidRPr="008453FB">
        <w:rPr>
          <w:sz w:val="20"/>
          <w:lang w:val="es-ES"/>
        </w:rPr>
        <w:t>Departamento de Protección Ambiental, División de Prevención de la Contaminación</w:t>
      </w:r>
    </w:p>
    <w:p w:rsidR="00543A8D" w:rsidRPr="008453FB" w:rsidRDefault="002F040C" w:rsidP="00F429F7">
      <w:pPr>
        <w:pStyle w:val="Normal-pool"/>
        <w:rPr>
          <w:sz w:val="20"/>
          <w:lang w:val="es-ES"/>
        </w:rPr>
      </w:pPr>
      <w:r w:rsidRPr="008453FB">
        <w:rPr>
          <w:sz w:val="20"/>
          <w:lang w:val="es-ES"/>
        </w:rPr>
        <w:t>Ministerio de Protección Ambiental y Desarrollo Regional</w:t>
      </w:r>
    </w:p>
    <w:p w:rsidR="00543A8D" w:rsidRPr="008453FB" w:rsidRDefault="002F040C" w:rsidP="00F429F7">
      <w:pPr>
        <w:pStyle w:val="Normal-pool"/>
        <w:rPr>
          <w:sz w:val="20"/>
          <w:lang w:val="es-ES"/>
        </w:rPr>
      </w:pPr>
      <w:r w:rsidRPr="008453FB">
        <w:rPr>
          <w:sz w:val="20"/>
          <w:lang w:val="es-ES"/>
        </w:rPr>
        <w:t>Letonia</w:t>
      </w:r>
    </w:p>
    <w:p w:rsidR="00377217" w:rsidRPr="008453FB" w:rsidRDefault="002D37B5" w:rsidP="00BF6B59">
      <w:pPr>
        <w:pStyle w:val="Normal-pool"/>
        <w:spacing w:before="80"/>
        <w:rPr>
          <w:b/>
          <w:sz w:val="20"/>
          <w:lang w:val="es-ES"/>
        </w:rPr>
      </w:pPr>
      <w:r w:rsidRPr="008453FB">
        <w:rPr>
          <w:b/>
          <w:sz w:val="20"/>
          <w:lang w:val="es-ES"/>
        </w:rPr>
        <w:t>América Latina y el Caribe</w:t>
      </w:r>
    </w:p>
    <w:p w:rsidR="008A307D" w:rsidRPr="008453FB" w:rsidRDefault="00CF621A" w:rsidP="00BF6B59">
      <w:pPr>
        <w:pStyle w:val="Normal-pool"/>
        <w:spacing w:before="80"/>
        <w:rPr>
          <w:sz w:val="20"/>
          <w:lang w:val="es-ES"/>
        </w:rPr>
      </w:pPr>
      <w:r w:rsidRPr="008453FB">
        <w:rPr>
          <w:sz w:val="20"/>
          <w:lang w:val="es-ES"/>
        </w:rPr>
        <w:t>Sr.</w:t>
      </w:r>
      <w:r w:rsidR="008A307D" w:rsidRPr="008453FB">
        <w:rPr>
          <w:sz w:val="20"/>
          <w:lang w:val="es-ES"/>
        </w:rPr>
        <w:t xml:space="preserve"> Alberto Santos </w:t>
      </w:r>
      <w:proofErr w:type="spellStart"/>
      <w:r w:rsidR="008A307D" w:rsidRPr="008453FB">
        <w:rPr>
          <w:sz w:val="20"/>
          <w:lang w:val="es-ES"/>
        </w:rPr>
        <w:t>Capra</w:t>
      </w:r>
      <w:proofErr w:type="spellEnd"/>
    </w:p>
    <w:p w:rsidR="008A307D" w:rsidRPr="008453FB" w:rsidRDefault="008A307D" w:rsidP="008A307D">
      <w:pPr>
        <w:pStyle w:val="Normal-pool"/>
        <w:rPr>
          <w:sz w:val="20"/>
          <w:lang w:val="es-ES"/>
        </w:rPr>
      </w:pPr>
      <w:r w:rsidRPr="008453FB">
        <w:rPr>
          <w:sz w:val="20"/>
          <w:lang w:val="es-ES"/>
        </w:rPr>
        <w:t xml:space="preserve">Subsecretaría de Control y Fiscalización Ambiental y Prevención de la Contaminación </w:t>
      </w:r>
    </w:p>
    <w:p w:rsidR="008A307D" w:rsidRPr="008453FB" w:rsidRDefault="008A307D" w:rsidP="008A307D">
      <w:pPr>
        <w:pStyle w:val="Normal-pool"/>
        <w:rPr>
          <w:sz w:val="20"/>
          <w:lang w:val="es-ES"/>
        </w:rPr>
      </w:pPr>
      <w:r w:rsidRPr="008453FB">
        <w:rPr>
          <w:sz w:val="20"/>
          <w:lang w:val="es-ES"/>
        </w:rPr>
        <w:t>Punto de Contacto Técnico del Convenio de Basilea</w:t>
      </w:r>
    </w:p>
    <w:p w:rsidR="008A307D" w:rsidRPr="008453FB" w:rsidRDefault="008A307D" w:rsidP="008A307D">
      <w:pPr>
        <w:pStyle w:val="Normal-pool"/>
        <w:rPr>
          <w:sz w:val="20"/>
          <w:lang w:val="es-ES"/>
        </w:rPr>
      </w:pPr>
      <w:r w:rsidRPr="008453FB">
        <w:rPr>
          <w:sz w:val="20"/>
          <w:lang w:val="es-ES"/>
        </w:rPr>
        <w:t>Argentina</w:t>
      </w:r>
    </w:p>
    <w:p w:rsidR="00377217" w:rsidRPr="008453FB" w:rsidRDefault="00CF621A" w:rsidP="00BF6B59">
      <w:pPr>
        <w:pStyle w:val="Normal-pool"/>
        <w:spacing w:before="80"/>
        <w:rPr>
          <w:sz w:val="20"/>
          <w:lang w:val="es-ES"/>
        </w:rPr>
      </w:pPr>
      <w:r w:rsidRPr="008453FB">
        <w:rPr>
          <w:sz w:val="20"/>
          <w:lang w:val="es-ES"/>
        </w:rPr>
        <w:t>Sr.</w:t>
      </w:r>
      <w:r w:rsidR="00377217" w:rsidRPr="008453FB">
        <w:rPr>
          <w:sz w:val="20"/>
          <w:lang w:val="es-ES"/>
        </w:rPr>
        <w:t xml:space="preserve"> Felipe Ferreira</w:t>
      </w:r>
    </w:p>
    <w:p w:rsidR="00377217" w:rsidRPr="008453FB" w:rsidRDefault="002D37B5" w:rsidP="00F429F7">
      <w:pPr>
        <w:pStyle w:val="Normal-pool"/>
        <w:rPr>
          <w:sz w:val="20"/>
          <w:lang w:val="es-ES"/>
        </w:rPr>
      </w:pPr>
      <w:r w:rsidRPr="008453FB">
        <w:rPr>
          <w:sz w:val="20"/>
          <w:lang w:val="es-ES"/>
        </w:rPr>
        <w:t>Secretario principal</w:t>
      </w:r>
    </w:p>
    <w:p w:rsidR="002D37B5" w:rsidRPr="008453FB" w:rsidRDefault="002D37B5" w:rsidP="00F429F7">
      <w:pPr>
        <w:pStyle w:val="Normal-pool"/>
        <w:rPr>
          <w:sz w:val="20"/>
          <w:lang w:val="es-ES"/>
        </w:rPr>
      </w:pPr>
      <w:r w:rsidRPr="008453FB">
        <w:rPr>
          <w:sz w:val="20"/>
          <w:lang w:val="es-ES"/>
        </w:rPr>
        <w:t>División de Cambio Climático, Ozono y Seguridad de los Productos Químicos</w:t>
      </w:r>
    </w:p>
    <w:p w:rsidR="00377217" w:rsidRPr="008453FB" w:rsidRDefault="002D37B5" w:rsidP="00F429F7">
      <w:pPr>
        <w:pStyle w:val="Normal-pool"/>
        <w:rPr>
          <w:sz w:val="20"/>
          <w:lang w:val="es-ES"/>
        </w:rPr>
      </w:pPr>
      <w:r w:rsidRPr="008453FB">
        <w:rPr>
          <w:sz w:val="20"/>
          <w:lang w:val="es-ES"/>
        </w:rPr>
        <w:t>Ministerio de Relaciones Exteriores</w:t>
      </w:r>
    </w:p>
    <w:p w:rsidR="00377217" w:rsidRPr="008453FB" w:rsidRDefault="002D37B5" w:rsidP="00F429F7">
      <w:pPr>
        <w:pStyle w:val="Normal-pool"/>
        <w:rPr>
          <w:sz w:val="20"/>
          <w:lang w:val="es-ES"/>
        </w:rPr>
      </w:pPr>
      <w:r w:rsidRPr="008453FB">
        <w:rPr>
          <w:sz w:val="20"/>
          <w:lang w:val="es-ES"/>
        </w:rPr>
        <w:t xml:space="preserve">Brasil </w:t>
      </w:r>
    </w:p>
    <w:p w:rsidR="00377217" w:rsidRPr="008453FB" w:rsidRDefault="00CF621A" w:rsidP="00BF6B59">
      <w:pPr>
        <w:pStyle w:val="Normal-pool"/>
        <w:spacing w:before="80"/>
        <w:rPr>
          <w:sz w:val="20"/>
          <w:lang w:val="es-ES"/>
        </w:rPr>
      </w:pPr>
      <w:r w:rsidRPr="008453FB">
        <w:rPr>
          <w:iCs/>
          <w:sz w:val="20"/>
          <w:lang w:val="es-ES"/>
        </w:rPr>
        <w:t>Sra.</w:t>
      </w:r>
      <w:r w:rsidR="00377217" w:rsidRPr="008453FB">
        <w:rPr>
          <w:iCs/>
          <w:sz w:val="20"/>
          <w:lang w:val="es-ES"/>
        </w:rPr>
        <w:t xml:space="preserve"> Yadira González </w:t>
      </w:r>
      <w:proofErr w:type="spellStart"/>
      <w:r w:rsidR="00377217" w:rsidRPr="008453FB">
        <w:rPr>
          <w:iCs/>
          <w:sz w:val="20"/>
          <w:lang w:val="es-ES"/>
        </w:rPr>
        <w:t>Columbié</w:t>
      </w:r>
      <w:proofErr w:type="spellEnd"/>
    </w:p>
    <w:p w:rsidR="00377217" w:rsidRPr="008453FB" w:rsidRDefault="002D37B5" w:rsidP="00F429F7">
      <w:pPr>
        <w:pStyle w:val="Normal-pool"/>
        <w:rPr>
          <w:sz w:val="20"/>
          <w:lang w:val="es-ES"/>
        </w:rPr>
      </w:pPr>
      <w:r w:rsidRPr="008453FB">
        <w:rPr>
          <w:iCs/>
          <w:sz w:val="20"/>
          <w:lang w:val="es-ES"/>
        </w:rPr>
        <w:t>Departamento de Asuntos Internacionales</w:t>
      </w:r>
    </w:p>
    <w:p w:rsidR="00377217" w:rsidRPr="008453FB" w:rsidRDefault="002D37B5" w:rsidP="00F429F7">
      <w:pPr>
        <w:pStyle w:val="Normal-pool"/>
        <w:rPr>
          <w:sz w:val="20"/>
          <w:lang w:val="es-ES"/>
        </w:rPr>
      </w:pPr>
      <w:r w:rsidRPr="008453FB">
        <w:rPr>
          <w:iCs/>
          <w:sz w:val="20"/>
          <w:lang w:val="es-ES"/>
        </w:rPr>
        <w:t xml:space="preserve">Ministerio de la Ciencia, la Tecnología y el Medio Ambiente </w:t>
      </w:r>
    </w:p>
    <w:p w:rsidR="00377217" w:rsidRPr="008453FB" w:rsidRDefault="00377217" w:rsidP="00F429F7">
      <w:pPr>
        <w:pStyle w:val="Normal-pool"/>
        <w:rPr>
          <w:sz w:val="20"/>
          <w:lang w:val="es-ES"/>
        </w:rPr>
      </w:pPr>
      <w:r w:rsidRPr="008453FB">
        <w:rPr>
          <w:sz w:val="20"/>
          <w:lang w:val="es-ES"/>
        </w:rPr>
        <w:t>Cuba</w:t>
      </w:r>
    </w:p>
    <w:p w:rsidR="00377217" w:rsidRPr="008453FB" w:rsidRDefault="002D37B5" w:rsidP="00BF6B59">
      <w:pPr>
        <w:pStyle w:val="Normal-pool"/>
        <w:spacing w:before="80"/>
        <w:rPr>
          <w:b/>
          <w:sz w:val="20"/>
          <w:lang w:val="es-ES"/>
        </w:rPr>
      </w:pPr>
      <w:r w:rsidRPr="008453FB">
        <w:rPr>
          <w:b/>
          <w:sz w:val="20"/>
          <w:lang w:val="es-ES"/>
        </w:rPr>
        <w:t xml:space="preserve">Europa </w:t>
      </w:r>
      <w:r w:rsidR="00C8532A" w:rsidRPr="008453FB">
        <w:rPr>
          <w:b/>
          <w:sz w:val="20"/>
          <w:lang w:val="es-ES"/>
        </w:rPr>
        <w:t>O</w:t>
      </w:r>
      <w:r w:rsidRPr="008453FB">
        <w:rPr>
          <w:b/>
          <w:sz w:val="20"/>
          <w:lang w:val="es-ES"/>
        </w:rPr>
        <w:t xml:space="preserve">ccidental y otros </w:t>
      </w:r>
      <w:r w:rsidR="00C8532A" w:rsidRPr="008453FB">
        <w:rPr>
          <w:b/>
          <w:sz w:val="20"/>
          <w:lang w:val="es-ES"/>
        </w:rPr>
        <w:t>E</w:t>
      </w:r>
      <w:r w:rsidRPr="008453FB">
        <w:rPr>
          <w:b/>
          <w:sz w:val="20"/>
          <w:lang w:val="es-ES"/>
        </w:rPr>
        <w:t>stados</w:t>
      </w:r>
    </w:p>
    <w:p w:rsidR="00377217" w:rsidRPr="008453FB" w:rsidRDefault="00CF621A" w:rsidP="00BF6B59">
      <w:pPr>
        <w:pStyle w:val="Normal-pool"/>
        <w:spacing w:before="120"/>
        <w:rPr>
          <w:sz w:val="20"/>
          <w:lang w:val="es-ES"/>
        </w:rPr>
      </w:pPr>
      <w:r w:rsidRPr="008453FB">
        <w:rPr>
          <w:sz w:val="20"/>
          <w:lang w:val="es-ES"/>
        </w:rPr>
        <w:t>Sr.</w:t>
      </w:r>
      <w:r w:rsidR="00377217" w:rsidRPr="008453FB">
        <w:rPr>
          <w:sz w:val="20"/>
          <w:lang w:val="es-ES"/>
        </w:rPr>
        <w:t xml:space="preserve"> Jorge </w:t>
      </w:r>
      <w:proofErr w:type="spellStart"/>
      <w:r w:rsidR="00377217" w:rsidRPr="008453FB">
        <w:rPr>
          <w:sz w:val="20"/>
          <w:lang w:val="es-ES"/>
        </w:rPr>
        <w:t>Peydro</w:t>
      </w:r>
      <w:proofErr w:type="spellEnd"/>
      <w:r w:rsidR="00377217" w:rsidRPr="008453FB">
        <w:rPr>
          <w:sz w:val="20"/>
          <w:lang w:val="es-ES"/>
        </w:rPr>
        <w:t xml:space="preserve"> Aznar</w:t>
      </w:r>
    </w:p>
    <w:p w:rsidR="00C8532A" w:rsidRPr="008453FB" w:rsidRDefault="00C8532A" w:rsidP="00BF6B59">
      <w:pPr>
        <w:pStyle w:val="Normal-pool"/>
        <w:rPr>
          <w:sz w:val="20"/>
          <w:lang w:val="es-ES"/>
        </w:rPr>
      </w:pPr>
      <w:r w:rsidRPr="008453FB">
        <w:rPr>
          <w:sz w:val="20"/>
          <w:lang w:val="es-ES"/>
        </w:rPr>
        <w:t>Principal negociador, Unión Europea</w:t>
      </w:r>
    </w:p>
    <w:p w:rsidR="00C8532A" w:rsidRPr="008453FB" w:rsidRDefault="00C8532A" w:rsidP="00C8532A">
      <w:pPr>
        <w:pStyle w:val="Normal-pool"/>
        <w:rPr>
          <w:sz w:val="20"/>
          <w:lang w:val="es-ES"/>
        </w:rPr>
      </w:pPr>
      <w:r w:rsidRPr="008453FB">
        <w:rPr>
          <w:sz w:val="20"/>
          <w:lang w:val="es-ES"/>
        </w:rPr>
        <w:t>Dirección General de Medio Ambiente</w:t>
      </w:r>
    </w:p>
    <w:p w:rsidR="004E16D4" w:rsidRPr="008453FB" w:rsidRDefault="00C8532A" w:rsidP="00C8532A">
      <w:pPr>
        <w:pStyle w:val="Normal-pool"/>
        <w:rPr>
          <w:sz w:val="20"/>
          <w:lang w:val="es-ES"/>
        </w:rPr>
      </w:pPr>
      <w:r w:rsidRPr="008453FB">
        <w:rPr>
          <w:sz w:val="20"/>
          <w:lang w:val="es-ES"/>
        </w:rPr>
        <w:t xml:space="preserve">Comisión Europea </w:t>
      </w:r>
    </w:p>
    <w:p w:rsidR="008A307D" w:rsidRPr="008453FB" w:rsidRDefault="00CF621A" w:rsidP="00BF6B59">
      <w:pPr>
        <w:pStyle w:val="Normal-pool"/>
        <w:spacing w:before="80"/>
        <w:rPr>
          <w:sz w:val="20"/>
          <w:lang w:val="es-ES"/>
        </w:rPr>
      </w:pPr>
      <w:r w:rsidRPr="008453FB">
        <w:rPr>
          <w:sz w:val="20"/>
          <w:lang w:val="es-ES"/>
        </w:rPr>
        <w:t>Sra.</w:t>
      </w:r>
      <w:r w:rsidR="008A307D" w:rsidRPr="008453FB">
        <w:rPr>
          <w:sz w:val="20"/>
          <w:lang w:val="es-ES"/>
        </w:rPr>
        <w:t xml:space="preserve"> Simone </w:t>
      </w:r>
      <w:proofErr w:type="spellStart"/>
      <w:r w:rsidR="008A307D" w:rsidRPr="008453FB">
        <w:rPr>
          <w:sz w:val="20"/>
          <w:lang w:val="es-ES"/>
        </w:rPr>
        <w:t>Irsfeld</w:t>
      </w:r>
      <w:proofErr w:type="spellEnd"/>
      <w:r w:rsidR="008A307D" w:rsidRPr="008453FB">
        <w:rPr>
          <w:sz w:val="20"/>
          <w:lang w:val="es-ES"/>
        </w:rPr>
        <w:t xml:space="preserve"> </w:t>
      </w:r>
    </w:p>
    <w:p w:rsidR="008A307D" w:rsidRPr="008453FB" w:rsidRDefault="00C8532A" w:rsidP="008A307D">
      <w:pPr>
        <w:pStyle w:val="Normal-pool"/>
        <w:rPr>
          <w:sz w:val="20"/>
          <w:lang w:val="es-ES"/>
        </w:rPr>
      </w:pPr>
      <w:r w:rsidRPr="008453FB">
        <w:rPr>
          <w:sz w:val="20"/>
          <w:lang w:val="es-ES"/>
        </w:rPr>
        <w:t xml:space="preserve">Jefa Adjunta de División, </w:t>
      </w:r>
      <w:r w:rsidR="008A307D" w:rsidRPr="008453FB">
        <w:rPr>
          <w:sz w:val="20"/>
          <w:lang w:val="es-ES"/>
        </w:rPr>
        <w:t>IG II 3</w:t>
      </w:r>
    </w:p>
    <w:p w:rsidR="00C8532A" w:rsidRPr="008453FB" w:rsidRDefault="00C8532A" w:rsidP="00C8532A">
      <w:pPr>
        <w:pStyle w:val="Normal-pool"/>
        <w:rPr>
          <w:sz w:val="20"/>
          <w:lang w:val="es-ES"/>
        </w:rPr>
      </w:pPr>
      <w:r w:rsidRPr="008453FB">
        <w:rPr>
          <w:sz w:val="20"/>
          <w:lang w:val="es-ES"/>
        </w:rPr>
        <w:t>Ministerio Federal de Medio Ambiente, Conservación de la Naturaleza, Edificación y Seguridad Nuclear</w:t>
      </w:r>
    </w:p>
    <w:p w:rsidR="008A307D" w:rsidRPr="008453FB" w:rsidRDefault="00C8532A" w:rsidP="008A307D">
      <w:pPr>
        <w:pStyle w:val="Normal-pool"/>
        <w:rPr>
          <w:sz w:val="20"/>
          <w:lang w:val="es-ES"/>
        </w:rPr>
      </w:pPr>
      <w:r w:rsidRPr="008453FB">
        <w:rPr>
          <w:sz w:val="20"/>
          <w:lang w:val="es-ES"/>
        </w:rPr>
        <w:t>Alemania</w:t>
      </w:r>
    </w:p>
    <w:p w:rsidR="004E16D4" w:rsidRPr="008453FB" w:rsidRDefault="00CF621A" w:rsidP="00BF6B59">
      <w:pPr>
        <w:pStyle w:val="Normal-pool"/>
        <w:spacing w:before="80"/>
        <w:rPr>
          <w:sz w:val="20"/>
          <w:lang w:val="es-ES"/>
        </w:rPr>
      </w:pPr>
      <w:r w:rsidRPr="008453FB">
        <w:rPr>
          <w:sz w:val="20"/>
          <w:lang w:val="es-ES"/>
        </w:rPr>
        <w:t>Sr.</w:t>
      </w:r>
      <w:r w:rsidR="004E16D4" w:rsidRPr="008453FB">
        <w:rPr>
          <w:sz w:val="20"/>
          <w:lang w:val="es-ES"/>
        </w:rPr>
        <w:t xml:space="preserve"> </w:t>
      </w:r>
      <w:proofErr w:type="spellStart"/>
      <w:r w:rsidR="004E16D4" w:rsidRPr="008453FB">
        <w:rPr>
          <w:sz w:val="20"/>
          <w:lang w:val="es-ES"/>
        </w:rPr>
        <w:t>Reginald</w:t>
      </w:r>
      <w:proofErr w:type="spellEnd"/>
      <w:r w:rsidR="004E16D4" w:rsidRPr="008453FB">
        <w:rPr>
          <w:sz w:val="20"/>
          <w:lang w:val="es-ES"/>
        </w:rPr>
        <w:t xml:space="preserve"> </w:t>
      </w:r>
      <w:proofErr w:type="spellStart"/>
      <w:r w:rsidR="004E16D4" w:rsidRPr="008453FB">
        <w:rPr>
          <w:sz w:val="20"/>
          <w:lang w:val="es-ES"/>
        </w:rPr>
        <w:t>Hernaus</w:t>
      </w:r>
      <w:proofErr w:type="spellEnd"/>
      <w:r w:rsidR="004E16D4" w:rsidRPr="008453FB">
        <w:rPr>
          <w:sz w:val="20"/>
          <w:lang w:val="es-ES"/>
        </w:rPr>
        <w:t xml:space="preserve"> </w:t>
      </w:r>
    </w:p>
    <w:p w:rsidR="004E16D4" w:rsidRPr="008453FB" w:rsidRDefault="00C8532A" w:rsidP="004E16D4">
      <w:pPr>
        <w:pStyle w:val="Normal-pool"/>
        <w:rPr>
          <w:sz w:val="20"/>
          <w:lang w:val="es-ES"/>
        </w:rPr>
      </w:pPr>
      <w:r w:rsidRPr="008453FB">
        <w:rPr>
          <w:sz w:val="20"/>
          <w:lang w:val="es-ES"/>
        </w:rPr>
        <w:t xml:space="preserve">Negociador principal, productos químicos y residuos </w:t>
      </w:r>
    </w:p>
    <w:p w:rsidR="00C8532A" w:rsidRPr="008453FB" w:rsidRDefault="00C8532A" w:rsidP="004E16D4">
      <w:pPr>
        <w:pStyle w:val="Normal-pool"/>
        <w:rPr>
          <w:sz w:val="20"/>
          <w:lang w:val="es-ES"/>
        </w:rPr>
      </w:pPr>
      <w:r w:rsidRPr="008453FB">
        <w:rPr>
          <w:sz w:val="20"/>
          <w:lang w:val="es-ES"/>
        </w:rPr>
        <w:t>Departamento de Asuntos Internacionales</w:t>
      </w:r>
    </w:p>
    <w:p w:rsidR="00C8532A" w:rsidRPr="008453FB" w:rsidRDefault="00C8532A" w:rsidP="004E16D4">
      <w:pPr>
        <w:pStyle w:val="Normal-pool"/>
        <w:rPr>
          <w:sz w:val="20"/>
          <w:lang w:val="es-ES"/>
        </w:rPr>
      </w:pPr>
      <w:r w:rsidRPr="008453FB">
        <w:rPr>
          <w:sz w:val="20"/>
          <w:lang w:val="es-ES"/>
        </w:rPr>
        <w:t>Ministerio de Infraestructuras y Medio Ambiente</w:t>
      </w:r>
    </w:p>
    <w:p w:rsidR="00C8532A" w:rsidRPr="008453FB" w:rsidRDefault="00C8532A" w:rsidP="004E16D4">
      <w:pPr>
        <w:pStyle w:val="Normal-pool"/>
        <w:rPr>
          <w:sz w:val="20"/>
          <w:lang w:val="es-ES"/>
        </w:rPr>
      </w:pPr>
      <w:r w:rsidRPr="008453FB">
        <w:rPr>
          <w:sz w:val="20"/>
          <w:lang w:val="es-ES"/>
        </w:rPr>
        <w:t>Países Bajos</w:t>
      </w:r>
    </w:p>
    <w:p w:rsidR="004E16D4" w:rsidRPr="008453FB" w:rsidRDefault="004E16D4" w:rsidP="00F429F7">
      <w:pPr>
        <w:pStyle w:val="Normal-pool"/>
        <w:rPr>
          <w:sz w:val="20"/>
          <w:lang w:val="es-ES"/>
        </w:rPr>
      </w:pPr>
    </w:p>
    <w:p w:rsidR="00F429F7" w:rsidRPr="008453FB" w:rsidRDefault="00CF621A" w:rsidP="00F429F7">
      <w:pPr>
        <w:pStyle w:val="Normal-pool"/>
        <w:rPr>
          <w:sz w:val="20"/>
          <w:lang w:val="es-ES"/>
        </w:rPr>
      </w:pPr>
      <w:r w:rsidRPr="008453FB">
        <w:rPr>
          <w:sz w:val="20"/>
          <w:lang w:val="es-ES"/>
        </w:rPr>
        <w:t>Sra.</w:t>
      </w:r>
      <w:r w:rsidR="00F429F7" w:rsidRPr="008453FB">
        <w:rPr>
          <w:sz w:val="20"/>
          <w:lang w:val="es-ES"/>
        </w:rPr>
        <w:t xml:space="preserve"> Johanna </w:t>
      </w:r>
      <w:proofErr w:type="spellStart"/>
      <w:r w:rsidR="00F429F7" w:rsidRPr="008453FB">
        <w:rPr>
          <w:sz w:val="20"/>
          <w:lang w:val="es-ES"/>
        </w:rPr>
        <w:t>Lissinger</w:t>
      </w:r>
      <w:r w:rsidR="008615A1">
        <w:rPr>
          <w:sz w:val="20"/>
          <w:lang w:val="es-ES"/>
        </w:rPr>
        <w:noBreakHyphen/>
      </w:r>
      <w:r w:rsidR="00F429F7" w:rsidRPr="008453FB">
        <w:rPr>
          <w:sz w:val="20"/>
          <w:lang w:val="es-ES"/>
        </w:rPr>
        <w:t>Peitz</w:t>
      </w:r>
      <w:proofErr w:type="spellEnd"/>
    </w:p>
    <w:p w:rsidR="00F429F7" w:rsidRPr="008453FB" w:rsidRDefault="00C8532A" w:rsidP="00F429F7">
      <w:pPr>
        <w:pStyle w:val="Normal-pool"/>
        <w:rPr>
          <w:sz w:val="20"/>
          <w:lang w:val="es-ES"/>
        </w:rPr>
      </w:pPr>
      <w:r w:rsidRPr="008453FB">
        <w:rPr>
          <w:sz w:val="20"/>
          <w:lang w:val="es-ES"/>
        </w:rPr>
        <w:t>Jefa Adjunta</w:t>
      </w:r>
    </w:p>
    <w:p w:rsidR="00F429F7" w:rsidRPr="008453FB" w:rsidRDefault="00C8532A" w:rsidP="00F429F7">
      <w:pPr>
        <w:pStyle w:val="Normal-pool"/>
        <w:rPr>
          <w:sz w:val="20"/>
          <w:lang w:val="es-ES"/>
        </w:rPr>
      </w:pPr>
      <w:r w:rsidRPr="008453FB">
        <w:rPr>
          <w:sz w:val="20"/>
          <w:lang w:val="es-ES"/>
        </w:rPr>
        <w:t>División del Clima</w:t>
      </w:r>
    </w:p>
    <w:p w:rsidR="00F429F7" w:rsidRPr="008453FB" w:rsidRDefault="00C8532A" w:rsidP="00F429F7">
      <w:pPr>
        <w:pStyle w:val="Normal-pool"/>
        <w:rPr>
          <w:sz w:val="20"/>
          <w:lang w:val="es-ES"/>
        </w:rPr>
      </w:pPr>
      <w:r w:rsidRPr="008453FB">
        <w:rPr>
          <w:sz w:val="20"/>
          <w:lang w:val="es-ES"/>
        </w:rPr>
        <w:t>Ministerio del Medio Ambiente y la Energía</w:t>
      </w:r>
    </w:p>
    <w:p w:rsidR="00F429F7" w:rsidRPr="008453FB" w:rsidRDefault="00C8532A" w:rsidP="00F429F7">
      <w:pPr>
        <w:pStyle w:val="Normal-pool"/>
        <w:rPr>
          <w:sz w:val="20"/>
          <w:lang w:val="es-ES"/>
        </w:rPr>
      </w:pPr>
      <w:r w:rsidRPr="008453FB">
        <w:rPr>
          <w:sz w:val="20"/>
          <w:lang w:val="es-ES"/>
        </w:rPr>
        <w:t>Suecia</w:t>
      </w:r>
    </w:p>
    <w:p w:rsidR="00377217" w:rsidRPr="008453FB" w:rsidRDefault="00CF621A" w:rsidP="00F429F7">
      <w:pPr>
        <w:pStyle w:val="Normal-pool"/>
        <w:spacing w:before="120"/>
        <w:rPr>
          <w:sz w:val="20"/>
          <w:lang w:val="es-ES"/>
        </w:rPr>
      </w:pPr>
      <w:r w:rsidRPr="008453FB">
        <w:rPr>
          <w:sz w:val="20"/>
          <w:lang w:val="es-ES"/>
        </w:rPr>
        <w:t>Sra.</w:t>
      </w:r>
      <w:r w:rsidR="00377217" w:rsidRPr="008453FB">
        <w:rPr>
          <w:sz w:val="20"/>
          <w:lang w:val="es-ES"/>
        </w:rPr>
        <w:t xml:space="preserve"> Gabriela </w:t>
      </w:r>
      <w:proofErr w:type="spellStart"/>
      <w:r w:rsidR="00377217" w:rsidRPr="008453FB">
        <w:rPr>
          <w:sz w:val="20"/>
          <w:lang w:val="es-ES"/>
        </w:rPr>
        <w:t>Eigenmann</w:t>
      </w:r>
      <w:proofErr w:type="spellEnd"/>
      <w:r w:rsidR="00377217" w:rsidRPr="008453FB">
        <w:rPr>
          <w:sz w:val="20"/>
          <w:lang w:val="es-ES"/>
        </w:rPr>
        <w:t xml:space="preserve"> </w:t>
      </w:r>
    </w:p>
    <w:p w:rsidR="00377217" w:rsidRPr="008453FB" w:rsidRDefault="00C8532A" w:rsidP="00F429F7">
      <w:pPr>
        <w:pStyle w:val="Normal-pool"/>
        <w:rPr>
          <w:sz w:val="20"/>
          <w:lang w:val="es-ES"/>
        </w:rPr>
      </w:pPr>
      <w:r w:rsidRPr="008453FB">
        <w:rPr>
          <w:caps/>
          <w:sz w:val="20"/>
          <w:lang w:val="es-ES"/>
        </w:rPr>
        <w:t>A</w:t>
      </w:r>
      <w:r w:rsidRPr="008453FB">
        <w:rPr>
          <w:sz w:val="20"/>
          <w:lang w:val="es-ES"/>
        </w:rPr>
        <w:t>sesora principal de políticas</w:t>
      </w:r>
    </w:p>
    <w:p w:rsidR="00C8532A" w:rsidRPr="008453FB" w:rsidRDefault="00C8532A" w:rsidP="00C8532A">
      <w:pPr>
        <w:pStyle w:val="Normal-pool"/>
        <w:rPr>
          <w:sz w:val="20"/>
          <w:lang w:val="es-ES"/>
        </w:rPr>
      </w:pPr>
      <w:r w:rsidRPr="008453FB">
        <w:rPr>
          <w:sz w:val="20"/>
          <w:lang w:val="es-ES"/>
        </w:rPr>
        <w:t>División de Asuntos Internacionales</w:t>
      </w:r>
    </w:p>
    <w:p w:rsidR="00377217" w:rsidRPr="008453FB" w:rsidRDefault="00C8532A" w:rsidP="00C8532A">
      <w:pPr>
        <w:pStyle w:val="Normal-pool"/>
        <w:rPr>
          <w:sz w:val="20"/>
          <w:lang w:val="es-ES"/>
        </w:rPr>
      </w:pPr>
      <w:r w:rsidRPr="008453FB">
        <w:rPr>
          <w:sz w:val="20"/>
          <w:lang w:val="es-ES"/>
        </w:rPr>
        <w:t xml:space="preserve">Oficina Federal de Medio Ambiente </w:t>
      </w:r>
    </w:p>
    <w:p w:rsidR="00377217" w:rsidRPr="008453FB" w:rsidRDefault="00C8532A" w:rsidP="00F429F7">
      <w:pPr>
        <w:pStyle w:val="Normal-pool"/>
        <w:rPr>
          <w:sz w:val="20"/>
          <w:lang w:val="es-ES"/>
        </w:rPr>
      </w:pPr>
      <w:r w:rsidRPr="008453FB">
        <w:rPr>
          <w:sz w:val="20"/>
          <w:lang w:val="es-ES"/>
        </w:rPr>
        <w:t>Suiza</w:t>
      </w:r>
    </w:p>
    <w:p w:rsidR="00377217" w:rsidRPr="008453FB" w:rsidRDefault="00CF621A" w:rsidP="00F429F7">
      <w:pPr>
        <w:pStyle w:val="Normal-pool"/>
        <w:rPr>
          <w:sz w:val="20"/>
          <w:lang w:val="es-ES"/>
        </w:rPr>
      </w:pPr>
      <w:r w:rsidRPr="008453FB">
        <w:rPr>
          <w:sz w:val="20"/>
          <w:lang w:val="es-ES"/>
        </w:rPr>
        <w:t>Sra.</w:t>
      </w:r>
      <w:r w:rsidR="00377217" w:rsidRPr="008453FB">
        <w:rPr>
          <w:sz w:val="20"/>
          <w:lang w:val="es-ES"/>
        </w:rPr>
        <w:t xml:space="preserve"> Sezaneh M. Seymour</w:t>
      </w:r>
    </w:p>
    <w:p w:rsidR="00C8532A" w:rsidRPr="008453FB" w:rsidRDefault="00C8532A" w:rsidP="00F429F7">
      <w:pPr>
        <w:pStyle w:val="Normal-pool"/>
        <w:rPr>
          <w:sz w:val="20"/>
          <w:lang w:val="es-ES"/>
        </w:rPr>
      </w:pPr>
      <w:r w:rsidRPr="008453FB">
        <w:rPr>
          <w:sz w:val="20"/>
          <w:lang w:val="es-ES"/>
        </w:rPr>
        <w:t>Jefa</w:t>
      </w:r>
      <w:r w:rsidR="0001415B" w:rsidRPr="008453FB">
        <w:rPr>
          <w:sz w:val="20"/>
          <w:lang w:val="es-ES"/>
        </w:rPr>
        <w:t xml:space="preserve">, Polución Ambiental, Productos Químicos </w:t>
      </w:r>
      <w:r w:rsidR="0001415B">
        <w:rPr>
          <w:sz w:val="20"/>
          <w:lang w:val="es-ES"/>
        </w:rPr>
        <w:t>y</w:t>
      </w:r>
      <w:r w:rsidR="0001415B" w:rsidRPr="008453FB">
        <w:rPr>
          <w:sz w:val="20"/>
          <w:lang w:val="es-ES"/>
        </w:rPr>
        <w:t xml:space="preserve"> Residuos</w:t>
      </w:r>
    </w:p>
    <w:p w:rsidR="00377217" w:rsidRPr="008453FB" w:rsidRDefault="00C8532A" w:rsidP="00F429F7">
      <w:pPr>
        <w:pStyle w:val="Normal-pool"/>
        <w:rPr>
          <w:sz w:val="20"/>
          <w:lang w:val="es-ES"/>
        </w:rPr>
      </w:pPr>
      <w:r w:rsidRPr="008453FB">
        <w:rPr>
          <w:sz w:val="20"/>
          <w:lang w:val="es-ES"/>
        </w:rPr>
        <w:t>Oficina de Calidad Ambiental y Cuestiones Transfronteriza</w:t>
      </w:r>
      <w:r w:rsidR="0028055F" w:rsidRPr="008453FB">
        <w:rPr>
          <w:sz w:val="20"/>
          <w:lang w:val="es-ES"/>
        </w:rPr>
        <w:t>s, Departamento d</w:t>
      </w:r>
      <w:r w:rsidRPr="008453FB">
        <w:rPr>
          <w:sz w:val="20"/>
          <w:lang w:val="es-ES"/>
        </w:rPr>
        <w:t xml:space="preserve">e Estado </w:t>
      </w:r>
    </w:p>
    <w:p w:rsidR="00377217" w:rsidRPr="008453FB" w:rsidRDefault="00C8532A" w:rsidP="00F429F7">
      <w:pPr>
        <w:pStyle w:val="Normal-pool"/>
        <w:rPr>
          <w:sz w:val="20"/>
          <w:lang w:val="es-ES"/>
        </w:rPr>
      </w:pPr>
      <w:r w:rsidRPr="008453FB">
        <w:rPr>
          <w:sz w:val="20"/>
          <w:lang w:val="es-ES"/>
        </w:rPr>
        <w:t>Estados Unidos de América</w:t>
      </w:r>
    </w:p>
    <w:p w:rsidR="00377217" w:rsidRDefault="00377217" w:rsidP="00F429F7">
      <w:pPr>
        <w:pStyle w:val="Normal-pool"/>
        <w:rPr>
          <w:sz w:val="20"/>
          <w:lang w:val="es-ES"/>
        </w:rPr>
      </w:pPr>
    </w:p>
    <w:p w:rsidR="00BF6B59" w:rsidRDefault="00BF6B59" w:rsidP="00F429F7">
      <w:pPr>
        <w:pStyle w:val="Normal-pool"/>
        <w:rPr>
          <w:sz w:val="20"/>
          <w:lang w:val="es-ES"/>
        </w:rPr>
      </w:pPr>
    </w:p>
    <w:p w:rsidR="00BF6B59" w:rsidRPr="008453FB" w:rsidRDefault="00BF6B59" w:rsidP="00F429F7">
      <w:pPr>
        <w:pStyle w:val="Normal-pool"/>
        <w:rPr>
          <w:sz w:val="20"/>
          <w:lang w:val="es-ES"/>
        </w:rPr>
      </w:pPr>
    </w:p>
    <w:p w:rsidR="00377217" w:rsidRPr="008453FB" w:rsidRDefault="00377217" w:rsidP="00F429F7">
      <w:pPr>
        <w:pStyle w:val="Normal-pool"/>
        <w:rPr>
          <w:sz w:val="20"/>
          <w:lang w:val="es-ES"/>
        </w:rPr>
        <w:sectPr w:rsidR="00377217" w:rsidRPr="008453FB">
          <w:type w:val="continuous"/>
          <w:pgSz w:w="11906" w:h="16838" w:code="9"/>
          <w:pgMar w:top="907" w:right="992" w:bottom="1418" w:left="1418" w:header="539" w:footer="975" w:gutter="0"/>
          <w:cols w:num="2" w:space="539"/>
          <w:titlePg/>
          <w:docGrid w:linePitch="360"/>
        </w:sectPr>
      </w:pPr>
    </w:p>
    <w:tbl>
      <w:tblPr>
        <w:tblW w:w="0" w:type="auto"/>
        <w:tblInd w:w="108" w:type="dxa"/>
        <w:tblLook w:val="04A0" w:firstRow="1" w:lastRow="0" w:firstColumn="1" w:lastColumn="0" w:noHBand="0" w:noVBand="1"/>
      </w:tblPr>
      <w:tblGrid>
        <w:gridCol w:w="1920"/>
        <w:gridCol w:w="1921"/>
        <w:gridCol w:w="1921"/>
        <w:gridCol w:w="1921"/>
        <w:gridCol w:w="1921"/>
      </w:tblGrid>
      <w:tr w:rsidR="00E976AB" w:rsidRPr="008453FB">
        <w:tc>
          <w:tcPr>
            <w:tcW w:w="1920" w:type="dxa"/>
            <w:shd w:val="clear" w:color="auto" w:fill="auto"/>
          </w:tcPr>
          <w:p w:rsidR="00E976AB" w:rsidRPr="008453FB" w:rsidRDefault="00E976AB" w:rsidP="00F429F7">
            <w:pPr>
              <w:pStyle w:val="Normal-pool"/>
              <w:tabs>
                <w:tab w:val="clear" w:pos="1247"/>
                <w:tab w:val="clear" w:pos="1814"/>
                <w:tab w:val="clear" w:pos="2381"/>
                <w:tab w:val="clear" w:pos="2948"/>
                <w:tab w:val="clear" w:pos="3515"/>
                <w:tab w:val="clear" w:pos="4082"/>
              </w:tabs>
              <w:spacing w:before="520"/>
              <w:rPr>
                <w:lang w:val="es-ES"/>
              </w:rPr>
            </w:pPr>
          </w:p>
        </w:tc>
        <w:tc>
          <w:tcPr>
            <w:tcW w:w="1921" w:type="dxa"/>
            <w:shd w:val="clear" w:color="auto" w:fill="auto"/>
          </w:tcPr>
          <w:p w:rsidR="00E976AB" w:rsidRPr="008453FB" w:rsidRDefault="00E976AB" w:rsidP="00F429F7">
            <w:pPr>
              <w:pStyle w:val="Normal-pool"/>
              <w:tabs>
                <w:tab w:val="clear" w:pos="1247"/>
                <w:tab w:val="clear" w:pos="1814"/>
                <w:tab w:val="clear" w:pos="2381"/>
                <w:tab w:val="clear" w:pos="2948"/>
                <w:tab w:val="clear" w:pos="3515"/>
                <w:tab w:val="clear" w:pos="4082"/>
              </w:tabs>
              <w:spacing w:before="520"/>
              <w:rPr>
                <w:lang w:val="es-ES"/>
              </w:rPr>
            </w:pPr>
          </w:p>
        </w:tc>
        <w:tc>
          <w:tcPr>
            <w:tcW w:w="1921" w:type="dxa"/>
            <w:tcBorders>
              <w:bottom w:val="single" w:sz="4" w:space="0" w:color="auto"/>
            </w:tcBorders>
            <w:shd w:val="clear" w:color="auto" w:fill="auto"/>
          </w:tcPr>
          <w:p w:rsidR="00E976AB" w:rsidRPr="008453FB" w:rsidRDefault="00E976AB" w:rsidP="00F429F7">
            <w:pPr>
              <w:pStyle w:val="Normal-pool"/>
              <w:tabs>
                <w:tab w:val="clear" w:pos="1247"/>
                <w:tab w:val="clear" w:pos="1814"/>
                <w:tab w:val="clear" w:pos="2381"/>
                <w:tab w:val="clear" w:pos="2948"/>
                <w:tab w:val="clear" w:pos="3515"/>
                <w:tab w:val="clear" w:pos="4082"/>
              </w:tabs>
              <w:spacing w:before="520"/>
              <w:rPr>
                <w:lang w:val="es-ES"/>
              </w:rPr>
            </w:pPr>
          </w:p>
        </w:tc>
        <w:tc>
          <w:tcPr>
            <w:tcW w:w="1921" w:type="dxa"/>
            <w:shd w:val="clear" w:color="auto" w:fill="auto"/>
          </w:tcPr>
          <w:p w:rsidR="00E976AB" w:rsidRPr="008453FB" w:rsidRDefault="00E976AB" w:rsidP="00F429F7">
            <w:pPr>
              <w:pStyle w:val="Normal-pool"/>
              <w:tabs>
                <w:tab w:val="clear" w:pos="1247"/>
                <w:tab w:val="clear" w:pos="1814"/>
                <w:tab w:val="clear" w:pos="2381"/>
                <w:tab w:val="clear" w:pos="2948"/>
                <w:tab w:val="clear" w:pos="3515"/>
                <w:tab w:val="clear" w:pos="4082"/>
              </w:tabs>
              <w:spacing w:before="520"/>
              <w:rPr>
                <w:lang w:val="es-ES"/>
              </w:rPr>
            </w:pPr>
          </w:p>
        </w:tc>
        <w:tc>
          <w:tcPr>
            <w:tcW w:w="1921" w:type="dxa"/>
            <w:shd w:val="clear" w:color="auto" w:fill="auto"/>
          </w:tcPr>
          <w:p w:rsidR="00E976AB" w:rsidRPr="008453FB" w:rsidRDefault="00E976AB" w:rsidP="00F429F7">
            <w:pPr>
              <w:pStyle w:val="Normal-pool"/>
              <w:tabs>
                <w:tab w:val="clear" w:pos="1247"/>
                <w:tab w:val="clear" w:pos="1814"/>
                <w:tab w:val="clear" w:pos="2381"/>
                <w:tab w:val="clear" w:pos="2948"/>
                <w:tab w:val="clear" w:pos="3515"/>
                <w:tab w:val="clear" w:pos="4082"/>
              </w:tabs>
              <w:spacing w:before="520"/>
              <w:rPr>
                <w:lang w:val="es-ES"/>
              </w:rPr>
            </w:pPr>
          </w:p>
        </w:tc>
      </w:tr>
    </w:tbl>
    <w:p w:rsidR="00994281" w:rsidRPr="008453FB" w:rsidRDefault="00994281" w:rsidP="008453FB">
      <w:pPr>
        <w:pStyle w:val="Normal-pool"/>
        <w:rPr>
          <w:lang w:val="es-ES"/>
        </w:rPr>
      </w:pPr>
    </w:p>
    <w:sectPr w:rsidR="00994281" w:rsidRPr="008453FB" w:rsidSect="00E976AB">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A9" w:rsidRDefault="00D865A9">
      <w:r>
        <w:separator/>
      </w:r>
    </w:p>
  </w:endnote>
  <w:endnote w:type="continuationSeparator" w:id="0">
    <w:p w:rsidR="00D865A9" w:rsidRDefault="00D8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Default="008615A1">
    <w:pPr>
      <w:pStyle w:val="Footer"/>
    </w:pPr>
    <w:r>
      <w:rPr>
        <w:rStyle w:val="PageNumber"/>
      </w:rPr>
      <w:fldChar w:fldCharType="begin"/>
    </w:r>
    <w:r>
      <w:rPr>
        <w:rStyle w:val="PageNumber"/>
      </w:rPr>
      <w:instrText xml:space="preserve"> PAGE </w:instrText>
    </w:r>
    <w:r>
      <w:rPr>
        <w:rStyle w:val="PageNumber"/>
      </w:rPr>
      <w:fldChar w:fldCharType="separate"/>
    </w:r>
    <w:r w:rsidR="008A344A">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Default="008615A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A344A">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Pr="00F429F7" w:rsidRDefault="008615A1" w:rsidP="007A0BF9">
    <w:pPr>
      <w:pStyle w:val="Footer"/>
      <w:tabs>
        <w:tab w:val="clear" w:pos="1247"/>
        <w:tab w:val="clear" w:pos="1814"/>
        <w:tab w:val="clear" w:pos="2381"/>
        <w:tab w:val="clear" w:pos="2948"/>
        <w:tab w:val="clear" w:pos="3515"/>
        <w:tab w:val="clear" w:pos="4320"/>
        <w:tab w:val="clear" w:pos="8640"/>
        <w:tab w:val="left" w:pos="624"/>
      </w:tabs>
      <w:rPr>
        <w:sz w:val="20"/>
      </w:rPr>
    </w:pPr>
    <w:r w:rsidRPr="00F429F7">
      <w:rPr>
        <w:sz w:val="20"/>
      </w:rPr>
      <w:t>K150370</w:t>
    </w:r>
    <w:r>
      <w:rPr>
        <w:sz w:val="20"/>
      </w:rPr>
      <w:t>6</w:t>
    </w:r>
    <w:r w:rsidRPr="00F429F7">
      <w:rPr>
        <w:sz w:val="20"/>
      </w:rPr>
      <w:tab/>
    </w:r>
    <w:r w:rsidR="008125DA">
      <w:rPr>
        <w:sz w:val="20"/>
      </w:rPr>
      <w:t>2</w:t>
    </w:r>
    <w:r w:rsidR="0002672A">
      <w:rPr>
        <w:sz w:val="20"/>
      </w:rPr>
      <w:t>8</w:t>
    </w:r>
    <w:r>
      <w:rPr>
        <w:sz w:val="20"/>
      </w:rPr>
      <w:t>0116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Default="008615A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Default="008615A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Default="008615A1">
    <w:pPr>
      <w:pStyle w:val="Footer"/>
    </w:pPr>
    <w:r>
      <w:t>K15xxxxx</w:t>
    </w:r>
    <w:r>
      <w:tab/>
      <w:t>xx0915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A9" w:rsidRDefault="00D865A9" w:rsidP="00F429F7">
      <w:pPr>
        <w:spacing w:before="60"/>
        <w:ind w:left="624"/>
      </w:pPr>
      <w:r>
        <w:separator/>
      </w:r>
    </w:p>
  </w:footnote>
  <w:footnote w:type="continuationSeparator" w:id="0">
    <w:p w:rsidR="00D865A9" w:rsidRDefault="00D865A9">
      <w:r>
        <w:continuationSeparator/>
      </w:r>
    </w:p>
  </w:footnote>
  <w:footnote w:id="1">
    <w:p w:rsidR="008615A1" w:rsidRPr="00067B00" w:rsidRDefault="008615A1" w:rsidP="00F611B2">
      <w:pPr>
        <w:tabs>
          <w:tab w:val="left" w:pos="624"/>
        </w:tabs>
        <w:spacing w:before="60"/>
        <w:ind w:left="1247"/>
        <w:rPr>
          <w:sz w:val="18"/>
          <w:szCs w:val="18"/>
        </w:rPr>
      </w:pPr>
      <w:r w:rsidRPr="00036ACD">
        <w:rPr>
          <w:sz w:val="18"/>
          <w:szCs w:val="18"/>
        </w:rPr>
        <w:t>* UNEP(DTIE)/Hg/INC.</w:t>
      </w:r>
      <w:r>
        <w:rPr>
          <w:sz w:val="18"/>
          <w:szCs w:val="18"/>
        </w:rPr>
        <w:t>7</w:t>
      </w:r>
      <w:r w:rsidRPr="00036ACD">
        <w:rPr>
          <w:sz w:val="18"/>
          <w:szCs w:val="18"/>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Pr="00CA5CA9" w:rsidRDefault="008615A1" w:rsidP="007A0BF9">
    <w:pPr>
      <w:pStyle w:val="Header"/>
      <w:rPr>
        <w:szCs w:val="18"/>
      </w:rPr>
    </w:pPr>
    <w:r w:rsidRPr="00CA5CA9">
      <w:rPr>
        <w:bCs/>
        <w:szCs w:val="18"/>
      </w:rPr>
      <w:t>UNEP</w:t>
    </w:r>
    <w:r w:rsidRPr="00CA5CA9">
      <w:rPr>
        <w:szCs w:val="18"/>
      </w:rPr>
      <w:t>(DTIE)/Hg/INC.</w:t>
    </w:r>
    <w:r>
      <w:rPr>
        <w:szCs w:val="18"/>
      </w:rPr>
      <w:t>7</w:t>
    </w:r>
    <w:r w:rsidRPr="00CA5CA9">
      <w:rPr>
        <w:szCs w:val="18"/>
      </w:rPr>
      <w:t>/</w:t>
    </w:r>
    <w:r>
      <w:rPr>
        <w:szCs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Pr="00CA5CA9" w:rsidRDefault="008615A1" w:rsidP="007A0BF9">
    <w:pPr>
      <w:pStyle w:val="Header"/>
      <w:jc w:val="right"/>
      <w:rPr>
        <w:szCs w:val="18"/>
      </w:rPr>
    </w:pPr>
    <w:r w:rsidRPr="00CA5CA9">
      <w:rPr>
        <w:bCs/>
        <w:szCs w:val="18"/>
      </w:rPr>
      <w:t>UNEP</w:t>
    </w:r>
    <w:r>
      <w:rPr>
        <w:szCs w:val="18"/>
      </w:rPr>
      <w:t>(DTIE)/Hg/INC.7</w:t>
    </w:r>
    <w:r w:rsidRPr="00CA5CA9">
      <w:rPr>
        <w:szCs w:val="18"/>
      </w:rPr>
      <w:t>/</w:t>
    </w:r>
    <w:r>
      <w:rPr>
        <w:szCs w:val="1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Default="008615A1"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Pr="00CA5CA9" w:rsidRDefault="00D865A9">
    <w:pPr>
      <w:pStyle w:val="Header"/>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2213" o:spid="_x0000_s2053" type="#_x0000_t136" style="position:absolute;margin-left:0;margin-top:0;width:520.65pt;height:148.75pt;rotation:315;z-index:-25165721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615A1" w:rsidRPr="00CA5CA9">
      <w:rPr>
        <w:bCs/>
        <w:szCs w:val="18"/>
      </w:rPr>
      <w:t>UNEP</w:t>
    </w:r>
    <w:r w:rsidR="008615A1" w:rsidRPr="00CA5CA9">
      <w:rPr>
        <w:szCs w:val="18"/>
      </w:rPr>
      <w:t>(DTIE)/Hg/INC.</w:t>
    </w:r>
    <w:r w:rsidR="008615A1">
      <w:rPr>
        <w:szCs w:val="18"/>
      </w:rPr>
      <w:t>7</w:t>
    </w:r>
    <w:r w:rsidR="008615A1" w:rsidRPr="00CA5CA9">
      <w:rPr>
        <w:szCs w:val="18"/>
      </w:rPr>
      <w:t>/</w:t>
    </w:r>
    <w:r w:rsidR="008615A1" w:rsidRPr="0014293F">
      <w:rPr>
        <w:szCs w:val="18"/>
        <w:highlight w:val="yellow"/>
      </w:rPr>
      <w:t>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Pr="00CA5CA9" w:rsidRDefault="00D865A9" w:rsidP="00035EDE">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2214" o:spid="_x0000_s2054" type="#_x0000_t136" style="position:absolute;left:0;text-align:left;margin-left:0;margin-top:0;width:520.65pt;height:148.75pt;rotation:315;z-index:-25165619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615A1" w:rsidRPr="00CA5CA9">
      <w:rPr>
        <w:bCs/>
        <w:szCs w:val="18"/>
      </w:rPr>
      <w:t>UNEP</w:t>
    </w:r>
    <w:r w:rsidR="008615A1" w:rsidRPr="00CA5CA9">
      <w:rPr>
        <w:szCs w:val="18"/>
      </w:rPr>
      <w:t>(DTIE)/Hg/INC.</w:t>
    </w:r>
    <w:r w:rsidR="008615A1">
      <w:rPr>
        <w:szCs w:val="18"/>
      </w:rPr>
      <w:t>7</w:t>
    </w:r>
    <w:r w:rsidR="008615A1" w:rsidRPr="00CA5CA9">
      <w:rPr>
        <w:szCs w:val="18"/>
      </w:rPr>
      <w:t>/</w:t>
    </w:r>
    <w:r w:rsidR="008615A1" w:rsidRPr="0014293F">
      <w:rPr>
        <w:szCs w:val="18"/>
        <w:highlight w:val="yellow"/>
      </w:rPr>
      <w:t>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A1" w:rsidRDefault="00D865A9" w:rsidP="00032E4E">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2212" o:spid="_x0000_s2052" type="#_x0000_t136" style="position:absolute;margin-left:0;margin-top:0;width:520.65pt;height:148.75pt;rotation:315;z-index:-25165824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1C8B2632"/>
    <w:multiLevelType w:val="multilevel"/>
    <w:tmpl w:val="2AEE557C"/>
    <w:lvl w:ilvl="0">
      <w:start w:val="1"/>
      <w:numFmt w:val="lowerLetter"/>
      <w:lvlText w:val="%1)"/>
      <w:lvlJc w:val="left"/>
      <w:pPr>
        <w:ind w:left="2591" w:hanging="360"/>
      </w:pPr>
    </w:lvl>
    <w:lvl w:ilvl="1">
      <w:start w:val="1"/>
      <w:numFmt w:val="lowerLetter"/>
      <w:lvlText w:val="%2."/>
      <w:lvlJc w:val="left"/>
      <w:pPr>
        <w:ind w:left="3311" w:hanging="360"/>
      </w:pPr>
    </w:lvl>
    <w:lvl w:ilvl="2">
      <w:start w:val="1"/>
      <w:numFmt w:val="lowerRoman"/>
      <w:lvlText w:val="%3."/>
      <w:lvlJc w:val="right"/>
      <w:pPr>
        <w:ind w:left="4031" w:hanging="180"/>
      </w:pPr>
    </w:lvl>
    <w:lvl w:ilvl="3">
      <w:start w:val="1"/>
      <w:numFmt w:val="decimal"/>
      <w:lvlText w:val="%4."/>
      <w:lvlJc w:val="left"/>
      <w:pPr>
        <w:ind w:left="4751" w:hanging="360"/>
      </w:pPr>
    </w:lvl>
    <w:lvl w:ilvl="4">
      <w:start w:val="1"/>
      <w:numFmt w:val="lowerLetter"/>
      <w:lvlText w:val="%5."/>
      <w:lvlJc w:val="left"/>
      <w:pPr>
        <w:ind w:left="5471" w:hanging="360"/>
      </w:pPr>
    </w:lvl>
    <w:lvl w:ilvl="5">
      <w:start w:val="1"/>
      <w:numFmt w:val="lowerRoman"/>
      <w:lvlText w:val="%6."/>
      <w:lvlJc w:val="right"/>
      <w:pPr>
        <w:ind w:left="6191" w:hanging="180"/>
      </w:pPr>
    </w:lvl>
    <w:lvl w:ilvl="6">
      <w:start w:val="1"/>
      <w:numFmt w:val="decimal"/>
      <w:lvlText w:val="%7."/>
      <w:lvlJc w:val="left"/>
      <w:pPr>
        <w:ind w:left="6911" w:hanging="360"/>
      </w:pPr>
    </w:lvl>
    <w:lvl w:ilvl="7">
      <w:start w:val="1"/>
      <w:numFmt w:val="lowerLetter"/>
      <w:lvlText w:val="%8."/>
      <w:lvlJc w:val="left"/>
      <w:pPr>
        <w:ind w:left="7631" w:hanging="360"/>
      </w:pPr>
    </w:lvl>
    <w:lvl w:ilvl="8">
      <w:start w:val="1"/>
      <w:numFmt w:val="lowerRoman"/>
      <w:lvlText w:val="%9."/>
      <w:lvlJc w:val="right"/>
      <w:pPr>
        <w:ind w:left="8351" w:hanging="180"/>
      </w:pPr>
    </w:lvl>
  </w:abstractNum>
  <w:abstractNum w:abstractNumId="2">
    <w:nsid w:val="277B5687"/>
    <w:multiLevelType w:val="hybridMultilevel"/>
    <w:tmpl w:val="87FC3DFA"/>
    <w:lvl w:ilvl="0" w:tplc="04090017">
      <w:start w:val="1"/>
      <w:numFmt w:val="lowerLetter"/>
      <w:lvlText w:val="%1)"/>
      <w:lvlJc w:val="left"/>
      <w:pPr>
        <w:ind w:left="2534" w:hanging="360"/>
      </w:p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37DB0320"/>
    <w:multiLevelType w:val="hybridMultilevel"/>
    <w:tmpl w:val="08BA2F9C"/>
    <w:lvl w:ilvl="0" w:tplc="04090017">
      <w:start w:val="1"/>
      <w:numFmt w:val="lowerLetter"/>
      <w:lvlText w:val="%1)"/>
      <w:lvlJc w:val="left"/>
      <w:pPr>
        <w:ind w:left="2591" w:hanging="360"/>
      </w:pPr>
    </w:lvl>
    <w:lvl w:ilvl="1" w:tplc="04090019">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
    <w:nsid w:val="37E170A8"/>
    <w:multiLevelType w:val="multilevel"/>
    <w:tmpl w:val="CD7CB60A"/>
    <w:lvl w:ilvl="0">
      <w:start w:val="1"/>
      <w:numFmt w:val="lowerLetter"/>
      <w:lvlText w:val="%1)"/>
      <w:lvlJc w:val="left"/>
      <w:pPr>
        <w:ind w:left="2591" w:hanging="360"/>
      </w:pPr>
    </w:lvl>
    <w:lvl w:ilvl="1">
      <w:start w:val="1"/>
      <w:numFmt w:val="lowerLetter"/>
      <w:lvlText w:val="%2."/>
      <w:lvlJc w:val="left"/>
      <w:pPr>
        <w:ind w:left="3311" w:hanging="360"/>
      </w:pPr>
    </w:lvl>
    <w:lvl w:ilvl="2">
      <w:start w:val="1"/>
      <w:numFmt w:val="lowerRoman"/>
      <w:lvlText w:val="%3."/>
      <w:lvlJc w:val="right"/>
      <w:pPr>
        <w:ind w:left="4031" w:hanging="180"/>
      </w:pPr>
    </w:lvl>
    <w:lvl w:ilvl="3">
      <w:start w:val="1"/>
      <w:numFmt w:val="decimal"/>
      <w:lvlText w:val="%4."/>
      <w:lvlJc w:val="left"/>
      <w:pPr>
        <w:ind w:left="4751" w:hanging="360"/>
      </w:pPr>
    </w:lvl>
    <w:lvl w:ilvl="4">
      <w:start w:val="1"/>
      <w:numFmt w:val="lowerLetter"/>
      <w:lvlText w:val="%5."/>
      <w:lvlJc w:val="left"/>
      <w:pPr>
        <w:ind w:left="5471" w:hanging="360"/>
      </w:pPr>
    </w:lvl>
    <w:lvl w:ilvl="5">
      <w:start w:val="1"/>
      <w:numFmt w:val="lowerRoman"/>
      <w:lvlText w:val="%6."/>
      <w:lvlJc w:val="right"/>
      <w:pPr>
        <w:ind w:left="6191" w:hanging="180"/>
      </w:pPr>
    </w:lvl>
    <w:lvl w:ilvl="6">
      <w:start w:val="1"/>
      <w:numFmt w:val="decimal"/>
      <w:lvlText w:val="%7."/>
      <w:lvlJc w:val="left"/>
      <w:pPr>
        <w:ind w:left="6911" w:hanging="360"/>
      </w:pPr>
    </w:lvl>
    <w:lvl w:ilvl="7">
      <w:start w:val="1"/>
      <w:numFmt w:val="lowerLetter"/>
      <w:lvlText w:val="%8."/>
      <w:lvlJc w:val="left"/>
      <w:pPr>
        <w:ind w:left="7631" w:hanging="360"/>
      </w:pPr>
    </w:lvl>
    <w:lvl w:ilvl="8">
      <w:start w:val="1"/>
      <w:numFmt w:val="lowerRoman"/>
      <w:lvlText w:val="%9."/>
      <w:lvlJc w:val="right"/>
      <w:pPr>
        <w:ind w:left="8351" w:hanging="180"/>
      </w:pPr>
    </w:lvl>
  </w:abstractNum>
  <w:abstractNum w:abstractNumId="6">
    <w:nsid w:val="52A66A9D"/>
    <w:multiLevelType w:val="multilevel"/>
    <w:tmpl w:val="262E3F9E"/>
    <w:styleLink w:val="Normallist"/>
    <w:lvl w:ilvl="0">
      <w:start w:val="1"/>
      <w:numFmt w:val="decimal"/>
      <w:pStyle w:val="Normalnumber"/>
      <w:lvlText w:val="%1."/>
      <w:lvlJc w:val="left"/>
      <w:pPr>
        <w:tabs>
          <w:tab w:val="num" w:pos="1758"/>
        </w:tabs>
        <w:ind w:left="1871" w:firstLine="0"/>
      </w:pPr>
      <w:rPr>
        <w:rFonts w:hint="default"/>
      </w:rPr>
    </w:lvl>
    <w:lvl w:ilvl="1">
      <w:start w:val="1"/>
      <w:numFmt w:val="lowerLetter"/>
      <w:lvlText w:val="(%2)"/>
      <w:lvlJc w:val="left"/>
      <w:pPr>
        <w:tabs>
          <w:tab w:val="num" w:pos="1758"/>
        </w:tabs>
        <w:ind w:left="1871" w:firstLine="567"/>
      </w:pPr>
      <w:rPr>
        <w:rFonts w:hint="default"/>
      </w:rPr>
    </w:lvl>
    <w:lvl w:ilvl="2">
      <w:start w:val="1"/>
      <w:numFmt w:val="lowerRoman"/>
      <w:lvlText w:val="(%3)"/>
      <w:lvlJc w:val="left"/>
      <w:pPr>
        <w:tabs>
          <w:tab w:val="num" w:pos="1758"/>
        </w:tabs>
        <w:ind w:left="3572" w:hanging="567"/>
      </w:pPr>
      <w:rPr>
        <w:rFonts w:hint="default"/>
      </w:rPr>
    </w:lvl>
    <w:lvl w:ilvl="3">
      <w:start w:val="1"/>
      <w:numFmt w:val="lowerLetter"/>
      <w:lvlText w:val="%4."/>
      <w:lvlJc w:val="left"/>
      <w:pPr>
        <w:tabs>
          <w:tab w:val="num" w:pos="1758"/>
        </w:tabs>
        <w:ind w:left="4139" w:hanging="567"/>
      </w:pPr>
      <w:rPr>
        <w:rFonts w:hint="default"/>
      </w:rPr>
    </w:lvl>
    <w:lvl w:ilvl="4">
      <w:start w:val="1"/>
      <w:numFmt w:val="lowerRoman"/>
      <w:lvlText w:val="%5."/>
      <w:lvlJc w:val="left"/>
      <w:pPr>
        <w:tabs>
          <w:tab w:val="num" w:pos="1758"/>
        </w:tabs>
        <w:ind w:left="4706" w:hanging="567"/>
      </w:pPr>
      <w:rPr>
        <w:rFonts w:hint="default"/>
      </w:rPr>
    </w:lvl>
    <w:lvl w:ilvl="5">
      <w:start w:val="1"/>
      <w:numFmt w:val="lowerRoman"/>
      <w:lvlText w:val="%6."/>
      <w:lvlJc w:val="right"/>
      <w:pPr>
        <w:tabs>
          <w:tab w:val="num" w:pos="8459"/>
        </w:tabs>
        <w:ind w:left="8459" w:hanging="180"/>
      </w:pPr>
      <w:rPr>
        <w:rFonts w:hint="default"/>
      </w:rPr>
    </w:lvl>
    <w:lvl w:ilvl="6">
      <w:start w:val="1"/>
      <w:numFmt w:val="decimal"/>
      <w:lvlText w:val="%7."/>
      <w:lvlJc w:val="left"/>
      <w:pPr>
        <w:tabs>
          <w:tab w:val="num" w:pos="9179"/>
        </w:tabs>
        <w:ind w:left="9179" w:hanging="360"/>
      </w:pPr>
      <w:rPr>
        <w:rFonts w:hint="default"/>
      </w:rPr>
    </w:lvl>
    <w:lvl w:ilvl="7">
      <w:start w:val="1"/>
      <w:numFmt w:val="lowerLetter"/>
      <w:lvlText w:val="%8."/>
      <w:lvlJc w:val="left"/>
      <w:pPr>
        <w:tabs>
          <w:tab w:val="num" w:pos="9899"/>
        </w:tabs>
        <w:ind w:left="9899" w:hanging="360"/>
      </w:pPr>
      <w:rPr>
        <w:rFonts w:hint="default"/>
      </w:rPr>
    </w:lvl>
    <w:lvl w:ilvl="8">
      <w:start w:val="1"/>
      <w:numFmt w:val="lowerRoman"/>
      <w:lvlText w:val="%9."/>
      <w:lvlJc w:val="right"/>
      <w:pPr>
        <w:tabs>
          <w:tab w:val="num" w:pos="10619"/>
        </w:tabs>
        <w:ind w:left="10619" w:hanging="180"/>
      </w:pPr>
      <w:rPr>
        <w:rFonts w:hint="default"/>
      </w:rPr>
    </w:lvl>
  </w:abstractNum>
  <w:abstractNum w:abstractNumId="7">
    <w:nsid w:val="62243AC2"/>
    <w:multiLevelType w:val="hybridMultilevel"/>
    <w:tmpl w:val="CD7CB60A"/>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8">
    <w:nsid w:val="66D430FC"/>
    <w:multiLevelType w:val="multilevel"/>
    <w:tmpl w:val="87FC3DFA"/>
    <w:lvl w:ilvl="0">
      <w:start w:val="1"/>
      <w:numFmt w:val="lowerLetter"/>
      <w:lvlText w:val="%1)"/>
      <w:lvlJc w:val="left"/>
      <w:pPr>
        <w:ind w:left="2534" w:hanging="360"/>
      </w:pPr>
    </w:lvl>
    <w:lvl w:ilvl="1">
      <w:start w:val="1"/>
      <w:numFmt w:val="lowerLetter"/>
      <w:lvlText w:val="%2."/>
      <w:lvlJc w:val="left"/>
      <w:pPr>
        <w:ind w:left="3254" w:hanging="360"/>
      </w:pPr>
    </w:lvl>
    <w:lvl w:ilvl="2">
      <w:start w:val="1"/>
      <w:numFmt w:val="lowerRoman"/>
      <w:lvlText w:val="%3."/>
      <w:lvlJc w:val="right"/>
      <w:pPr>
        <w:ind w:left="3974" w:hanging="180"/>
      </w:pPr>
    </w:lvl>
    <w:lvl w:ilvl="3">
      <w:start w:val="1"/>
      <w:numFmt w:val="decimal"/>
      <w:lvlText w:val="%4."/>
      <w:lvlJc w:val="left"/>
      <w:pPr>
        <w:ind w:left="4694" w:hanging="360"/>
      </w:pPr>
    </w:lvl>
    <w:lvl w:ilvl="4">
      <w:start w:val="1"/>
      <w:numFmt w:val="lowerLetter"/>
      <w:lvlText w:val="%5."/>
      <w:lvlJc w:val="left"/>
      <w:pPr>
        <w:ind w:left="5414" w:hanging="360"/>
      </w:pPr>
    </w:lvl>
    <w:lvl w:ilvl="5">
      <w:start w:val="1"/>
      <w:numFmt w:val="lowerRoman"/>
      <w:lvlText w:val="%6."/>
      <w:lvlJc w:val="right"/>
      <w:pPr>
        <w:ind w:left="6134" w:hanging="180"/>
      </w:pPr>
    </w:lvl>
    <w:lvl w:ilvl="6">
      <w:start w:val="1"/>
      <w:numFmt w:val="decimal"/>
      <w:lvlText w:val="%7."/>
      <w:lvlJc w:val="left"/>
      <w:pPr>
        <w:ind w:left="6854" w:hanging="360"/>
      </w:pPr>
    </w:lvl>
    <w:lvl w:ilvl="7">
      <w:start w:val="1"/>
      <w:numFmt w:val="lowerLetter"/>
      <w:lvlText w:val="%8."/>
      <w:lvlJc w:val="left"/>
      <w:pPr>
        <w:ind w:left="7574" w:hanging="360"/>
      </w:pPr>
    </w:lvl>
    <w:lvl w:ilvl="8">
      <w:start w:val="1"/>
      <w:numFmt w:val="lowerRoman"/>
      <w:lvlText w:val="%9."/>
      <w:lvlJc w:val="right"/>
      <w:pPr>
        <w:ind w:left="8294" w:hanging="180"/>
      </w:pPr>
    </w:lvl>
  </w:abstractNum>
  <w:abstractNum w:abstractNumId="9">
    <w:nsid w:val="6EDC3EAC"/>
    <w:multiLevelType w:val="hybridMultilevel"/>
    <w:tmpl w:val="2AEE557C"/>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num w:numId="1">
    <w:abstractNumId w:val="6"/>
  </w:num>
  <w:num w:numId="2">
    <w:abstractNumId w:val="0"/>
  </w:num>
  <w:num w:numId="3">
    <w:abstractNumId w:val="3"/>
  </w:num>
  <w:num w:numId="4">
    <w:abstractNumId w:val="6"/>
    <w:lvlOverride w:ilvl="0">
      <w:lvl w:ilvl="0">
        <w:numFmt w:val="decimal"/>
        <w:pStyle w:val="Normalnumber"/>
        <w:lvlText w:val=""/>
        <w:lvlJc w:val="left"/>
      </w:lvl>
    </w:lvlOverride>
    <w:lvlOverride w:ilvl="1">
      <w:lvl w:ilvl="1">
        <w:start w:val="1"/>
        <w:numFmt w:val="lowerLetter"/>
        <w:lvlText w:val="(%2)"/>
        <w:lvlJc w:val="left"/>
        <w:pPr>
          <w:tabs>
            <w:tab w:val="num" w:pos="1300"/>
          </w:tabs>
          <w:ind w:left="1413" w:firstLine="567"/>
        </w:pPr>
        <w:rPr>
          <w:rFonts w:hint="default"/>
          <w:sz w:val="20"/>
          <w:szCs w:val="20"/>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7"/>
  </w:num>
  <w:num w:numId="9">
    <w:abstractNumId w:val="9"/>
  </w:num>
  <w:num w:numId="10">
    <w:abstractNumId w:val="8"/>
  </w:num>
  <w:num w:numId="11">
    <w:abstractNumId w:val="5"/>
  </w:num>
  <w:num w:numId="12">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EDD3B28-1158-4F11-8F4A-9EAA34FA4A61}"/>
    <w:docVar w:name="dgnword-eventsink" w:val="65813520"/>
  </w:docVars>
  <w:rsids>
    <w:rsidRoot w:val="005260CD"/>
    <w:rsid w:val="00000E4A"/>
    <w:rsid w:val="00001251"/>
    <w:rsid w:val="0001415B"/>
    <w:rsid w:val="0001417C"/>
    <w:rsid w:val="000149E6"/>
    <w:rsid w:val="00023DA9"/>
    <w:rsid w:val="000247B0"/>
    <w:rsid w:val="00024C38"/>
    <w:rsid w:val="0002672A"/>
    <w:rsid w:val="00026997"/>
    <w:rsid w:val="00026A08"/>
    <w:rsid w:val="0003253F"/>
    <w:rsid w:val="00032E4E"/>
    <w:rsid w:val="00033E0B"/>
    <w:rsid w:val="00035EDE"/>
    <w:rsid w:val="00044DA7"/>
    <w:rsid w:val="000509B4"/>
    <w:rsid w:val="0006035B"/>
    <w:rsid w:val="0006245E"/>
    <w:rsid w:val="00071886"/>
    <w:rsid w:val="000742BC"/>
    <w:rsid w:val="00076CC6"/>
    <w:rsid w:val="00080B2F"/>
    <w:rsid w:val="00082A0C"/>
    <w:rsid w:val="00083504"/>
    <w:rsid w:val="000858CE"/>
    <w:rsid w:val="00092C19"/>
    <w:rsid w:val="0009640C"/>
    <w:rsid w:val="0009726D"/>
    <w:rsid w:val="000B22A2"/>
    <w:rsid w:val="000B61A9"/>
    <w:rsid w:val="000B73F9"/>
    <w:rsid w:val="000C2A52"/>
    <w:rsid w:val="000D33C0"/>
    <w:rsid w:val="000D6941"/>
    <w:rsid w:val="000E4036"/>
    <w:rsid w:val="00102D56"/>
    <w:rsid w:val="001202E3"/>
    <w:rsid w:val="00123699"/>
    <w:rsid w:val="001241FB"/>
    <w:rsid w:val="0013059D"/>
    <w:rsid w:val="00141A55"/>
    <w:rsid w:val="0014293F"/>
    <w:rsid w:val="0014397D"/>
    <w:rsid w:val="001446A3"/>
    <w:rsid w:val="00147967"/>
    <w:rsid w:val="00155395"/>
    <w:rsid w:val="00156B6B"/>
    <w:rsid w:val="00160D74"/>
    <w:rsid w:val="00167D02"/>
    <w:rsid w:val="00180C3F"/>
    <w:rsid w:val="00181EC8"/>
    <w:rsid w:val="00184349"/>
    <w:rsid w:val="00195F33"/>
    <w:rsid w:val="001B0090"/>
    <w:rsid w:val="001B1617"/>
    <w:rsid w:val="001B3456"/>
    <w:rsid w:val="001B504B"/>
    <w:rsid w:val="001C369F"/>
    <w:rsid w:val="001C488A"/>
    <w:rsid w:val="001D3874"/>
    <w:rsid w:val="001D7E75"/>
    <w:rsid w:val="001E0D73"/>
    <w:rsid w:val="001E2877"/>
    <w:rsid w:val="001E2FBF"/>
    <w:rsid w:val="001E56D2"/>
    <w:rsid w:val="001E598F"/>
    <w:rsid w:val="001E7D56"/>
    <w:rsid w:val="001F75DE"/>
    <w:rsid w:val="00200D58"/>
    <w:rsid w:val="002013BE"/>
    <w:rsid w:val="00201EDC"/>
    <w:rsid w:val="002063A4"/>
    <w:rsid w:val="00211339"/>
    <w:rsid w:val="0021145B"/>
    <w:rsid w:val="00220C23"/>
    <w:rsid w:val="00243D36"/>
    <w:rsid w:val="00244A8E"/>
    <w:rsid w:val="00247707"/>
    <w:rsid w:val="0026018E"/>
    <w:rsid w:val="0028055F"/>
    <w:rsid w:val="00282D69"/>
    <w:rsid w:val="00286740"/>
    <w:rsid w:val="002900AD"/>
    <w:rsid w:val="002929D8"/>
    <w:rsid w:val="002A237D"/>
    <w:rsid w:val="002A4C53"/>
    <w:rsid w:val="002B0672"/>
    <w:rsid w:val="002B247F"/>
    <w:rsid w:val="002B50D4"/>
    <w:rsid w:val="002C145D"/>
    <w:rsid w:val="002C2C3E"/>
    <w:rsid w:val="002C305A"/>
    <w:rsid w:val="002C533E"/>
    <w:rsid w:val="002D027F"/>
    <w:rsid w:val="002D37B5"/>
    <w:rsid w:val="002D4509"/>
    <w:rsid w:val="002D7A85"/>
    <w:rsid w:val="002D7B60"/>
    <w:rsid w:val="002F040C"/>
    <w:rsid w:val="002F3443"/>
    <w:rsid w:val="002F4761"/>
    <w:rsid w:val="002F5C79"/>
    <w:rsid w:val="003019E2"/>
    <w:rsid w:val="00306E82"/>
    <w:rsid w:val="0031413F"/>
    <w:rsid w:val="003148BB"/>
    <w:rsid w:val="00317976"/>
    <w:rsid w:val="00327A14"/>
    <w:rsid w:val="00354EFF"/>
    <w:rsid w:val="00354FC3"/>
    <w:rsid w:val="00355EA9"/>
    <w:rsid w:val="003578DE"/>
    <w:rsid w:val="00361688"/>
    <w:rsid w:val="00367D6C"/>
    <w:rsid w:val="0037338D"/>
    <w:rsid w:val="00376D00"/>
    <w:rsid w:val="00377217"/>
    <w:rsid w:val="003929B8"/>
    <w:rsid w:val="00396257"/>
    <w:rsid w:val="00397EB8"/>
    <w:rsid w:val="003A4FD0"/>
    <w:rsid w:val="003A69D1"/>
    <w:rsid w:val="003A7705"/>
    <w:rsid w:val="003A77F1"/>
    <w:rsid w:val="003B1545"/>
    <w:rsid w:val="003C3219"/>
    <w:rsid w:val="003C409D"/>
    <w:rsid w:val="003C5BA6"/>
    <w:rsid w:val="003D3752"/>
    <w:rsid w:val="003D3901"/>
    <w:rsid w:val="003D635F"/>
    <w:rsid w:val="003E35DA"/>
    <w:rsid w:val="003F0E85"/>
    <w:rsid w:val="003F77E1"/>
    <w:rsid w:val="00402D14"/>
    <w:rsid w:val="00410C55"/>
    <w:rsid w:val="00416854"/>
    <w:rsid w:val="00417725"/>
    <w:rsid w:val="00427B26"/>
    <w:rsid w:val="00435730"/>
    <w:rsid w:val="00437F26"/>
    <w:rsid w:val="00441F0E"/>
    <w:rsid w:val="00444097"/>
    <w:rsid w:val="00445487"/>
    <w:rsid w:val="00447E0D"/>
    <w:rsid w:val="00454769"/>
    <w:rsid w:val="00466991"/>
    <w:rsid w:val="0047064C"/>
    <w:rsid w:val="00471BD1"/>
    <w:rsid w:val="004914C2"/>
    <w:rsid w:val="0049469E"/>
    <w:rsid w:val="004A42E1"/>
    <w:rsid w:val="004B162C"/>
    <w:rsid w:val="004B2ABE"/>
    <w:rsid w:val="004B45F4"/>
    <w:rsid w:val="004C07CE"/>
    <w:rsid w:val="004C3DBE"/>
    <w:rsid w:val="004C522E"/>
    <w:rsid w:val="004C5C96"/>
    <w:rsid w:val="004D06A4"/>
    <w:rsid w:val="004D0E69"/>
    <w:rsid w:val="004D6CE5"/>
    <w:rsid w:val="004E16D4"/>
    <w:rsid w:val="004E6813"/>
    <w:rsid w:val="004E7103"/>
    <w:rsid w:val="004F1A81"/>
    <w:rsid w:val="005218D9"/>
    <w:rsid w:val="00522DB0"/>
    <w:rsid w:val="005260CD"/>
    <w:rsid w:val="00530AA7"/>
    <w:rsid w:val="00536186"/>
    <w:rsid w:val="00543A8D"/>
    <w:rsid w:val="005449FA"/>
    <w:rsid w:val="00544CBB"/>
    <w:rsid w:val="00565485"/>
    <w:rsid w:val="005656D7"/>
    <w:rsid w:val="0057315F"/>
    <w:rsid w:val="00576104"/>
    <w:rsid w:val="005B44BF"/>
    <w:rsid w:val="005B5833"/>
    <w:rsid w:val="005C67C8"/>
    <w:rsid w:val="005D0249"/>
    <w:rsid w:val="005D18FA"/>
    <w:rsid w:val="005D4FD4"/>
    <w:rsid w:val="005D6E8C"/>
    <w:rsid w:val="005D75F0"/>
    <w:rsid w:val="005D7C78"/>
    <w:rsid w:val="005E5333"/>
    <w:rsid w:val="005F100C"/>
    <w:rsid w:val="005F68DA"/>
    <w:rsid w:val="005F6CD1"/>
    <w:rsid w:val="0060594E"/>
    <w:rsid w:val="0060773B"/>
    <w:rsid w:val="006157B5"/>
    <w:rsid w:val="00621EB4"/>
    <w:rsid w:val="00626FC6"/>
    <w:rsid w:val="006303B4"/>
    <w:rsid w:val="00630ADC"/>
    <w:rsid w:val="006316EB"/>
    <w:rsid w:val="00632DE0"/>
    <w:rsid w:val="00633D3D"/>
    <w:rsid w:val="00641703"/>
    <w:rsid w:val="00641A0E"/>
    <w:rsid w:val="006431A6"/>
    <w:rsid w:val="00644DD8"/>
    <w:rsid w:val="006459F6"/>
    <w:rsid w:val="00646111"/>
    <w:rsid w:val="006501AD"/>
    <w:rsid w:val="00651BFA"/>
    <w:rsid w:val="00654475"/>
    <w:rsid w:val="00665A4B"/>
    <w:rsid w:val="00677CF4"/>
    <w:rsid w:val="00692E2A"/>
    <w:rsid w:val="006A3A92"/>
    <w:rsid w:val="006A76F2"/>
    <w:rsid w:val="006C639A"/>
    <w:rsid w:val="006D19D4"/>
    <w:rsid w:val="006D78D2"/>
    <w:rsid w:val="006D7EFB"/>
    <w:rsid w:val="006E05C4"/>
    <w:rsid w:val="006E6672"/>
    <w:rsid w:val="006E6722"/>
    <w:rsid w:val="006F5054"/>
    <w:rsid w:val="007027B9"/>
    <w:rsid w:val="007145DA"/>
    <w:rsid w:val="00715E88"/>
    <w:rsid w:val="007205FB"/>
    <w:rsid w:val="00723A44"/>
    <w:rsid w:val="00734CAA"/>
    <w:rsid w:val="00741041"/>
    <w:rsid w:val="007422AA"/>
    <w:rsid w:val="00742680"/>
    <w:rsid w:val="0075533C"/>
    <w:rsid w:val="00757581"/>
    <w:rsid w:val="007602F5"/>
    <w:rsid w:val="00760D36"/>
    <w:rsid w:val="007611A0"/>
    <w:rsid w:val="00776078"/>
    <w:rsid w:val="007935E6"/>
    <w:rsid w:val="00796D3F"/>
    <w:rsid w:val="007A0BF9"/>
    <w:rsid w:val="007A1683"/>
    <w:rsid w:val="007A5C12"/>
    <w:rsid w:val="007A7CB0"/>
    <w:rsid w:val="007B68A3"/>
    <w:rsid w:val="007C2541"/>
    <w:rsid w:val="007C3E50"/>
    <w:rsid w:val="007D66A8"/>
    <w:rsid w:val="007E003F"/>
    <w:rsid w:val="007F0CF8"/>
    <w:rsid w:val="007F62CB"/>
    <w:rsid w:val="00803FC4"/>
    <w:rsid w:val="008125DA"/>
    <w:rsid w:val="008142EC"/>
    <w:rsid w:val="008164F2"/>
    <w:rsid w:val="00821395"/>
    <w:rsid w:val="00830E26"/>
    <w:rsid w:val="008404F1"/>
    <w:rsid w:val="00843576"/>
    <w:rsid w:val="00843B64"/>
    <w:rsid w:val="008453FB"/>
    <w:rsid w:val="008478FC"/>
    <w:rsid w:val="00851C51"/>
    <w:rsid w:val="008615A1"/>
    <w:rsid w:val="00867BFF"/>
    <w:rsid w:val="00871542"/>
    <w:rsid w:val="008715E9"/>
    <w:rsid w:val="00872BF6"/>
    <w:rsid w:val="0088480A"/>
    <w:rsid w:val="0088757A"/>
    <w:rsid w:val="00892825"/>
    <w:rsid w:val="0089431B"/>
    <w:rsid w:val="00895668"/>
    <w:rsid w:val="008957DD"/>
    <w:rsid w:val="00897D98"/>
    <w:rsid w:val="008A307D"/>
    <w:rsid w:val="008A344A"/>
    <w:rsid w:val="008A6DF2"/>
    <w:rsid w:val="008A7807"/>
    <w:rsid w:val="008B14F7"/>
    <w:rsid w:val="008B4CC9"/>
    <w:rsid w:val="008C1F19"/>
    <w:rsid w:val="008C5EE1"/>
    <w:rsid w:val="008D7C99"/>
    <w:rsid w:val="008E0FCB"/>
    <w:rsid w:val="008E4CB9"/>
    <w:rsid w:val="008F6DFE"/>
    <w:rsid w:val="00906D66"/>
    <w:rsid w:val="0092178C"/>
    <w:rsid w:val="00930B88"/>
    <w:rsid w:val="0093282D"/>
    <w:rsid w:val="00940DCC"/>
    <w:rsid w:val="0094179A"/>
    <w:rsid w:val="0094459E"/>
    <w:rsid w:val="00944DBC"/>
    <w:rsid w:val="00950977"/>
    <w:rsid w:val="00951A7B"/>
    <w:rsid w:val="00953A1E"/>
    <w:rsid w:val="009564A6"/>
    <w:rsid w:val="00963FA3"/>
    <w:rsid w:val="00967621"/>
    <w:rsid w:val="00967E6A"/>
    <w:rsid w:val="00983C83"/>
    <w:rsid w:val="00990918"/>
    <w:rsid w:val="00994281"/>
    <w:rsid w:val="009957EE"/>
    <w:rsid w:val="009978A8"/>
    <w:rsid w:val="00997AD6"/>
    <w:rsid w:val="009B4A0F"/>
    <w:rsid w:val="009C11D2"/>
    <w:rsid w:val="009C6C70"/>
    <w:rsid w:val="009C7B0A"/>
    <w:rsid w:val="009D0B63"/>
    <w:rsid w:val="009D5CB8"/>
    <w:rsid w:val="009E307E"/>
    <w:rsid w:val="009F2383"/>
    <w:rsid w:val="009F41C6"/>
    <w:rsid w:val="009F7CFD"/>
    <w:rsid w:val="00A07870"/>
    <w:rsid w:val="00A07C54"/>
    <w:rsid w:val="00A07F19"/>
    <w:rsid w:val="00A1348D"/>
    <w:rsid w:val="00A232EE"/>
    <w:rsid w:val="00A402C9"/>
    <w:rsid w:val="00A40E51"/>
    <w:rsid w:val="00A40F17"/>
    <w:rsid w:val="00A4175F"/>
    <w:rsid w:val="00A44411"/>
    <w:rsid w:val="00A469FA"/>
    <w:rsid w:val="00A53662"/>
    <w:rsid w:val="00A55B01"/>
    <w:rsid w:val="00A56B5B"/>
    <w:rsid w:val="00A5754E"/>
    <w:rsid w:val="00A603FF"/>
    <w:rsid w:val="00A619B6"/>
    <w:rsid w:val="00A648CA"/>
    <w:rsid w:val="00A657DD"/>
    <w:rsid w:val="00A666A6"/>
    <w:rsid w:val="00A675FD"/>
    <w:rsid w:val="00A72437"/>
    <w:rsid w:val="00A77612"/>
    <w:rsid w:val="00A8048B"/>
    <w:rsid w:val="00A80611"/>
    <w:rsid w:val="00A870C4"/>
    <w:rsid w:val="00AB5340"/>
    <w:rsid w:val="00AC0A89"/>
    <w:rsid w:val="00AC7C96"/>
    <w:rsid w:val="00AD120E"/>
    <w:rsid w:val="00AE237D"/>
    <w:rsid w:val="00AE502A"/>
    <w:rsid w:val="00AE6487"/>
    <w:rsid w:val="00AF2C1F"/>
    <w:rsid w:val="00AF7C07"/>
    <w:rsid w:val="00B06C64"/>
    <w:rsid w:val="00B114EB"/>
    <w:rsid w:val="00B11CAC"/>
    <w:rsid w:val="00B13AA5"/>
    <w:rsid w:val="00B22C93"/>
    <w:rsid w:val="00B27589"/>
    <w:rsid w:val="00B405B7"/>
    <w:rsid w:val="00B43B28"/>
    <w:rsid w:val="00B52222"/>
    <w:rsid w:val="00B531DA"/>
    <w:rsid w:val="00B54895"/>
    <w:rsid w:val="00B54FE7"/>
    <w:rsid w:val="00B647C6"/>
    <w:rsid w:val="00B66901"/>
    <w:rsid w:val="00B70577"/>
    <w:rsid w:val="00B71E6D"/>
    <w:rsid w:val="00B72070"/>
    <w:rsid w:val="00B779E1"/>
    <w:rsid w:val="00B820FD"/>
    <w:rsid w:val="00B91EE1"/>
    <w:rsid w:val="00BA0090"/>
    <w:rsid w:val="00BA1A67"/>
    <w:rsid w:val="00BA28E2"/>
    <w:rsid w:val="00BB6A1E"/>
    <w:rsid w:val="00BB781B"/>
    <w:rsid w:val="00BD2782"/>
    <w:rsid w:val="00BD5883"/>
    <w:rsid w:val="00BD652B"/>
    <w:rsid w:val="00BE5B5F"/>
    <w:rsid w:val="00BF6B59"/>
    <w:rsid w:val="00C249C2"/>
    <w:rsid w:val="00C26F55"/>
    <w:rsid w:val="00C30C63"/>
    <w:rsid w:val="00C33E0A"/>
    <w:rsid w:val="00C35A2C"/>
    <w:rsid w:val="00C36B8B"/>
    <w:rsid w:val="00C415C1"/>
    <w:rsid w:val="00C42C7E"/>
    <w:rsid w:val="00C43A76"/>
    <w:rsid w:val="00C44A86"/>
    <w:rsid w:val="00C47DBF"/>
    <w:rsid w:val="00C52FF3"/>
    <w:rsid w:val="00C552FF"/>
    <w:rsid w:val="00C558DA"/>
    <w:rsid w:val="00C55AF3"/>
    <w:rsid w:val="00C67E1C"/>
    <w:rsid w:val="00C84759"/>
    <w:rsid w:val="00C8532A"/>
    <w:rsid w:val="00C90664"/>
    <w:rsid w:val="00CA5CA9"/>
    <w:rsid w:val="00CA6C7F"/>
    <w:rsid w:val="00CC10A6"/>
    <w:rsid w:val="00CD2E54"/>
    <w:rsid w:val="00CD5EB8"/>
    <w:rsid w:val="00CD7044"/>
    <w:rsid w:val="00CE08B9"/>
    <w:rsid w:val="00CE1FD4"/>
    <w:rsid w:val="00CE524C"/>
    <w:rsid w:val="00CF141F"/>
    <w:rsid w:val="00CF4777"/>
    <w:rsid w:val="00CF621A"/>
    <w:rsid w:val="00D04721"/>
    <w:rsid w:val="00D05FED"/>
    <w:rsid w:val="00D067BB"/>
    <w:rsid w:val="00D1352A"/>
    <w:rsid w:val="00D169AF"/>
    <w:rsid w:val="00D25249"/>
    <w:rsid w:val="00D44172"/>
    <w:rsid w:val="00D441E9"/>
    <w:rsid w:val="00D63B8C"/>
    <w:rsid w:val="00D739CC"/>
    <w:rsid w:val="00D8093D"/>
    <w:rsid w:val="00D8108C"/>
    <w:rsid w:val="00D81466"/>
    <w:rsid w:val="00D842AE"/>
    <w:rsid w:val="00D865A9"/>
    <w:rsid w:val="00D9211C"/>
    <w:rsid w:val="00D92DE0"/>
    <w:rsid w:val="00D92FEF"/>
    <w:rsid w:val="00D93A0F"/>
    <w:rsid w:val="00D96399"/>
    <w:rsid w:val="00DA0E55"/>
    <w:rsid w:val="00DA1BCA"/>
    <w:rsid w:val="00DB651A"/>
    <w:rsid w:val="00DC46FF"/>
    <w:rsid w:val="00DC5254"/>
    <w:rsid w:val="00DC569D"/>
    <w:rsid w:val="00DD1A4F"/>
    <w:rsid w:val="00DD3107"/>
    <w:rsid w:val="00DD7C2C"/>
    <w:rsid w:val="00DE1DC9"/>
    <w:rsid w:val="00DF3177"/>
    <w:rsid w:val="00DF7FC8"/>
    <w:rsid w:val="00E0035A"/>
    <w:rsid w:val="00E005B2"/>
    <w:rsid w:val="00E05CB1"/>
    <w:rsid w:val="00E06797"/>
    <w:rsid w:val="00E06CCA"/>
    <w:rsid w:val="00E1265B"/>
    <w:rsid w:val="00E13B48"/>
    <w:rsid w:val="00E1404F"/>
    <w:rsid w:val="00E21C83"/>
    <w:rsid w:val="00E24ADA"/>
    <w:rsid w:val="00E32F59"/>
    <w:rsid w:val="00E335EE"/>
    <w:rsid w:val="00E436C2"/>
    <w:rsid w:val="00E46D9A"/>
    <w:rsid w:val="00E565FF"/>
    <w:rsid w:val="00E57951"/>
    <w:rsid w:val="00E65388"/>
    <w:rsid w:val="00E71146"/>
    <w:rsid w:val="00E733C5"/>
    <w:rsid w:val="00E85B7D"/>
    <w:rsid w:val="00E9121B"/>
    <w:rsid w:val="00E976AB"/>
    <w:rsid w:val="00EA0AE2"/>
    <w:rsid w:val="00EA39E5"/>
    <w:rsid w:val="00EA6282"/>
    <w:rsid w:val="00EB4BAF"/>
    <w:rsid w:val="00EC2470"/>
    <w:rsid w:val="00EC2813"/>
    <w:rsid w:val="00EC5A46"/>
    <w:rsid w:val="00EC63E2"/>
    <w:rsid w:val="00ED11D7"/>
    <w:rsid w:val="00ED366A"/>
    <w:rsid w:val="00EF1CFB"/>
    <w:rsid w:val="00EF22B3"/>
    <w:rsid w:val="00F03B69"/>
    <w:rsid w:val="00F07A50"/>
    <w:rsid w:val="00F113DA"/>
    <w:rsid w:val="00F15AE9"/>
    <w:rsid w:val="00F24308"/>
    <w:rsid w:val="00F3465A"/>
    <w:rsid w:val="00F37DC8"/>
    <w:rsid w:val="00F400E6"/>
    <w:rsid w:val="00F429F7"/>
    <w:rsid w:val="00F439B3"/>
    <w:rsid w:val="00F53C2A"/>
    <w:rsid w:val="00F611B2"/>
    <w:rsid w:val="00F650C3"/>
    <w:rsid w:val="00F65D85"/>
    <w:rsid w:val="00F8091E"/>
    <w:rsid w:val="00F8615C"/>
    <w:rsid w:val="00F917A1"/>
    <w:rsid w:val="00F969E5"/>
    <w:rsid w:val="00FA1A9F"/>
    <w:rsid w:val="00FA6BB0"/>
    <w:rsid w:val="00FB4361"/>
    <w:rsid w:val="00FC0E02"/>
    <w:rsid w:val="00FD5860"/>
    <w:rsid w:val="00FE352D"/>
    <w:rsid w:val="00FE40EB"/>
    <w:rsid w:val="00FE4D02"/>
    <w:rsid w:val="00FE7D62"/>
    <w:rsid w:val="00FF3819"/>
    <w:rsid w:val="00FF64DF"/>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377217"/>
    <w:rPr>
      <w:b/>
      <w:sz w:val="24"/>
      <w:szCs w:val="24"/>
      <w:lang w:val="en-GB"/>
    </w:rPr>
  </w:style>
  <w:style w:type="character" w:customStyle="1" w:styleId="ZZAnxheaderChar">
    <w:name w:val="ZZ_Anx_header Char"/>
    <w:link w:val="ZZAnxheader"/>
    <w:rsid w:val="00377217"/>
    <w:rPr>
      <w:b/>
      <w:bCs/>
      <w:sz w:val="28"/>
      <w:szCs w:val="22"/>
      <w:lang w:val="en-GB"/>
    </w:rPr>
  </w:style>
  <w:style w:type="character" w:customStyle="1" w:styleId="FooterChar">
    <w:name w:val="Footer Char"/>
    <w:link w:val="Footer"/>
    <w:semiHidden/>
    <w:rsid w:val="00377217"/>
    <w:rPr>
      <w:sz w:val="18"/>
      <w:lang w:val="en-GB"/>
    </w:rPr>
  </w:style>
  <w:style w:type="paragraph" w:styleId="ListParagraph">
    <w:name w:val="List Paragraph"/>
    <w:basedOn w:val="Normal"/>
    <w:uiPriority w:val="34"/>
    <w:qFormat/>
    <w:rsid w:val="00377217"/>
    <w:pPr>
      <w:ind w:left="720"/>
      <w:contextualSpacing/>
    </w:pPr>
  </w:style>
  <w:style w:type="paragraph" w:styleId="Revision">
    <w:name w:val="Revision"/>
    <w:hidden/>
    <w:uiPriority w:val="99"/>
    <w:semiHidden/>
    <w:rsid w:val="00A402C9"/>
    <w:rPr>
      <w:lang w:val="en-GB"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487"/>
    <w:pPr>
      <w:numPr>
        <w:numId w:val="4"/>
      </w:numPr>
      <w:tabs>
        <w:tab w:val="clear" w:pos="1814"/>
        <w:tab w:val="clear" w:pos="2381"/>
        <w:tab w:val="clear" w:pos="2948"/>
        <w:tab w:val="clear" w:pos="3515"/>
        <w:tab w:val="clear" w:pos="4082"/>
        <w:tab w:val="left" w:pos="624"/>
        <w:tab w:val="left" w:pos="1871"/>
        <w:tab w:val="left" w:pos="2495"/>
        <w:tab w:val="left" w:pos="3119"/>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377217"/>
    <w:rPr>
      <w:b/>
      <w:sz w:val="24"/>
      <w:szCs w:val="24"/>
      <w:lang w:val="en-GB"/>
    </w:rPr>
  </w:style>
  <w:style w:type="character" w:customStyle="1" w:styleId="ZZAnxheaderChar">
    <w:name w:val="ZZ_Anx_header Char"/>
    <w:link w:val="ZZAnxheader"/>
    <w:rsid w:val="00377217"/>
    <w:rPr>
      <w:b/>
      <w:bCs/>
      <w:sz w:val="28"/>
      <w:szCs w:val="22"/>
      <w:lang w:val="en-GB"/>
    </w:rPr>
  </w:style>
  <w:style w:type="character" w:customStyle="1" w:styleId="FooterChar">
    <w:name w:val="Footer Char"/>
    <w:link w:val="Footer"/>
    <w:semiHidden/>
    <w:rsid w:val="00377217"/>
    <w:rPr>
      <w:sz w:val="18"/>
      <w:lang w:val="en-GB"/>
    </w:rPr>
  </w:style>
  <w:style w:type="paragraph" w:styleId="ListParagraph">
    <w:name w:val="List Paragraph"/>
    <w:basedOn w:val="Normal"/>
    <w:uiPriority w:val="34"/>
    <w:qFormat/>
    <w:rsid w:val="00377217"/>
    <w:pPr>
      <w:ind w:left="720"/>
      <w:contextualSpacing/>
    </w:pPr>
  </w:style>
  <w:style w:type="paragraph" w:styleId="Revision">
    <w:name w:val="Revision"/>
    <w:hidden/>
    <w:uiPriority w:val="99"/>
    <w:semiHidden/>
    <w:rsid w:val="00A402C9"/>
    <w:rPr>
      <w:lang w:val="en-GB"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487"/>
    <w:pPr>
      <w:numPr>
        <w:numId w:val="4"/>
      </w:numPr>
      <w:tabs>
        <w:tab w:val="clear" w:pos="1814"/>
        <w:tab w:val="clear" w:pos="2381"/>
        <w:tab w:val="clear" w:pos="2948"/>
        <w:tab w:val="clear" w:pos="3515"/>
        <w:tab w:val="clear" w:pos="4082"/>
        <w:tab w:val="left" w:pos="624"/>
        <w:tab w:val="left" w:pos="1871"/>
        <w:tab w:val="left" w:pos="2495"/>
        <w:tab w:val="left" w:pos="3119"/>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E106-EB10-4396-BC57-B03A9818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LOGAN</cp:lastModifiedBy>
  <cp:revision>2</cp:revision>
  <cp:lastPrinted>2015-12-07T11:15:00Z</cp:lastPrinted>
  <dcterms:created xsi:type="dcterms:W3CDTF">2016-02-03T15:55:00Z</dcterms:created>
  <dcterms:modified xsi:type="dcterms:W3CDTF">2016-02-03T15:55:00Z</dcterms:modified>
</cp:coreProperties>
</file>