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728"/>
        <w:gridCol w:w="4573"/>
        <w:gridCol w:w="3411"/>
      </w:tblGrid>
      <w:tr w:rsidR="00032E4E" w:rsidRPr="006A1074" w:rsidTr="00EA1BCD">
        <w:trPr>
          <w:cantSplit/>
          <w:trHeight w:val="850"/>
          <w:jc w:val="right"/>
        </w:trPr>
        <w:tc>
          <w:tcPr>
            <w:tcW w:w="1728" w:type="dxa"/>
          </w:tcPr>
          <w:p w:rsidR="00032E4E" w:rsidRPr="006A1074" w:rsidRDefault="00EA1BCD" w:rsidP="00EA1BCD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7"/>
                <w:szCs w:val="27"/>
              </w:rPr>
              <w:t>NACIONES</w:t>
            </w:r>
            <w:r w:rsidR="00032E4E">
              <w:rPr>
                <w:rFonts w:ascii="Arial" w:hAnsi="Arial" w:cs="Arial"/>
                <w:b/>
                <w:noProof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noProof/>
                <w:sz w:val="27"/>
                <w:szCs w:val="27"/>
              </w:rPr>
              <w:t>UNIDAS</w:t>
            </w:r>
          </w:p>
        </w:tc>
        <w:tc>
          <w:tcPr>
            <w:tcW w:w="4573" w:type="dxa"/>
          </w:tcPr>
          <w:p w:rsidR="00032E4E" w:rsidRPr="006A1074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:rsidR="00032E4E" w:rsidRPr="00C00C77" w:rsidRDefault="00032E4E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C00C77">
              <w:rPr>
                <w:rFonts w:ascii="Arial" w:hAnsi="Arial" w:cs="Arial"/>
                <w:b/>
                <w:sz w:val="64"/>
                <w:szCs w:val="64"/>
              </w:rPr>
              <w:t>EP</w:t>
            </w:r>
          </w:p>
        </w:tc>
      </w:tr>
      <w:tr w:rsidR="00032E4E" w:rsidRPr="006A1074" w:rsidTr="00EA1BCD">
        <w:trPr>
          <w:cantSplit/>
          <w:trHeight w:val="281"/>
          <w:jc w:val="right"/>
        </w:trPr>
        <w:tc>
          <w:tcPr>
            <w:tcW w:w="1728" w:type="dxa"/>
            <w:tcBorders>
              <w:bottom w:val="single" w:sz="4" w:space="0" w:color="auto"/>
            </w:tcBorders>
          </w:tcPr>
          <w:p w:rsidR="00032E4E" w:rsidRPr="006A1074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032E4E" w:rsidRPr="006A1074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32E4E" w:rsidRPr="006A1074" w:rsidRDefault="00032E4E" w:rsidP="00E976AB">
            <w:pPr>
              <w:textDirection w:val="tbLrV"/>
              <w:rPr>
                <w:noProof/>
                <w:sz w:val="18"/>
                <w:lang w:val="es-ES"/>
              </w:rPr>
            </w:pPr>
            <w:r w:rsidRPr="00945403">
              <w:rPr>
                <w:b/>
                <w:sz w:val="28"/>
                <w:szCs w:val="28"/>
                <w:lang w:val="es-ES"/>
              </w:rPr>
              <w:t>UNEP</w:t>
            </w:r>
            <w:r>
              <w:rPr>
                <w:lang w:val="es-ES"/>
              </w:rPr>
              <w:t>(DTIE)/Hg/INC.7/6</w:t>
            </w:r>
            <w:bookmarkStart w:id="1" w:name="OLE_LINK1"/>
            <w:bookmarkStart w:id="2" w:name="OLE_LINK2"/>
            <w:bookmarkEnd w:id="1"/>
            <w:bookmarkEnd w:id="2"/>
          </w:p>
        </w:tc>
      </w:tr>
      <w:tr w:rsidR="00032E4E" w:rsidRPr="00EA1BCD" w:rsidTr="00EA1BCD">
        <w:trPr>
          <w:cantSplit/>
          <w:trHeight w:val="2549"/>
          <w:jc w:val="right"/>
        </w:trPr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6A1074" w:rsidRDefault="00032E4E" w:rsidP="00023DA9">
            <w:pPr>
              <w:rPr>
                <w:noProof/>
              </w:rPr>
            </w:pPr>
            <w:r w:rsidRPr="006A1074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1.8pt" o:ole="" fillcolor="window">
                  <v:imagedata r:id="rId9" o:title=""/>
                </v:shape>
                <o:OLEObject Type="Embed" ProgID="Word.Picture.8" ShapeID="_x0000_i1025" DrawAspect="Content" ObjectID="_1509947253" r:id="rId10"/>
              </w:object>
            </w:r>
            <w:r w:rsidR="0087666A">
              <w:rPr>
                <w:noProof/>
                <w:lang w:eastAsia="zh-CN"/>
              </w:rPr>
              <w:drawing>
                <wp:inline distT="0" distB="0" distL="0" distR="0" wp14:anchorId="0BA3EA61" wp14:editId="2A634084">
                  <wp:extent cx="721360" cy="763270"/>
                  <wp:effectExtent l="0" t="0" r="254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EA1BCD" w:rsidRDefault="007D3C47" w:rsidP="00023DA9">
            <w:pPr>
              <w:spacing w:before="1200"/>
              <w:rPr>
                <w:rFonts w:ascii="Arial" w:hAnsi="Arial" w:cs="Arial"/>
                <w:b/>
                <w:sz w:val="28"/>
                <w:lang w:val="es-ES_tradnl"/>
              </w:rPr>
            </w:pPr>
            <w:r w:rsidRPr="0094650C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t>Programa de las</w:t>
            </w:r>
            <w:r w:rsidRPr="0094650C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br/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t>Naciones Unidas</w:t>
            </w:r>
            <w:r w:rsidRPr="0094650C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" w:eastAsia="ru-RU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:rsidR="00032E4E" w:rsidRPr="00EA1BCD" w:rsidRDefault="00032E4E" w:rsidP="00C67D46">
            <w:pPr>
              <w:spacing w:before="120"/>
              <w:rPr>
                <w:lang w:val="es-ES_tradnl"/>
              </w:rPr>
            </w:pPr>
            <w:r w:rsidRPr="00EA1BCD">
              <w:rPr>
                <w:lang w:val="es-ES_tradnl"/>
              </w:rPr>
              <w:t>Distr.</w:t>
            </w:r>
            <w:r w:rsidR="007D3C47">
              <w:rPr>
                <w:lang w:val="es-ES_tradnl"/>
              </w:rPr>
              <w:t xml:space="preserve"> </w:t>
            </w:r>
            <w:r w:rsidR="00C225F8">
              <w:rPr>
                <w:lang w:val="es-ES_tradnl"/>
              </w:rPr>
              <w:t>g</w:t>
            </w:r>
            <w:r w:rsidRPr="00EA1BCD">
              <w:rPr>
                <w:lang w:val="es-ES_tradnl"/>
              </w:rPr>
              <w:t>eneral</w:t>
            </w:r>
            <w:r w:rsidRPr="00EA1BCD">
              <w:rPr>
                <w:lang w:val="es-ES_tradnl"/>
              </w:rPr>
              <w:br w:type="textWrapping" w:clear="all"/>
            </w:r>
            <w:r w:rsidR="00F47030" w:rsidRPr="00EA1BCD">
              <w:rPr>
                <w:lang w:val="es-ES_tradnl"/>
              </w:rPr>
              <w:t xml:space="preserve">2 </w:t>
            </w:r>
            <w:r w:rsidR="00EA1BCD">
              <w:rPr>
                <w:lang w:val="es-ES_tradnl"/>
              </w:rPr>
              <w:t>de noviembre de</w:t>
            </w:r>
            <w:r w:rsidR="003E35DA" w:rsidRPr="00EA1BCD">
              <w:rPr>
                <w:lang w:val="es-ES_tradnl"/>
              </w:rPr>
              <w:t xml:space="preserve"> </w:t>
            </w:r>
            <w:r w:rsidR="00E976AB" w:rsidRPr="00EA1BCD">
              <w:rPr>
                <w:lang w:val="es-ES_tradnl"/>
              </w:rPr>
              <w:t>2015</w:t>
            </w:r>
          </w:p>
          <w:p w:rsidR="00EA1BCD" w:rsidRDefault="00032E4E" w:rsidP="00C67D46">
            <w:pPr>
              <w:spacing w:before="120"/>
              <w:textDirection w:val="tbLrV"/>
              <w:rPr>
                <w:lang w:val="es-ES"/>
              </w:rPr>
            </w:pPr>
            <w:r>
              <w:rPr>
                <w:lang w:val="es-ES"/>
              </w:rPr>
              <w:t xml:space="preserve">Español </w:t>
            </w:r>
          </w:p>
          <w:p w:rsidR="00032E4E" w:rsidRPr="006A1074" w:rsidRDefault="00032E4E" w:rsidP="007D3C47">
            <w:pPr>
              <w:textDirection w:val="tbLrV"/>
              <w:rPr>
                <w:lang w:val="es-ES"/>
              </w:rPr>
            </w:pPr>
            <w:r>
              <w:rPr>
                <w:lang w:val="es-ES"/>
              </w:rPr>
              <w:t>Original: inglés</w:t>
            </w:r>
          </w:p>
        </w:tc>
      </w:tr>
    </w:tbl>
    <w:p w:rsidR="00E976AB" w:rsidRPr="00690DD3" w:rsidRDefault="00E976AB" w:rsidP="007D3C47">
      <w:pPr>
        <w:pStyle w:val="AATitle"/>
        <w:keepNext w:val="0"/>
        <w:keepLines w:val="0"/>
        <w:ind w:right="4649"/>
        <w:textDirection w:val="tbLrV"/>
        <w:rPr>
          <w:lang w:val="es-ES"/>
        </w:rPr>
      </w:pPr>
      <w:r>
        <w:rPr>
          <w:lang w:val="es-ES"/>
        </w:rPr>
        <w:t>Comité intergubernamental de negociación encargado de elaborar un instrumento jurídicamente vinculante a nivel mundial sobre el mercurio</w:t>
      </w:r>
    </w:p>
    <w:p w:rsidR="00E976AB" w:rsidRPr="00E976AB" w:rsidRDefault="00E976AB" w:rsidP="00E976AB">
      <w:pPr>
        <w:pStyle w:val="AATitle"/>
        <w:keepNext w:val="0"/>
        <w:keepLines w:val="0"/>
        <w:textDirection w:val="tbLrV"/>
        <w:rPr>
          <w:lang w:val="es-ES"/>
        </w:rPr>
      </w:pPr>
      <w:r>
        <w:rPr>
          <w:lang w:val="es-ES"/>
        </w:rPr>
        <w:t>Séptimo período de sesiones</w:t>
      </w:r>
    </w:p>
    <w:p w:rsidR="00F47030" w:rsidRPr="00EA1BCD" w:rsidRDefault="00F47030" w:rsidP="00F47030">
      <w:pPr>
        <w:pStyle w:val="AATitle"/>
        <w:textDirection w:val="tbLrV"/>
        <w:rPr>
          <w:b w:val="0"/>
          <w:lang w:val="es-ES"/>
        </w:rPr>
      </w:pPr>
      <w:r w:rsidRPr="00EA1BCD">
        <w:rPr>
          <w:b w:val="0"/>
          <w:lang w:val="es-ES"/>
        </w:rPr>
        <w:t>Mar Muerto</w:t>
      </w:r>
      <w:r w:rsidR="00DE2799">
        <w:rPr>
          <w:b w:val="0"/>
          <w:lang w:val="es-ES"/>
        </w:rPr>
        <w:t xml:space="preserve"> </w:t>
      </w:r>
      <w:r w:rsidRPr="00EA1BCD">
        <w:rPr>
          <w:b w:val="0"/>
          <w:lang w:val="es-ES"/>
        </w:rPr>
        <w:t>(Jordania),10 a 15 de marzo de 2016</w:t>
      </w:r>
    </w:p>
    <w:p w:rsidR="00F47030" w:rsidRPr="00EA1BCD" w:rsidRDefault="00F47030" w:rsidP="00F47030">
      <w:pPr>
        <w:pStyle w:val="AATitle"/>
        <w:textDirection w:val="tbLrV"/>
        <w:rPr>
          <w:b w:val="0"/>
          <w:lang w:val="es-ES"/>
        </w:rPr>
      </w:pPr>
      <w:r w:rsidRPr="00EA1BCD">
        <w:rPr>
          <w:b w:val="0"/>
          <w:lang w:val="es-ES"/>
        </w:rPr>
        <w:t>Tema 3 b) del programa provisional</w:t>
      </w:r>
      <w:r w:rsidR="00C17249" w:rsidRPr="00EA1BCD">
        <w:rPr>
          <w:rStyle w:val="FootnoteReference"/>
          <w:b w:val="0"/>
          <w:color w:val="000000"/>
          <w:vertAlign w:val="baseline"/>
          <w:lang w:val="es-ES"/>
        </w:rPr>
        <w:footnoteReference w:customMarkFollows="1" w:id="1"/>
        <w:t>*</w:t>
      </w:r>
    </w:p>
    <w:p w:rsidR="00F47030" w:rsidRPr="002540DE" w:rsidRDefault="00C225F8" w:rsidP="00F47030">
      <w:pPr>
        <w:pStyle w:val="AATitle2"/>
        <w:keepNext w:val="0"/>
        <w:keepLines w:val="0"/>
        <w:spacing w:before="60" w:after="0"/>
        <w:textDirection w:val="tbLrV"/>
        <w:rPr>
          <w:lang w:val="es-ES"/>
        </w:rPr>
      </w:pPr>
      <w:r>
        <w:rPr>
          <w:lang w:val="es-ES"/>
        </w:rPr>
        <w:t>Labor</w:t>
      </w:r>
      <w:r w:rsidR="00F47030">
        <w:rPr>
          <w:lang w:val="es-ES"/>
        </w:rPr>
        <w:t xml:space="preserve"> de preparación de la entrada en vigor del Convenio de Minamata sobre el Mercurio y de la primera reunión de la Conferencia de las Partes</w:t>
      </w:r>
      <w:r>
        <w:rPr>
          <w:lang w:val="es-ES"/>
        </w:rPr>
        <w:t xml:space="preserve"> en el Convenio</w:t>
      </w:r>
      <w:r w:rsidR="00F47030">
        <w:rPr>
          <w:lang w:val="es-ES"/>
        </w:rPr>
        <w:t>: cuestiones que, en virtud del Convenio, deberá decidir la Conferencia de l</w:t>
      </w:r>
      <w:r w:rsidR="00EA1BCD">
        <w:rPr>
          <w:lang w:val="es-ES"/>
        </w:rPr>
        <w:t>as Partes en su primera reunión</w:t>
      </w:r>
      <w:r w:rsidR="00F47030">
        <w:rPr>
          <w:lang w:val="es-ES"/>
        </w:rPr>
        <w:t xml:space="preserve"> </w:t>
      </w:r>
    </w:p>
    <w:p w:rsidR="00F47030" w:rsidRPr="00ED77E9" w:rsidRDefault="00F47030" w:rsidP="00ED77E9">
      <w:pPr>
        <w:pStyle w:val="BBTitle"/>
        <w:textDirection w:val="tbLrV"/>
        <w:rPr>
          <w:lang w:val="es-ES"/>
        </w:rPr>
      </w:pPr>
      <w:r>
        <w:rPr>
          <w:lang w:val="es-ES"/>
        </w:rPr>
        <w:t>Informe del grupo de expertos técnicos sobre la elaboración de las orientaciones solicitadas en el artículo 8 del Convenio</w:t>
      </w:r>
    </w:p>
    <w:p w:rsidR="00F47030" w:rsidRPr="00863EC7" w:rsidRDefault="00F47030" w:rsidP="00863EC7">
      <w:pPr>
        <w:pStyle w:val="CH2"/>
        <w:textDirection w:val="tbLrV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Nota de la </w:t>
      </w:r>
      <w:r w:rsidR="00C225F8">
        <w:rPr>
          <w:lang w:val="es-ES"/>
        </w:rPr>
        <w:t>s</w:t>
      </w:r>
      <w:r>
        <w:rPr>
          <w:lang w:val="es-ES"/>
        </w:rPr>
        <w:t>ecretaría</w:t>
      </w:r>
    </w:p>
    <w:p w:rsidR="00F47030" w:rsidRPr="00266CB7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 xml:space="preserve">El artículo 8 del Convenio de Minamata sobre el Mercurio trata del control y, cuando </w:t>
      </w:r>
      <w:r w:rsidR="00C225F8">
        <w:rPr>
          <w:lang w:val="es-ES"/>
        </w:rPr>
        <w:t>sea</w:t>
      </w:r>
      <w:r>
        <w:rPr>
          <w:lang w:val="es-ES"/>
        </w:rPr>
        <w:t xml:space="preserve"> viable, la reducción de las emisiones de mercurio y compuestos de mercurio a la atmósfera mediante medidas encaminadas a controlar las emisiones procedentes de las fuentes puntuales que entran dentro de las categorías enumeradas en el anexo D del Convenio.</w:t>
      </w:r>
    </w:p>
    <w:p w:rsidR="00F47030" w:rsidRPr="00102740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 xml:space="preserve">En el párrafo 8 del artículo 8 del Convenio se dispone que la Conferencia de las Partes en el Convenio, en su primera reunión, aprobará </w:t>
      </w:r>
      <w:r w:rsidR="00C225F8">
        <w:rPr>
          <w:lang w:val="es-ES"/>
        </w:rPr>
        <w:t>directrices</w:t>
      </w:r>
      <w:r>
        <w:rPr>
          <w:lang w:val="es-ES"/>
        </w:rPr>
        <w:t xml:space="preserve"> sobre:</w:t>
      </w:r>
    </w:p>
    <w:p w:rsidR="00F47030" w:rsidRPr="00102740" w:rsidRDefault="00F47030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 xml:space="preserve">Las mejores técnicas disponibles y las mejores prácticas ambientales, teniendo en cuenta las posibles diferencias entre las fuentes nuevas y las existentes, así como la necesidad de reducir al mínimo los efectos cruzados entre los distintos medios; </w:t>
      </w:r>
    </w:p>
    <w:p w:rsidR="00F47030" w:rsidRPr="00102740" w:rsidRDefault="00F47030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 xml:space="preserve">La prestación de apoyo a las Partes en la aplicación de las medidas </w:t>
      </w:r>
      <w:r w:rsidR="008D0DB6">
        <w:rPr>
          <w:lang w:val="es-ES"/>
        </w:rPr>
        <w:t>estipuladas</w:t>
      </w:r>
      <w:r>
        <w:rPr>
          <w:lang w:val="es-ES"/>
        </w:rPr>
        <w:t xml:space="preserve"> en el párrafo 5</w:t>
      </w:r>
      <w:r w:rsidR="00C84620">
        <w:rPr>
          <w:lang w:val="es-ES"/>
        </w:rPr>
        <w:t xml:space="preserve"> del artículo 8</w:t>
      </w:r>
      <w:r>
        <w:rPr>
          <w:lang w:val="es-ES"/>
        </w:rPr>
        <w:t>, especialmente en la determinación de los objetivos y el establecimiento de los valores límite de emisión.</w:t>
      </w:r>
    </w:p>
    <w:p w:rsidR="00F47030" w:rsidRPr="00102740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 xml:space="preserve">Asimismo, en el párrafo 9 del artículo 8 se establece que la Conferencia de las Partes, tan pronto como sea factible, aprobará </w:t>
      </w:r>
      <w:r w:rsidR="00C225F8">
        <w:rPr>
          <w:lang w:val="es-ES"/>
        </w:rPr>
        <w:t>dir</w:t>
      </w:r>
      <w:r w:rsidR="009E0BD8">
        <w:rPr>
          <w:lang w:val="es-ES"/>
        </w:rPr>
        <w:t>ectrices</w:t>
      </w:r>
      <w:r>
        <w:rPr>
          <w:lang w:val="es-ES"/>
        </w:rPr>
        <w:t xml:space="preserve"> sobre:</w:t>
      </w:r>
    </w:p>
    <w:p w:rsidR="00F47030" w:rsidRPr="00102740" w:rsidRDefault="00F47030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>Los criterios que las Partes pueden establecer con arreglo al párrafo 2 b);</w:t>
      </w:r>
    </w:p>
    <w:p w:rsidR="00F47030" w:rsidRPr="002540DE" w:rsidRDefault="00F47030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>La metodología para la preparación de inventarios de emisiones.</w:t>
      </w:r>
    </w:p>
    <w:p w:rsidR="00F47030" w:rsidRPr="002540DE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>En su resolución sobre los arreglos para el período de transición, la Conferencia de Plenipotenciarios del Convenio de Minamata estableció un grupo de expertos técnicos</w:t>
      </w:r>
      <w:r w:rsidR="00DE2799">
        <w:rPr>
          <w:lang w:val="es-ES"/>
        </w:rPr>
        <w:t>,</w:t>
      </w:r>
      <w:r>
        <w:rPr>
          <w:lang w:val="es-ES"/>
        </w:rPr>
        <w:t xml:space="preserve"> en calidad de órgano subsidiario, </w:t>
      </w:r>
      <w:r w:rsidR="009E0BD8">
        <w:rPr>
          <w:lang w:val="es-ES"/>
        </w:rPr>
        <w:t xml:space="preserve">que </w:t>
      </w:r>
      <w:r>
        <w:rPr>
          <w:lang w:val="es-ES"/>
        </w:rPr>
        <w:t xml:space="preserve">rendiría cuentas al Comité intergubernamental de negociación encargado de elaborar un instrumento jurídicamente vinculante a nivel mundial sobre el mercurio, </w:t>
      </w:r>
      <w:r w:rsidR="009E0BD8">
        <w:rPr>
          <w:lang w:val="es-ES"/>
        </w:rPr>
        <w:t>para</w:t>
      </w:r>
      <w:r w:rsidR="00DE2799">
        <w:rPr>
          <w:lang w:val="es-ES"/>
        </w:rPr>
        <w:t xml:space="preserve"> </w:t>
      </w:r>
      <w:r>
        <w:rPr>
          <w:lang w:val="es-ES"/>
        </w:rPr>
        <w:t xml:space="preserve">elaborar las </w:t>
      </w:r>
      <w:r w:rsidR="009E0BD8">
        <w:rPr>
          <w:lang w:val="es-ES"/>
        </w:rPr>
        <w:t>directrices</w:t>
      </w:r>
      <w:r>
        <w:rPr>
          <w:lang w:val="es-ES"/>
        </w:rPr>
        <w:t xml:space="preserve"> que se piden en el artículo 8 del Convenio. El grupo debería tener </w:t>
      </w:r>
      <w:r w:rsidR="009E0BD8">
        <w:rPr>
          <w:lang w:val="es-ES"/>
        </w:rPr>
        <w:t>en cuenta</w:t>
      </w:r>
      <w:r>
        <w:rPr>
          <w:lang w:val="es-ES"/>
        </w:rPr>
        <w:t xml:space="preserve"> la necesidad de reducir al mínimo los efectos cruzados entre los distintos medios y abordar otras cuestiones </w:t>
      </w:r>
      <w:r w:rsidR="009E0BD8">
        <w:rPr>
          <w:lang w:val="es-ES"/>
        </w:rPr>
        <w:lastRenderedPageBreak/>
        <w:t>relacionadas con las</w:t>
      </w:r>
      <w:r>
        <w:rPr>
          <w:lang w:val="es-ES"/>
        </w:rPr>
        <w:t xml:space="preserve"> emisiones, teniendo en cuenta la experiencia adquirida, entre otras</w:t>
      </w:r>
      <w:r w:rsidR="009E0BD8">
        <w:rPr>
          <w:lang w:val="es-ES"/>
        </w:rPr>
        <w:t xml:space="preserve"> cosas</w:t>
      </w:r>
      <w:r>
        <w:rPr>
          <w:lang w:val="es-ES"/>
        </w:rPr>
        <w:t>, a través de la Asociación Mundial sobre el Mercurio del P</w:t>
      </w:r>
      <w:r w:rsidR="00E974BF">
        <w:rPr>
          <w:lang w:val="es-ES"/>
        </w:rPr>
        <w:t xml:space="preserve">rograma de las </w:t>
      </w:r>
      <w:r>
        <w:rPr>
          <w:lang w:val="es-ES"/>
        </w:rPr>
        <w:t>N</w:t>
      </w:r>
      <w:r w:rsidR="00E974BF">
        <w:rPr>
          <w:lang w:val="es-ES"/>
        </w:rPr>
        <w:t xml:space="preserve">aciones </w:t>
      </w:r>
      <w:r>
        <w:rPr>
          <w:lang w:val="es-ES"/>
        </w:rPr>
        <w:t>U</w:t>
      </w:r>
      <w:r w:rsidR="00E974BF">
        <w:rPr>
          <w:lang w:val="es-ES"/>
        </w:rPr>
        <w:t xml:space="preserve">nidas para el </w:t>
      </w:r>
      <w:r>
        <w:rPr>
          <w:lang w:val="es-ES"/>
        </w:rPr>
        <w:t>M</w:t>
      </w:r>
      <w:r w:rsidR="00E974BF">
        <w:rPr>
          <w:lang w:val="es-ES"/>
        </w:rPr>
        <w:t xml:space="preserve">edio </w:t>
      </w:r>
      <w:r>
        <w:rPr>
          <w:lang w:val="es-ES"/>
        </w:rPr>
        <w:t>A</w:t>
      </w:r>
      <w:r w:rsidR="00E974BF">
        <w:rPr>
          <w:lang w:val="es-ES"/>
        </w:rPr>
        <w:t>mbiente (PNUMA)</w:t>
      </w:r>
      <w:r>
        <w:rPr>
          <w:lang w:val="es-ES"/>
        </w:rPr>
        <w:t xml:space="preserve">. En la misma resolución, la Conferencia acordó la composición del grupo y solicitó al Director Ejecutivo del Programa de las </w:t>
      </w:r>
      <w:r w:rsidR="007D3C47">
        <w:rPr>
          <w:lang w:val="es-ES"/>
        </w:rPr>
        <w:t>Naciones Unidas</w:t>
      </w:r>
      <w:r>
        <w:rPr>
          <w:lang w:val="es-ES"/>
        </w:rPr>
        <w:t xml:space="preserve"> para el Medio Ambiente que convocase una reunión del gr</w:t>
      </w:r>
      <w:r w:rsidR="00F0508A">
        <w:rPr>
          <w:lang w:val="es-ES"/>
        </w:rPr>
        <w:t>upo de expertos técnicos cuanto </w:t>
      </w:r>
      <w:r>
        <w:rPr>
          <w:lang w:val="es-ES"/>
        </w:rPr>
        <w:t>antes.</w:t>
      </w:r>
    </w:p>
    <w:p w:rsidR="00F47030" w:rsidRPr="00C67D46" w:rsidRDefault="00F47030" w:rsidP="00553926">
      <w:pPr>
        <w:pStyle w:val="Normalnumber"/>
        <w:numPr>
          <w:ilvl w:val="0"/>
          <w:numId w:val="3"/>
        </w:numPr>
        <w:textDirection w:val="tbLrV"/>
        <w:rPr>
          <w:lang w:val="es-ES"/>
        </w:rPr>
      </w:pPr>
      <w:r>
        <w:rPr>
          <w:lang w:val="es-ES"/>
        </w:rPr>
        <w:t>El grupo presentó un informe sobre sus actividades al Comité intergubernamental de negociación en su sexto período de sesiones. Desde entonces, se ha reunido en otras dos ocasiones.</w:t>
      </w:r>
    </w:p>
    <w:p w:rsidR="00F47030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>En su tercera reunión, celebrada en Pretoria los días 2 a 6 de marzo de 2015, el grupo acordó un enfoque para finalizar el proyecto de orientación previst</w:t>
      </w:r>
      <w:r w:rsidR="00DE2799">
        <w:rPr>
          <w:lang w:val="es-ES"/>
        </w:rPr>
        <w:t>o</w:t>
      </w:r>
      <w:r>
        <w:rPr>
          <w:lang w:val="es-ES"/>
        </w:rPr>
        <w:t xml:space="preserve"> en el artículo 8, incluido el proceso para recabar observaciones del público a propósito de las orientaciones sobre las mejores técnicas disponibles y las mejores prácticas ambientales. Se acordó celebrar una reunión oficiosa </w:t>
      </w:r>
      <w:r w:rsidR="009E0BD8">
        <w:rPr>
          <w:lang w:val="es-ES"/>
        </w:rPr>
        <w:t>entre</w:t>
      </w:r>
      <w:r>
        <w:rPr>
          <w:lang w:val="es-ES"/>
        </w:rPr>
        <w:t xml:space="preserve"> los copresidentes y codirectores de cada </w:t>
      </w:r>
      <w:r w:rsidR="009E0BD8">
        <w:rPr>
          <w:lang w:val="es-ES"/>
        </w:rPr>
        <w:t>esfera de asociación</w:t>
      </w:r>
      <w:r w:rsidR="007D3C47">
        <w:rPr>
          <w:lang w:val="es-ES"/>
        </w:rPr>
        <w:t xml:space="preserve"> </w:t>
      </w:r>
      <w:r w:rsidR="009E0BD8">
        <w:rPr>
          <w:lang w:val="es-ES"/>
        </w:rPr>
        <w:t>dentro</w:t>
      </w:r>
      <w:r>
        <w:rPr>
          <w:lang w:val="es-ES"/>
        </w:rPr>
        <w:t xml:space="preserve"> </w:t>
      </w:r>
      <w:r w:rsidR="009E0BD8">
        <w:rPr>
          <w:lang w:val="es-ES"/>
        </w:rPr>
        <w:t>d</w:t>
      </w:r>
      <w:r>
        <w:rPr>
          <w:lang w:val="es-ES"/>
        </w:rPr>
        <w:t>e</w:t>
      </w:r>
      <w:r w:rsidR="007D3C47">
        <w:rPr>
          <w:lang w:val="es-ES"/>
        </w:rPr>
        <w:t>l grupo de expertos en junio de </w:t>
      </w:r>
      <w:r>
        <w:rPr>
          <w:lang w:val="es-ES"/>
        </w:rPr>
        <w:t>2015, durante la que se prepararían documentos sobre las mejores técnicas disponibles y las mejores prácticas ambientales</w:t>
      </w:r>
      <w:r w:rsidR="009E0BD8">
        <w:rPr>
          <w:lang w:val="es-ES"/>
        </w:rPr>
        <w:t>,</w:t>
      </w:r>
      <w:r>
        <w:rPr>
          <w:lang w:val="es-ES"/>
        </w:rPr>
        <w:t xml:space="preserve"> como un proyecto de los copresidentes</w:t>
      </w:r>
      <w:r w:rsidR="009E0BD8">
        <w:rPr>
          <w:lang w:val="es-ES"/>
        </w:rPr>
        <w:t>,</w:t>
      </w:r>
      <w:r>
        <w:rPr>
          <w:lang w:val="es-ES"/>
        </w:rPr>
        <w:t xml:space="preserve"> y se distribuirían</w:t>
      </w:r>
      <w:r w:rsidR="007D3C47">
        <w:rPr>
          <w:lang w:val="es-ES"/>
        </w:rPr>
        <w:t xml:space="preserve"> </w:t>
      </w:r>
      <w:r>
        <w:rPr>
          <w:lang w:val="es-ES"/>
        </w:rPr>
        <w:t xml:space="preserve">para recabar observaciones del público. La fase de </w:t>
      </w:r>
      <w:r w:rsidR="009E0BD8">
        <w:rPr>
          <w:lang w:val="es-ES"/>
        </w:rPr>
        <w:t>consulta</w:t>
      </w:r>
      <w:r>
        <w:rPr>
          <w:lang w:val="es-ES"/>
        </w:rPr>
        <w:t xml:space="preserve"> públic</w:t>
      </w:r>
      <w:r w:rsidR="009E0BD8">
        <w:rPr>
          <w:lang w:val="es-ES"/>
        </w:rPr>
        <w:t>a</w:t>
      </w:r>
      <w:r>
        <w:rPr>
          <w:lang w:val="es-ES"/>
        </w:rPr>
        <w:t xml:space="preserve"> transcurrió entre el 18 de junio y el 1 de agosto de 2015, y se recibieron observaciones de 11 gobiernos y 18 organizaciones, entre </w:t>
      </w:r>
      <w:r w:rsidR="009E0BD8">
        <w:rPr>
          <w:lang w:val="es-ES"/>
        </w:rPr>
        <w:t>otros</w:t>
      </w:r>
      <w:r w:rsidR="007D3C47">
        <w:rPr>
          <w:lang w:val="es-ES"/>
        </w:rPr>
        <w:t xml:space="preserve"> </w:t>
      </w:r>
      <w:r>
        <w:rPr>
          <w:lang w:val="es-ES"/>
        </w:rPr>
        <w:t>órganos de la industria y organizaciones no gubernamentales.</w:t>
      </w:r>
    </w:p>
    <w:p w:rsidR="00F47030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 xml:space="preserve">En su cuarta reunión, celebrada en Estocolmo los días 7 a 11 de septiembre de 2015, el grupo examinó las observaciones recibidas </w:t>
      </w:r>
      <w:r w:rsidR="00DE2799">
        <w:rPr>
          <w:lang w:val="es-ES"/>
        </w:rPr>
        <w:t>en</w:t>
      </w:r>
      <w:r>
        <w:rPr>
          <w:lang w:val="es-ES"/>
        </w:rPr>
        <w:t xml:space="preserve"> la fase de consulta pública </w:t>
      </w:r>
      <w:r w:rsidR="009E0BD8">
        <w:rPr>
          <w:lang w:val="es-ES"/>
        </w:rPr>
        <w:t>en relación con</w:t>
      </w:r>
      <w:r>
        <w:rPr>
          <w:lang w:val="es-ES"/>
        </w:rPr>
        <w:t xml:space="preserve"> las orientaciones sobre las mejores técnicas disponibles y las mejores prácticas ambientales. Las observaciones recibidas en relación con los documentos de orientación sobre las mejores técnicas disponibles y las mejores prácticas ambientales, junto con información sobre cómo abord</w:t>
      </w:r>
      <w:r w:rsidR="009E0BD8">
        <w:rPr>
          <w:lang w:val="es-ES"/>
        </w:rPr>
        <w:t>ó</w:t>
      </w:r>
      <w:r>
        <w:rPr>
          <w:lang w:val="es-ES"/>
        </w:rPr>
        <w:t xml:space="preserve"> esas observaciones el grupo de expertos, </w:t>
      </w:r>
      <w:r w:rsidR="009E0BD8">
        <w:rPr>
          <w:lang w:val="es-ES"/>
        </w:rPr>
        <w:t>figuran</w:t>
      </w:r>
      <w:r w:rsidR="007D3C47">
        <w:rPr>
          <w:lang w:val="es-ES"/>
        </w:rPr>
        <w:t xml:space="preserve"> </w:t>
      </w:r>
      <w:r>
        <w:rPr>
          <w:lang w:val="es-ES"/>
        </w:rPr>
        <w:t xml:space="preserve">en el documento de información UNEP(DTIE)/Hg/INC.7/INF.1. El grupo debatió también otros documentos de orientación estipulados en el artículo 8 del Convenio. Una vez concluidas </w:t>
      </w:r>
      <w:r w:rsidR="00DE2799">
        <w:rPr>
          <w:lang w:val="es-ES"/>
        </w:rPr>
        <w:t xml:space="preserve">las </w:t>
      </w:r>
      <w:r>
        <w:rPr>
          <w:lang w:val="es-ES"/>
        </w:rPr>
        <w:t>deliberaciones</w:t>
      </w:r>
      <w:r w:rsidR="00DE2799">
        <w:rPr>
          <w:lang w:val="es-ES"/>
        </w:rPr>
        <w:t xml:space="preserve"> en la </w:t>
      </w:r>
      <w:r>
        <w:rPr>
          <w:lang w:val="es-ES"/>
        </w:rPr>
        <w:t>cuarta reunión</w:t>
      </w:r>
      <w:r w:rsidR="00DE2799">
        <w:rPr>
          <w:lang w:val="es-ES"/>
        </w:rPr>
        <w:t>, el grupo</w:t>
      </w:r>
      <w:r>
        <w:rPr>
          <w:lang w:val="es-ES"/>
        </w:rPr>
        <w:t xml:space="preserve"> </w:t>
      </w:r>
      <w:r w:rsidR="009E0BD8">
        <w:rPr>
          <w:lang w:val="es-ES"/>
        </w:rPr>
        <w:t xml:space="preserve">llegó a </w:t>
      </w:r>
      <w:r>
        <w:rPr>
          <w:lang w:val="es-ES"/>
        </w:rPr>
        <w:t>un acuerdo sobre el proyecto de</w:t>
      </w:r>
      <w:r w:rsidR="009E0BD8">
        <w:rPr>
          <w:lang w:val="es-ES"/>
        </w:rPr>
        <w:t xml:space="preserve"> directrices</w:t>
      </w:r>
      <w:r>
        <w:rPr>
          <w:lang w:val="es-ES"/>
        </w:rPr>
        <w:t xml:space="preserve"> que se </w:t>
      </w:r>
      <w:r w:rsidR="009E0BD8">
        <w:rPr>
          <w:lang w:val="es-ES"/>
        </w:rPr>
        <w:t>re</w:t>
      </w:r>
      <w:r>
        <w:rPr>
          <w:lang w:val="es-ES"/>
        </w:rPr>
        <w:t>mitirá al Comité intergubernamental de negociac</w:t>
      </w:r>
      <w:r w:rsidR="00F0508A">
        <w:rPr>
          <w:lang w:val="es-ES"/>
        </w:rPr>
        <w:t>ión en su séptima reunión. Ese </w:t>
      </w:r>
      <w:r>
        <w:rPr>
          <w:lang w:val="es-ES"/>
        </w:rPr>
        <w:t>proyecto de orientaci</w:t>
      </w:r>
      <w:r w:rsidR="009E0BD8">
        <w:rPr>
          <w:lang w:val="es-ES"/>
        </w:rPr>
        <w:t>ones</w:t>
      </w:r>
      <w:r>
        <w:rPr>
          <w:lang w:val="es-ES"/>
        </w:rPr>
        <w:t xml:space="preserve"> </w:t>
      </w:r>
      <w:r w:rsidR="00E974BF">
        <w:rPr>
          <w:lang w:val="es-ES"/>
        </w:rPr>
        <w:t xml:space="preserve">se reproduce en adiciones de </w:t>
      </w:r>
      <w:r>
        <w:rPr>
          <w:lang w:val="es-ES"/>
        </w:rPr>
        <w:t>documentos</w:t>
      </w:r>
      <w:r w:rsidR="00F0508A">
        <w:rPr>
          <w:lang w:val="es-ES"/>
        </w:rPr>
        <w:t>, según se indica a </w:t>
      </w:r>
      <w:r>
        <w:rPr>
          <w:lang w:val="es-ES"/>
        </w:rPr>
        <w:t>continuación:</w:t>
      </w:r>
    </w:p>
    <w:p w:rsidR="00F47030" w:rsidRPr="00102740" w:rsidRDefault="00E974BF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 xml:space="preserve">Proyecto de </w:t>
      </w:r>
      <w:r w:rsidR="00F47030">
        <w:rPr>
          <w:lang w:val="es-ES"/>
        </w:rPr>
        <w:t xml:space="preserve">orientación sobre las mejores técnicas disponibles y las mejores prácticas ambientales se </w:t>
      </w:r>
      <w:r w:rsidR="00EA6716">
        <w:rPr>
          <w:lang w:val="es-ES"/>
        </w:rPr>
        <w:t>reproduce</w:t>
      </w:r>
      <w:r w:rsidR="007D3C47">
        <w:rPr>
          <w:lang w:val="es-ES"/>
        </w:rPr>
        <w:t xml:space="preserve"> </w:t>
      </w:r>
      <w:r w:rsidR="00F47030">
        <w:rPr>
          <w:lang w:val="es-ES"/>
        </w:rPr>
        <w:t xml:space="preserve">en </w:t>
      </w:r>
      <w:r w:rsidR="00DE2799">
        <w:rPr>
          <w:lang w:val="es-ES"/>
        </w:rPr>
        <w:t>el documento UNEP(DTIE)/Hg/INC.</w:t>
      </w:r>
      <w:r w:rsidR="00F47030">
        <w:rPr>
          <w:lang w:val="es-ES"/>
        </w:rPr>
        <w:t>7/6/Add.1;</w:t>
      </w:r>
    </w:p>
    <w:p w:rsidR="00F47030" w:rsidRPr="007D3C47" w:rsidRDefault="00E974BF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spacing w:val="-2"/>
          <w:lang w:val="es-ES"/>
        </w:rPr>
      </w:pPr>
      <w:r>
        <w:rPr>
          <w:lang w:val="es-ES"/>
        </w:rPr>
        <w:t>Proyecto de</w:t>
      </w:r>
      <w:r w:rsidR="00F47030" w:rsidRPr="007D3C47">
        <w:rPr>
          <w:spacing w:val="-2"/>
          <w:lang w:val="es-ES"/>
        </w:rPr>
        <w:t xml:space="preserve"> orientación sobre </w:t>
      </w:r>
      <w:r w:rsidR="00EA6716" w:rsidRPr="007D3C47">
        <w:rPr>
          <w:spacing w:val="-2"/>
          <w:lang w:val="es-ES"/>
        </w:rPr>
        <w:t>la prestación de</w:t>
      </w:r>
      <w:r w:rsidR="00F47030" w:rsidRPr="007D3C47">
        <w:rPr>
          <w:spacing w:val="-2"/>
          <w:lang w:val="es-ES"/>
        </w:rPr>
        <w:t xml:space="preserve"> apoyo a las Partes en la aplicación de las medidas establecidas en el párrafo 5 del mismo artículo </w:t>
      </w:r>
      <w:r w:rsidR="00EA6716" w:rsidRPr="007D3C47">
        <w:rPr>
          <w:spacing w:val="-2"/>
          <w:lang w:val="es-ES"/>
        </w:rPr>
        <w:t>figura</w:t>
      </w:r>
      <w:r w:rsidR="007D3C47" w:rsidRPr="007D3C47">
        <w:rPr>
          <w:spacing w:val="-2"/>
          <w:lang w:val="es-ES"/>
        </w:rPr>
        <w:t xml:space="preserve"> </w:t>
      </w:r>
      <w:r w:rsidR="00F47030" w:rsidRPr="007D3C47">
        <w:rPr>
          <w:spacing w:val="-2"/>
          <w:lang w:val="es-ES"/>
        </w:rPr>
        <w:t>en el documento UNEP(DTIE)/Hg/INC.7/6/Add.2;</w:t>
      </w:r>
    </w:p>
    <w:p w:rsidR="00F47030" w:rsidRDefault="00E974BF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>Proyecto de</w:t>
      </w:r>
      <w:r w:rsidR="00F47030">
        <w:rPr>
          <w:lang w:val="es-ES"/>
        </w:rPr>
        <w:t xml:space="preserve"> orientación sobre los criterios que las Partes pueden e</w:t>
      </w:r>
      <w:r w:rsidR="00EA6716">
        <w:rPr>
          <w:lang w:val="es-ES"/>
        </w:rPr>
        <w:t>stablecer</w:t>
      </w:r>
      <w:r w:rsidR="00F47030">
        <w:rPr>
          <w:lang w:val="es-ES"/>
        </w:rPr>
        <w:t xml:space="preserve"> con arreglo al párrafo</w:t>
      </w:r>
      <w:r w:rsidR="00DE2799">
        <w:rPr>
          <w:lang w:val="es-ES"/>
        </w:rPr>
        <w:t xml:space="preserve"> 2 b) del artículo </w:t>
      </w:r>
      <w:r w:rsidR="00EA6716">
        <w:rPr>
          <w:lang w:val="es-ES"/>
        </w:rPr>
        <w:t>se reproduce</w:t>
      </w:r>
      <w:r w:rsidR="00DE2799">
        <w:rPr>
          <w:lang w:val="es-ES"/>
        </w:rPr>
        <w:t xml:space="preserve"> </w:t>
      </w:r>
      <w:r w:rsidR="00F47030">
        <w:rPr>
          <w:lang w:val="es-ES"/>
        </w:rPr>
        <w:t xml:space="preserve">en </w:t>
      </w:r>
      <w:r w:rsidR="00DE2799">
        <w:rPr>
          <w:lang w:val="es-ES"/>
        </w:rPr>
        <w:t>el documento UNEP(DTIE)/Hg/INC.</w:t>
      </w:r>
      <w:r w:rsidR="00F47030">
        <w:rPr>
          <w:lang w:val="es-ES"/>
        </w:rPr>
        <w:t>7/6/Add.3;</w:t>
      </w:r>
    </w:p>
    <w:p w:rsidR="00F47030" w:rsidRPr="00102740" w:rsidRDefault="00E974BF" w:rsidP="00C67D46">
      <w:pPr>
        <w:pStyle w:val="Normalnumber"/>
        <w:numPr>
          <w:ilvl w:val="1"/>
          <w:numId w:val="4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textDirection w:val="tbLrV"/>
        <w:rPr>
          <w:lang w:val="es-ES"/>
        </w:rPr>
      </w:pPr>
      <w:r>
        <w:rPr>
          <w:lang w:val="es-ES"/>
        </w:rPr>
        <w:t xml:space="preserve">Proyecto de </w:t>
      </w:r>
      <w:r w:rsidR="00F47030">
        <w:rPr>
          <w:lang w:val="es-ES"/>
        </w:rPr>
        <w:t xml:space="preserve">orientación sobre la metodología </w:t>
      </w:r>
      <w:r w:rsidR="00EA6716">
        <w:rPr>
          <w:lang w:val="es-ES"/>
        </w:rPr>
        <w:t>para la</w:t>
      </w:r>
      <w:r w:rsidR="007D3C47">
        <w:rPr>
          <w:lang w:val="es-ES"/>
        </w:rPr>
        <w:t xml:space="preserve"> </w:t>
      </w:r>
      <w:r w:rsidR="00F47030">
        <w:rPr>
          <w:lang w:val="es-ES"/>
        </w:rPr>
        <w:t xml:space="preserve">preparación de inventarios de emisiones </w:t>
      </w:r>
      <w:r w:rsidR="00EA6716">
        <w:rPr>
          <w:lang w:val="es-ES"/>
        </w:rPr>
        <w:t>figura</w:t>
      </w:r>
      <w:r w:rsidR="00F47030">
        <w:rPr>
          <w:lang w:val="es-ES"/>
        </w:rPr>
        <w:t xml:space="preserve"> en el documento UNEP(DTIE)/Hg/INC.7/6/Add.4.</w:t>
      </w:r>
    </w:p>
    <w:p w:rsidR="00F47030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"/>
        </w:rPr>
      </w:pPr>
      <w:r>
        <w:rPr>
          <w:lang w:val="es-ES"/>
        </w:rPr>
        <w:t xml:space="preserve">Al examinar la orientación </w:t>
      </w:r>
      <w:r w:rsidR="00EA6716">
        <w:rPr>
          <w:lang w:val="es-ES"/>
        </w:rPr>
        <w:t xml:space="preserve">que se pide </w:t>
      </w:r>
      <w:r>
        <w:rPr>
          <w:lang w:val="es-ES"/>
        </w:rPr>
        <w:t xml:space="preserve">de conformidad con el párrafo 8 b) del artículo 8, el grupo de expertos limitó sus </w:t>
      </w:r>
      <w:r w:rsidR="00945403">
        <w:rPr>
          <w:lang w:val="es-ES"/>
        </w:rPr>
        <w:t>exámenes</w:t>
      </w:r>
      <w:r w:rsidR="00EA6716">
        <w:rPr>
          <w:lang w:val="es-ES"/>
        </w:rPr>
        <w:t xml:space="preserve"> </w:t>
      </w:r>
      <w:r>
        <w:rPr>
          <w:lang w:val="es-ES"/>
        </w:rPr>
        <w:t xml:space="preserve">a los aspectos técnicos de esa orientación. Reconoció que el Comité tal vez desee considerar la posibilidad de elaborar orientaciones adicionales sobre otros aspectos </w:t>
      </w:r>
      <w:r w:rsidR="00EA6716">
        <w:rPr>
          <w:lang w:val="es-ES"/>
        </w:rPr>
        <w:t xml:space="preserve">relativos a la prestación </w:t>
      </w:r>
      <w:r>
        <w:rPr>
          <w:lang w:val="es-ES"/>
        </w:rPr>
        <w:t xml:space="preserve">de apoyo a las Partes a la hora de aplicar medidas relativas a las fuentes existentes, de conformidad con el artículo 8; sin embargo, consideró que </w:t>
      </w:r>
      <w:r w:rsidR="00EA6716">
        <w:rPr>
          <w:lang w:val="es-ES"/>
        </w:rPr>
        <w:t xml:space="preserve">esa orientación adicional quedaba fuera del </w:t>
      </w:r>
      <w:r w:rsidR="007D3C47">
        <w:rPr>
          <w:lang w:val="es-ES"/>
        </w:rPr>
        <w:t>ámbito</w:t>
      </w:r>
      <w:r w:rsidR="00EA6716">
        <w:rPr>
          <w:lang w:val="es-ES"/>
        </w:rPr>
        <w:t xml:space="preserve"> de </w:t>
      </w:r>
      <w:r>
        <w:rPr>
          <w:lang w:val="es-ES"/>
        </w:rPr>
        <w:t>los conocimientos e</w:t>
      </w:r>
      <w:r w:rsidR="00EA6716">
        <w:rPr>
          <w:lang w:val="es-ES"/>
        </w:rPr>
        <w:t>specializados</w:t>
      </w:r>
      <w:r>
        <w:rPr>
          <w:lang w:val="es-ES"/>
        </w:rPr>
        <w:t xml:space="preserve"> del </w:t>
      </w:r>
      <w:r w:rsidR="00DE2799">
        <w:rPr>
          <w:lang w:val="es-ES"/>
        </w:rPr>
        <w:t>g</w:t>
      </w:r>
      <w:r>
        <w:rPr>
          <w:lang w:val="es-ES"/>
        </w:rPr>
        <w:t>rupo. Por lo tanto, la orientaci</w:t>
      </w:r>
      <w:r w:rsidR="00EA6716">
        <w:rPr>
          <w:lang w:val="es-ES"/>
        </w:rPr>
        <w:t>ón que figura</w:t>
      </w:r>
      <w:r>
        <w:rPr>
          <w:lang w:val="es-ES"/>
        </w:rPr>
        <w:t xml:space="preserve"> en el documento UNEP(DTIE)/Hg/INC.7/6/Add.</w:t>
      </w:r>
      <w:r w:rsidR="00945403">
        <w:rPr>
          <w:lang w:val="es-ES"/>
        </w:rPr>
        <w:t>2</w:t>
      </w:r>
      <w:r>
        <w:rPr>
          <w:lang w:val="es-ES"/>
        </w:rPr>
        <w:t xml:space="preserve"> </w:t>
      </w:r>
      <w:r w:rsidR="00EA6716">
        <w:rPr>
          <w:lang w:val="es-ES"/>
        </w:rPr>
        <w:t>aborda</w:t>
      </w:r>
      <w:r>
        <w:rPr>
          <w:lang w:val="es-ES"/>
        </w:rPr>
        <w:t xml:space="preserve"> solo orientaciones de carácter técnico.</w:t>
      </w:r>
    </w:p>
    <w:p w:rsidR="00F47030" w:rsidRPr="00DE2799" w:rsidRDefault="00F47030" w:rsidP="00C67D4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textDirection w:val="tbLrV"/>
        <w:rPr>
          <w:lang w:val="es-ES_tradnl"/>
        </w:rPr>
      </w:pPr>
      <w:r>
        <w:rPr>
          <w:lang w:val="es-ES"/>
        </w:rPr>
        <w:t xml:space="preserve">El Comité tal vez desee acoger con beneplácito el proyecto de orientación sobre las mejores técnicas disponibles y las mejores prácticas ambientales descritas, así como los restantes documentos de orientación, a fin de aprobarlos con carácter provisional y presentarlos ante la Conferencia de las Partes para que </w:t>
      </w:r>
      <w:r w:rsidR="00A82DCD">
        <w:rPr>
          <w:lang w:val="es-ES"/>
        </w:rPr>
        <w:t>esta los apruebe</w:t>
      </w:r>
      <w:r>
        <w:rPr>
          <w:lang w:val="es-ES"/>
        </w:rPr>
        <w:t xml:space="preserve"> en su primer</w:t>
      </w:r>
      <w:r w:rsidR="00E974BF">
        <w:rPr>
          <w:lang w:val="es-ES"/>
        </w:rPr>
        <w:t xml:space="preserve"> período de sesiones</w:t>
      </w:r>
      <w:r>
        <w:rPr>
          <w:lang w:val="es-ES"/>
        </w:rPr>
        <w:t xml:space="preserve">. </w:t>
      </w:r>
      <w:r w:rsidR="00DE2799" w:rsidRPr="00DE2799">
        <w:rPr>
          <w:lang w:val="es-ES_tradnl"/>
        </w:rPr>
        <w:t>Ese examen y aprobación provisional</w:t>
      </w:r>
      <w:r w:rsidR="00A82DCD">
        <w:rPr>
          <w:lang w:val="es-ES_tradnl"/>
        </w:rPr>
        <w:t>es</w:t>
      </w:r>
      <w:r w:rsidR="00DE2799" w:rsidRPr="00DE2799">
        <w:rPr>
          <w:lang w:val="es-ES_tradnl"/>
        </w:rPr>
        <w:t xml:space="preserve"> permitiría </w:t>
      </w:r>
      <w:r w:rsidR="00CB52E5">
        <w:rPr>
          <w:lang w:val="es-ES_tradnl"/>
        </w:rPr>
        <w:t>a</w:t>
      </w:r>
      <w:r w:rsidR="00DE2799" w:rsidRPr="00DE2799">
        <w:rPr>
          <w:lang w:val="es-ES_tradnl"/>
        </w:rPr>
        <w:t xml:space="preserve"> las Partes y los países </w:t>
      </w:r>
      <w:r w:rsidR="00A82DCD">
        <w:rPr>
          <w:lang w:val="es-ES_tradnl"/>
        </w:rPr>
        <w:t>hacer uso de esos documentos</w:t>
      </w:r>
      <w:r w:rsidR="007D3C47">
        <w:rPr>
          <w:lang w:val="es-ES_tradnl"/>
        </w:rPr>
        <w:t xml:space="preserve"> </w:t>
      </w:r>
      <w:r w:rsidR="00A82DCD">
        <w:rPr>
          <w:lang w:val="es-ES_tradnl"/>
        </w:rPr>
        <w:t>durante</w:t>
      </w:r>
      <w:r w:rsidR="007D3C47">
        <w:rPr>
          <w:lang w:val="es-ES_tradnl"/>
        </w:rPr>
        <w:t xml:space="preserve"> </w:t>
      </w:r>
      <w:r w:rsidR="00DE2799" w:rsidRPr="00DE2799">
        <w:rPr>
          <w:lang w:val="es-ES_tradnl"/>
        </w:rPr>
        <w:t xml:space="preserve">el período de transición </w:t>
      </w:r>
      <w:r w:rsidR="00A82DCD">
        <w:rPr>
          <w:lang w:val="es-ES_tradnl"/>
        </w:rPr>
        <w:t>al emprender</w:t>
      </w:r>
      <w:r w:rsidR="007D3C47">
        <w:rPr>
          <w:lang w:val="es-ES_tradnl"/>
        </w:rPr>
        <w:t xml:space="preserve"> </w:t>
      </w:r>
      <w:r w:rsidR="00A82DCD">
        <w:rPr>
          <w:lang w:val="es-ES_tradnl"/>
        </w:rPr>
        <w:t>las</w:t>
      </w:r>
      <w:r w:rsidR="007D3C47">
        <w:rPr>
          <w:lang w:val="es-ES_tradnl"/>
        </w:rPr>
        <w:t xml:space="preserve"> </w:t>
      </w:r>
      <w:r w:rsidR="00DE2799" w:rsidRPr="00DE2799">
        <w:rPr>
          <w:lang w:val="es-ES_tradnl"/>
        </w:rPr>
        <w:t>actividades</w:t>
      </w:r>
      <w:r w:rsidR="007D3C47">
        <w:rPr>
          <w:lang w:val="es-ES_tradnl"/>
        </w:rPr>
        <w:t xml:space="preserve"> </w:t>
      </w:r>
      <w:r w:rsidR="00DE2799" w:rsidRPr="00DE2799">
        <w:rPr>
          <w:lang w:val="es-ES_tradnl"/>
        </w:rPr>
        <w:t>relacionadas con el artículo 8 del Convenio.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9F2835" w:rsidTr="00990918">
        <w:tc>
          <w:tcPr>
            <w:tcW w:w="1942" w:type="dxa"/>
            <w:shd w:val="clear" w:color="auto" w:fill="auto"/>
          </w:tcPr>
          <w:p w:rsidR="00E976AB" w:rsidRPr="00DE2799" w:rsidRDefault="00E976AB" w:rsidP="00990918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:rsidR="00E976AB" w:rsidRPr="00DE2799" w:rsidRDefault="00E976AB" w:rsidP="00990918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E976AB" w:rsidRPr="00DE2799" w:rsidRDefault="00E976AB" w:rsidP="00990918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:rsidR="00E976AB" w:rsidRPr="00DE2799" w:rsidRDefault="00E976AB" w:rsidP="00990918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:rsidR="00E976AB" w:rsidRPr="00DE2799" w:rsidRDefault="00E976AB" w:rsidP="00990918">
            <w:pPr>
              <w:pStyle w:val="Normal-pool"/>
              <w:spacing w:before="520"/>
              <w:rPr>
                <w:lang w:val="es-ES_tradnl"/>
              </w:rPr>
            </w:pPr>
          </w:p>
        </w:tc>
      </w:tr>
    </w:tbl>
    <w:p w:rsidR="00032E4E" w:rsidRPr="00DE2799" w:rsidRDefault="00032E4E" w:rsidP="00032E4E">
      <w:pPr>
        <w:pStyle w:val="Normal-pool"/>
        <w:rPr>
          <w:lang w:val="es-ES_tradnl"/>
        </w:rPr>
      </w:pPr>
    </w:p>
    <w:sectPr w:rsidR="00032E4E" w:rsidRPr="00DE2799" w:rsidSect="00E976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20" w:rsidRDefault="00C84620">
      <w:r>
        <w:separator/>
      </w:r>
    </w:p>
  </w:endnote>
  <w:endnote w:type="continuationSeparator" w:id="0">
    <w:p w:rsidR="00C84620" w:rsidRDefault="00C8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0" w:rsidRDefault="00C8462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56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0" w:rsidRDefault="00C84620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0" w:rsidRDefault="00C84620">
    <w:pPr>
      <w:pStyle w:val="Footer"/>
      <w:textDirection w:val="tbLrV"/>
      <w:rPr>
        <w:lang w:val="es-ES"/>
      </w:rPr>
    </w:pPr>
    <w:r>
      <w:rPr>
        <w:lang w:val="es-ES"/>
      </w:rPr>
      <w:t>K1503414</w:t>
    </w:r>
    <w:r>
      <w:rPr>
        <w:lang w:val="es-ES"/>
      </w:rPr>
      <w:tab/>
      <w:t>2</w:t>
    </w:r>
    <w:r w:rsidR="009F2835">
      <w:rPr>
        <w:lang w:val="es-ES"/>
      </w:rPr>
      <w:t>4</w:t>
    </w:r>
    <w:r>
      <w:rPr>
        <w:lang w:val="es-ES"/>
      </w:rPr>
      <w:t>1115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20" w:rsidRDefault="00C84620" w:rsidP="00C67D4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</w:pPr>
      <w:r>
        <w:separator/>
      </w:r>
    </w:p>
  </w:footnote>
  <w:footnote w:type="continuationSeparator" w:id="0">
    <w:p w:rsidR="00C84620" w:rsidRDefault="00C84620">
      <w:r>
        <w:continuationSeparator/>
      </w:r>
    </w:p>
  </w:footnote>
  <w:footnote w:id="1">
    <w:p w:rsidR="00C84620" w:rsidRPr="000A726C" w:rsidRDefault="00C84620" w:rsidP="00C1724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textDirection w:val="tbLrV"/>
        <w:rPr>
          <w:lang w:val="es-ES"/>
        </w:rPr>
      </w:pPr>
      <w:r>
        <w:rPr>
          <w:lang w:val="es-ES"/>
        </w:rPr>
        <w:t>* UNEP(DTIE)/Hg/INC.7/1.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0" w:rsidRPr="00CA5CA9" w:rsidRDefault="00C84620" w:rsidP="00C67D46">
    <w:pPr>
      <w:pStyle w:val="Header"/>
      <w:tabs>
        <w:tab w:val="clear" w:pos="1247"/>
        <w:tab w:val="clear" w:pos="4536"/>
        <w:tab w:val="clear" w:pos="9072"/>
        <w:tab w:val="left" w:pos="624"/>
      </w:tabs>
      <w:textDirection w:val="tbLrV"/>
      <w:rPr>
        <w:lang w:val="es-ES"/>
      </w:rPr>
    </w:pPr>
    <w:r>
      <w:rPr>
        <w:lang w:val="es-ES"/>
      </w:rPr>
      <w:t>UNEP(DTIE)/Hg/INC.7/6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0" w:rsidRPr="00CA5CA9" w:rsidRDefault="00EF0562" w:rsidP="00035EDE">
    <w:pPr>
      <w:pStyle w:val="Header"/>
      <w:jc w:val="right"/>
      <w:textDirection w:val="tbLrV"/>
      <w:rPr>
        <w:lang w:val="es-ES"/>
      </w:rPr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1053" o:spid="_x0000_s2051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C84620">
      <w:rPr>
        <w:lang w:val="es-ES"/>
      </w:rPr>
      <w:t>UNEP(DTIE)/Hg/INC.7/6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20" w:rsidRDefault="00C84620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A66A9D"/>
    <w:multiLevelType w:val="multilevel"/>
    <w:tmpl w:val="C25E34A4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>
    <w:nsid w:val="62291BF8"/>
    <w:multiLevelType w:val="multilevel"/>
    <w:tmpl w:val="C25E34A4"/>
    <w:numStyleLink w:val="Normallis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"/>
  </w:num>
  <w:num w:numId="36">
    <w:abstractNumId w:val="3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D"/>
    <w:rsid w:val="00000E4A"/>
    <w:rsid w:val="00003E42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71886"/>
    <w:rsid w:val="000742BC"/>
    <w:rsid w:val="00076CC6"/>
    <w:rsid w:val="00082A0C"/>
    <w:rsid w:val="00083504"/>
    <w:rsid w:val="0009640C"/>
    <w:rsid w:val="000B22A2"/>
    <w:rsid w:val="000B73F9"/>
    <w:rsid w:val="000C2A52"/>
    <w:rsid w:val="000D33C0"/>
    <w:rsid w:val="000D6941"/>
    <w:rsid w:val="001140FD"/>
    <w:rsid w:val="001202E3"/>
    <w:rsid w:val="00123699"/>
    <w:rsid w:val="001241FB"/>
    <w:rsid w:val="0013059D"/>
    <w:rsid w:val="00141A55"/>
    <w:rsid w:val="0014293F"/>
    <w:rsid w:val="0014397D"/>
    <w:rsid w:val="001441F0"/>
    <w:rsid w:val="001446A3"/>
    <w:rsid w:val="00155395"/>
    <w:rsid w:val="00156B6B"/>
    <w:rsid w:val="00160D74"/>
    <w:rsid w:val="00167C74"/>
    <w:rsid w:val="00167D02"/>
    <w:rsid w:val="00180C3F"/>
    <w:rsid w:val="00181EC8"/>
    <w:rsid w:val="00184349"/>
    <w:rsid w:val="00195F33"/>
    <w:rsid w:val="00197D56"/>
    <w:rsid w:val="001A4AEB"/>
    <w:rsid w:val="001B1617"/>
    <w:rsid w:val="001B504B"/>
    <w:rsid w:val="001D3874"/>
    <w:rsid w:val="001D7E75"/>
    <w:rsid w:val="001E0D73"/>
    <w:rsid w:val="001E56D2"/>
    <w:rsid w:val="001E7D56"/>
    <w:rsid w:val="001F75DE"/>
    <w:rsid w:val="00200D58"/>
    <w:rsid w:val="002013BE"/>
    <w:rsid w:val="00201EDC"/>
    <w:rsid w:val="002063A4"/>
    <w:rsid w:val="0021145B"/>
    <w:rsid w:val="00220C23"/>
    <w:rsid w:val="00243D36"/>
    <w:rsid w:val="00247707"/>
    <w:rsid w:val="0026018E"/>
    <w:rsid w:val="00266CB7"/>
    <w:rsid w:val="00286740"/>
    <w:rsid w:val="002929D8"/>
    <w:rsid w:val="002A237D"/>
    <w:rsid w:val="002A4C53"/>
    <w:rsid w:val="002B0672"/>
    <w:rsid w:val="002B247F"/>
    <w:rsid w:val="002B50D4"/>
    <w:rsid w:val="002C145D"/>
    <w:rsid w:val="002C2C3E"/>
    <w:rsid w:val="002C533E"/>
    <w:rsid w:val="002D027F"/>
    <w:rsid w:val="002D48D4"/>
    <w:rsid w:val="002D7A85"/>
    <w:rsid w:val="002D7B60"/>
    <w:rsid w:val="002F4761"/>
    <w:rsid w:val="002F5C79"/>
    <w:rsid w:val="003019E2"/>
    <w:rsid w:val="0031413F"/>
    <w:rsid w:val="003148BB"/>
    <w:rsid w:val="00317976"/>
    <w:rsid w:val="003268AC"/>
    <w:rsid w:val="00355EA9"/>
    <w:rsid w:val="003578DE"/>
    <w:rsid w:val="00361688"/>
    <w:rsid w:val="003929B8"/>
    <w:rsid w:val="00396257"/>
    <w:rsid w:val="00397EB8"/>
    <w:rsid w:val="003A4FD0"/>
    <w:rsid w:val="003A69D1"/>
    <w:rsid w:val="003A7705"/>
    <w:rsid w:val="003A77F1"/>
    <w:rsid w:val="003B1545"/>
    <w:rsid w:val="003B74DB"/>
    <w:rsid w:val="003C3219"/>
    <w:rsid w:val="003C409D"/>
    <w:rsid w:val="003C5BA6"/>
    <w:rsid w:val="003D3752"/>
    <w:rsid w:val="003E35DA"/>
    <w:rsid w:val="003F0E85"/>
    <w:rsid w:val="003F7BED"/>
    <w:rsid w:val="00410C55"/>
    <w:rsid w:val="00416854"/>
    <w:rsid w:val="00417725"/>
    <w:rsid w:val="00437F26"/>
    <w:rsid w:val="00444097"/>
    <w:rsid w:val="00445487"/>
    <w:rsid w:val="00447E0D"/>
    <w:rsid w:val="00454769"/>
    <w:rsid w:val="00466991"/>
    <w:rsid w:val="0047064C"/>
    <w:rsid w:val="0049469E"/>
    <w:rsid w:val="004A42E1"/>
    <w:rsid w:val="004B162C"/>
    <w:rsid w:val="004B2ABE"/>
    <w:rsid w:val="004C3B5F"/>
    <w:rsid w:val="004C3DBE"/>
    <w:rsid w:val="004C5C96"/>
    <w:rsid w:val="004D06A4"/>
    <w:rsid w:val="004F1A81"/>
    <w:rsid w:val="005218D9"/>
    <w:rsid w:val="00524FDF"/>
    <w:rsid w:val="00536186"/>
    <w:rsid w:val="00544CBB"/>
    <w:rsid w:val="00553926"/>
    <w:rsid w:val="005656D7"/>
    <w:rsid w:val="0057315F"/>
    <w:rsid w:val="00576104"/>
    <w:rsid w:val="005938D7"/>
    <w:rsid w:val="005B44BF"/>
    <w:rsid w:val="005C67C8"/>
    <w:rsid w:val="005D0249"/>
    <w:rsid w:val="005D18FA"/>
    <w:rsid w:val="005D4FD4"/>
    <w:rsid w:val="005D6E8C"/>
    <w:rsid w:val="005F100C"/>
    <w:rsid w:val="005F68DA"/>
    <w:rsid w:val="006012F0"/>
    <w:rsid w:val="0060773B"/>
    <w:rsid w:val="00610860"/>
    <w:rsid w:val="006157B5"/>
    <w:rsid w:val="00626FC6"/>
    <w:rsid w:val="006303B4"/>
    <w:rsid w:val="00630ADC"/>
    <w:rsid w:val="00633D3D"/>
    <w:rsid w:val="00641703"/>
    <w:rsid w:val="006431A6"/>
    <w:rsid w:val="006459F6"/>
    <w:rsid w:val="006501AD"/>
    <w:rsid w:val="00651BFA"/>
    <w:rsid w:val="00654475"/>
    <w:rsid w:val="00665A4B"/>
    <w:rsid w:val="00692E2A"/>
    <w:rsid w:val="006A76F2"/>
    <w:rsid w:val="006D19D4"/>
    <w:rsid w:val="006D7EFB"/>
    <w:rsid w:val="006E6672"/>
    <w:rsid w:val="006E6722"/>
    <w:rsid w:val="007027B9"/>
    <w:rsid w:val="007145DA"/>
    <w:rsid w:val="00715E88"/>
    <w:rsid w:val="00734CAA"/>
    <w:rsid w:val="00742680"/>
    <w:rsid w:val="0075533C"/>
    <w:rsid w:val="00757581"/>
    <w:rsid w:val="007602F5"/>
    <w:rsid w:val="00760D36"/>
    <w:rsid w:val="007611A0"/>
    <w:rsid w:val="007935E6"/>
    <w:rsid w:val="00796D3F"/>
    <w:rsid w:val="007A1683"/>
    <w:rsid w:val="007A5C12"/>
    <w:rsid w:val="007A7CB0"/>
    <w:rsid w:val="007B68A3"/>
    <w:rsid w:val="007C2541"/>
    <w:rsid w:val="007D3C47"/>
    <w:rsid w:val="007D66A8"/>
    <w:rsid w:val="007E003F"/>
    <w:rsid w:val="007F0CF8"/>
    <w:rsid w:val="007F62CB"/>
    <w:rsid w:val="008142EC"/>
    <w:rsid w:val="008164F2"/>
    <w:rsid w:val="00821395"/>
    <w:rsid w:val="0082697B"/>
    <w:rsid w:val="00830E26"/>
    <w:rsid w:val="00832018"/>
    <w:rsid w:val="00843576"/>
    <w:rsid w:val="00843B64"/>
    <w:rsid w:val="008478FC"/>
    <w:rsid w:val="00851C51"/>
    <w:rsid w:val="00863EC7"/>
    <w:rsid w:val="00867BFF"/>
    <w:rsid w:val="00871542"/>
    <w:rsid w:val="00872BF6"/>
    <w:rsid w:val="0087666A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D0DB6"/>
    <w:rsid w:val="008D7C99"/>
    <w:rsid w:val="008E0FCB"/>
    <w:rsid w:val="008E31EE"/>
    <w:rsid w:val="008F6DFE"/>
    <w:rsid w:val="0092178C"/>
    <w:rsid w:val="00930B88"/>
    <w:rsid w:val="00936726"/>
    <w:rsid w:val="00940DCC"/>
    <w:rsid w:val="0094179A"/>
    <w:rsid w:val="0094459E"/>
    <w:rsid w:val="00944DBC"/>
    <w:rsid w:val="00945403"/>
    <w:rsid w:val="00950977"/>
    <w:rsid w:val="00951A7B"/>
    <w:rsid w:val="009564A6"/>
    <w:rsid w:val="00965015"/>
    <w:rsid w:val="00967621"/>
    <w:rsid w:val="00967E6A"/>
    <w:rsid w:val="00990918"/>
    <w:rsid w:val="009B4A0F"/>
    <w:rsid w:val="009C11D2"/>
    <w:rsid w:val="009C6C70"/>
    <w:rsid w:val="009C7B0A"/>
    <w:rsid w:val="009D0B63"/>
    <w:rsid w:val="009D5CB8"/>
    <w:rsid w:val="009E0BD8"/>
    <w:rsid w:val="009E307E"/>
    <w:rsid w:val="009F2835"/>
    <w:rsid w:val="00A01916"/>
    <w:rsid w:val="00A07870"/>
    <w:rsid w:val="00A07C54"/>
    <w:rsid w:val="00A07F19"/>
    <w:rsid w:val="00A1348D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2DCD"/>
    <w:rsid w:val="00AB5340"/>
    <w:rsid w:val="00AC0A89"/>
    <w:rsid w:val="00AC370D"/>
    <w:rsid w:val="00AC7C96"/>
    <w:rsid w:val="00AE237D"/>
    <w:rsid w:val="00AE502A"/>
    <w:rsid w:val="00AF2C1F"/>
    <w:rsid w:val="00AF7C07"/>
    <w:rsid w:val="00B06C64"/>
    <w:rsid w:val="00B11CAC"/>
    <w:rsid w:val="00B22C93"/>
    <w:rsid w:val="00B27589"/>
    <w:rsid w:val="00B405B7"/>
    <w:rsid w:val="00B52222"/>
    <w:rsid w:val="00B531DA"/>
    <w:rsid w:val="00B54895"/>
    <w:rsid w:val="00B54FE7"/>
    <w:rsid w:val="00B647C6"/>
    <w:rsid w:val="00B66901"/>
    <w:rsid w:val="00B71E6D"/>
    <w:rsid w:val="00B72070"/>
    <w:rsid w:val="00B779E1"/>
    <w:rsid w:val="00B912F3"/>
    <w:rsid w:val="00B91EE1"/>
    <w:rsid w:val="00BA0090"/>
    <w:rsid w:val="00BA1A67"/>
    <w:rsid w:val="00BE5B5F"/>
    <w:rsid w:val="00BE6FA7"/>
    <w:rsid w:val="00C17249"/>
    <w:rsid w:val="00C225F8"/>
    <w:rsid w:val="00C26F55"/>
    <w:rsid w:val="00C30C63"/>
    <w:rsid w:val="00C36B8B"/>
    <w:rsid w:val="00C415C1"/>
    <w:rsid w:val="00C47DBF"/>
    <w:rsid w:val="00C552FF"/>
    <w:rsid w:val="00C558DA"/>
    <w:rsid w:val="00C55AF3"/>
    <w:rsid w:val="00C61FD5"/>
    <w:rsid w:val="00C67D46"/>
    <w:rsid w:val="00C84620"/>
    <w:rsid w:val="00C84759"/>
    <w:rsid w:val="00CA1FE8"/>
    <w:rsid w:val="00CA5CA9"/>
    <w:rsid w:val="00CA6C7F"/>
    <w:rsid w:val="00CB52E5"/>
    <w:rsid w:val="00CC10A6"/>
    <w:rsid w:val="00CD5EB8"/>
    <w:rsid w:val="00CD7044"/>
    <w:rsid w:val="00CE08B9"/>
    <w:rsid w:val="00CE524C"/>
    <w:rsid w:val="00CE597A"/>
    <w:rsid w:val="00CF141F"/>
    <w:rsid w:val="00CF4777"/>
    <w:rsid w:val="00D067BB"/>
    <w:rsid w:val="00D1352A"/>
    <w:rsid w:val="00D169AF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46FF"/>
    <w:rsid w:val="00DC5254"/>
    <w:rsid w:val="00DC569D"/>
    <w:rsid w:val="00DC5973"/>
    <w:rsid w:val="00DD1A4F"/>
    <w:rsid w:val="00DD3107"/>
    <w:rsid w:val="00DD3DD2"/>
    <w:rsid w:val="00DD40FE"/>
    <w:rsid w:val="00DD7C2C"/>
    <w:rsid w:val="00DE2799"/>
    <w:rsid w:val="00E0035A"/>
    <w:rsid w:val="00E06797"/>
    <w:rsid w:val="00E1265B"/>
    <w:rsid w:val="00E13B48"/>
    <w:rsid w:val="00E1404F"/>
    <w:rsid w:val="00E21C83"/>
    <w:rsid w:val="00E24ADA"/>
    <w:rsid w:val="00E32F59"/>
    <w:rsid w:val="00E430CF"/>
    <w:rsid w:val="00E46D9A"/>
    <w:rsid w:val="00E565FF"/>
    <w:rsid w:val="00E65388"/>
    <w:rsid w:val="00E85B7D"/>
    <w:rsid w:val="00E9121B"/>
    <w:rsid w:val="00E974BF"/>
    <w:rsid w:val="00E976AB"/>
    <w:rsid w:val="00E97904"/>
    <w:rsid w:val="00EA0AE2"/>
    <w:rsid w:val="00EA1BCD"/>
    <w:rsid w:val="00EA39E5"/>
    <w:rsid w:val="00EA6716"/>
    <w:rsid w:val="00EB4D1F"/>
    <w:rsid w:val="00EC2813"/>
    <w:rsid w:val="00EC5A46"/>
    <w:rsid w:val="00EC63E2"/>
    <w:rsid w:val="00ED366A"/>
    <w:rsid w:val="00ED77E9"/>
    <w:rsid w:val="00EF0562"/>
    <w:rsid w:val="00EF22B3"/>
    <w:rsid w:val="00F03B69"/>
    <w:rsid w:val="00F0508A"/>
    <w:rsid w:val="00F07A50"/>
    <w:rsid w:val="00F113DA"/>
    <w:rsid w:val="00F3465A"/>
    <w:rsid w:val="00F37DC8"/>
    <w:rsid w:val="00F439B3"/>
    <w:rsid w:val="00F47030"/>
    <w:rsid w:val="00F650C3"/>
    <w:rsid w:val="00F65D85"/>
    <w:rsid w:val="00F8091E"/>
    <w:rsid w:val="00F8615C"/>
    <w:rsid w:val="00F969E5"/>
    <w:rsid w:val="00FA6BB0"/>
    <w:rsid w:val="00FA77EA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uiPriority w:val="99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3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uiPriority w:val="99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p\AppData\Local\Microsoft\Windows\Temporary%20Internet%20Files\Content.MSO\A8FD9C4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067-7F7E-49D7-91FD-3C78B168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A8FD9C45.htm</Template>
  <TotalTime>0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LOGAN</cp:lastModifiedBy>
  <cp:revision>2</cp:revision>
  <cp:lastPrinted>2015-11-23T12:43:00Z</cp:lastPrinted>
  <dcterms:created xsi:type="dcterms:W3CDTF">2015-11-25T08:01:00Z</dcterms:created>
  <dcterms:modified xsi:type="dcterms:W3CDTF">2015-11-25T08:01:00Z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11/19/2015 12:25:58 PM</vt:lpwstr>
  </property>
  <property fmtid="{D5CDD505-2E9C-101B-9397-08002B2CF9AE}" pid="5" name="OriginalDocID">
    <vt:lpwstr>509abcb8-ab6e-4a4b-bbba-3187a0f265ab</vt:lpwstr>
  </property>
</Properties>
</file>