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668"/>
        <w:gridCol w:w="4677"/>
        <w:gridCol w:w="3435"/>
      </w:tblGrid>
      <w:tr w:rsidR="00CA1653" w:rsidRPr="006A1074">
        <w:trPr>
          <w:cantSplit/>
          <w:trHeight w:val="850"/>
        </w:trPr>
        <w:tc>
          <w:tcPr>
            <w:tcW w:w="1668" w:type="dxa"/>
          </w:tcPr>
          <w:p w:rsidR="00CA1653" w:rsidRDefault="00CA1653" w:rsidP="00023DA9">
            <w:pPr>
              <w:rPr>
                <w:rFonts w:ascii="Arial" w:hAnsi="Arial" w:cs="Arial"/>
                <w:b/>
                <w:noProof/>
                <w:sz w:val="27"/>
                <w:szCs w:val="27"/>
              </w:rPr>
            </w:pPr>
            <w:bookmarkStart w:id="0" w:name="_GoBack"/>
            <w:bookmarkEnd w:id="0"/>
            <w:r>
              <w:rPr>
                <w:rFonts w:ascii="Arial" w:hAnsi="Arial" w:cs="Arial"/>
                <w:b/>
                <w:noProof/>
                <w:sz w:val="27"/>
                <w:szCs w:val="27"/>
              </w:rPr>
              <w:t>NAC</w:t>
            </w:r>
            <w:r w:rsidRPr="00C00C77">
              <w:rPr>
                <w:rFonts w:ascii="Arial" w:hAnsi="Arial" w:cs="Arial"/>
                <w:b/>
                <w:noProof/>
                <w:sz w:val="27"/>
                <w:szCs w:val="27"/>
              </w:rPr>
              <w:t>ION</w:t>
            </w:r>
            <w:r>
              <w:rPr>
                <w:rFonts w:ascii="Arial" w:hAnsi="Arial" w:cs="Arial"/>
                <w:b/>
                <w:noProof/>
                <w:sz w:val="27"/>
                <w:szCs w:val="27"/>
              </w:rPr>
              <w:t>E</w:t>
            </w:r>
            <w:r w:rsidRPr="00C00C77">
              <w:rPr>
                <w:rFonts w:ascii="Arial" w:hAnsi="Arial" w:cs="Arial"/>
                <w:b/>
                <w:noProof/>
                <w:sz w:val="27"/>
                <w:szCs w:val="27"/>
              </w:rPr>
              <w:t>S</w:t>
            </w:r>
          </w:p>
          <w:p w:rsidR="00CA1653" w:rsidRPr="006A1074" w:rsidRDefault="00CA1653" w:rsidP="00023DA9">
            <w:pPr>
              <w:rPr>
                <w:rFonts w:ascii="Univers" w:hAnsi="Univers"/>
                <w:b/>
                <w:noProof/>
                <w:sz w:val="27"/>
                <w:szCs w:val="27"/>
              </w:rPr>
            </w:pPr>
            <w:r>
              <w:rPr>
                <w:rFonts w:ascii="Arial" w:hAnsi="Arial" w:cs="Arial"/>
                <w:b/>
                <w:noProof/>
                <w:sz w:val="27"/>
                <w:szCs w:val="27"/>
              </w:rPr>
              <w:t>UNIDAS</w:t>
            </w:r>
          </w:p>
        </w:tc>
        <w:tc>
          <w:tcPr>
            <w:tcW w:w="4677" w:type="dxa"/>
          </w:tcPr>
          <w:p w:rsidR="00CA1653" w:rsidRPr="006A1074" w:rsidRDefault="00CA1653" w:rsidP="00023DA9">
            <w:pPr>
              <w:rPr>
                <w:rFonts w:ascii="Univers" w:hAnsi="Univers"/>
                <w:b/>
                <w:sz w:val="27"/>
                <w:szCs w:val="27"/>
              </w:rPr>
            </w:pPr>
          </w:p>
        </w:tc>
        <w:tc>
          <w:tcPr>
            <w:tcW w:w="3435" w:type="dxa"/>
          </w:tcPr>
          <w:p w:rsidR="00CA1653" w:rsidRPr="00C00C77" w:rsidRDefault="00CA1653" w:rsidP="00023DA9">
            <w:pPr>
              <w:jc w:val="right"/>
              <w:rPr>
                <w:rFonts w:ascii="Arial" w:hAnsi="Arial" w:cs="Arial"/>
                <w:b/>
                <w:sz w:val="64"/>
                <w:szCs w:val="64"/>
              </w:rPr>
            </w:pPr>
            <w:r w:rsidRPr="00C00C77">
              <w:rPr>
                <w:rFonts w:ascii="Arial" w:hAnsi="Arial" w:cs="Arial"/>
                <w:b/>
                <w:sz w:val="64"/>
                <w:szCs w:val="64"/>
              </w:rPr>
              <w:t>EP</w:t>
            </w:r>
          </w:p>
        </w:tc>
      </w:tr>
      <w:tr w:rsidR="00032E4E" w:rsidRPr="006A1074">
        <w:trPr>
          <w:cantSplit/>
          <w:trHeight w:val="281"/>
        </w:trPr>
        <w:tc>
          <w:tcPr>
            <w:tcW w:w="1668" w:type="dxa"/>
            <w:tcBorders>
              <w:bottom w:val="single" w:sz="4" w:space="0" w:color="auto"/>
            </w:tcBorders>
          </w:tcPr>
          <w:p w:rsidR="00032E4E" w:rsidRPr="006A1074" w:rsidRDefault="00032E4E" w:rsidP="00023DA9">
            <w:pPr>
              <w:rPr>
                <w:noProof/>
                <w:sz w:val="18"/>
                <w:szCs w:val="18"/>
              </w:rPr>
            </w:pPr>
          </w:p>
        </w:tc>
        <w:tc>
          <w:tcPr>
            <w:tcW w:w="4677" w:type="dxa"/>
            <w:tcBorders>
              <w:bottom w:val="single" w:sz="4" w:space="0" w:color="auto"/>
            </w:tcBorders>
          </w:tcPr>
          <w:p w:rsidR="00032E4E" w:rsidRPr="006A1074" w:rsidRDefault="00032E4E" w:rsidP="00023DA9">
            <w:pPr>
              <w:rPr>
                <w:rFonts w:ascii="Univers" w:hAnsi="Univers"/>
                <w:b/>
                <w:sz w:val="18"/>
                <w:szCs w:val="18"/>
              </w:rPr>
            </w:pPr>
          </w:p>
        </w:tc>
        <w:tc>
          <w:tcPr>
            <w:tcW w:w="3435" w:type="dxa"/>
            <w:tcBorders>
              <w:bottom w:val="single" w:sz="4" w:space="0" w:color="auto"/>
            </w:tcBorders>
          </w:tcPr>
          <w:p w:rsidR="00032E4E" w:rsidRPr="00CA1653" w:rsidRDefault="00CA1653" w:rsidP="005E0755">
            <w:pPr>
              <w:rPr>
                <w:noProof/>
                <w:sz w:val="20"/>
                <w:szCs w:val="18"/>
              </w:rPr>
            </w:pPr>
            <w:r w:rsidRPr="00CA1653">
              <w:rPr>
                <w:b/>
                <w:bCs/>
                <w:sz w:val="28"/>
              </w:rPr>
              <w:t>UNEP</w:t>
            </w:r>
            <w:r w:rsidRPr="00CA1653">
              <w:rPr>
                <w:sz w:val="20"/>
              </w:rPr>
              <w:t>(DTIE)/Hg/INC.7/21</w:t>
            </w:r>
            <w:bookmarkStart w:id="1" w:name="OLE_LINK1"/>
            <w:bookmarkStart w:id="2" w:name="OLE_LINK2"/>
            <w:bookmarkEnd w:id="1"/>
            <w:bookmarkEnd w:id="2"/>
          </w:p>
        </w:tc>
      </w:tr>
      <w:bookmarkStart w:id="3" w:name="_MON_1021710510"/>
      <w:bookmarkEnd w:id="3"/>
      <w:bookmarkStart w:id="4" w:name="_MON_1021710482"/>
      <w:bookmarkEnd w:id="4"/>
      <w:tr w:rsidR="00032E4E" w:rsidRPr="006A1074">
        <w:trPr>
          <w:cantSplit/>
          <w:trHeight w:val="2549"/>
        </w:trPr>
        <w:tc>
          <w:tcPr>
            <w:tcW w:w="1668" w:type="dxa"/>
            <w:tcBorders>
              <w:top w:val="single" w:sz="4" w:space="0" w:color="auto"/>
              <w:bottom w:val="single" w:sz="24" w:space="0" w:color="auto"/>
            </w:tcBorders>
          </w:tcPr>
          <w:p w:rsidR="00032E4E" w:rsidRPr="006A1074" w:rsidRDefault="00032E4E" w:rsidP="00023DA9">
            <w:pPr>
              <w:rPr>
                <w:noProof/>
              </w:rPr>
            </w:pPr>
            <w:r w:rsidRPr="006A1074">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25pt;height:60.5pt" o:ole="" fillcolor="window">
                  <v:imagedata r:id="rId10" o:title=""/>
                </v:shape>
                <o:OLEObject Type="Embed" ProgID="Word.Picture.8" ShapeID="_x0000_i1025" DrawAspect="Content" ObjectID="_1515654887" r:id="rId11"/>
              </w:object>
            </w:r>
            <w:r w:rsidR="00F271D0">
              <w:rPr>
                <w:noProof/>
                <w:lang w:eastAsia="zh-CN"/>
              </w:rPr>
              <w:drawing>
                <wp:inline distT="0" distB="0" distL="0" distR="0" wp14:anchorId="0F4428B4" wp14:editId="44DA2DF9">
                  <wp:extent cx="709930" cy="758825"/>
                  <wp:effectExtent l="25400" t="0" r="1270" b="0"/>
                  <wp:docPr id="2" name="Picture 2" descr="Descriptio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P"/>
                          <pic:cNvPicPr>
                            <a:picLocks noChangeAspect="1" noChangeArrowheads="1"/>
                          </pic:cNvPicPr>
                        </pic:nvPicPr>
                        <pic:blipFill>
                          <a:blip r:embed="rId12"/>
                          <a:srcRect/>
                          <a:stretch>
                            <a:fillRect/>
                          </a:stretch>
                        </pic:blipFill>
                        <pic:spPr bwMode="auto">
                          <a:xfrm>
                            <a:off x="0" y="0"/>
                            <a:ext cx="709930" cy="758825"/>
                          </a:xfrm>
                          <a:prstGeom prst="rect">
                            <a:avLst/>
                          </a:prstGeom>
                          <a:noFill/>
                          <a:ln w="9525">
                            <a:noFill/>
                            <a:miter lim="800000"/>
                            <a:headEnd/>
                            <a:tailEnd/>
                          </a:ln>
                        </pic:spPr>
                      </pic:pic>
                    </a:graphicData>
                  </a:graphic>
                </wp:inline>
              </w:drawing>
            </w:r>
          </w:p>
        </w:tc>
        <w:tc>
          <w:tcPr>
            <w:tcW w:w="4677" w:type="dxa"/>
            <w:tcBorders>
              <w:top w:val="single" w:sz="4" w:space="0" w:color="auto"/>
              <w:bottom w:val="single" w:sz="24" w:space="0" w:color="auto"/>
            </w:tcBorders>
          </w:tcPr>
          <w:p w:rsidR="00032E4E" w:rsidRPr="001D29B1" w:rsidRDefault="00032E4E" w:rsidP="00FC3126">
            <w:pPr>
              <w:spacing w:before="1200"/>
              <w:rPr>
                <w:rFonts w:ascii="Arial" w:hAnsi="Arial" w:cs="Arial"/>
                <w:b/>
                <w:sz w:val="28"/>
                <w:lang w:val="es-ES_tradnl"/>
              </w:rPr>
            </w:pPr>
            <w:r w:rsidRPr="00CA1653">
              <w:rPr>
                <w:rFonts w:ascii="Arial" w:hAnsi="Arial"/>
                <w:b/>
                <w:sz w:val="28"/>
                <w:lang w:val="es-ES"/>
              </w:rPr>
              <w:t>Programa</w:t>
            </w:r>
            <w:r w:rsidR="00FC3126">
              <w:rPr>
                <w:rFonts w:ascii="Arial" w:hAnsi="Arial"/>
                <w:b/>
                <w:sz w:val="28"/>
                <w:lang w:val="es-ES"/>
              </w:rPr>
              <w:t xml:space="preserve"> </w:t>
            </w:r>
            <w:r w:rsidRPr="00CA1653">
              <w:rPr>
                <w:rFonts w:ascii="Arial" w:hAnsi="Arial"/>
                <w:b/>
                <w:sz w:val="28"/>
                <w:lang w:val="es-ES"/>
              </w:rPr>
              <w:t xml:space="preserve">de las </w:t>
            </w:r>
            <w:r w:rsidR="002B7B01">
              <w:rPr>
                <w:rFonts w:ascii="Arial" w:hAnsi="Arial"/>
                <w:b/>
                <w:sz w:val="28"/>
                <w:lang w:val="es-ES"/>
              </w:rPr>
              <w:t>Naciones Unidas</w:t>
            </w:r>
            <w:r w:rsidRPr="00CA1653">
              <w:rPr>
                <w:rFonts w:ascii="Arial" w:hAnsi="Arial"/>
                <w:b/>
                <w:sz w:val="28"/>
                <w:lang w:val="es-ES"/>
              </w:rPr>
              <w:br/>
              <w:t>para el Medio Ambiente</w:t>
            </w:r>
          </w:p>
        </w:tc>
        <w:tc>
          <w:tcPr>
            <w:tcW w:w="3435" w:type="dxa"/>
            <w:tcBorders>
              <w:top w:val="single" w:sz="4" w:space="0" w:color="auto"/>
              <w:bottom w:val="single" w:sz="24" w:space="0" w:color="auto"/>
            </w:tcBorders>
          </w:tcPr>
          <w:p w:rsidR="00CA1653" w:rsidRPr="001D29B1" w:rsidRDefault="00CA1653" w:rsidP="00CA1653">
            <w:pPr>
              <w:spacing w:before="120"/>
              <w:rPr>
                <w:sz w:val="20"/>
                <w:lang w:val="es-ES_tradnl"/>
              </w:rPr>
            </w:pPr>
            <w:r w:rsidRPr="00CA1653">
              <w:rPr>
                <w:sz w:val="20"/>
                <w:lang w:val="es-ES"/>
              </w:rPr>
              <w:t>Distr. general</w:t>
            </w:r>
            <w:r w:rsidRPr="00CA1653">
              <w:rPr>
                <w:sz w:val="20"/>
                <w:lang w:val="es-ES"/>
              </w:rPr>
              <w:br/>
              <w:t>9 de diciembre de 2015</w:t>
            </w:r>
          </w:p>
          <w:p w:rsidR="00032E4E" w:rsidRPr="006A1074" w:rsidRDefault="00CA1653" w:rsidP="00CA1653">
            <w:pPr>
              <w:spacing w:before="120"/>
            </w:pPr>
            <w:r w:rsidRPr="00CA1653">
              <w:rPr>
                <w:sz w:val="20"/>
                <w:lang w:val="es-ES_tradnl"/>
              </w:rPr>
              <w:t>Español</w:t>
            </w:r>
            <w:r w:rsidRPr="00CA1653">
              <w:rPr>
                <w:sz w:val="20"/>
                <w:lang w:val="es-ES_tradnl"/>
              </w:rPr>
              <w:br/>
              <w:t>Original: inglés</w:t>
            </w:r>
          </w:p>
        </w:tc>
      </w:tr>
    </w:tbl>
    <w:p w:rsidR="00FC3126" w:rsidRPr="00FC3126" w:rsidRDefault="00FC3126" w:rsidP="00FC3126">
      <w:pPr>
        <w:pStyle w:val="AATitle"/>
        <w:keepNext w:val="0"/>
        <w:keepLines w:val="0"/>
        <w:ind w:right="4820"/>
        <w:rPr>
          <w:sz w:val="20"/>
          <w:szCs w:val="20"/>
          <w:lang w:val="es-AR"/>
        </w:rPr>
      </w:pPr>
      <w:r w:rsidRPr="00FC3126">
        <w:rPr>
          <w:sz w:val="20"/>
          <w:szCs w:val="20"/>
          <w:lang w:val="es-AR"/>
        </w:rPr>
        <w:t xml:space="preserve">Comité Intergubernamental </w:t>
      </w:r>
      <w:r>
        <w:rPr>
          <w:sz w:val="20"/>
          <w:szCs w:val="20"/>
          <w:lang w:val="es-AR"/>
        </w:rPr>
        <w:t>d</w:t>
      </w:r>
      <w:r w:rsidRPr="00FC3126">
        <w:rPr>
          <w:sz w:val="20"/>
          <w:szCs w:val="20"/>
          <w:lang w:val="es-AR"/>
        </w:rPr>
        <w:t>e Negociación encargado de elaborar un instrumento jurídicamente vinculante a nivel mundial sobre el mercurio</w:t>
      </w:r>
    </w:p>
    <w:p w:rsidR="00032E4E" w:rsidRPr="001D29B1" w:rsidRDefault="004B7E47" w:rsidP="008D49B9">
      <w:pPr>
        <w:pStyle w:val="AATitle"/>
        <w:keepNext w:val="0"/>
        <w:keepLines w:val="0"/>
        <w:outlineLvl w:val="0"/>
        <w:rPr>
          <w:b w:val="0"/>
          <w:sz w:val="20"/>
          <w:lang w:val="es-ES_tradnl"/>
        </w:rPr>
      </w:pPr>
      <w:r w:rsidRPr="00CA1653">
        <w:rPr>
          <w:sz w:val="20"/>
          <w:lang w:val="es-ES"/>
        </w:rPr>
        <w:t xml:space="preserve">Séptimo período de sesiones </w:t>
      </w:r>
    </w:p>
    <w:p w:rsidR="00032E4E" w:rsidRPr="001D29B1" w:rsidRDefault="004B7E47" w:rsidP="00085A13">
      <w:pPr>
        <w:pStyle w:val="AATitle"/>
        <w:keepNext w:val="0"/>
        <w:keepLines w:val="0"/>
        <w:outlineLvl w:val="0"/>
        <w:rPr>
          <w:b w:val="0"/>
          <w:sz w:val="20"/>
          <w:lang w:val="es-ES_tradnl"/>
        </w:rPr>
      </w:pPr>
      <w:r w:rsidRPr="00CA1653">
        <w:rPr>
          <w:b w:val="0"/>
          <w:sz w:val="20"/>
          <w:lang w:val="es-ES"/>
        </w:rPr>
        <w:t>Mar Muerto (Jordania), 10 a 15 de marzo de 2016</w:t>
      </w:r>
    </w:p>
    <w:p w:rsidR="00732C8E" w:rsidRPr="001D29B1" w:rsidRDefault="00732C8E" w:rsidP="0006686D">
      <w:pPr>
        <w:pStyle w:val="AATitle"/>
        <w:keepNext w:val="0"/>
        <w:keepLines w:val="0"/>
        <w:rPr>
          <w:b w:val="0"/>
          <w:sz w:val="20"/>
          <w:lang w:val="es-ES_tradnl"/>
        </w:rPr>
      </w:pPr>
      <w:r w:rsidRPr="00CA1653">
        <w:rPr>
          <w:b w:val="0"/>
          <w:sz w:val="20"/>
          <w:lang w:val="es-ES"/>
        </w:rPr>
        <w:t>Tema 4 del programa provisional</w:t>
      </w:r>
      <w:r w:rsidRPr="00326A74">
        <w:rPr>
          <w:b w:val="0"/>
          <w:sz w:val="20"/>
          <w:lang w:val="es-ES"/>
        </w:rPr>
        <w:footnoteReference w:customMarkFollows="1" w:id="2"/>
        <w:t>*</w:t>
      </w:r>
    </w:p>
    <w:p w:rsidR="0006686D" w:rsidRPr="001D29B1" w:rsidRDefault="0006686D" w:rsidP="00FE13E7">
      <w:pPr>
        <w:pStyle w:val="AATitle2"/>
        <w:spacing w:before="60" w:after="0"/>
        <w:ind w:right="3969"/>
        <w:outlineLvl w:val="0"/>
        <w:rPr>
          <w:lang w:val="es-ES_tradnl"/>
        </w:rPr>
      </w:pPr>
      <w:r w:rsidRPr="00CA1653">
        <w:rPr>
          <w:sz w:val="20"/>
          <w:lang w:val="es-ES"/>
        </w:rPr>
        <w:t>Informe sobre las actividades de la secretaría provisional durante el período ant</w:t>
      </w:r>
      <w:r w:rsidR="002B7B01">
        <w:rPr>
          <w:sz w:val="20"/>
          <w:lang w:val="es-ES"/>
        </w:rPr>
        <w:t>erior a la entrada en vigor del </w:t>
      </w:r>
      <w:r w:rsidRPr="00CA1653">
        <w:rPr>
          <w:sz w:val="20"/>
          <w:lang w:val="es-ES"/>
        </w:rPr>
        <w:t xml:space="preserve">Convenio </w:t>
      </w:r>
    </w:p>
    <w:p w:rsidR="00967296" w:rsidRPr="001D29B1" w:rsidRDefault="00967296" w:rsidP="00F03B23">
      <w:pPr>
        <w:pStyle w:val="BBTitle"/>
        <w:rPr>
          <w:lang w:val="es-ES_tradnl"/>
        </w:rPr>
      </w:pPr>
      <w:r>
        <w:rPr>
          <w:lang w:val="es-ES"/>
        </w:rPr>
        <w:t xml:space="preserve">Informe sobre los progresos realizados por la secretaría provisional desde el sexto período de sesiones del Comité </w:t>
      </w:r>
      <w:r w:rsidR="00FC3126">
        <w:rPr>
          <w:lang w:val="es-ES"/>
        </w:rPr>
        <w:t xml:space="preserve">Intergubernamental </w:t>
      </w:r>
      <w:r>
        <w:rPr>
          <w:lang w:val="es-ES"/>
        </w:rPr>
        <w:t xml:space="preserve">de </w:t>
      </w:r>
      <w:r w:rsidR="00FC3126">
        <w:rPr>
          <w:lang w:val="es-ES"/>
        </w:rPr>
        <w:t>Negociación encargado de elaborar un </w:t>
      </w:r>
      <w:r>
        <w:rPr>
          <w:lang w:val="es-ES"/>
        </w:rPr>
        <w:t>instrumento jurídicamente v</w:t>
      </w:r>
      <w:r w:rsidR="00FC3126">
        <w:rPr>
          <w:lang w:val="es-ES"/>
        </w:rPr>
        <w:t>inculante a nivel mundial sobre </w:t>
      </w:r>
      <w:r>
        <w:rPr>
          <w:lang w:val="es-ES"/>
        </w:rPr>
        <w:t>el mercurio</w:t>
      </w:r>
    </w:p>
    <w:p w:rsidR="00967296" w:rsidRPr="001D29B1" w:rsidRDefault="00967296" w:rsidP="00F03B23">
      <w:pPr>
        <w:pStyle w:val="CH2"/>
        <w:rPr>
          <w:lang w:val="es-ES_tradnl"/>
        </w:rPr>
      </w:pPr>
      <w:r>
        <w:rPr>
          <w:lang w:val="es-ES"/>
        </w:rPr>
        <w:tab/>
      </w:r>
      <w:r>
        <w:rPr>
          <w:lang w:val="es-ES"/>
        </w:rPr>
        <w:tab/>
        <w:t>Nota de la Secretaría</w:t>
      </w:r>
    </w:p>
    <w:p w:rsidR="00967296" w:rsidRPr="001D29B1" w:rsidRDefault="00967296" w:rsidP="00967296">
      <w:pPr>
        <w:pStyle w:val="CH1"/>
        <w:rPr>
          <w:lang w:val="es-ES_tradnl"/>
        </w:rPr>
      </w:pPr>
      <w:r>
        <w:rPr>
          <w:lang w:val="es-ES"/>
        </w:rPr>
        <w:tab/>
        <w:t>I.</w:t>
      </w:r>
      <w:r>
        <w:rPr>
          <w:lang w:val="es-ES"/>
        </w:rPr>
        <w:tab/>
        <w:t>Introducción</w:t>
      </w:r>
    </w:p>
    <w:p w:rsidR="00850F79" w:rsidRPr="001D29B1" w:rsidRDefault="00967296" w:rsidP="00F9205A">
      <w:pPr>
        <w:pStyle w:val="Normalnumber"/>
        <w:rPr>
          <w:sz w:val="20"/>
          <w:lang w:val="es-ES_tradnl"/>
        </w:rPr>
      </w:pPr>
      <w:r w:rsidRPr="00CA1653">
        <w:rPr>
          <w:sz w:val="20"/>
          <w:lang w:val="es-ES"/>
        </w:rPr>
        <w:t xml:space="preserve">En el párrafo 11 de su resolución sobre las disposiciones para el período de transición previo a la entrada en vigor del Convenio (UNEP(DTIE)/Hg/CONF/4, anexo I), la Conferencia de Plenipotenciarios del Convenio de Minamata sobre el Mercurio solicitó al Director Ejecutivo del Programa de las </w:t>
      </w:r>
      <w:r w:rsidR="002B7B01">
        <w:rPr>
          <w:sz w:val="20"/>
          <w:lang w:val="es-ES"/>
        </w:rPr>
        <w:t>Naciones Unidas</w:t>
      </w:r>
      <w:r w:rsidRPr="00CA1653">
        <w:rPr>
          <w:sz w:val="20"/>
          <w:lang w:val="es-ES"/>
        </w:rPr>
        <w:t xml:space="preserve"> para el Medio Ambiente (PNUMA) que facilitase servicios de secretaría provisional para apoyar al </w:t>
      </w:r>
      <w:r w:rsidR="00FC3126">
        <w:rPr>
          <w:sz w:val="20"/>
          <w:lang w:val="es-ES"/>
        </w:rPr>
        <w:t>Comité Intergubernamental de Negociación</w:t>
      </w:r>
      <w:r w:rsidR="00024855">
        <w:rPr>
          <w:sz w:val="20"/>
          <w:lang w:val="es-ES"/>
        </w:rPr>
        <w:t xml:space="preserve"> sobre el mercurio y</w:t>
      </w:r>
      <w:r w:rsidRPr="00CA1653">
        <w:rPr>
          <w:sz w:val="20"/>
          <w:lang w:val="es-ES"/>
        </w:rPr>
        <w:t xml:space="preserve"> sus actividades hasta la celebración de la primera reunión de la Conferencia de las Partes. En el párrafo 12 de esa resolución, la Conferencia solicitó a la secretaría provisional que estableciese la cooperación y coordinación que fuesen necesarias con las demás entidades pertinentes, en particular la Secretaría del Convenio de Basilea sobre el Control de los Movimientos Transfronterizos de los Desechos Peligrosos y su Eliminación, del Convenio de Estocolmo sobre Contaminantes Orgánicos Persistentes y del Convenio de Rotterdam sobre el Procedimiento de Consentimiento Fundamentado Previo Aplicable a Ciertos Plaguicidas y Productos Químicos Peligrosos Objeto de Comercio Internacional, para aprovechar al máximo la experiencia y los conocimientos especializados pertinentes. En el párrafo 13 de la resolución, la Conferencia solicitó además al Director Ejecutivo que facilitase la realización de actividades a nivel regional y nacional para apoyar la aplicación durante el período de transición de manera eficaz y eficiente. </w:t>
      </w:r>
    </w:p>
    <w:p w:rsidR="00967296" w:rsidRPr="001D29B1" w:rsidRDefault="00967296" w:rsidP="0063782E">
      <w:pPr>
        <w:pStyle w:val="Normalnumber"/>
        <w:rPr>
          <w:sz w:val="20"/>
          <w:lang w:val="es-ES_tradnl"/>
        </w:rPr>
      </w:pPr>
      <w:r w:rsidRPr="00CA1653">
        <w:rPr>
          <w:sz w:val="20"/>
          <w:lang w:val="es-ES"/>
        </w:rPr>
        <w:t>Un resumen de las actividades realizadas por la secretaría provisional en</w:t>
      </w:r>
      <w:r w:rsidR="00FC3126">
        <w:rPr>
          <w:sz w:val="20"/>
          <w:lang w:val="es-ES"/>
        </w:rPr>
        <w:t xml:space="preserve"> respuesta a esas solicitudes (</w:t>
      </w:r>
      <w:r w:rsidR="00FC3126" w:rsidRPr="00FC3126">
        <w:rPr>
          <w:sz w:val="20"/>
          <w:lang w:val="es-ES"/>
        </w:rPr>
        <w:t xml:space="preserve">UNEP(DTIE)/Hg/INC.6/22 </w:t>
      </w:r>
      <w:r w:rsidRPr="00CA1653">
        <w:rPr>
          <w:sz w:val="20"/>
          <w:lang w:val="es-ES"/>
        </w:rPr>
        <w:t xml:space="preserve">y Corr.1 y UNEP(DTIE)/Hg/INC.6/INF/7) se presentó al </w:t>
      </w:r>
      <w:r w:rsidR="00FC3126">
        <w:rPr>
          <w:sz w:val="20"/>
          <w:lang w:val="es-ES"/>
        </w:rPr>
        <w:t>Comité Intergubernamental de Negociación</w:t>
      </w:r>
      <w:r w:rsidRPr="00CA1653">
        <w:rPr>
          <w:sz w:val="20"/>
          <w:lang w:val="es-ES"/>
        </w:rPr>
        <w:t xml:space="preserve"> en su sexto período de sesiones, celebrado del 3 al 7 de noviembre de 2014 en Bangkok. En el presente informe se resumen las principales actividades </w:t>
      </w:r>
      <w:r w:rsidRPr="00CA1653">
        <w:rPr>
          <w:sz w:val="20"/>
          <w:lang w:val="es-ES"/>
        </w:rPr>
        <w:lastRenderedPageBreak/>
        <w:t>realizadas por la secretaría provisional desde el sexto período de ses</w:t>
      </w:r>
      <w:r w:rsidR="002E45EB">
        <w:rPr>
          <w:sz w:val="20"/>
          <w:lang w:val="es-ES"/>
        </w:rPr>
        <w:t>iones del Comité, que comprenden</w:t>
      </w:r>
      <w:r w:rsidRPr="00CA1653">
        <w:rPr>
          <w:sz w:val="20"/>
          <w:lang w:val="es-ES"/>
        </w:rPr>
        <w:t xml:space="preserve"> </w:t>
      </w:r>
      <w:r w:rsidR="002E45EB">
        <w:rPr>
          <w:sz w:val="20"/>
          <w:lang w:val="es-ES"/>
        </w:rPr>
        <w:t xml:space="preserve">el apoyo prestado al </w:t>
      </w:r>
      <w:r w:rsidR="00FC3126">
        <w:rPr>
          <w:sz w:val="20"/>
          <w:lang w:val="es-ES"/>
        </w:rPr>
        <w:t xml:space="preserve">Comité </w:t>
      </w:r>
      <w:r w:rsidR="002E45EB">
        <w:rPr>
          <w:sz w:val="20"/>
          <w:lang w:val="es-ES"/>
        </w:rPr>
        <w:t xml:space="preserve">y </w:t>
      </w:r>
      <w:r w:rsidRPr="00CA1653">
        <w:rPr>
          <w:sz w:val="20"/>
          <w:lang w:val="es-ES"/>
        </w:rPr>
        <w:t xml:space="preserve">sus actividades hasta la primera reunión de la Conferencia de las Partes y la labor en apoyo de la ratificación y pronta aplicación del Convenio de Minamata por las Partes. </w:t>
      </w:r>
    </w:p>
    <w:p w:rsidR="00967296" w:rsidRPr="001D29B1" w:rsidRDefault="004928E9" w:rsidP="000234F7">
      <w:pPr>
        <w:pStyle w:val="CH1"/>
        <w:rPr>
          <w:rFonts w:eastAsia="MS Mincho"/>
          <w:lang w:val="es-ES_tradnl"/>
        </w:rPr>
      </w:pPr>
      <w:r>
        <w:rPr>
          <w:lang w:val="es-ES"/>
        </w:rPr>
        <w:tab/>
        <w:t>II.</w:t>
      </w:r>
      <w:r>
        <w:rPr>
          <w:lang w:val="es-ES"/>
        </w:rPr>
        <w:tab/>
        <w:t xml:space="preserve">Apoyo prestado al </w:t>
      </w:r>
      <w:r w:rsidR="00FC3126">
        <w:rPr>
          <w:lang w:val="es-ES"/>
        </w:rPr>
        <w:t>Comité Intergubernamental de Negociación</w:t>
      </w:r>
      <w:r w:rsidR="002E45EB">
        <w:rPr>
          <w:lang w:val="es-ES"/>
        </w:rPr>
        <w:t xml:space="preserve"> y</w:t>
      </w:r>
      <w:r>
        <w:rPr>
          <w:lang w:val="es-ES"/>
        </w:rPr>
        <w:t xml:space="preserve"> sus actividades hasta la primera r</w:t>
      </w:r>
      <w:r w:rsidR="00FC3126">
        <w:rPr>
          <w:lang w:val="es-ES"/>
        </w:rPr>
        <w:t>eunión de la Conferencia de las </w:t>
      </w:r>
      <w:r>
        <w:rPr>
          <w:lang w:val="es-ES"/>
        </w:rPr>
        <w:t>Partes</w:t>
      </w:r>
    </w:p>
    <w:p w:rsidR="000234F7" w:rsidRPr="001D29B1" w:rsidRDefault="00F400C1" w:rsidP="00DB7513">
      <w:pPr>
        <w:pStyle w:val="CH2"/>
        <w:numPr>
          <w:ilvl w:val="0"/>
          <w:numId w:val="29"/>
        </w:numPr>
        <w:tabs>
          <w:tab w:val="clear" w:pos="851"/>
          <w:tab w:val="clear" w:pos="1247"/>
          <w:tab w:val="right" w:pos="630"/>
        </w:tabs>
        <w:ind w:left="1260" w:hanging="720"/>
        <w:rPr>
          <w:lang w:val="es-ES_tradnl"/>
        </w:rPr>
      </w:pPr>
      <w:r>
        <w:rPr>
          <w:lang w:val="es-ES"/>
        </w:rPr>
        <w:t xml:space="preserve">Séptimo período de sesiones del </w:t>
      </w:r>
      <w:r w:rsidR="00FC3126">
        <w:rPr>
          <w:lang w:val="es-ES"/>
        </w:rPr>
        <w:t>Comité Intergubernamental de Negociación</w:t>
      </w:r>
    </w:p>
    <w:p w:rsidR="00967296" w:rsidRPr="001D29B1" w:rsidRDefault="000234F7" w:rsidP="00312827">
      <w:pPr>
        <w:pStyle w:val="Normalnumber"/>
        <w:keepNext/>
        <w:keepLines/>
        <w:rPr>
          <w:sz w:val="20"/>
          <w:lang w:val="es-ES_tradnl"/>
        </w:rPr>
      </w:pPr>
      <w:r w:rsidRPr="00CA1653">
        <w:rPr>
          <w:sz w:val="20"/>
          <w:lang w:val="es-ES"/>
        </w:rPr>
        <w:t xml:space="preserve">La secretaría provisional está organizando el séptimo período de sesiones del </w:t>
      </w:r>
      <w:r w:rsidR="00FC3126">
        <w:rPr>
          <w:sz w:val="20"/>
          <w:lang w:val="es-ES"/>
        </w:rPr>
        <w:t>Comité Intergubernamental de Negociación</w:t>
      </w:r>
      <w:r w:rsidRPr="00CA1653">
        <w:rPr>
          <w:sz w:val="20"/>
          <w:lang w:val="es-ES"/>
        </w:rPr>
        <w:t>. Este proceso ha consistido, entre otras cosas, en redactar y enviar cartas de invitación y en organizar cuestiones logísticas, en estrecha cooperación con el país anfitrión, Jordania, para establecer los acuerdos y arreglos necesarios y elegir un lugar de reunión. También se han realizado las actividades siguientes: disponer lo necesario para apoyar los servicios de conferencia, organizar los viajes de los participantes que reciben financiación, apoyar las act</w:t>
      </w:r>
      <w:r w:rsidR="002E45EB">
        <w:rPr>
          <w:sz w:val="20"/>
          <w:lang w:val="es-ES"/>
        </w:rPr>
        <w:t xml:space="preserve">ividades de la Mesa del </w:t>
      </w:r>
      <w:r w:rsidR="00FC3126">
        <w:rPr>
          <w:sz w:val="20"/>
          <w:lang w:val="es-ES"/>
        </w:rPr>
        <w:t>Comité Intergubernamental de Negociación</w:t>
      </w:r>
      <w:r w:rsidRPr="00CA1653">
        <w:rPr>
          <w:sz w:val="20"/>
          <w:lang w:val="es-ES"/>
        </w:rPr>
        <w:t xml:space="preserve"> y preparar documentos de reunión para su examen por el Comité. </w:t>
      </w:r>
    </w:p>
    <w:p w:rsidR="00967296" w:rsidRPr="001D29B1" w:rsidRDefault="00967296" w:rsidP="00F400C1">
      <w:pPr>
        <w:pStyle w:val="Normalnumber"/>
        <w:keepNext/>
        <w:keepLines/>
        <w:rPr>
          <w:sz w:val="20"/>
          <w:lang w:val="es-ES_tradnl"/>
        </w:rPr>
      </w:pPr>
      <w:r w:rsidRPr="00CA1653">
        <w:rPr>
          <w:sz w:val="20"/>
          <w:lang w:val="es-ES"/>
        </w:rPr>
        <w:t xml:space="preserve">Las actividades logísticas se han emprendido con el apoyo de parte del personal de la Subdivisión de Productos Químicos y Desechos de la División de Tecnología, Industria y Economía del PNUMA y de la Oficina de las </w:t>
      </w:r>
      <w:r w:rsidR="002B7B01">
        <w:rPr>
          <w:sz w:val="20"/>
          <w:lang w:val="es-ES"/>
        </w:rPr>
        <w:t>Naciones Unidas</w:t>
      </w:r>
      <w:r w:rsidRPr="00CA1653">
        <w:rPr>
          <w:sz w:val="20"/>
          <w:lang w:val="es-ES"/>
        </w:rPr>
        <w:t xml:space="preserve"> de Servicios para Proyectos, que está ayudando a organizar los viajes de los participantes patrocinados. Algunos funcionarios de la Subdivisión de Productos Químicos y Desechos están ayudando también a organizar las actividades que se celebrarán en paralelo al séptimo período de sesiones. La Secretaría de los Convenios de Basilea, Estocolmo y Rotterdam ha prestado apoyo a la creación de un sitio web de intercambio de documentos que se usará durante el séptimo período de sesiones. La Subdivisión de Productos Químicos y la Secretaría de los Convenios de Basilea, Estocolmo y Rotterdam ayudarán a la secretaría provisional a dirigir el período de sesiones.</w:t>
      </w:r>
    </w:p>
    <w:p w:rsidR="00967296" w:rsidRPr="001D29B1" w:rsidRDefault="00967296" w:rsidP="00F400C1">
      <w:pPr>
        <w:pStyle w:val="Normalnumber"/>
        <w:rPr>
          <w:sz w:val="20"/>
          <w:lang w:val="es-ES_tradnl"/>
        </w:rPr>
      </w:pPr>
      <w:r w:rsidRPr="00CA1653">
        <w:rPr>
          <w:sz w:val="20"/>
          <w:lang w:val="es-ES"/>
        </w:rPr>
        <w:t xml:space="preserve">La secretaría provisional ha dirigido la preparación de material técnico, en particular </w:t>
      </w:r>
      <w:r w:rsidR="002E45EB">
        <w:rPr>
          <w:sz w:val="20"/>
          <w:lang w:val="es-ES"/>
        </w:rPr>
        <w:t>de documentos de sesión</w:t>
      </w:r>
      <w:r w:rsidRPr="00CA1653">
        <w:rPr>
          <w:sz w:val="20"/>
          <w:lang w:val="es-ES"/>
        </w:rPr>
        <w:t>, labor en la que ha recibido aportaciones importantes de la Secretaría de los Convenios de Basilea, Estocolmo</w:t>
      </w:r>
      <w:r w:rsidR="00651093">
        <w:rPr>
          <w:sz w:val="20"/>
          <w:lang w:val="es-ES"/>
        </w:rPr>
        <w:t xml:space="preserve"> y</w:t>
      </w:r>
      <w:r w:rsidRPr="00CA1653">
        <w:rPr>
          <w:sz w:val="20"/>
          <w:lang w:val="es-ES"/>
        </w:rPr>
        <w:t xml:space="preserve"> Rotterdam, la Asociación Mundial sobre el </w:t>
      </w:r>
      <w:r w:rsidR="002E45EB">
        <w:rPr>
          <w:sz w:val="20"/>
          <w:lang w:val="es-ES"/>
        </w:rPr>
        <w:t>Mercurio del PNUMA (en especial,</w:t>
      </w:r>
      <w:r w:rsidRPr="00CA1653">
        <w:rPr>
          <w:sz w:val="20"/>
          <w:lang w:val="es-ES"/>
        </w:rPr>
        <w:t xml:space="preserve"> los codirectores de ciertas esferas de asociación) y otros agentes pertinentes, </w:t>
      </w:r>
      <w:r w:rsidR="002E45EB">
        <w:rPr>
          <w:sz w:val="20"/>
          <w:lang w:val="es-ES"/>
        </w:rPr>
        <w:t xml:space="preserve">en particular, </w:t>
      </w:r>
      <w:r w:rsidRPr="00CA1653">
        <w:rPr>
          <w:sz w:val="20"/>
          <w:lang w:val="es-ES"/>
        </w:rPr>
        <w:t>el Fondo para el Medio Ambiente Mundial (FMAM) y la O</w:t>
      </w:r>
      <w:r w:rsidR="002B7B01">
        <w:rPr>
          <w:sz w:val="20"/>
          <w:lang w:val="es-ES"/>
        </w:rPr>
        <w:t>rganización Mundial de la Salud </w:t>
      </w:r>
      <w:r w:rsidRPr="00CA1653">
        <w:rPr>
          <w:sz w:val="20"/>
          <w:lang w:val="es-ES"/>
        </w:rPr>
        <w:t>(OMS).</w:t>
      </w:r>
    </w:p>
    <w:p w:rsidR="00967296" w:rsidRPr="001D29B1" w:rsidRDefault="00967296" w:rsidP="00801F45">
      <w:pPr>
        <w:pStyle w:val="Normalnumber"/>
        <w:rPr>
          <w:sz w:val="20"/>
          <w:lang w:val="es-ES_tradnl"/>
        </w:rPr>
      </w:pPr>
      <w:r w:rsidRPr="00CA1653">
        <w:rPr>
          <w:sz w:val="20"/>
          <w:lang w:val="es-ES"/>
        </w:rPr>
        <w:t xml:space="preserve">La Secretaría de los Convenios de Basilea, Estocolmo y Rotterdam ha hecho aportaciones </w:t>
      </w:r>
      <w:r w:rsidR="002E45EB">
        <w:rPr>
          <w:sz w:val="20"/>
          <w:lang w:val="es-ES"/>
        </w:rPr>
        <w:t xml:space="preserve">sustantivas a los documentos relativos a </w:t>
      </w:r>
      <w:r w:rsidRPr="00CA1653">
        <w:rPr>
          <w:sz w:val="20"/>
          <w:lang w:val="es-ES"/>
        </w:rPr>
        <w:t xml:space="preserve">las esferas en que cuenta con conocimientos especializados, </w:t>
      </w:r>
      <w:r w:rsidR="002E45EB">
        <w:rPr>
          <w:sz w:val="20"/>
          <w:lang w:val="es-ES"/>
        </w:rPr>
        <w:t>como son</w:t>
      </w:r>
      <w:r w:rsidRPr="00CA1653">
        <w:rPr>
          <w:sz w:val="20"/>
          <w:lang w:val="es-ES"/>
        </w:rPr>
        <w:t xml:space="preserve"> los controles de importación y exportación, el almacenamiento, los desechos, los sitios contaminados, la vigilancia y la presentación de informes. La experiencia de los Convenios sirvió de </w:t>
      </w:r>
      <w:r w:rsidR="002E45EB">
        <w:rPr>
          <w:sz w:val="20"/>
          <w:lang w:val="es-ES"/>
        </w:rPr>
        <w:t>base</w:t>
      </w:r>
      <w:r w:rsidRPr="00CA1653">
        <w:rPr>
          <w:sz w:val="20"/>
          <w:lang w:val="es-ES"/>
        </w:rPr>
        <w:t xml:space="preserve"> para la elaboración del proyecto de reglamento </w:t>
      </w:r>
      <w:r w:rsidR="001D29B1" w:rsidRPr="00DB7513">
        <w:rPr>
          <w:sz w:val="20"/>
          <w:lang w:val="es-ES_tradnl"/>
        </w:rPr>
        <w:t>(UNEP(DTIE)/Hg/INC.6/13)</w:t>
      </w:r>
      <w:r w:rsidR="001D29B1">
        <w:rPr>
          <w:sz w:val="20"/>
          <w:lang w:val="es-ES_tradnl"/>
        </w:rPr>
        <w:t xml:space="preserve"> </w:t>
      </w:r>
      <w:r w:rsidRPr="00CA1653">
        <w:rPr>
          <w:sz w:val="20"/>
          <w:lang w:val="es-ES"/>
        </w:rPr>
        <w:t xml:space="preserve">y el proyecto de reglamentación financiera de la Conferencia de las Partes en el Convenio de Minamata </w:t>
      </w:r>
      <w:r w:rsidR="001D29B1" w:rsidRPr="00DB7513">
        <w:rPr>
          <w:sz w:val="20"/>
          <w:lang w:val="es-ES_tradnl"/>
        </w:rPr>
        <w:t xml:space="preserve">(UNEP(DTIE)/Hg/INC.6/14) </w:t>
      </w:r>
      <w:r w:rsidRPr="00CA1653">
        <w:rPr>
          <w:sz w:val="20"/>
          <w:lang w:val="es-ES"/>
        </w:rPr>
        <w:t xml:space="preserve">que el </w:t>
      </w:r>
      <w:r w:rsidR="00FC3126">
        <w:rPr>
          <w:sz w:val="20"/>
          <w:lang w:val="es-ES"/>
        </w:rPr>
        <w:t>Comité Intergubernamental de Negociación</w:t>
      </w:r>
      <w:r w:rsidRPr="00CA1653">
        <w:rPr>
          <w:sz w:val="20"/>
          <w:lang w:val="es-ES"/>
        </w:rPr>
        <w:t xml:space="preserve"> examinó en su sexto período de sesiones. Las versiones de esos documentos que se presenten en el séptimo período de sesiones permitirán reanudar los debates celebrados en el sexto período de sesiones. Basándose en la experiencia adquirida al colaborar con el FMAM, </w:t>
      </w:r>
      <w:r w:rsidRPr="00326A74">
        <w:rPr>
          <w:spacing w:val="-2"/>
          <w:sz w:val="20"/>
          <w:lang w:val="es-ES"/>
        </w:rPr>
        <w:t xml:space="preserve">la Secretaría de los Convenios de Basilea, Estocolmo y Rotterdam ha contribuido también a la elaboración de un proyecto de memorando de entendimiento entre la Conferencia de las Partes en el Convenio y el Consejo del FMAM y del </w:t>
      </w:r>
      <w:r w:rsidR="000E7FA0" w:rsidRPr="00326A74">
        <w:rPr>
          <w:spacing w:val="-2"/>
          <w:sz w:val="20"/>
          <w:lang w:val="es-ES"/>
        </w:rPr>
        <w:t>proyecto de orientación dirigid</w:t>
      </w:r>
      <w:r w:rsidRPr="00326A74">
        <w:rPr>
          <w:spacing w:val="-2"/>
          <w:sz w:val="20"/>
          <w:lang w:val="es-ES"/>
        </w:rPr>
        <w:t>a al FMAM sobre las estrategias generales, las políticas, las prioridades del programa y los requisitos para el acceso a los recursos financieros y su uso, y sobre una lista indicativa de las categorías de actividades que podrían recibir apoyo del fondo fiduciario del FMAM. El Director Ejecutivo tuvo en cuenta la experiencia y las aportaciones de la Secretaría de los Co</w:t>
      </w:r>
      <w:r w:rsidR="000E7FA0" w:rsidRPr="00326A74">
        <w:rPr>
          <w:spacing w:val="-2"/>
          <w:sz w:val="20"/>
          <w:lang w:val="es-ES"/>
        </w:rPr>
        <w:t xml:space="preserve">nvenios de Basilea, </w:t>
      </w:r>
      <w:r w:rsidRPr="00326A74">
        <w:rPr>
          <w:spacing w:val="-2"/>
          <w:sz w:val="20"/>
          <w:lang w:val="es-ES"/>
        </w:rPr>
        <w:t xml:space="preserve">Estocolmo </w:t>
      </w:r>
      <w:r w:rsidR="000E7FA0" w:rsidRPr="00326A74">
        <w:rPr>
          <w:spacing w:val="-2"/>
          <w:sz w:val="20"/>
          <w:lang w:val="es-ES"/>
        </w:rPr>
        <w:t xml:space="preserve">y Rotterdam </w:t>
      </w:r>
      <w:r w:rsidRPr="00326A74">
        <w:rPr>
          <w:spacing w:val="-2"/>
          <w:sz w:val="20"/>
          <w:lang w:val="es-ES"/>
        </w:rPr>
        <w:t>en su informe de las propuestas sobre la forma en que debería desempeñar las funciones de la Sec</w:t>
      </w:r>
      <w:r w:rsidR="00326A74" w:rsidRPr="00326A74">
        <w:rPr>
          <w:spacing w:val="-2"/>
          <w:sz w:val="20"/>
          <w:lang w:val="es-ES"/>
        </w:rPr>
        <w:t>retaría Permanente del Convenio </w:t>
      </w:r>
      <w:r w:rsidRPr="00326A74">
        <w:rPr>
          <w:spacing w:val="-2"/>
          <w:sz w:val="20"/>
          <w:lang w:val="es-ES"/>
        </w:rPr>
        <w:t xml:space="preserve">(UNEP(DTIE)/Hg/INC.7/15) </w:t>
      </w:r>
      <w:r w:rsidRPr="00CA1653">
        <w:rPr>
          <w:sz w:val="20"/>
          <w:lang w:val="es-ES"/>
        </w:rPr>
        <w:t xml:space="preserve">y </w:t>
      </w:r>
      <w:r w:rsidR="000E7FA0">
        <w:rPr>
          <w:sz w:val="20"/>
          <w:lang w:val="es-ES"/>
        </w:rPr>
        <w:t xml:space="preserve">también </w:t>
      </w:r>
      <w:r w:rsidRPr="00CA1653">
        <w:rPr>
          <w:sz w:val="20"/>
          <w:lang w:val="es-ES"/>
        </w:rPr>
        <w:t xml:space="preserve">en el documento de información que preparó a petición del grupo especial de expertos sobre financiación de las opciones en materia de instituciones de acogida para el programa internacional específico de apoyo a la creación de capacidad y asistencia técnica mencionado en el párrafo 6 b) del artículo 13 del Convenio de Minamata (UNEP(DTIE)/Hg/INC.7/INF.6). </w:t>
      </w:r>
    </w:p>
    <w:p w:rsidR="00967296" w:rsidRPr="001D29B1" w:rsidRDefault="00967296" w:rsidP="005B6798">
      <w:pPr>
        <w:pStyle w:val="Normalnumber"/>
        <w:rPr>
          <w:b/>
          <w:sz w:val="20"/>
          <w:lang w:val="es-ES_tradnl"/>
        </w:rPr>
      </w:pPr>
      <w:r w:rsidRPr="00CA1653">
        <w:rPr>
          <w:sz w:val="20"/>
          <w:lang w:val="es-ES"/>
        </w:rPr>
        <w:t xml:space="preserve">La Asociación Mundial sobre Mercurio del PNUMA ha </w:t>
      </w:r>
      <w:r w:rsidR="000E7FA0">
        <w:rPr>
          <w:sz w:val="20"/>
          <w:lang w:val="es-ES"/>
        </w:rPr>
        <w:t>contribuido</w:t>
      </w:r>
      <w:r w:rsidRPr="00CA1653">
        <w:rPr>
          <w:sz w:val="20"/>
          <w:lang w:val="es-ES"/>
        </w:rPr>
        <w:t xml:space="preserve"> a la preparación de documentos sobre las actividades realizadas en el ámbito de las asociaciones voluntarias que podrían servir de base para la orientación solicitada en el Convenio de Minamata. El documento de orientación sobre la extracción de oro artesanal y en pequeña escala fue obra de la esfera de asociación correspondiente y las aportaciones sobre otras materias pertinentes se solicitaron por conducto de la Secretaría de la Asociación. La secretaría provisional colaboró estr</w:t>
      </w:r>
      <w:r w:rsidR="002B7B01">
        <w:rPr>
          <w:sz w:val="20"/>
          <w:lang w:val="es-ES"/>
        </w:rPr>
        <w:t>echamente con la Secretaría del </w:t>
      </w:r>
      <w:r w:rsidRPr="00CA1653">
        <w:rPr>
          <w:sz w:val="20"/>
          <w:lang w:val="es-ES"/>
        </w:rPr>
        <w:t xml:space="preserve">FMAM en la preparación de los documentos relacionados con el proyecto de memorando de entendimiento entre la Conferencia de las Partes en el Convenio de Minamata y el Consejo del FMAM y </w:t>
      </w:r>
      <w:r w:rsidR="000E7FA0">
        <w:rPr>
          <w:sz w:val="20"/>
          <w:lang w:val="es-ES"/>
        </w:rPr>
        <w:t xml:space="preserve">con </w:t>
      </w:r>
      <w:r w:rsidRPr="00CA1653">
        <w:rPr>
          <w:sz w:val="20"/>
          <w:lang w:val="es-ES"/>
        </w:rPr>
        <w:t>el proyecto de orientación dirigida al FMAM. También se obtuvieron aportaciones de la OMS, en particular sobre la c</w:t>
      </w:r>
      <w:r w:rsidR="000E7FA0">
        <w:rPr>
          <w:sz w:val="20"/>
          <w:lang w:val="es-ES"/>
        </w:rPr>
        <w:t>uestión de los medios de obtención de</w:t>
      </w:r>
      <w:r w:rsidRPr="00CA1653">
        <w:rPr>
          <w:sz w:val="20"/>
          <w:lang w:val="es-ES"/>
        </w:rPr>
        <w:t xml:space="preserve"> datos de vigilancia relacionados con la evaluación de la eficacia.</w:t>
      </w:r>
    </w:p>
    <w:p w:rsidR="00967296" w:rsidRPr="001D29B1" w:rsidRDefault="00967296" w:rsidP="00395AA9">
      <w:pPr>
        <w:pStyle w:val="Normalnumber"/>
        <w:keepNext/>
        <w:keepLines/>
        <w:rPr>
          <w:sz w:val="20"/>
          <w:lang w:val="es-ES_tradnl"/>
        </w:rPr>
      </w:pPr>
      <w:r w:rsidRPr="00CA1653">
        <w:rPr>
          <w:sz w:val="20"/>
          <w:lang w:val="es-ES"/>
        </w:rPr>
        <w:t>Además de sus contribuciones a la elaboración de documentos para las reuniones, se ha invitado a cada una de las organizaciones que contribuyen a la labor de la secretar</w:t>
      </w:r>
      <w:r w:rsidR="000E7FA0">
        <w:rPr>
          <w:sz w:val="20"/>
          <w:lang w:val="es-ES"/>
        </w:rPr>
        <w:t>ía provisional, en particular la relativa al</w:t>
      </w:r>
      <w:r w:rsidRPr="00CA1653">
        <w:rPr>
          <w:sz w:val="20"/>
          <w:lang w:val="es-ES"/>
        </w:rPr>
        <w:t xml:space="preserve"> apoyo de la ratificación y pronta aplicación, a </w:t>
      </w:r>
      <w:r w:rsidR="000E7FA0">
        <w:rPr>
          <w:sz w:val="20"/>
          <w:lang w:val="es-ES"/>
        </w:rPr>
        <w:t>rendir informe de sus actividades</w:t>
      </w:r>
      <w:r w:rsidRPr="00CA1653">
        <w:rPr>
          <w:sz w:val="20"/>
          <w:lang w:val="es-ES"/>
        </w:rPr>
        <w:t xml:space="preserve"> en el séptimo período de sesiones del Comité. En consecuencia, el Comité, en su séptimo período de sesiones, dispondrá de un informe de los avances logrados en relación con la Asociación Mundial sobre el Mercurio del PNUMA (véase UNEP(DTIE)/Hg/INC.7/INF/3) y </w:t>
      </w:r>
      <w:r w:rsidR="000E7FA0">
        <w:rPr>
          <w:sz w:val="20"/>
          <w:lang w:val="es-ES"/>
        </w:rPr>
        <w:t xml:space="preserve">de </w:t>
      </w:r>
      <w:r w:rsidRPr="00CA1653">
        <w:rPr>
          <w:sz w:val="20"/>
          <w:lang w:val="es-ES"/>
        </w:rPr>
        <w:t>un infor</w:t>
      </w:r>
      <w:r w:rsidR="000E7FA0">
        <w:rPr>
          <w:sz w:val="20"/>
          <w:lang w:val="es-ES"/>
        </w:rPr>
        <w:t>me de las actividades desplegadas</w:t>
      </w:r>
      <w:r w:rsidRPr="00CA1653">
        <w:rPr>
          <w:sz w:val="20"/>
          <w:lang w:val="es-ES"/>
        </w:rPr>
        <w:t xml:space="preserve"> por todas las demás organizaciones asociadas (véase UNEP(DTIE)/Hg/INC.7/INF/4). </w:t>
      </w:r>
    </w:p>
    <w:p w:rsidR="005977E0" w:rsidRPr="001D29B1" w:rsidRDefault="009363CA" w:rsidP="00DB7513">
      <w:pPr>
        <w:pStyle w:val="CH2"/>
        <w:tabs>
          <w:tab w:val="clear" w:pos="851"/>
          <w:tab w:val="clear" w:pos="1814"/>
        </w:tabs>
        <w:ind w:left="540" w:hanging="29"/>
        <w:rPr>
          <w:lang w:val="es-ES_tradnl"/>
        </w:rPr>
      </w:pPr>
      <w:r>
        <w:rPr>
          <w:lang w:val="es-ES"/>
        </w:rPr>
        <w:t xml:space="preserve">B. </w:t>
      </w:r>
      <w:r>
        <w:rPr>
          <w:lang w:val="es-ES"/>
        </w:rPr>
        <w:tab/>
      </w:r>
      <w:r w:rsidR="00F400C1">
        <w:rPr>
          <w:lang w:val="es-ES"/>
        </w:rPr>
        <w:t xml:space="preserve">Reuniones de la Mesa del </w:t>
      </w:r>
      <w:r w:rsidR="00FC3126">
        <w:rPr>
          <w:lang w:val="es-ES"/>
        </w:rPr>
        <w:t>Comité Intergubernamental de Negociación</w:t>
      </w:r>
    </w:p>
    <w:p w:rsidR="00A74534" w:rsidRPr="001D29B1" w:rsidRDefault="005977E0" w:rsidP="00B406EE">
      <w:pPr>
        <w:pStyle w:val="Normalnumber"/>
        <w:rPr>
          <w:sz w:val="20"/>
          <w:lang w:val="es-ES_tradnl"/>
        </w:rPr>
      </w:pPr>
      <w:r w:rsidRPr="00CA1653">
        <w:rPr>
          <w:sz w:val="20"/>
          <w:lang w:val="es-ES"/>
        </w:rPr>
        <w:t xml:space="preserve">Desde el sexto período de sesiones del </w:t>
      </w:r>
      <w:r w:rsidR="00FC3126">
        <w:rPr>
          <w:sz w:val="20"/>
          <w:lang w:val="es-ES"/>
        </w:rPr>
        <w:t>Comité Intergubernamental de Negociación</w:t>
      </w:r>
      <w:r w:rsidRPr="00CA1653">
        <w:rPr>
          <w:sz w:val="20"/>
          <w:lang w:val="es-ES"/>
        </w:rPr>
        <w:t xml:space="preserve"> se han celebrado dos reuniones de la Mesa, una por teleconferencia el 20 de abril de 2015 y una presencial en Moscú el 1 y 2 de julio de 2015. Está previsto celebrar una segunda reunión presencial en Yakarta los d</w:t>
      </w:r>
      <w:r w:rsidR="000E7FA0">
        <w:rPr>
          <w:sz w:val="20"/>
          <w:lang w:val="es-ES"/>
        </w:rPr>
        <w:t>ías 18 y 19 de enero de 2016. Esas reuniones tuvieron como objetivos principales</w:t>
      </w:r>
      <w:r w:rsidRPr="00CA1653">
        <w:rPr>
          <w:sz w:val="20"/>
          <w:lang w:val="es-ES"/>
        </w:rPr>
        <w:t xml:space="preserve">, entre otros, hacer un balance de los resultados del sexto período de sesiones del Comité, garantizar la planificación adecuada del séptimo período de sesiones, examinar las cuestiones que se tratarían en el séptimo período de sesiones y celebrar debates normativos y estratégicos y elaborar planes logísticos para ese período de sesiones. </w:t>
      </w:r>
      <w:r w:rsidR="000E7FA0">
        <w:rPr>
          <w:sz w:val="20"/>
          <w:lang w:val="es-ES"/>
        </w:rPr>
        <w:t xml:space="preserve">En </w:t>
      </w:r>
      <w:r w:rsidRPr="00CA1653">
        <w:rPr>
          <w:sz w:val="20"/>
          <w:lang w:val="es-ES"/>
        </w:rPr>
        <w:t>el sitio web del Convenio</w:t>
      </w:r>
      <w:r w:rsidR="00E87859" w:rsidRPr="00CA1653">
        <w:rPr>
          <w:rStyle w:val="FootnoteReference"/>
          <w:lang w:val="es-ES"/>
        </w:rPr>
        <w:footnoteReference w:id="3"/>
      </w:r>
      <w:r w:rsidR="000E7FA0">
        <w:rPr>
          <w:sz w:val="20"/>
          <w:lang w:val="es-ES"/>
        </w:rPr>
        <w:t xml:space="preserve"> pueden consultarse l</w:t>
      </w:r>
      <w:r w:rsidR="000E7FA0" w:rsidRPr="00CA1653">
        <w:rPr>
          <w:sz w:val="20"/>
          <w:lang w:val="es-ES"/>
        </w:rPr>
        <w:t>os informes de las reuniones de la Mesa</w:t>
      </w:r>
      <w:r w:rsidRPr="00CA1653">
        <w:rPr>
          <w:sz w:val="20"/>
          <w:lang w:val="es-ES"/>
        </w:rPr>
        <w:t>. En esas reuniones también se trató, en particular, la coop</w:t>
      </w:r>
      <w:r w:rsidR="002B7B01">
        <w:rPr>
          <w:sz w:val="20"/>
          <w:lang w:val="es-ES"/>
        </w:rPr>
        <w:t>eración con las Secretarías del </w:t>
      </w:r>
      <w:r w:rsidRPr="00CA1653">
        <w:rPr>
          <w:sz w:val="20"/>
          <w:lang w:val="es-ES"/>
        </w:rPr>
        <w:t>FMAM y los Convenios de Basilea, Estocolmo y Rotterdam, por medio de sesiones informativas y actualizaciones ofrecidas por las dos Secretarías.</w:t>
      </w:r>
    </w:p>
    <w:p w:rsidR="005977E0" w:rsidRPr="001D29B1" w:rsidRDefault="00A74534" w:rsidP="005977E0">
      <w:pPr>
        <w:pStyle w:val="Normalnumber"/>
        <w:rPr>
          <w:sz w:val="20"/>
          <w:lang w:val="es-ES_tradnl"/>
        </w:rPr>
      </w:pPr>
      <w:r w:rsidRPr="00CA1653">
        <w:rPr>
          <w:sz w:val="20"/>
          <w:lang w:val="es-ES"/>
        </w:rPr>
        <w:t>La secretaría provisional prestó apoyo a la organización de esas reuniones mediante preparativos logísticos y el suministro de la información necesaria antes y durante las reuniones.</w:t>
      </w:r>
    </w:p>
    <w:p w:rsidR="00136250" w:rsidRPr="00336292" w:rsidRDefault="009363CA" w:rsidP="00336292">
      <w:pPr>
        <w:pStyle w:val="CH2"/>
        <w:tabs>
          <w:tab w:val="clear" w:pos="851"/>
          <w:tab w:val="clear" w:pos="1247"/>
          <w:tab w:val="clear" w:pos="1814"/>
          <w:tab w:val="left" w:pos="1260"/>
        </w:tabs>
        <w:ind w:left="1248" w:hanging="624"/>
        <w:rPr>
          <w:lang w:val="es-ES"/>
        </w:rPr>
      </w:pPr>
      <w:r>
        <w:rPr>
          <w:lang w:val="es-ES"/>
        </w:rPr>
        <w:t>C.</w:t>
      </w:r>
      <w:r>
        <w:rPr>
          <w:lang w:val="es-ES"/>
        </w:rPr>
        <w:tab/>
      </w:r>
      <w:r w:rsidR="00F400C1">
        <w:rPr>
          <w:lang w:val="es-ES"/>
        </w:rPr>
        <w:t xml:space="preserve">Consultas regionales en preparación del séptimo período de sesiones del </w:t>
      </w:r>
      <w:r w:rsidR="00FC3126">
        <w:rPr>
          <w:lang w:val="es-ES"/>
        </w:rPr>
        <w:t>Comité Intergubernamental de Negociación</w:t>
      </w:r>
    </w:p>
    <w:p w:rsidR="00F400C1" w:rsidRPr="001D29B1" w:rsidRDefault="007D40A8" w:rsidP="00F400C1">
      <w:pPr>
        <w:pStyle w:val="Normalnumber"/>
        <w:rPr>
          <w:bCs/>
          <w:sz w:val="20"/>
          <w:lang w:val="es-ES_tradnl"/>
        </w:rPr>
      </w:pPr>
      <w:r w:rsidRPr="00CA1653">
        <w:rPr>
          <w:sz w:val="20"/>
          <w:lang w:val="es-ES"/>
        </w:rPr>
        <w:t xml:space="preserve">Como parte de los preparativos del séptimo período de sesiones del </w:t>
      </w:r>
      <w:r w:rsidR="00FC3126">
        <w:rPr>
          <w:sz w:val="20"/>
          <w:lang w:val="es-ES"/>
        </w:rPr>
        <w:t>Comité Intergubernamental de Negociación</w:t>
      </w:r>
      <w:r w:rsidRPr="00CA1653">
        <w:rPr>
          <w:sz w:val="20"/>
          <w:lang w:val="es-ES"/>
        </w:rPr>
        <w:t xml:space="preserve">, la secretaría provisional se ha comprometido también a organizar una serie de reuniones regionales para las regiones de África, Asia y el Pacífico, </w:t>
      </w:r>
      <w:r w:rsidR="00326A74">
        <w:rPr>
          <w:sz w:val="20"/>
          <w:lang w:val="es-ES"/>
        </w:rPr>
        <w:t>Europa Central y Oriental, Asia </w:t>
      </w:r>
      <w:r w:rsidRPr="00CA1653">
        <w:rPr>
          <w:sz w:val="20"/>
          <w:lang w:val="es-ES"/>
        </w:rPr>
        <w:t>Central y América Latina y el Caribe. Esas reuniones fueron solic</w:t>
      </w:r>
      <w:r w:rsidR="0049242F">
        <w:rPr>
          <w:sz w:val="20"/>
          <w:lang w:val="es-ES"/>
        </w:rPr>
        <w:t>it</w:t>
      </w:r>
      <w:r w:rsidR="00326A74">
        <w:rPr>
          <w:sz w:val="20"/>
          <w:lang w:val="es-ES"/>
        </w:rPr>
        <w:t>adas por varios gobiernos a fin </w:t>
      </w:r>
      <w:r w:rsidR="0049242F">
        <w:rPr>
          <w:sz w:val="20"/>
          <w:lang w:val="es-ES"/>
        </w:rPr>
        <w:t>de</w:t>
      </w:r>
      <w:r w:rsidRPr="00CA1653">
        <w:rPr>
          <w:sz w:val="20"/>
          <w:lang w:val="es-ES"/>
        </w:rPr>
        <w:t xml:space="preserve"> que las regiones pudiesen prepararse para el séptimo perí</w:t>
      </w:r>
      <w:r w:rsidR="00326A74">
        <w:rPr>
          <w:sz w:val="20"/>
          <w:lang w:val="es-ES"/>
        </w:rPr>
        <w:t>odo de sesiones del Comité y la </w:t>
      </w:r>
      <w:r w:rsidRPr="00CA1653">
        <w:rPr>
          <w:sz w:val="20"/>
          <w:lang w:val="es-ES"/>
        </w:rPr>
        <w:t xml:space="preserve">primera reunión de la Conferencia de las Partes. Las reuniones se celebrarán </w:t>
      </w:r>
      <w:r w:rsidR="005F5C13">
        <w:rPr>
          <w:sz w:val="20"/>
          <w:lang w:val="es-ES"/>
        </w:rPr>
        <w:t xml:space="preserve">en las fechas y </w:t>
      </w:r>
      <w:r w:rsidR="00326A74">
        <w:rPr>
          <w:sz w:val="20"/>
          <w:lang w:val="es-ES"/>
        </w:rPr>
        <w:t>los </w:t>
      </w:r>
      <w:r w:rsidR="005F5C13">
        <w:rPr>
          <w:sz w:val="20"/>
          <w:lang w:val="es-ES"/>
        </w:rPr>
        <w:t>lugares siguientes:</w:t>
      </w:r>
    </w:p>
    <w:p w:rsidR="00F400C1" w:rsidRPr="001D29B1" w:rsidRDefault="00F400C1" w:rsidP="00CA1653">
      <w:pPr>
        <w:pStyle w:val="Normalnumber"/>
        <w:numPr>
          <w:ilvl w:val="1"/>
          <w:numId w:val="1"/>
        </w:numPr>
        <w:rPr>
          <w:sz w:val="20"/>
          <w:lang w:val="es-ES_tradnl"/>
        </w:rPr>
      </w:pPr>
      <w:r w:rsidRPr="00CA1653">
        <w:rPr>
          <w:sz w:val="20"/>
          <w:lang w:val="es-ES"/>
        </w:rPr>
        <w:t>Para la región de Asia y el Pacífico, del 20 al 22 de enero de 2016 en Yakarta;</w:t>
      </w:r>
    </w:p>
    <w:p w:rsidR="00F400C1" w:rsidRPr="001D29B1" w:rsidRDefault="00F400C1" w:rsidP="00B406EE">
      <w:pPr>
        <w:pStyle w:val="Normalnumber"/>
        <w:numPr>
          <w:ilvl w:val="1"/>
          <w:numId w:val="1"/>
        </w:numPr>
        <w:rPr>
          <w:sz w:val="20"/>
          <w:lang w:val="es-ES_tradnl"/>
        </w:rPr>
      </w:pPr>
      <w:r w:rsidRPr="00CA1653">
        <w:rPr>
          <w:sz w:val="20"/>
          <w:lang w:val="es-ES"/>
        </w:rPr>
        <w:t>Para la región de África, del 2 al 4 de febrero de 2016 en Lusaka;</w:t>
      </w:r>
    </w:p>
    <w:p w:rsidR="00F400C1" w:rsidRPr="001D29B1" w:rsidRDefault="00F400C1" w:rsidP="00B406EE">
      <w:pPr>
        <w:pStyle w:val="Normalnumber"/>
        <w:numPr>
          <w:ilvl w:val="1"/>
          <w:numId w:val="1"/>
        </w:numPr>
        <w:rPr>
          <w:sz w:val="20"/>
          <w:lang w:val="es-ES_tradnl"/>
        </w:rPr>
      </w:pPr>
      <w:r w:rsidRPr="00CA1653">
        <w:rPr>
          <w:sz w:val="20"/>
          <w:lang w:val="es-ES"/>
        </w:rPr>
        <w:t>Para la región de Europa Central y Oriental y Asia Centra</w:t>
      </w:r>
      <w:r w:rsidR="002B7B01">
        <w:rPr>
          <w:sz w:val="20"/>
          <w:lang w:val="es-ES"/>
        </w:rPr>
        <w:t>l, los días 3 y 4 de febrero de </w:t>
      </w:r>
      <w:r w:rsidRPr="00CA1653">
        <w:rPr>
          <w:sz w:val="20"/>
          <w:lang w:val="es-ES"/>
        </w:rPr>
        <w:t xml:space="preserve">2016 en </w:t>
      </w:r>
      <w:proofErr w:type="spellStart"/>
      <w:r w:rsidRPr="00CA1653">
        <w:rPr>
          <w:sz w:val="20"/>
          <w:lang w:val="es-ES"/>
        </w:rPr>
        <w:t>Brno</w:t>
      </w:r>
      <w:proofErr w:type="spellEnd"/>
      <w:r w:rsidRPr="00CA1653">
        <w:rPr>
          <w:sz w:val="20"/>
          <w:lang w:val="es-ES"/>
        </w:rPr>
        <w:t xml:space="preserve"> (República Checa);</w:t>
      </w:r>
    </w:p>
    <w:p w:rsidR="00AA7546" w:rsidRPr="001D29B1" w:rsidRDefault="00F400C1" w:rsidP="00B406EE">
      <w:pPr>
        <w:pStyle w:val="Normalnumber"/>
        <w:numPr>
          <w:ilvl w:val="1"/>
          <w:numId w:val="1"/>
        </w:numPr>
        <w:rPr>
          <w:sz w:val="20"/>
          <w:lang w:val="es-ES_tradnl"/>
        </w:rPr>
      </w:pPr>
      <w:r w:rsidRPr="00CA1653">
        <w:rPr>
          <w:sz w:val="20"/>
          <w:lang w:val="es-ES"/>
        </w:rPr>
        <w:t>Para la región de América Latina y el Caribe, de</w:t>
      </w:r>
      <w:r w:rsidR="00326A74">
        <w:rPr>
          <w:sz w:val="20"/>
          <w:lang w:val="es-ES"/>
        </w:rPr>
        <w:t>l 9 al 12 de febrero de 2016 en </w:t>
      </w:r>
      <w:r w:rsidRPr="00CA1653">
        <w:rPr>
          <w:sz w:val="20"/>
          <w:lang w:val="es-ES"/>
        </w:rPr>
        <w:t>Montevideo.</w:t>
      </w:r>
    </w:p>
    <w:p w:rsidR="00912EC0" w:rsidRPr="001D29B1" w:rsidRDefault="00912EC0" w:rsidP="00912EC0">
      <w:pPr>
        <w:pStyle w:val="Normalnumber"/>
        <w:rPr>
          <w:sz w:val="20"/>
          <w:lang w:val="es-ES_tradnl"/>
        </w:rPr>
      </w:pPr>
      <w:r w:rsidRPr="00CA1653">
        <w:rPr>
          <w:sz w:val="20"/>
          <w:lang w:val="es-ES"/>
        </w:rPr>
        <w:t xml:space="preserve">El objetivo general de esas reuniones es contribuir al éxito del séptimo período de sesiones del Comité, para lo cual se brinda a los países de las distintas regiones la oportunidad de celebrar consultas entre sí antes del período de sesiones, examinar los documentos de sesión, debatir cuestiones sustantivas del programa del período de sesiones, determinar problemas y prioridades regionales y facilitar la definición de las posturas regionales. En las reuniones regionales, la secretaría provisional </w:t>
      </w:r>
      <w:r w:rsidR="005F5C13">
        <w:rPr>
          <w:sz w:val="20"/>
          <w:lang w:val="es-ES"/>
        </w:rPr>
        <w:t>presentará los documentos correspondientes a</w:t>
      </w:r>
      <w:r w:rsidRPr="00CA1653">
        <w:rPr>
          <w:sz w:val="20"/>
          <w:lang w:val="es-ES"/>
        </w:rPr>
        <w:t>l séptimo período de sesiones, tras lo cual los gobiernos celebrarán debates y tal vez se perfilen posturas acerca de los diversos asuntos que se tratarán en el séptimo período de sesiones. El programa provisional de cada reunión regional se elaborará en cooperación con los miembros de la Mesa del Comité de negociación intergubernamental que pertenezcan a la región de que se trate.</w:t>
      </w:r>
    </w:p>
    <w:p w:rsidR="00136250" w:rsidRPr="001D29B1" w:rsidRDefault="00F77D14" w:rsidP="00312827">
      <w:pPr>
        <w:pStyle w:val="Normalnumber"/>
        <w:rPr>
          <w:sz w:val="20"/>
          <w:lang w:val="es-ES_tradnl"/>
        </w:rPr>
      </w:pPr>
      <w:r w:rsidRPr="00CA1653">
        <w:rPr>
          <w:sz w:val="20"/>
          <w:lang w:val="es-ES"/>
        </w:rPr>
        <w:t>La secretaría provisional está organizando las reuniones regionales en cooperación con los centros regionales de los Convenios de Basilea o Estocolmo de los países respectivos y en estrecha cooperación y coordinación con la Secretaría de los Convenios de Basilea, Estocolmo y Rotterdam. Las reuniones se financian con las contribuciones volunta</w:t>
      </w:r>
      <w:r w:rsidR="005F5C13">
        <w:rPr>
          <w:sz w:val="20"/>
          <w:lang w:val="es-ES"/>
        </w:rPr>
        <w:t xml:space="preserve">rias de los gobiernos de Suiza </w:t>
      </w:r>
      <w:r w:rsidR="00326A74">
        <w:rPr>
          <w:sz w:val="20"/>
          <w:lang w:val="es-ES"/>
        </w:rPr>
        <w:t>‒</w:t>
      </w:r>
      <w:r w:rsidRPr="00CA1653">
        <w:rPr>
          <w:sz w:val="20"/>
          <w:lang w:val="es-ES"/>
        </w:rPr>
        <w:t>principal contribuyente</w:t>
      </w:r>
      <w:r w:rsidR="00326A74">
        <w:rPr>
          <w:sz w:val="20"/>
          <w:lang w:val="es-ES"/>
        </w:rPr>
        <w:t>‒</w:t>
      </w:r>
      <w:r w:rsidRPr="00CA1653">
        <w:rPr>
          <w:sz w:val="20"/>
          <w:lang w:val="es-ES"/>
        </w:rPr>
        <w:t xml:space="preserve"> Alemania y los Países Bajos.</w:t>
      </w:r>
    </w:p>
    <w:p w:rsidR="00C85407" w:rsidRPr="001D29B1" w:rsidRDefault="009363CA" w:rsidP="00336292">
      <w:pPr>
        <w:pStyle w:val="CH2"/>
        <w:tabs>
          <w:tab w:val="clear" w:pos="851"/>
          <w:tab w:val="clear" w:pos="1247"/>
          <w:tab w:val="clear" w:pos="1814"/>
          <w:tab w:val="left" w:pos="1260"/>
        </w:tabs>
        <w:ind w:left="1248" w:hanging="624"/>
        <w:rPr>
          <w:lang w:val="es-ES_tradnl"/>
        </w:rPr>
      </w:pPr>
      <w:r>
        <w:rPr>
          <w:lang w:val="es-ES"/>
        </w:rPr>
        <w:t>D.</w:t>
      </w:r>
      <w:r>
        <w:rPr>
          <w:lang w:val="es-ES"/>
        </w:rPr>
        <w:tab/>
      </w:r>
      <w:r w:rsidR="00967296">
        <w:rPr>
          <w:lang w:val="es-ES"/>
        </w:rPr>
        <w:t>Grupo de expertos técnicos encargado de preparar la orientación solicitada en el artículo 8 del Convenio</w:t>
      </w:r>
    </w:p>
    <w:p w:rsidR="00967296" w:rsidRPr="001D29B1" w:rsidRDefault="00D66350" w:rsidP="00967296">
      <w:pPr>
        <w:pStyle w:val="Normalnumber"/>
        <w:keepNext/>
        <w:keepLines/>
        <w:rPr>
          <w:sz w:val="20"/>
          <w:lang w:val="es-ES_tradnl"/>
        </w:rPr>
      </w:pPr>
      <w:r w:rsidRPr="00CA1653">
        <w:rPr>
          <w:sz w:val="20"/>
          <w:lang w:val="es-ES"/>
        </w:rPr>
        <w:t xml:space="preserve">Desde el sexto período de sesiones del </w:t>
      </w:r>
      <w:r w:rsidR="00FC3126">
        <w:rPr>
          <w:sz w:val="20"/>
          <w:lang w:val="es-ES"/>
        </w:rPr>
        <w:t>Comité Intergubernamental de Negociación</w:t>
      </w:r>
      <w:r w:rsidRPr="00CA1653">
        <w:rPr>
          <w:sz w:val="20"/>
          <w:lang w:val="es-ES"/>
        </w:rPr>
        <w:t xml:space="preserve">, la secretaría provisional ha organizado dos reuniones del grupo de expertos técnicos establecido por la Conferencia de Plenipotenciarios para preparar la orientación que se pide en el artículo 8 del Convenio, </w:t>
      </w:r>
      <w:r w:rsidR="005F5C13">
        <w:rPr>
          <w:sz w:val="20"/>
          <w:lang w:val="es-ES"/>
        </w:rPr>
        <w:t xml:space="preserve">con </w:t>
      </w:r>
      <w:r w:rsidRPr="00CA1653">
        <w:rPr>
          <w:sz w:val="20"/>
          <w:lang w:val="es-ES"/>
        </w:rPr>
        <w:t xml:space="preserve">lo que </w:t>
      </w:r>
      <w:r w:rsidR="005F5C13">
        <w:rPr>
          <w:sz w:val="20"/>
          <w:lang w:val="es-ES"/>
        </w:rPr>
        <w:t>se elevan a</w:t>
      </w:r>
      <w:r w:rsidRPr="00CA1653">
        <w:rPr>
          <w:sz w:val="20"/>
          <w:lang w:val="es-ES"/>
        </w:rPr>
        <w:t xml:space="preserve"> cuatro </w:t>
      </w:r>
      <w:r w:rsidR="005F5C13">
        <w:rPr>
          <w:sz w:val="20"/>
          <w:lang w:val="es-ES"/>
        </w:rPr>
        <w:t xml:space="preserve">las </w:t>
      </w:r>
      <w:r w:rsidRPr="00CA1653">
        <w:rPr>
          <w:sz w:val="20"/>
          <w:lang w:val="es-ES"/>
        </w:rPr>
        <w:t xml:space="preserve">reuniones celebradas por el grupo de expertos. </w:t>
      </w:r>
    </w:p>
    <w:p w:rsidR="00245092" w:rsidRPr="001D29B1" w:rsidRDefault="00967296" w:rsidP="00245092">
      <w:pPr>
        <w:pStyle w:val="Normalnumber"/>
        <w:keepNext/>
        <w:keepLines/>
        <w:rPr>
          <w:sz w:val="20"/>
          <w:lang w:val="es-ES_tradnl"/>
        </w:rPr>
      </w:pPr>
      <w:r w:rsidRPr="00CA1653">
        <w:rPr>
          <w:sz w:val="20"/>
          <w:lang w:val="es-ES"/>
        </w:rPr>
        <w:t xml:space="preserve">La tercera reunión del grupo de expertos, organizada por el gobierno de Sudáfrica, </w:t>
      </w:r>
      <w:r w:rsidR="005F5C13">
        <w:rPr>
          <w:sz w:val="20"/>
          <w:lang w:val="es-ES"/>
        </w:rPr>
        <w:t xml:space="preserve">tuvo lugar </w:t>
      </w:r>
      <w:r w:rsidRPr="00CA1653">
        <w:rPr>
          <w:sz w:val="20"/>
          <w:lang w:val="es-ES"/>
        </w:rPr>
        <w:t xml:space="preserve">en Pretoria del 2 al 6 de marzo de 2015. El 11 y 12 de junio de 2015, los codirectores encargados de diversos sectores celebraron una pequeña reunión en Ginebra para ultimar el proyecto de directrices sobre </w:t>
      </w:r>
      <w:r w:rsidR="005F5C13">
        <w:rPr>
          <w:sz w:val="20"/>
          <w:lang w:val="es-ES"/>
        </w:rPr>
        <w:t xml:space="preserve">las </w:t>
      </w:r>
      <w:r w:rsidRPr="00CA1653">
        <w:rPr>
          <w:sz w:val="20"/>
          <w:lang w:val="es-ES"/>
        </w:rPr>
        <w:t xml:space="preserve">mejores técnicas disponibles y </w:t>
      </w:r>
      <w:r w:rsidR="005F5C13">
        <w:rPr>
          <w:sz w:val="20"/>
          <w:lang w:val="es-ES"/>
        </w:rPr>
        <w:t xml:space="preserve">las </w:t>
      </w:r>
      <w:r w:rsidRPr="00CA1653">
        <w:rPr>
          <w:sz w:val="20"/>
          <w:lang w:val="es-ES"/>
        </w:rPr>
        <w:t>mejores prácticas</w:t>
      </w:r>
      <w:r w:rsidR="005F5C13">
        <w:rPr>
          <w:sz w:val="20"/>
          <w:lang w:val="es-ES"/>
        </w:rPr>
        <w:t xml:space="preserve"> ambientales antes de distribuirlo</w:t>
      </w:r>
      <w:r w:rsidRPr="00CA1653">
        <w:rPr>
          <w:sz w:val="20"/>
          <w:lang w:val="es-ES"/>
        </w:rPr>
        <w:t xml:space="preserve"> para recabar observaciones. La secretaría provisional publicó el proyecto en el sitio web del Convenio para recabar observaciones y compiló los comentarios recibidos para que el Grupo de Expertos los examinase en su cuarta reunión. </w:t>
      </w:r>
    </w:p>
    <w:p w:rsidR="00967296" w:rsidRPr="001D29B1" w:rsidRDefault="00967296" w:rsidP="00B406EE">
      <w:pPr>
        <w:pStyle w:val="Normalnumber"/>
        <w:keepNext/>
        <w:keepLines/>
        <w:rPr>
          <w:sz w:val="20"/>
          <w:lang w:val="es-ES_tradnl"/>
        </w:rPr>
      </w:pPr>
      <w:r w:rsidRPr="00CA1653">
        <w:rPr>
          <w:sz w:val="20"/>
          <w:lang w:val="es-ES"/>
        </w:rPr>
        <w:t xml:space="preserve">La cuarta reunión se celebró en Estocolmo del 7 al 11 de septiembre de 2015, con el apoyo del Gobierno de Suecia y de la Unión Europea. </w:t>
      </w:r>
    </w:p>
    <w:p w:rsidR="00967296" w:rsidRPr="001D29B1" w:rsidRDefault="00967296" w:rsidP="00B406EE">
      <w:pPr>
        <w:pStyle w:val="Normalnumber"/>
        <w:rPr>
          <w:sz w:val="20"/>
          <w:lang w:val="es-ES_tradnl"/>
        </w:rPr>
      </w:pPr>
      <w:r w:rsidRPr="00CA1653">
        <w:rPr>
          <w:sz w:val="20"/>
          <w:lang w:val="es-ES"/>
        </w:rPr>
        <w:t xml:space="preserve">La Asociación Mundial sobre el Mercurio del PNUMA y la Secretaría de los Convenios de Basilea, Estocolmo </w:t>
      </w:r>
      <w:r w:rsidR="005F5C13">
        <w:rPr>
          <w:sz w:val="20"/>
          <w:lang w:val="es-ES"/>
        </w:rPr>
        <w:t xml:space="preserve">y Rotterdam han aportado un especialista </w:t>
      </w:r>
      <w:r w:rsidRPr="00CA1653">
        <w:rPr>
          <w:sz w:val="20"/>
          <w:lang w:val="es-ES"/>
        </w:rPr>
        <w:t xml:space="preserve">cada una </w:t>
      </w:r>
      <w:r w:rsidR="005F5C13">
        <w:rPr>
          <w:sz w:val="20"/>
          <w:lang w:val="es-ES"/>
        </w:rPr>
        <w:t>a todas</w:t>
      </w:r>
      <w:r w:rsidRPr="00CA1653">
        <w:rPr>
          <w:sz w:val="20"/>
          <w:lang w:val="es-ES"/>
        </w:rPr>
        <w:t xml:space="preserve"> las reuniones del Grupo. Esos especialistas han contribuido a los debates sobre la orientación relativa a las mejores técnicas disponibles y las mejores prácticas ambientales con aportaciones basadas en sus conocimientos técnicos y en la experiencia adquirida en el marco del Convenio correspondiente en materia de preparación de orientaciones. En la preparación de material para las reuniones del Grupo, la secretaría también se basó en material anterior preparado en el marco del Convenio de Estocolmo. </w:t>
      </w:r>
    </w:p>
    <w:p w:rsidR="00C85407" w:rsidRPr="001D29B1" w:rsidRDefault="009363CA" w:rsidP="00336292">
      <w:pPr>
        <w:pStyle w:val="CH2"/>
        <w:tabs>
          <w:tab w:val="clear" w:pos="851"/>
          <w:tab w:val="clear" w:pos="1814"/>
        </w:tabs>
        <w:ind w:left="1248" w:hanging="624"/>
        <w:rPr>
          <w:lang w:val="es-ES_tradnl"/>
        </w:rPr>
      </w:pPr>
      <w:r>
        <w:rPr>
          <w:lang w:val="es-ES"/>
        </w:rPr>
        <w:t>E.</w:t>
      </w:r>
      <w:r>
        <w:rPr>
          <w:lang w:val="es-ES"/>
        </w:rPr>
        <w:tab/>
      </w:r>
      <w:r>
        <w:rPr>
          <w:lang w:val="es-ES"/>
        </w:rPr>
        <w:tab/>
      </w:r>
      <w:r w:rsidR="005977D9">
        <w:rPr>
          <w:lang w:val="es-ES"/>
        </w:rPr>
        <w:t xml:space="preserve">Grupo de trabajo especial de expertos sobre </w:t>
      </w:r>
      <w:r w:rsidR="00326A74">
        <w:rPr>
          <w:lang w:val="es-ES"/>
        </w:rPr>
        <w:t>financiación creado en el sexto </w:t>
      </w:r>
      <w:r w:rsidR="005977D9">
        <w:rPr>
          <w:lang w:val="es-ES"/>
        </w:rPr>
        <w:t xml:space="preserve">período de sesiones del </w:t>
      </w:r>
      <w:r w:rsidR="00FC3126">
        <w:rPr>
          <w:lang w:val="es-ES"/>
        </w:rPr>
        <w:t>Comité Intergubernamental de Negociación</w:t>
      </w:r>
      <w:r w:rsidR="005977D9">
        <w:rPr>
          <w:lang w:val="es-ES"/>
        </w:rPr>
        <w:t xml:space="preserve"> sobre el mercurio</w:t>
      </w:r>
      <w:bookmarkStart w:id="5" w:name="__DdeLink__381_114434222"/>
      <w:bookmarkEnd w:id="5"/>
    </w:p>
    <w:p w:rsidR="000E0619" w:rsidRPr="001D29B1" w:rsidRDefault="000E0619" w:rsidP="00FD3F12">
      <w:pPr>
        <w:pStyle w:val="Normalnumber"/>
        <w:rPr>
          <w:sz w:val="20"/>
          <w:lang w:val="es-ES_tradnl"/>
        </w:rPr>
      </w:pPr>
      <w:r w:rsidRPr="00CA1653">
        <w:rPr>
          <w:sz w:val="20"/>
          <w:lang w:val="es-ES"/>
        </w:rPr>
        <w:t xml:space="preserve">En su sexto período de sesiones, celebrado del 3 al 7 de noviembre de 2014 en Bangkok, el </w:t>
      </w:r>
      <w:r w:rsidR="00FC3126">
        <w:rPr>
          <w:sz w:val="20"/>
          <w:lang w:val="es-ES"/>
        </w:rPr>
        <w:t>Comité Intergubernamental de Negociación</w:t>
      </w:r>
      <w:r w:rsidRPr="00CA1653">
        <w:rPr>
          <w:sz w:val="20"/>
          <w:lang w:val="es-ES"/>
        </w:rPr>
        <w:t xml:space="preserve"> estableció un grupo de trabajo especial de expertos sobre financiación para el período comprendido entre los períodos de sesiones sexto y séptimo. El grupo tenía por mandato hacer aportaciones al séptimo período de sesiones del Comité sobre la aplicación del párrafo 6 de la resolución relativo a los arreglos financieros</w:t>
      </w:r>
      <w:r w:rsidR="009363CA">
        <w:rPr>
          <w:sz w:val="20"/>
          <w:lang w:val="es-ES"/>
        </w:rPr>
        <w:t xml:space="preserve"> </w:t>
      </w:r>
      <w:r w:rsidR="009363CA" w:rsidRPr="00DB7513">
        <w:rPr>
          <w:sz w:val="20"/>
          <w:szCs w:val="20"/>
          <w:lang w:val="es-ES_tradnl"/>
        </w:rPr>
        <w:t xml:space="preserve">(UNEP(DTIE)/Hg/CONF/4, </w:t>
      </w:r>
      <w:r w:rsidR="009363CA">
        <w:rPr>
          <w:sz w:val="20"/>
          <w:szCs w:val="20"/>
          <w:lang w:val="es-ES_tradnl"/>
        </w:rPr>
        <w:t>anexo</w:t>
      </w:r>
      <w:r w:rsidR="009363CA" w:rsidRPr="00DB7513">
        <w:rPr>
          <w:sz w:val="20"/>
          <w:szCs w:val="20"/>
          <w:lang w:val="es-ES_tradnl"/>
        </w:rPr>
        <w:t xml:space="preserve"> I) </w:t>
      </w:r>
      <w:r w:rsidR="009363CA">
        <w:rPr>
          <w:sz w:val="20"/>
          <w:szCs w:val="20"/>
          <w:lang w:val="es-ES_tradnl"/>
        </w:rPr>
        <w:t>de la Conferencia de Plenipotenciarios del Convenio de Minamata</w:t>
      </w:r>
      <w:r w:rsidR="009363CA" w:rsidRPr="00DB7513">
        <w:rPr>
          <w:color w:val="000000"/>
          <w:sz w:val="20"/>
          <w:szCs w:val="20"/>
          <w:lang w:val="es-ES_tradnl" w:eastAsia="zh-CN"/>
        </w:rPr>
        <w:t>,</w:t>
      </w:r>
      <w:r w:rsidRPr="00CA1653">
        <w:rPr>
          <w:sz w:val="20"/>
          <w:lang w:val="es-ES"/>
        </w:rPr>
        <w:t xml:space="preserve"> en el que se solicita al Comité la elaboración de “una propuesta de institución de acogida del programa internacional específico, que incluya todo arreglo necesario con la institución de acogida, así como orientaciones sobre el funcionamiento y la duración de ese programa, para que la Conferencia de las Partes la examine en su primera reunión”.</w:t>
      </w:r>
    </w:p>
    <w:p w:rsidR="0063782E" w:rsidRPr="001D29B1" w:rsidRDefault="000E0619" w:rsidP="00D17A1D">
      <w:pPr>
        <w:pStyle w:val="Normalnumber"/>
        <w:rPr>
          <w:sz w:val="20"/>
          <w:lang w:val="es-ES_tradnl"/>
        </w:rPr>
      </w:pPr>
      <w:r w:rsidRPr="00CA1653">
        <w:rPr>
          <w:sz w:val="20"/>
          <w:lang w:val="es-ES"/>
        </w:rPr>
        <w:t xml:space="preserve">El grupo de trabajo especial de expertos se ha reunido en una ocasión, del 26 al 29 de octubre de 2015 en São Paulo (Brasil), por invitación del Gobierno del Brasil y con el apoyo financiero del Gobierno de Alemania. </w:t>
      </w:r>
    </w:p>
    <w:p w:rsidR="00C85407" w:rsidRPr="001D29B1" w:rsidRDefault="00F77D14" w:rsidP="008366AB">
      <w:pPr>
        <w:pStyle w:val="Normalnumber"/>
        <w:rPr>
          <w:sz w:val="20"/>
          <w:lang w:val="es-ES_tradnl"/>
        </w:rPr>
      </w:pPr>
      <w:r w:rsidRPr="00CA1653">
        <w:rPr>
          <w:sz w:val="20"/>
          <w:lang w:val="es-ES"/>
        </w:rPr>
        <w:t xml:space="preserve">La </w:t>
      </w:r>
      <w:r w:rsidR="00CE4B52">
        <w:rPr>
          <w:sz w:val="20"/>
          <w:lang w:val="es-ES"/>
        </w:rPr>
        <w:t xml:space="preserve">organización de la </w:t>
      </w:r>
      <w:r w:rsidRPr="00CA1653">
        <w:rPr>
          <w:sz w:val="20"/>
          <w:lang w:val="es-ES"/>
        </w:rPr>
        <w:t xml:space="preserve">reunión </w:t>
      </w:r>
      <w:r w:rsidR="00CE4B52">
        <w:rPr>
          <w:sz w:val="20"/>
          <w:lang w:val="es-ES"/>
        </w:rPr>
        <w:t>corrió a cargo de</w:t>
      </w:r>
      <w:r w:rsidRPr="00CA1653">
        <w:rPr>
          <w:sz w:val="20"/>
          <w:lang w:val="es-ES"/>
        </w:rPr>
        <w:t xml:space="preserve"> la secretaría provisional, con el apoyo logístico del Centro Regional del Convenio de Estocolmo para la asistencia técnica y la transferencia de tecnología en la región de América Latina y el Caribe. Además de los preparativos logísticos, la secretaría provisional, según lo solicitado por el Comité en su sexto período de sesiones, invitó a los gobiernos a formular observaciones sobre el mandato del grupo de trabajo especial de expertos, las recopiló, y preparó, entre otras cosas, un documento en el que se exponían a grandes rasgos las opciones en materia de instituciones de acogida para el programa internacional específico y la información disponible sobre los arreglos con esas instituciones. La secretaría provisional también ayudó a celebrar la reunión y preparó documentos de antecedentes adicionales para apoyar al grupo de trabajo especial de expertos y a los Copresidentes en su labor. </w:t>
      </w:r>
    </w:p>
    <w:p w:rsidR="004928E9" w:rsidRPr="001D29B1" w:rsidRDefault="004928E9" w:rsidP="00D17A1D">
      <w:pPr>
        <w:pStyle w:val="CH1"/>
        <w:rPr>
          <w:lang w:val="es-ES_tradnl"/>
        </w:rPr>
      </w:pPr>
      <w:r>
        <w:rPr>
          <w:lang w:val="es-ES"/>
        </w:rPr>
        <w:tab/>
        <w:t>III.</w:t>
      </w:r>
      <w:r>
        <w:rPr>
          <w:lang w:val="es-ES"/>
        </w:rPr>
        <w:tab/>
        <w:t>Apoyo a la ratificación y pr</w:t>
      </w:r>
      <w:r w:rsidR="00326A74">
        <w:rPr>
          <w:lang w:val="es-ES"/>
        </w:rPr>
        <w:t>onta aplicación del Convenio de </w:t>
      </w:r>
      <w:r>
        <w:rPr>
          <w:lang w:val="es-ES"/>
        </w:rPr>
        <w:t xml:space="preserve">Minamata </w:t>
      </w:r>
    </w:p>
    <w:p w:rsidR="008366AB" w:rsidRPr="001D29B1" w:rsidRDefault="008366AB" w:rsidP="00312827">
      <w:pPr>
        <w:pStyle w:val="Normalnumber"/>
        <w:rPr>
          <w:sz w:val="20"/>
          <w:lang w:val="es-ES_tradnl"/>
        </w:rPr>
      </w:pPr>
      <w:r w:rsidRPr="00CA1653">
        <w:rPr>
          <w:sz w:val="20"/>
          <w:lang w:val="es-ES"/>
        </w:rPr>
        <w:t xml:space="preserve">Además de su labor en apoyo del </w:t>
      </w:r>
      <w:r w:rsidR="00FC3126">
        <w:rPr>
          <w:sz w:val="20"/>
          <w:lang w:val="es-ES"/>
        </w:rPr>
        <w:t>Comité Intergubernamental de Negociación</w:t>
      </w:r>
      <w:r w:rsidRPr="00CA1653">
        <w:rPr>
          <w:sz w:val="20"/>
          <w:lang w:val="es-ES"/>
        </w:rPr>
        <w:t xml:space="preserve"> y sus actividades, la secretaría provisional ha respaldado las actividades realizadas en los planos nacional y regional para facilitar la ratificación y pronta aplicación del Convenio de Minamata. </w:t>
      </w:r>
    </w:p>
    <w:p w:rsidR="008366AB" w:rsidRPr="001D29B1" w:rsidRDefault="008366AB" w:rsidP="008366AB">
      <w:pPr>
        <w:pStyle w:val="CH2"/>
        <w:ind w:left="1276" w:hanging="29"/>
        <w:rPr>
          <w:lang w:val="es-ES_tradnl"/>
        </w:rPr>
      </w:pPr>
      <w:r>
        <w:rPr>
          <w:lang w:val="es-ES"/>
        </w:rPr>
        <w:t>Organización de talleres regionales y subregionales de concienciación y creación de capacidad</w:t>
      </w:r>
    </w:p>
    <w:p w:rsidR="004928E9" w:rsidRPr="001D29B1" w:rsidRDefault="004928E9" w:rsidP="005977D9">
      <w:pPr>
        <w:pStyle w:val="Normalnumber"/>
        <w:rPr>
          <w:sz w:val="20"/>
          <w:lang w:val="es-ES_tradnl"/>
        </w:rPr>
      </w:pPr>
      <w:r w:rsidRPr="00CA1653">
        <w:rPr>
          <w:sz w:val="20"/>
          <w:lang w:val="es-ES"/>
        </w:rPr>
        <w:t>La secretaría provisional, en colaboración con las oficinas regionales del PNUMA, la Secretaría de los Convenios de Basilea, Estocolmo y Rotterdam y los centros regionales pertinentes de los Convenios de Basilea y Estocolmo, prosiguió la ejecución del programa de talleres de concienciación subregional que había iniciado en marzo de 2014 para ayudar a los países a prepararse con miras a la ratificación y pronta aplicación del Convenio de Minamata. Como resultado de ello, se celebraron los cuatro talleres subregionales siguientes:</w:t>
      </w:r>
    </w:p>
    <w:p w:rsidR="004928E9" w:rsidRPr="001D29B1" w:rsidRDefault="004928E9" w:rsidP="002B7B01">
      <w:pPr>
        <w:pStyle w:val="Normalnumber"/>
        <w:numPr>
          <w:ilvl w:val="1"/>
          <w:numId w:val="1"/>
        </w:numPr>
        <w:ind w:firstLine="624"/>
        <w:rPr>
          <w:sz w:val="20"/>
          <w:lang w:val="es-ES_tradnl"/>
        </w:rPr>
      </w:pPr>
      <w:r w:rsidRPr="00CA1653">
        <w:rPr>
          <w:sz w:val="20"/>
          <w:lang w:val="es-ES"/>
        </w:rPr>
        <w:t>Taller de Centroamérica: 26 a 28 de noviembre de 2014, Ciudad de México;</w:t>
      </w:r>
    </w:p>
    <w:p w:rsidR="004928E9" w:rsidRPr="001D29B1" w:rsidRDefault="004928E9" w:rsidP="002B7B01">
      <w:pPr>
        <w:pStyle w:val="Normalnumber"/>
        <w:numPr>
          <w:ilvl w:val="1"/>
          <w:numId w:val="1"/>
        </w:numPr>
        <w:ind w:firstLine="624"/>
        <w:rPr>
          <w:sz w:val="20"/>
          <w:lang w:val="es-ES_tradnl"/>
        </w:rPr>
      </w:pPr>
      <w:r w:rsidRPr="00CA1653">
        <w:rPr>
          <w:sz w:val="20"/>
          <w:lang w:val="es-ES"/>
        </w:rPr>
        <w:t>Taller del Caribe: 19 a 21 de enero de 2015, Puerto España;</w:t>
      </w:r>
    </w:p>
    <w:p w:rsidR="004928E9" w:rsidRPr="001D29B1" w:rsidRDefault="004928E9" w:rsidP="002B7B01">
      <w:pPr>
        <w:pStyle w:val="Normalnumber"/>
        <w:numPr>
          <w:ilvl w:val="1"/>
          <w:numId w:val="1"/>
        </w:numPr>
        <w:ind w:firstLine="624"/>
        <w:rPr>
          <w:sz w:val="20"/>
          <w:lang w:val="es-ES_tradnl"/>
        </w:rPr>
      </w:pPr>
      <w:r w:rsidRPr="00CA1653">
        <w:rPr>
          <w:sz w:val="20"/>
          <w:lang w:val="es-ES"/>
        </w:rPr>
        <w:t>Taller del Pacífico: 19 a 21 de enero de 2015, Apia;</w:t>
      </w:r>
    </w:p>
    <w:p w:rsidR="004928E9" w:rsidRPr="001D29B1" w:rsidRDefault="004928E9" w:rsidP="002B7B01">
      <w:pPr>
        <w:pStyle w:val="Normalnumber"/>
        <w:numPr>
          <w:ilvl w:val="1"/>
          <w:numId w:val="1"/>
        </w:numPr>
        <w:ind w:firstLine="624"/>
        <w:rPr>
          <w:sz w:val="20"/>
          <w:lang w:val="es-ES_tradnl"/>
        </w:rPr>
      </w:pPr>
      <w:r w:rsidRPr="00CA1653">
        <w:rPr>
          <w:sz w:val="20"/>
          <w:lang w:val="es-ES"/>
        </w:rPr>
        <w:t>Taller de Europa Central y Oriental y Asia Central: 18 a 20 de febrero de 2015, Minsk.</w:t>
      </w:r>
    </w:p>
    <w:p w:rsidR="004928E9" w:rsidRPr="001D29B1" w:rsidRDefault="00CE4B52" w:rsidP="00DA291A">
      <w:pPr>
        <w:pStyle w:val="Normalnumber"/>
        <w:rPr>
          <w:sz w:val="20"/>
          <w:lang w:val="es-ES_tradnl"/>
        </w:rPr>
      </w:pPr>
      <w:r>
        <w:rPr>
          <w:sz w:val="20"/>
          <w:lang w:val="es-ES"/>
        </w:rPr>
        <w:t>Es</w:t>
      </w:r>
      <w:r w:rsidR="004928E9" w:rsidRPr="00CA1653">
        <w:rPr>
          <w:sz w:val="20"/>
          <w:lang w:val="es-ES"/>
        </w:rPr>
        <w:t>a primera ronda de 12 talleres subregionales organizados e</w:t>
      </w:r>
      <w:r w:rsidR="002B7B01">
        <w:rPr>
          <w:sz w:val="20"/>
          <w:lang w:val="es-ES"/>
        </w:rPr>
        <w:t>ntre marzo de 2014 y febrero de </w:t>
      </w:r>
      <w:r w:rsidR="004928E9" w:rsidRPr="00CA1653">
        <w:rPr>
          <w:sz w:val="20"/>
          <w:lang w:val="es-ES"/>
        </w:rPr>
        <w:t>2015 tuvo por objetivo mejorar la comprensión del Convenio y familiarizar a los part</w:t>
      </w:r>
      <w:r>
        <w:rPr>
          <w:sz w:val="20"/>
          <w:lang w:val="es-ES"/>
        </w:rPr>
        <w:t>icipantes con el proceso de</w:t>
      </w:r>
      <w:r w:rsidR="004928E9" w:rsidRPr="00CA1653">
        <w:rPr>
          <w:sz w:val="20"/>
          <w:lang w:val="es-ES"/>
        </w:rPr>
        <w:t xml:space="preserve"> firma, ratificación y aplicación. El suministro de información sobre las fuentes de apoyo disponibles y la creación de oportunidades de intercambio y adopción de medidas en las subregiones fueron también parte del proceso. Por último, todos los talleres concluyeron con la elaboración por cada país participante de hojas de ruta nacionales en </w:t>
      </w:r>
      <w:r>
        <w:rPr>
          <w:sz w:val="20"/>
          <w:lang w:val="es-ES"/>
        </w:rPr>
        <w:t xml:space="preserve">las </w:t>
      </w:r>
      <w:r w:rsidR="004928E9" w:rsidRPr="00CA1653">
        <w:rPr>
          <w:sz w:val="20"/>
          <w:lang w:val="es-ES"/>
        </w:rPr>
        <w:t>que se establecían las medidas que debían adoptarse en el plano nacional para avanzar hacia la ratificación y aplicación del Convenio. Mediante la participación de sus representantes en los talleres, los organismos encargados de la aplicación se informaron acerca de las actividades previstas a nivel nacional. Los talleres también brinda</w:t>
      </w:r>
      <w:r>
        <w:rPr>
          <w:sz w:val="20"/>
          <w:lang w:val="es-ES"/>
        </w:rPr>
        <w:t>ro</w:t>
      </w:r>
      <w:r w:rsidR="004928E9" w:rsidRPr="00CA1653">
        <w:rPr>
          <w:sz w:val="20"/>
          <w:lang w:val="es-ES"/>
        </w:rPr>
        <w:t xml:space="preserve">n la oportunidad de coordinar la labor del período de transición, incluidas las actividades de apoyo desplegadas con la ayuda del FMAM. Contribuyeron a la celebración de los talleres las secretarías de los Convenios de Basilea, Estocolmo y Rotterdam, el </w:t>
      </w:r>
      <w:r w:rsidR="00FD7C34">
        <w:rPr>
          <w:sz w:val="20"/>
          <w:lang w:val="es-ES"/>
        </w:rPr>
        <w:t>Programa de las Naciones Unidas para el Desarrollo (</w:t>
      </w:r>
      <w:r w:rsidR="004928E9" w:rsidRPr="00CA1653">
        <w:rPr>
          <w:sz w:val="20"/>
          <w:lang w:val="es-ES"/>
        </w:rPr>
        <w:t>PNUD</w:t>
      </w:r>
      <w:r w:rsidR="00FD7C34">
        <w:rPr>
          <w:sz w:val="20"/>
          <w:lang w:val="es-ES"/>
        </w:rPr>
        <w:t>)</w:t>
      </w:r>
      <w:r w:rsidR="004928E9" w:rsidRPr="00CA1653">
        <w:rPr>
          <w:sz w:val="20"/>
          <w:lang w:val="es-ES"/>
        </w:rPr>
        <w:t xml:space="preserve">, el PNUMA, la Organización de las </w:t>
      </w:r>
      <w:r w:rsidR="002B7B01">
        <w:rPr>
          <w:sz w:val="20"/>
          <w:lang w:val="es-ES"/>
        </w:rPr>
        <w:t>Naciones Unidas</w:t>
      </w:r>
      <w:r w:rsidR="004928E9" w:rsidRPr="00CA1653">
        <w:rPr>
          <w:sz w:val="20"/>
          <w:lang w:val="es-ES"/>
        </w:rPr>
        <w:t xml:space="preserve"> para el Desarrollo Industrial (ONUDI), el Instituto de las </w:t>
      </w:r>
      <w:r w:rsidR="002B7B01">
        <w:rPr>
          <w:sz w:val="20"/>
          <w:lang w:val="es-ES"/>
        </w:rPr>
        <w:t>Naciones Unidas</w:t>
      </w:r>
      <w:r w:rsidR="004928E9" w:rsidRPr="00CA1653">
        <w:rPr>
          <w:sz w:val="20"/>
          <w:lang w:val="es-ES"/>
        </w:rPr>
        <w:t xml:space="preserve"> para Formación Profesional e Investigaciones (UNITAR) y la OMS. </w:t>
      </w:r>
    </w:p>
    <w:p w:rsidR="004928E9" w:rsidRPr="001D29B1" w:rsidRDefault="004928E9" w:rsidP="005977D9">
      <w:pPr>
        <w:pStyle w:val="Normalnumber"/>
        <w:rPr>
          <w:sz w:val="20"/>
          <w:lang w:val="es-ES_tradnl"/>
        </w:rPr>
      </w:pPr>
      <w:r w:rsidRPr="00CA1653">
        <w:rPr>
          <w:sz w:val="20"/>
          <w:lang w:val="es-ES"/>
        </w:rPr>
        <w:t xml:space="preserve">A fin de dar seguimiento al proceso, la secretaría provisional, en cooperación con la Secretaría de los Convenios de Basilea, Estocolmo y Rotterdam, organizó una nueva ronda de talleres, en esta ocasión a </w:t>
      </w:r>
      <w:r w:rsidR="00CE4B52">
        <w:rPr>
          <w:sz w:val="20"/>
          <w:lang w:val="es-ES"/>
        </w:rPr>
        <w:t>nivel regional, que se celebraron</w:t>
      </w:r>
      <w:r w:rsidRPr="00CA1653">
        <w:rPr>
          <w:sz w:val="20"/>
          <w:lang w:val="es-ES"/>
        </w:rPr>
        <w:t xml:space="preserve"> de forma consecutiva a las reuniones regionales de preparación de las reuniones de las Conferencias de las Partes en los Convenios de Basilea, Estocolmo y Rotterdam, </w:t>
      </w:r>
      <w:r w:rsidR="00CE4B52">
        <w:rPr>
          <w:sz w:val="20"/>
          <w:lang w:val="es-ES"/>
        </w:rPr>
        <w:t>celebradas en mayo de 2015. En es</w:t>
      </w:r>
      <w:r w:rsidRPr="00CA1653">
        <w:rPr>
          <w:sz w:val="20"/>
          <w:lang w:val="es-ES"/>
        </w:rPr>
        <w:t>os talleres</w:t>
      </w:r>
      <w:r w:rsidR="00CE4B52">
        <w:rPr>
          <w:sz w:val="20"/>
          <w:lang w:val="es-ES"/>
        </w:rPr>
        <w:t>,</w:t>
      </w:r>
      <w:r w:rsidRPr="00CA1653">
        <w:rPr>
          <w:sz w:val="20"/>
          <w:lang w:val="es-ES"/>
        </w:rPr>
        <w:t xml:space="preserve"> los países tuvieron la oportunidad de in</w:t>
      </w:r>
      <w:r w:rsidR="00CE4B52">
        <w:rPr>
          <w:sz w:val="20"/>
          <w:lang w:val="es-ES"/>
        </w:rPr>
        <w:t>formar acerca d</w:t>
      </w:r>
      <w:r w:rsidRPr="00CA1653">
        <w:rPr>
          <w:sz w:val="20"/>
          <w:lang w:val="es-ES"/>
        </w:rPr>
        <w:t xml:space="preserve">e </w:t>
      </w:r>
      <w:r w:rsidR="00CE4B52">
        <w:rPr>
          <w:sz w:val="20"/>
          <w:lang w:val="es-ES"/>
        </w:rPr>
        <w:t xml:space="preserve">la marcha de </w:t>
      </w:r>
      <w:r w:rsidRPr="00CA1653">
        <w:rPr>
          <w:sz w:val="20"/>
          <w:lang w:val="es-ES"/>
        </w:rPr>
        <w:t xml:space="preserve">las actividades previstas en las hojas de ruta que habían elaborado en los cursos prácticos subregionales y la secretaría provisional pudo difundir más información y orientación sobre las principales cuestiones de interés para cada región. También hubo ocasión de examinar otras esferas en las que podría establecerse cooperación a nivel regional y los preparativos para el séptimo período de sesiones del </w:t>
      </w:r>
      <w:r w:rsidR="00FC3126">
        <w:rPr>
          <w:sz w:val="20"/>
          <w:lang w:val="es-ES"/>
        </w:rPr>
        <w:t>Comité Intergubernamental de Negociación</w:t>
      </w:r>
      <w:r w:rsidRPr="00CA1653">
        <w:rPr>
          <w:sz w:val="20"/>
          <w:lang w:val="es-ES"/>
        </w:rPr>
        <w:t xml:space="preserve"> y la primera reunión de la Conferencia de las Partes. En los talleres también se cele</w:t>
      </w:r>
      <w:r w:rsidR="00CE4B52">
        <w:rPr>
          <w:sz w:val="20"/>
          <w:lang w:val="es-ES"/>
        </w:rPr>
        <w:t xml:space="preserve">bró una sesión conjunta con las reuniones </w:t>
      </w:r>
      <w:r w:rsidRPr="00CA1653">
        <w:rPr>
          <w:sz w:val="20"/>
          <w:lang w:val="es-ES"/>
        </w:rPr>
        <w:t xml:space="preserve">regionales de los Convenios de Basilea, Estocolmo y Rotterdam que se centró en los recursos financieros para la labor relativa a los productos químicos y los desechos, los objetivos de desarrollo sostenible y la cooperación y coordinación entre los Convenios de Basilea, Estocolmo, Rotterdam y Minamata. </w:t>
      </w:r>
      <w:r w:rsidR="002827B3">
        <w:rPr>
          <w:sz w:val="20"/>
          <w:lang w:val="es-ES"/>
        </w:rPr>
        <w:t>Los talleres regionales se celebraron en las fechas y los lugares siguientes:</w:t>
      </w:r>
    </w:p>
    <w:p w:rsidR="004928E9" w:rsidRPr="001D29B1" w:rsidRDefault="004928E9" w:rsidP="002B7B01">
      <w:pPr>
        <w:pStyle w:val="Normalnumber"/>
        <w:numPr>
          <w:ilvl w:val="1"/>
          <w:numId w:val="1"/>
        </w:numPr>
        <w:ind w:firstLine="624"/>
        <w:rPr>
          <w:sz w:val="20"/>
          <w:lang w:val="es-ES_tradnl"/>
        </w:rPr>
      </w:pPr>
      <w:r w:rsidRPr="00CA1653">
        <w:rPr>
          <w:sz w:val="20"/>
          <w:lang w:val="es-ES"/>
        </w:rPr>
        <w:t>Taller de Asia y el Pacífico: 17 a 20 de marzo de 2015, Yakarta;</w:t>
      </w:r>
    </w:p>
    <w:p w:rsidR="004928E9" w:rsidRPr="001D29B1" w:rsidRDefault="004928E9" w:rsidP="002B7B01">
      <w:pPr>
        <w:pStyle w:val="Normalnumber"/>
        <w:numPr>
          <w:ilvl w:val="1"/>
          <w:numId w:val="1"/>
        </w:numPr>
        <w:ind w:firstLine="624"/>
        <w:rPr>
          <w:sz w:val="20"/>
          <w:lang w:val="es-ES_tradnl"/>
        </w:rPr>
      </w:pPr>
      <w:r w:rsidRPr="00CA1653">
        <w:rPr>
          <w:sz w:val="20"/>
          <w:lang w:val="es-ES"/>
        </w:rPr>
        <w:t>Taller de África: 24 a 27 de marzo de 2015, Nairobi;</w:t>
      </w:r>
    </w:p>
    <w:p w:rsidR="004928E9" w:rsidRPr="001D29B1" w:rsidRDefault="004928E9" w:rsidP="002B7B01">
      <w:pPr>
        <w:pStyle w:val="Normalnumber"/>
        <w:numPr>
          <w:ilvl w:val="1"/>
          <w:numId w:val="1"/>
        </w:numPr>
        <w:ind w:firstLine="624"/>
        <w:rPr>
          <w:sz w:val="20"/>
          <w:lang w:val="es-ES_tradnl"/>
        </w:rPr>
      </w:pPr>
      <w:r w:rsidRPr="00CA1653">
        <w:rPr>
          <w:sz w:val="20"/>
          <w:lang w:val="es-ES"/>
        </w:rPr>
        <w:t xml:space="preserve">Taller de Europa Central y Oriental y Asia Central: 7 a </w:t>
      </w:r>
      <w:r w:rsidR="001B4EE8">
        <w:rPr>
          <w:sz w:val="20"/>
          <w:lang w:val="es-ES"/>
        </w:rPr>
        <w:t>10 de abril de 2015, Bratislava;</w:t>
      </w:r>
    </w:p>
    <w:p w:rsidR="004928E9" w:rsidRPr="001D29B1" w:rsidRDefault="004928E9" w:rsidP="002B7B01">
      <w:pPr>
        <w:pStyle w:val="Normalnumber"/>
        <w:numPr>
          <w:ilvl w:val="1"/>
          <w:numId w:val="1"/>
        </w:numPr>
        <w:ind w:firstLine="624"/>
        <w:rPr>
          <w:sz w:val="20"/>
          <w:lang w:val="es-ES_tradnl"/>
        </w:rPr>
      </w:pPr>
      <w:r w:rsidRPr="00CA1653">
        <w:rPr>
          <w:sz w:val="20"/>
          <w:lang w:val="es-ES"/>
        </w:rPr>
        <w:t>Taller de América Latina y el Caribe: 14 a 17 de abril de 2015, Montevideo.</w:t>
      </w:r>
    </w:p>
    <w:p w:rsidR="004928E9" w:rsidRPr="001D29B1" w:rsidRDefault="002827B3" w:rsidP="00974160">
      <w:pPr>
        <w:pStyle w:val="Normalnumber"/>
        <w:rPr>
          <w:sz w:val="20"/>
          <w:lang w:val="es-ES_tradnl"/>
        </w:rPr>
      </w:pPr>
      <w:r>
        <w:rPr>
          <w:sz w:val="20"/>
          <w:lang w:val="es-ES"/>
        </w:rPr>
        <w:t xml:space="preserve">En </w:t>
      </w:r>
      <w:r w:rsidR="004928E9" w:rsidRPr="00CA1653">
        <w:rPr>
          <w:sz w:val="20"/>
          <w:lang w:val="es-ES"/>
        </w:rPr>
        <w:t xml:space="preserve">los talleres </w:t>
      </w:r>
      <w:r>
        <w:rPr>
          <w:sz w:val="20"/>
          <w:lang w:val="es-ES"/>
        </w:rPr>
        <w:t xml:space="preserve">también participaron </w:t>
      </w:r>
      <w:r w:rsidR="004928E9" w:rsidRPr="00CA1653">
        <w:rPr>
          <w:sz w:val="20"/>
          <w:lang w:val="es-ES"/>
        </w:rPr>
        <w:t xml:space="preserve">algunas organizaciones intergubernamentales, órganos de las </w:t>
      </w:r>
      <w:r w:rsidR="002B7B01">
        <w:rPr>
          <w:sz w:val="20"/>
          <w:lang w:val="es-ES"/>
        </w:rPr>
        <w:t>Naciones Unidas</w:t>
      </w:r>
      <w:r w:rsidR="004928E9" w:rsidRPr="00CA1653">
        <w:rPr>
          <w:sz w:val="20"/>
          <w:lang w:val="es-ES"/>
        </w:rPr>
        <w:t xml:space="preserve"> y otras entidades que desempeñan un papel importante en el apoyo a la labor encaminada a lograr la ratificación y aplicación del Convenio</w:t>
      </w:r>
      <w:r w:rsidR="002B7B01">
        <w:rPr>
          <w:sz w:val="20"/>
          <w:lang w:val="es-ES"/>
        </w:rPr>
        <w:t>, como son el FMAM, el PNUD, el </w:t>
      </w:r>
      <w:r w:rsidR="004928E9" w:rsidRPr="00CA1653">
        <w:rPr>
          <w:sz w:val="20"/>
          <w:lang w:val="es-ES"/>
        </w:rPr>
        <w:t xml:space="preserve">PNUMA, la ONUDI, el UNITAR, la OMS, los centros regionales de los Convenios de Basilea y Estocolmo y varias organizaciones no gubernamentales que realizan actividades en las distintas regiones. Estas organizaciones también hicieron presentaciones sobre la ayuda de que disponen los países para la ratificación y pronta aplicación del Convenio de Minamata. </w:t>
      </w:r>
    </w:p>
    <w:p w:rsidR="004928E9" w:rsidRPr="001D29B1" w:rsidRDefault="004928E9" w:rsidP="004928E9">
      <w:pPr>
        <w:pStyle w:val="Normalnumber"/>
        <w:rPr>
          <w:lang w:val="es-ES_tradnl"/>
        </w:rPr>
      </w:pPr>
      <w:r w:rsidRPr="00CA1653">
        <w:rPr>
          <w:sz w:val="20"/>
          <w:lang w:val="es-ES"/>
        </w:rPr>
        <w:t>Los informes sobre los talleres regionales y subregionales pueden consultarse en www.mercuryconvention.org/AwarenessRaising/Wor</w:t>
      </w:r>
      <w:r w:rsidR="00CA1653" w:rsidRPr="00CA1653">
        <w:rPr>
          <w:sz w:val="20"/>
          <w:lang w:val="es-ES"/>
        </w:rPr>
        <w:t>kshops/tabid/3800/Default.aspx.</w:t>
      </w:r>
      <w:r w:rsidRPr="00CA1653">
        <w:rPr>
          <w:sz w:val="20"/>
          <w:lang w:val="es-ES"/>
        </w:rPr>
        <w:t xml:space="preserve"> </w:t>
      </w:r>
    </w:p>
    <w:p w:rsidR="004928E9" w:rsidRPr="001D29B1" w:rsidRDefault="002827B3" w:rsidP="004928E9">
      <w:pPr>
        <w:pStyle w:val="CH2"/>
        <w:ind w:left="1276" w:hanging="29"/>
        <w:rPr>
          <w:lang w:val="es-ES_tradnl"/>
        </w:rPr>
      </w:pPr>
      <w:r>
        <w:rPr>
          <w:lang w:val="es-ES"/>
        </w:rPr>
        <w:t>Apoyo a los proyectos experimentales</w:t>
      </w:r>
      <w:r w:rsidR="004928E9">
        <w:rPr>
          <w:lang w:val="es-ES"/>
        </w:rPr>
        <w:t xml:space="preserve"> en los planos nacional y regional </w:t>
      </w:r>
    </w:p>
    <w:p w:rsidR="004928E9" w:rsidRPr="00CA1653" w:rsidRDefault="004928E9" w:rsidP="00324279">
      <w:pPr>
        <w:pStyle w:val="Normalnumber"/>
        <w:rPr>
          <w:sz w:val="20"/>
        </w:rPr>
      </w:pPr>
      <w:r w:rsidRPr="00CA1653">
        <w:rPr>
          <w:sz w:val="20"/>
          <w:lang w:val="es-ES"/>
        </w:rPr>
        <w:t>La secretaría provisional siguió presta</w:t>
      </w:r>
      <w:r w:rsidR="002827B3">
        <w:rPr>
          <w:sz w:val="20"/>
          <w:lang w:val="es-ES"/>
        </w:rPr>
        <w:t>ndo apoyo a los proyectos experimentales</w:t>
      </w:r>
      <w:r w:rsidRPr="00CA1653">
        <w:rPr>
          <w:sz w:val="20"/>
          <w:lang w:val="es-ES"/>
        </w:rPr>
        <w:t xml:space="preserve"> implantados a nivel nacional para promover actividades destinadas a lograr la ratificación y aplicación del Convenio en diversos países. Entre las principales actividades realizadas en el plano nacional cabe mencionar la elaboración de inventarios de usos, emisiones y liberaciones de mercurio, </w:t>
      </w:r>
      <w:r w:rsidR="001A0F0E">
        <w:rPr>
          <w:sz w:val="20"/>
          <w:lang w:val="es-ES"/>
        </w:rPr>
        <w:t xml:space="preserve">y </w:t>
      </w:r>
      <w:r w:rsidRPr="00CA1653">
        <w:rPr>
          <w:sz w:val="20"/>
          <w:lang w:val="es-ES"/>
        </w:rPr>
        <w:t>una evaluación y un examen jurídicos y normativos. La secretaría provisional, junto con organizaciones asociadas, también apoya la ejecución de proyectos experimen</w:t>
      </w:r>
      <w:r w:rsidR="001A0F0E">
        <w:rPr>
          <w:sz w:val="20"/>
          <w:lang w:val="es-ES"/>
        </w:rPr>
        <w:t xml:space="preserve">tales en el plano regional, en particular </w:t>
      </w:r>
      <w:r w:rsidRPr="00CA1653">
        <w:rPr>
          <w:sz w:val="20"/>
          <w:lang w:val="es-ES"/>
        </w:rPr>
        <w:t>una iniciativa para determinar los niveles de mercurio en el cabe</w:t>
      </w:r>
      <w:r w:rsidR="001A0F0E">
        <w:rPr>
          <w:sz w:val="20"/>
          <w:lang w:val="es-ES"/>
        </w:rPr>
        <w:t>llo de mujeres en edad fértil de</w:t>
      </w:r>
      <w:r w:rsidRPr="00CA1653">
        <w:rPr>
          <w:sz w:val="20"/>
          <w:lang w:val="es-ES"/>
        </w:rPr>
        <w:t xml:space="preserve"> algunos países de la región de Asia y el Pacífico y un taller subregional para de</w:t>
      </w:r>
      <w:r w:rsidR="001A0F0E">
        <w:rPr>
          <w:sz w:val="20"/>
          <w:lang w:val="es-ES"/>
        </w:rPr>
        <w:t>terminados países del</w:t>
      </w:r>
      <w:r w:rsidRPr="00CA1653">
        <w:rPr>
          <w:sz w:val="20"/>
          <w:lang w:val="es-ES"/>
        </w:rPr>
        <w:t xml:space="preserve"> África </w:t>
      </w:r>
      <w:r w:rsidR="001A0F0E">
        <w:rPr>
          <w:sz w:val="20"/>
          <w:lang w:val="es-ES"/>
        </w:rPr>
        <w:t xml:space="preserve">francófona </w:t>
      </w:r>
      <w:r w:rsidRPr="00CA1653">
        <w:rPr>
          <w:sz w:val="20"/>
          <w:lang w:val="es-ES"/>
        </w:rPr>
        <w:t xml:space="preserve">sobre la aplicación de las disposiciones del Convenio relativas a la amalgama dental, que se celebrará en </w:t>
      </w:r>
      <w:proofErr w:type="spellStart"/>
      <w:r w:rsidRPr="00CA1653">
        <w:rPr>
          <w:sz w:val="20"/>
          <w:lang w:val="es-ES"/>
        </w:rPr>
        <w:t>Abidjan</w:t>
      </w:r>
      <w:proofErr w:type="spellEnd"/>
      <w:r w:rsidRPr="00CA1653">
        <w:rPr>
          <w:sz w:val="20"/>
          <w:lang w:val="es-ES"/>
        </w:rPr>
        <w:t>, en abril de 2015. Esos proyectos continuarán en 2016.</w:t>
      </w:r>
    </w:p>
    <w:p w:rsidR="004928E9" w:rsidRPr="001D29B1" w:rsidRDefault="004928E9" w:rsidP="004928E9">
      <w:pPr>
        <w:pStyle w:val="CH2"/>
        <w:ind w:left="1276" w:hanging="29"/>
        <w:rPr>
          <w:lang w:val="es-ES_tradnl"/>
        </w:rPr>
      </w:pPr>
      <w:r>
        <w:rPr>
          <w:lang w:val="es-ES"/>
        </w:rPr>
        <w:t xml:space="preserve">Otras actividades de divulgación y concienciación </w:t>
      </w:r>
    </w:p>
    <w:p w:rsidR="004928E9" w:rsidRPr="001D29B1" w:rsidRDefault="00C65C92" w:rsidP="004928E9">
      <w:pPr>
        <w:pStyle w:val="Normalnumber"/>
        <w:rPr>
          <w:sz w:val="20"/>
          <w:lang w:val="es-ES_tradnl"/>
        </w:rPr>
      </w:pPr>
      <w:r>
        <w:rPr>
          <w:sz w:val="20"/>
          <w:lang w:val="es-ES"/>
        </w:rPr>
        <w:t xml:space="preserve">El Convenio ha visto potenciadas sus actividades de divulgación gracias a la incorporación de su sitio web </w:t>
      </w:r>
      <w:r w:rsidR="004928E9" w:rsidRPr="00CA1653">
        <w:rPr>
          <w:sz w:val="20"/>
          <w:lang w:val="es-ES"/>
        </w:rPr>
        <w:t>a una plataforma facilitada por la Secretaría de los Convenios de Basile</w:t>
      </w:r>
      <w:r>
        <w:rPr>
          <w:sz w:val="20"/>
          <w:lang w:val="es-ES"/>
        </w:rPr>
        <w:t>a, Estocolmo y Rotterdam y a</w:t>
      </w:r>
      <w:r w:rsidR="004928E9" w:rsidRPr="00CA1653">
        <w:rPr>
          <w:sz w:val="20"/>
          <w:lang w:val="es-ES"/>
        </w:rPr>
        <w:t>l apoyo técnico de esa Secretaría en el mantenimiento y perfeccionamiento del sitio web. Desde el sexto período de sesiones del Comité, la secretaría provisional se ha esforzado por mejorar la difusión de información en el sitio web del Convenio, entre otras cosas publicando documentación justificativa actualizada.</w:t>
      </w:r>
    </w:p>
    <w:p w:rsidR="00C1777F" w:rsidRPr="001D29B1" w:rsidRDefault="005977D9" w:rsidP="00CA77B4">
      <w:pPr>
        <w:pStyle w:val="Normalnumber"/>
        <w:rPr>
          <w:sz w:val="20"/>
          <w:lang w:val="es-ES_tradnl"/>
        </w:rPr>
      </w:pPr>
      <w:r w:rsidRPr="00CA1653">
        <w:rPr>
          <w:sz w:val="20"/>
          <w:lang w:val="es-ES"/>
        </w:rPr>
        <w:t xml:space="preserve">La secretaría provisional apoyó la celebración, el 24 de septiembre de </w:t>
      </w:r>
      <w:r w:rsidR="00C65C92">
        <w:rPr>
          <w:sz w:val="20"/>
          <w:lang w:val="es-ES"/>
        </w:rPr>
        <w:t>2015 en Nueva York, de un acto</w:t>
      </w:r>
      <w:r w:rsidRPr="00CA1653">
        <w:rPr>
          <w:sz w:val="20"/>
          <w:lang w:val="es-ES"/>
        </w:rPr>
        <w:t xml:space="preserve"> especial de alto nivel organizado por los Gobiernos del Japón, Suiza, los Estados Unidos de América y el Uruguay </w:t>
      </w:r>
      <w:r w:rsidR="00C65C92">
        <w:rPr>
          <w:sz w:val="20"/>
          <w:lang w:val="es-ES"/>
        </w:rPr>
        <w:t>a</w:t>
      </w:r>
      <w:r w:rsidRPr="00CA1653">
        <w:rPr>
          <w:sz w:val="20"/>
          <w:lang w:val="es-ES"/>
        </w:rPr>
        <w:t>l</w:t>
      </w:r>
      <w:r w:rsidR="00C65C92">
        <w:rPr>
          <w:sz w:val="20"/>
          <w:lang w:val="es-ES"/>
        </w:rPr>
        <w:t xml:space="preserve"> margen del</w:t>
      </w:r>
      <w:r w:rsidRPr="00CA1653">
        <w:rPr>
          <w:sz w:val="20"/>
          <w:lang w:val="es-ES"/>
        </w:rPr>
        <w:t xml:space="preserve"> septuagésimo período de sesiones de la Asamblea General de las </w:t>
      </w:r>
      <w:r w:rsidR="002B7B01">
        <w:rPr>
          <w:sz w:val="20"/>
          <w:lang w:val="es-ES"/>
        </w:rPr>
        <w:t>Naciones Unidas</w:t>
      </w:r>
      <w:r w:rsidR="00C65C92">
        <w:rPr>
          <w:sz w:val="20"/>
          <w:lang w:val="es-ES"/>
        </w:rPr>
        <w:t xml:space="preserve"> </w:t>
      </w:r>
      <w:r w:rsidR="00C65C92" w:rsidRPr="00CA1653">
        <w:rPr>
          <w:sz w:val="20"/>
          <w:lang w:val="es-ES"/>
        </w:rPr>
        <w:t>para promover la ratificac</w:t>
      </w:r>
      <w:r w:rsidR="00C65C92">
        <w:rPr>
          <w:sz w:val="20"/>
          <w:lang w:val="es-ES"/>
        </w:rPr>
        <w:t>ión del Convenio</w:t>
      </w:r>
      <w:r w:rsidRPr="00CA1653">
        <w:rPr>
          <w:sz w:val="20"/>
          <w:lang w:val="es-ES"/>
        </w:rPr>
        <w:t xml:space="preserve">. Los Gobiernos del Chad y Samoa aprovecharon la ocasión para anunciar su ratificación del Convenio de Minamata y depositar los correspondientes instrumentos de ratificación. </w:t>
      </w:r>
    </w:p>
    <w:p w:rsidR="00CA77B4" w:rsidRPr="001D29B1" w:rsidRDefault="00CA77B4" w:rsidP="00F03B23">
      <w:pPr>
        <w:pStyle w:val="CH1"/>
        <w:rPr>
          <w:lang w:val="es-ES_tradnl"/>
        </w:rPr>
      </w:pPr>
      <w:r>
        <w:rPr>
          <w:lang w:val="es-ES"/>
        </w:rPr>
        <w:tab/>
        <w:t>IV.</w:t>
      </w:r>
      <w:r>
        <w:rPr>
          <w:lang w:val="es-ES"/>
        </w:rPr>
        <w:tab/>
        <w:t>Otras actividades desplegadas por la secretaría provisional</w:t>
      </w:r>
    </w:p>
    <w:p w:rsidR="00950D2C" w:rsidRPr="001D29B1" w:rsidRDefault="00950D2C" w:rsidP="00950D2C">
      <w:pPr>
        <w:pStyle w:val="Normalnumber"/>
        <w:rPr>
          <w:sz w:val="20"/>
          <w:lang w:val="es-ES_tradnl"/>
        </w:rPr>
      </w:pPr>
      <w:r w:rsidRPr="00CA1653">
        <w:rPr>
          <w:sz w:val="20"/>
          <w:lang w:val="es-ES"/>
        </w:rPr>
        <w:t>La secretaría provisional participó en una serie de procesos junto con la Subdivisión de Productos Químicos y Desechos, la Secretaría de los Convenios de Basilea, Estocolmo y Rotterdam y la Secretaría del Enfoque Estratégico para la Gestión de los Productos</w:t>
      </w:r>
      <w:r w:rsidR="00C65C92">
        <w:rPr>
          <w:sz w:val="20"/>
          <w:lang w:val="es-ES"/>
        </w:rPr>
        <w:t xml:space="preserve"> Químicos a Nivel Internacional; y c</w:t>
      </w:r>
      <w:r w:rsidRPr="00CA1653">
        <w:rPr>
          <w:sz w:val="20"/>
          <w:lang w:val="es-ES"/>
        </w:rPr>
        <w:t xml:space="preserve">ontribuyó a la labor de integración de la gestión racional de los productos químicos y los desechos en los objetivos de desarrollo sostenible y al establecimiento del programa especial de apoyo al fortalecimiento institucional a nivel nacional para la aplicación de los Convenios de Basilea, Estocolmo, Rotterdam y Minamata y el Enfoque Estratégico para la Gestión Internacional de los Productos Químicos. </w:t>
      </w:r>
    </w:p>
    <w:p w:rsidR="00C1777F" w:rsidRPr="001D29B1" w:rsidRDefault="00C1777F" w:rsidP="00CA77B4">
      <w:pPr>
        <w:pStyle w:val="Normalnumber"/>
        <w:rPr>
          <w:sz w:val="20"/>
          <w:lang w:val="es-ES_tradnl"/>
        </w:rPr>
      </w:pPr>
      <w:r w:rsidRPr="00CA1653">
        <w:rPr>
          <w:sz w:val="20"/>
          <w:lang w:val="es-ES"/>
        </w:rPr>
        <w:t>Los miembros de la secretaría provisional prestaron apoyo logístico y sustantivo para las reuniones de las Conferencias de las Partes en los Convenios de Basilea, Estocolmo y Rotterdam celebradas en Ginebra del 4 al 15 de mayo de 2015 y para el cuarto período de sesiones de la Conferencia Internacional sobre la Gestión de los Pr</w:t>
      </w:r>
      <w:r w:rsidR="00C65C92">
        <w:rPr>
          <w:sz w:val="20"/>
          <w:lang w:val="es-ES"/>
        </w:rPr>
        <w:t>oductos Químicos, que tuvo lugar</w:t>
      </w:r>
      <w:r w:rsidR="002B7B01">
        <w:rPr>
          <w:sz w:val="20"/>
          <w:lang w:val="es-ES"/>
        </w:rPr>
        <w:t xml:space="preserve"> en Ginebra del </w:t>
      </w:r>
      <w:r w:rsidRPr="00CA1653">
        <w:rPr>
          <w:sz w:val="20"/>
          <w:lang w:val="es-ES"/>
        </w:rPr>
        <w:t>28 de septiembre al 2 de octubre de 2015.</w:t>
      </w:r>
    </w:p>
    <w:p w:rsidR="00950D2C" w:rsidRPr="001D29B1" w:rsidRDefault="00C1777F" w:rsidP="00CA77B4">
      <w:pPr>
        <w:pStyle w:val="Normalnumber"/>
        <w:rPr>
          <w:b/>
          <w:bCs/>
          <w:sz w:val="20"/>
          <w:lang w:val="es-ES_tradnl"/>
        </w:rPr>
      </w:pPr>
      <w:r w:rsidRPr="00CA1653">
        <w:rPr>
          <w:sz w:val="20"/>
          <w:lang w:val="es-ES"/>
        </w:rPr>
        <w:t xml:space="preserve">Por último, la secretaría provisional participó en un retiro conjunto, celebrado el 5 de octubre de 2015 en Ginebra, con el FMAM, la Secretaría de los Convenios de Basilea, Estocolmo y Rotterdam y la secretaría provisional del Convenio de Minamata. y en dos reuniones relacionadas con el mercurio y el programa relativo a los productos químicos y los desechos, en concreto la Conferencia Internacional sobre el Mercurio como Contaminante Mundial, celebrada en </w:t>
      </w:r>
      <w:proofErr w:type="spellStart"/>
      <w:r w:rsidRPr="00CA1653">
        <w:rPr>
          <w:sz w:val="20"/>
          <w:lang w:val="es-ES"/>
        </w:rPr>
        <w:t>Jeju</w:t>
      </w:r>
      <w:proofErr w:type="spellEnd"/>
      <w:r w:rsidRPr="00CA1653">
        <w:rPr>
          <w:sz w:val="20"/>
          <w:lang w:val="es-ES"/>
        </w:rPr>
        <w:t xml:space="preserve"> (República de Corea) del 14 al 19 de junio de 2015, y la reunión anual conjunta destinada a mejorar la cooperación y la coordinación entre los centros regionales de los Convenios de Basilea y Estocolmo, que tuvo lugar en Ginebra del 5 al 8 de octubre de 2015.</w:t>
      </w:r>
    </w:p>
    <w:p w:rsidR="000836BB" w:rsidRPr="001D29B1" w:rsidRDefault="000836BB" w:rsidP="000836BB">
      <w:pPr>
        <w:pStyle w:val="CH1"/>
        <w:rPr>
          <w:lang w:val="es-ES_tradnl"/>
        </w:rPr>
      </w:pPr>
      <w:r>
        <w:rPr>
          <w:lang w:val="es-ES"/>
        </w:rPr>
        <w:tab/>
        <w:t>V.</w:t>
      </w:r>
      <w:r>
        <w:rPr>
          <w:lang w:val="es-ES"/>
        </w:rPr>
        <w:tab/>
        <w:t>Financiación de la labor de la secretaría provisional</w:t>
      </w:r>
    </w:p>
    <w:p w:rsidR="000836BB" w:rsidRPr="001D29B1" w:rsidRDefault="00312827" w:rsidP="00312827">
      <w:pPr>
        <w:pStyle w:val="Normalnumber"/>
        <w:rPr>
          <w:sz w:val="20"/>
          <w:lang w:val="es-ES_tradnl"/>
        </w:rPr>
      </w:pPr>
      <w:r w:rsidRPr="00CA1653">
        <w:rPr>
          <w:sz w:val="20"/>
          <w:lang w:val="es-ES"/>
        </w:rPr>
        <w:t>Las actividades de la s</w:t>
      </w:r>
      <w:r w:rsidR="00C65C92">
        <w:rPr>
          <w:sz w:val="20"/>
          <w:lang w:val="es-ES"/>
        </w:rPr>
        <w:t>ecretaría provisional enumeradas</w:t>
      </w:r>
      <w:r w:rsidRPr="00CA1653">
        <w:rPr>
          <w:sz w:val="20"/>
          <w:lang w:val="es-ES"/>
        </w:rPr>
        <w:t xml:space="preserve"> en el apartado precedente no habrían sido posibles sin el generoso apoyo financiero voluntario de los Gobiernos de Alemania, Austria, Bélgica, el Canadá,  China, Dinamarca, los Estados Unidos de América, Francia, Finlandia, el Japón, Noruega, los Países Bajos, Suecia, Suiza y la Unión Europea. </w:t>
      </w:r>
    </w:p>
    <w:p w:rsidR="00E2738F" w:rsidRDefault="00E2738F" w:rsidP="00E2738F">
      <w:pPr>
        <w:pStyle w:val="CH1"/>
      </w:pPr>
      <w:r>
        <w:rPr>
          <w:lang w:val="es-ES"/>
        </w:rPr>
        <w:tab/>
        <w:t>VI.</w:t>
      </w:r>
      <w:r>
        <w:rPr>
          <w:lang w:val="es-ES"/>
        </w:rPr>
        <w:tab/>
        <w:t>Conclusión</w:t>
      </w:r>
    </w:p>
    <w:p w:rsidR="00B97BB1" w:rsidRPr="001D29B1" w:rsidRDefault="004A65A3" w:rsidP="00F03B23">
      <w:pPr>
        <w:pStyle w:val="Normalnumber"/>
        <w:rPr>
          <w:sz w:val="20"/>
          <w:lang w:val="es-ES_tradnl"/>
        </w:rPr>
      </w:pPr>
      <w:r w:rsidRPr="00CA1653">
        <w:rPr>
          <w:sz w:val="20"/>
          <w:lang w:val="es-ES"/>
        </w:rPr>
        <w:t xml:space="preserve">El Comité tal vez desee tomar nota de las actividades realizadas por la secretaría provisional hasta la fecha y alentar a los gobiernos y otros interesados, que estén en condiciones de hacerlo, a que hagan sus aportaciones a las actividades en curso. El Comité tal vez desee también orientar a la secretaría provisional sobre otras actividades que pudieran ser necesarias y cualesquiera otras cuestiones de interés. </w:t>
      </w:r>
    </w:p>
    <w:tbl>
      <w:tblPr>
        <w:tblW w:w="0" w:type="auto"/>
        <w:tblLayout w:type="fixed"/>
        <w:tblLook w:val="04A0" w:firstRow="1" w:lastRow="0" w:firstColumn="1" w:lastColumn="0" w:noHBand="0" w:noVBand="1"/>
      </w:tblPr>
      <w:tblGrid>
        <w:gridCol w:w="1942"/>
        <w:gridCol w:w="1942"/>
        <w:gridCol w:w="1942"/>
        <w:gridCol w:w="1943"/>
        <w:gridCol w:w="1943"/>
      </w:tblGrid>
      <w:tr w:rsidR="00F03B23" w:rsidRPr="001D29B1">
        <w:tc>
          <w:tcPr>
            <w:tcW w:w="1942" w:type="dxa"/>
            <w:shd w:val="clear" w:color="auto" w:fill="auto"/>
          </w:tcPr>
          <w:p w:rsidR="00F03B23" w:rsidRPr="001D29B1" w:rsidRDefault="00F03B23" w:rsidP="00851D7A">
            <w:pPr>
              <w:pStyle w:val="Normal-pool"/>
              <w:spacing w:before="520"/>
              <w:rPr>
                <w:lang w:val="es-ES_tradnl"/>
              </w:rPr>
            </w:pPr>
          </w:p>
        </w:tc>
        <w:tc>
          <w:tcPr>
            <w:tcW w:w="1942" w:type="dxa"/>
            <w:shd w:val="clear" w:color="auto" w:fill="auto"/>
          </w:tcPr>
          <w:p w:rsidR="00F03B23" w:rsidRPr="001D29B1" w:rsidRDefault="00F03B23" w:rsidP="00851D7A">
            <w:pPr>
              <w:pStyle w:val="Normal-pool"/>
              <w:spacing w:before="520"/>
              <w:rPr>
                <w:lang w:val="es-ES_tradnl"/>
              </w:rPr>
            </w:pPr>
          </w:p>
        </w:tc>
        <w:tc>
          <w:tcPr>
            <w:tcW w:w="1942" w:type="dxa"/>
            <w:tcBorders>
              <w:bottom w:val="single" w:sz="4" w:space="0" w:color="auto"/>
            </w:tcBorders>
            <w:shd w:val="clear" w:color="auto" w:fill="auto"/>
          </w:tcPr>
          <w:p w:rsidR="00F03B23" w:rsidRPr="001D29B1" w:rsidRDefault="00F03B23" w:rsidP="00851D7A">
            <w:pPr>
              <w:pStyle w:val="Normal-pool"/>
              <w:spacing w:before="520"/>
              <w:rPr>
                <w:lang w:val="es-ES_tradnl"/>
              </w:rPr>
            </w:pPr>
          </w:p>
        </w:tc>
        <w:tc>
          <w:tcPr>
            <w:tcW w:w="1943" w:type="dxa"/>
            <w:shd w:val="clear" w:color="auto" w:fill="auto"/>
          </w:tcPr>
          <w:p w:rsidR="00F03B23" w:rsidRPr="001D29B1" w:rsidRDefault="00F03B23" w:rsidP="00851D7A">
            <w:pPr>
              <w:pStyle w:val="Normal-pool"/>
              <w:spacing w:before="520"/>
              <w:rPr>
                <w:lang w:val="es-ES_tradnl"/>
              </w:rPr>
            </w:pPr>
          </w:p>
        </w:tc>
        <w:tc>
          <w:tcPr>
            <w:tcW w:w="1943" w:type="dxa"/>
            <w:shd w:val="clear" w:color="auto" w:fill="auto"/>
          </w:tcPr>
          <w:p w:rsidR="00F03B23" w:rsidRPr="001D29B1" w:rsidRDefault="00F03B23" w:rsidP="00851D7A">
            <w:pPr>
              <w:pStyle w:val="Normal-pool"/>
              <w:spacing w:before="520"/>
              <w:rPr>
                <w:lang w:val="es-ES_tradnl"/>
              </w:rPr>
            </w:pPr>
          </w:p>
        </w:tc>
      </w:tr>
    </w:tbl>
    <w:p w:rsidR="00F03B23" w:rsidRPr="001D29B1" w:rsidRDefault="00F03B23" w:rsidP="00F03B23">
      <w:pPr>
        <w:pStyle w:val="Normal-pool"/>
        <w:rPr>
          <w:lang w:val="es-ES_tradnl"/>
        </w:rPr>
      </w:pPr>
    </w:p>
    <w:sectPr w:rsidR="00F03B23" w:rsidRPr="001D29B1" w:rsidSect="006E6722">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4AF" w:rsidRDefault="00C144AF">
      <w:r>
        <w:separator/>
      </w:r>
    </w:p>
  </w:endnote>
  <w:endnote w:type="continuationSeparator" w:id="0">
    <w:p w:rsidR="00C144AF" w:rsidRDefault="00C144AF">
      <w:r>
        <w:continuationSeparator/>
      </w:r>
    </w:p>
  </w:endnote>
  <w:endnote w:type="continuationNotice" w:id="1">
    <w:p w:rsidR="00C144AF" w:rsidRDefault="00C14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92" w:rsidRDefault="00336292">
    <w:pPr>
      <w:pStyle w:val="Footer"/>
    </w:pPr>
    <w:r>
      <w:rPr>
        <w:rStyle w:val="PageNumber"/>
      </w:rPr>
      <w:fldChar w:fldCharType="begin"/>
    </w:r>
    <w:r>
      <w:rPr>
        <w:rStyle w:val="PageNumber"/>
      </w:rPr>
      <w:instrText xml:space="preserve"> PAGE </w:instrText>
    </w:r>
    <w:r>
      <w:rPr>
        <w:rStyle w:val="PageNumber"/>
      </w:rPr>
      <w:fldChar w:fldCharType="separate"/>
    </w:r>
    <w:r w:rsidR="00A74AF9">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92" w:rsidRDefault="0033629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A74AF9">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92" w:rsidRPr="00F03B23" w:rsidRDefault="00336292" w:rsidP="00B1765B">
    <w:pPr>
      <w:pStyle w:val="Footer"/>
      <w:tabs>
        <w:tab w:val="clear" w:pos="1247"/>
        <w:tab w:val="clear" w:pos="1814"/>
        <w:tab w:val="clear" w:pos="2381"/>
        <w:tab w:val="clear" w:pos="2948"/>
        <w:tab w:val="clear" w:pos="3515"/>
        <w:tab w:val="clear" w:pos="4320"/>
        <w:tab w:val="clear" w:pos="8640"/>
        <w:tab w:val="left" w:pos="624"/>
      </w:tabs>
      <w:rPr>
        <w:sz w:val="20"/>
      </w:rPr>
    </w:pPr>
    <w:r>
      <w:rPr>
        <w:lang w:val="es-ES"/>
      </w:rPr>
      <w:t>K1504065</w:t>
    </w:r>
    <w:r>
      <w:rPr>
        <w:lang w:val="es-ES"/>
      </w:rPr>
      <w:tab/>
      <w:t>140116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4AF" w:rsidRDefault="00C144AF" w:rsidP="00F03B23">
      <w:pPr>
        <w:spacing w:before="60"/>
        <w:ind w:left="624"/>
      </w:pPr>
      <w:r>
        <w:separator/>
      </w:r>
    </w:p>
  </w:footnote>
  <w:footnote w:type="continuationSeparator" w:id="0">
    <w:p w:rsidR="00C144AF" w:rsidRDefault="00C144AF">
      <w:r>
        <w:continuationSeparator/>
      </w:r>
    </w:p>
  </w:footnote>
  <w:footnote w:type="continuationNotice" w:id="1">
    <w:p w:rsidR="00C144AF" w:rsidRDefault="00C144AF"/>
  </w:footnote>
  <w:footnote w:id="2">
    <w:p w:rsidR="00336292" w:rsidRPr="00CA1653" w:rsidRDefault="00336292" w:rsidP="008361C4">
      <w:pPr>
        <w:tabs>
          <w:tab w:val="left" w:pos="624"/>
        </w:tabs>
        <w:spacing w:before="60"/>
        <w:ind w:left="1247"/>
        <w:rPr>
          <w:sz w:val="18"/>
          <w:szCs w:val="18"/>
        </w:rPr>
      </w:pPr>
      <w:r w:rsidRPr="00CA1653">
        <w:rPr>
          <w:sz w:val="18"/>
          <w:lang w:val="es-ES"/>
        </w:rPr>
        <w:t>* UNEP(DTIE)/Hg/INC.7/1.</w:t>
      </w:r>
    </w:p>
  </w:footnote>
  <w:footnote w:id="3">
    <w:p w:rsidR="00336292" w:rsidRPr="00395AA9" w:rsidRDefault="00336292">
      <w:pPr>
        <w:pStyle w:val="FootnoteText"/>
        <w:rPr>
          <w:szCs w:val="18"/>
        </w:rPr>
      </w:pPr>
      <w:r w:rsidRPr="00E87859">
        <w:rPr>
          <w:rStyle w:val="FootnoteReference"/>
          <w:sz w:val="18"/>
          <w:lang w:val="es-ES"/>
        </w:rPr>
        <w:footnoteRef/>
      </w:r>
      <w:r w:rsidRPr="001D29B1">
        <w:t xml:space="preserve"> http://mercuryconvention.org/Negotiations/INCBureau/tabid/3827/Default.aspx.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92" w:rsidRPr="00CA5CA9" w:rsidRDefault="00336292" w:rsidP="006505CB">
    <w:pPr>
      <w:pStyle w:val="Header"/>
      <w:rPr>
        <w:szCs w:val="18"/>
      </w:rPr>
    </w:pPr>
    <w:r w:rsidRPr="00CA5CA9">
      <w:rPr>
        <w:bCs/>
        <w:szCs w:val="18"/>
      </w:rPr>
      <w:t>UNEP</w:t>
    </w:r>
    <w:r w:rsidRPr="00CA5CA9">
      <w:rPr>
        <w:szCs w:val="18"/>
      </w:rPr>
      <w:t>(DTIE)/Hg/INC.</w:t>
    </w:r>
    <w:r>
      <w:rPr>
        <w:szCs w:val="18"/>
      </w:rPr>
      <w:t>7</w:t>
    </w:r>
    <w:r w:rsidRPr="00CA5CA9">
      <w:rPr>
        <w:szCs w:val="18"/>
      </w:rPr>
      <w:t>/</w:t>
    </w:r>
    <w:r>
      <w:rPr>
        <w:szCs w:val="18"/>
      </w:rPr>
      <w:t>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92" w:rsidRPr="00CA5CA9" w:rsidRDefault="00336292" w:rsidP="006505CB">
    <w:pPr>
      <w:pStyle w:val="Header"/>
      <w:jc w:val="right"/>
      <w:rPr>
        <w:szCs w:val="18"/>
      </w:rPr>
    </w:pPr>
    <w:r w:rsidRPr="00CA5CA9">
      <w:rPr>
        <w:bCs/>
        <w:szCs w:val="18"/>
      </w:rPr>
      <w:t>UNEP</w:t>
    </w:r>
    <w:r>
      <w:rPr>
        <w:szCs w:val="18"/>
      </w:rPr>
      <w:t>(DTIE)/Hg/INC.7</w:t>
    </w:r>
    <w:r w:rsidRPr="00CA5CA9">
      <w:rPr>
        <w:szCs w:val="18"/>
      </w:rPr>
      <w:t>/</w:t>
    </w:r>
    <w:r>
      <w:rPr>
        <w:szCs w:val="18"/>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92" w:rsidRDefault="00336292"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E4A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0F48D7"/>
    <w:multiLevelType w:val="hybridMultilevel"/>
    <w:tmpl w:val="506462BC"/>
    <w:lvl w:ilvl="0" w:tplc="625CC984">
      <w:start w:val="1"/>
      <w:numFmt w:val="lowerLetter"/>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2">
    <w:nsid w:val="0B501C24"/>
    <w:multiLevelType w:val="multilevel"/>
    <w:tmpl w:val="964C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E044F"/>
    <w:multiLevelType w:val="multilevel"/>
    <w:tmpl w:val="D42E8658"/>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nsid w:val="13862EB7"/>
    <w:multiLevelType w:val="singleLevel"/>
    <w:tmpl w:val="98E88CC0"/>
    <w:lvl w:ilvl="0">
      <w:start w:val="1"/>
      <w:numFmt w:val="decimal"/>
      <w:pStyle w:val="Paralevel1"/>
      <w:lvlText w:val="%1."/>
      <w:lvlJc w:val="left"/>
      <w:pPr>
        <w:tabs>
          <w:tab w:val="num" w:pos="360"/>
        </w:tabs>
        <w:ind w:left="0" w:firstLine="0"/>
      </w:pPr>
      <w:rPr>
        <w:rFonts w:ascii="Times New Roman" w:hAnsi="Times New Roman" w:cs="Times New Roman" w:hint="default"/>
        <w:b w:val="0"/>
        <w:i w:val="0"/>
        <w:sz w:val="20"/>
        <w:szCs w:val="20"/>
      </w:rPr>
    </w:lvl>
  </w:abstractNum>
  <w:abstractNum w:abstractNumId="5">
    <w:nsid w:val="16B55B61"/>
    <w:multiLevelType w:val="multilevel"/>
    <w:tmpl w:val="E442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113A7"/>
    <w:multiLevelType w:val="multilevel"/>
    <w:tmpl w:val="BB9252B2"/>
    <w:lvl w:ilvl="0">
      <w:start w:val="1"/>
      <w:numFmt w:val="decimal"/>
      <w:lvlText w:val="%1."/>
      <w:lvlJc w:val="left"/>
      <w:pPr>
        <w:tabs>
          <w:tab w:val="num" w:pos="567"/>
        </w:tabs>
        <w:ind w:left="1247" w:firstLine="0"/>
      </w:pPr>
      <w:rPr>
        <w:rFonts w:hint="default"/>
        <w:sz w:val="20"/>
        <w:szCs w:val="20"/>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nsid w:val="26763925"/>
    <w:multiLevelType w:val="hybridMultilevel"/>
    <w:tmpl w:val="1F66FFA2"/>
    <w:lvl w:ilvl="0" w:tplc="6DA28010">
      <w:start w:val="1"/>
      <w:numFmt w:val="decimal"/>
      <w:lvlText w:val="%1."/>
      <w:lvlJc w:val="left"/>
      <w:pPr>
        <w:ind w:left="1967" w:hanging="360"/>
      </w:pPr>
      <w:rPr>
        <w:sz w:val="20"/>
        <w:szCs w:val="2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nsid w:val="2B56488E"/>
    <w:multiLevelType w:val="multilevel"/>
    <w:tmpl w:val="5C520802"/>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0">
    <w:nsid w:val="33556E86"/>
    <w:multiLevelType w:val="hybridMultilevel"/>
    <w:tmpl w:val="0E66C3E6"/>
    <w:lvl w:ilvl="0" w:tplc="08A2B112">
      <w:start w:val="1"/>
      <w:numFmt w:val="lowerLetter"/>
      <w:pStyle w:val="indentlist"/>
      <w:lvlText w:val="(%1)"/>
      <w:lvlJc w:val="left"/>
      <w:pPr>
        <w:tabs>
          <w:tab w:val="num" w:pos="1080"/>
        </w:tabs>
        <w:ind w:left="108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34387C16"/>
    <w:multiLevelType w:val="multilevel"/>
    <w:tmpl w:val="597C5022"/>
    <w:lvl w:ilvl="0">
      <w:start w:val="1"/>
      <w:numFmt w:val="bullet"/>
      <w:lvlText w:val=""/>
      <w:lvlJc w:val="left"/>
      <w:pPr>
        <w:tabs>
          <w:tab w:val="num" w:pos="1134"/>
        </w:tabs>
        <w:ind w:left="1247" w:firstLine="0"/>
      </w:pPr>
      <w:rPr>
        <w:rFonts w:ascii="Symbol" w:hAnsi="Symbol" w:cs="Courier New" w:hint="default"/>
        <w:b w:val="0"/>
        <w:i w:val="0"/>
        <w:color w:val="auto"/>
        <w:sz w:val="18"/>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3">
    <w:nsid w:val="3D7167D9"/>
    <w:multiLevelType w:val="multilevel"/>
    <w:tmpl w:val="7BE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5B6A77"/>
    <w:multiLevelType w:val="hybridMultilevel"/>
    <w:tmpl w:val="4DA40728"/>
    <w:lvl w:ilvl="0" w:tplc="6BF895F4">
      <w:start w:val="1"/>
      <w:numFmt w:val="upperLetter"/>
      <w:lvlText w:val="%1."/>
      <w:lvlJc w:val="left"/>
      <w:pPr>
        <w:ind w:left="871" w:hanging="360"/>
      </w:pPr>
      <w:rPr>
        <w:rFonts w:hint="default"/>
      </w:rPr>
    </w:lvl>
    <w:lvl w:ilvl="1" w:tplc="04090019" w:tentative="1">
      <w:start w:val="1"/>
      <w:numFmt w:val="lowerLetter"/>
      <w:lvlText w:val="%2."/>
      <w:lvlJc w:val="left"/>
      <w:pPr>
        <w:ind w:left="1591" w:hanging="360"/>
      </w:pPr>
    </w:lvl>
    <w:lvl w:ilvl="2" w:tplc="0409001B" w:tentative="1">
      <w:start w:val="1"/>
      <w:numFmt w:val="lowerRoman"/>
      <w:lvlText w:val="%3."/>
      <w:lvlJc w:val="right"/>
      <w:pPr>
        <w:ind w:left="2311" w:hanging="180"/>
      </w:pPr>
    </w:lvl>
    <w:lvl w:ilvl="3" w:tplc="0409000F" w:tentative="1">
      <w:start w:val="1"/>
      <w:numFmt w:val="decimal"/>
      <w:lvlText w:val="%4."/>
      <w:lvlJc w:val="left"/>
      <w:pPr>
        <w:ind w:left="3031" w:hanging="360"/>
      </w:pPr>
    </w:lvl>
    <w:lvl w:ilvl="4" w:tplc="04090019" w:tentative="1">
      <w:start w:val="1"/>
      <w:numFmt w:val="lowerLetter"/>
      <w:lvlText w:val="%5."/>
      <w:lvlJc w:val="left"/>
      <w:pPr>
        <w:ind w:left="3751" w:hanging="360"/>
      </w:pPr>
    </w:lvl>
    <w:lvl w:ilvl="5" w:tplc="0409001B" w:tentative="1">
      <w:start w:val="1"/>
      <w:numFmt w:val="lowerRoman"/>
      <w:lvlText w:val="%6."/>
      <w:lvlJc w:val="right"/>
      <w:pPr>
        <w:ind w:left="4471" w:hanging="180"/>
      </w:pPr>
    </w:lvl>
    <w:lvl w:ilvl="6" w:tplc="0409000F" w:tentative="1">
      <w:start w:val="1"/>
      <w:numFmt w:val="decimal"/>
      <w:lvlText w:val="%7."/>
      <w:lvlJc w:val="left"/>
      <w:pPr>
        <w:ind w:left="5191" w:hanging="360"/>
      </w:pPr>
    </w:lvl>
    <w:lvl w:ilvl="7" w:tplc="04090019" w:tentative="1">
      <w:start w:val="1"/>
      <w:numFmt w:val="lowerLetter"/>
      <w:lvlText w:val="%8."/>
      <w:lvlJc w:val="left"/>
      <w:pPr>
        <w:ind w:left="5911" w:hanging="360"/>
      </w:pPr>
    </w:lvl>
    <w:lvl w:ilvl="8" w:tplc="0409001B" w:tentative="1">
      <w:start w:val="1"/>
      <w:numFmt w:val="lowerRoman"/>
      <w:lvlText w:val="%9."/>
      <w:lvlJc w:val="right"/>
      <w:pPr>
        <w:ind w:left="6631" w:hanging="180"/>
      </w:pPr>
    </w:lvl>
  </w:abstractNum>
  <w:abstractNum w:abstractNumId="15">
    <w:nsid w:val="4EBD6056"/>
    <w:multiLevelType w:val="singleLevel"/>
    <w:tmpl w:val="22D82B4C"/>
    <w:lvl w:ilvl="0">
      <w:start w:val="1"/>
      <w:numFmt w:val="lowerRoman"/>
      <w:pStyle w:val="Paralevel3"/>
      <w:lvlText w:val="(%1)"/>
      <w:lvlJc w:val="left"/>
      <w:pPr>
        <w:tabs>
          <w:tab w:val="num" w:pos="2892"/>
        </w:tabs>
        <w:ind w:left="2892" w:hanging="579"/>
      </w:pPr>
    </w:lvl>
  </w:abstractNum>
  <w:abstractNum w:abstractNumId="16">
    <w:nsid w:val="52A66A9D"/>
    <w:multiLevelType w:val="multilevel"/>
    <w:tmpl w:val="D3641E58"/>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ascii="Times New Roman" w:eastAsia="Times New Roman" w:hAnsi="Times New Roman" w:cs="Times New Roman"/>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7">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8">
    <w:nsid w:val="62495761"/>
    <w:multiLevelType w:val="hybridMultilevel"/>
    <w:tmpl w:val="E006DC82"/>
    <w:lvl w:ilvl="0" w:tplc="0809000F">
      <w:start w:val="1"/>
      <w:numFmt w:val="decimal"/>
      <w:lvlText w:val="%1."/>
      <w:lvlJc w:val="left"/>
      <w:pPr>
        <w:ind w:left="1967" w:hanging="360"/>
      </w:p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9">
    <w:nsid w:val="6C26380E"/>
    <w:multiLevelType w:val="hybridMultilevel"/>
    <w:tmpl w:val="81C86E96"/>
    <w:lvl w:ilvl="0" w:tplc="625CC984">
      <w:start w:val="1"/>
      <w:numFmt w:val="lowerLetter"/>
      <w:lvlText w:val="(%1)"/>
      <w:lvlJc w:val="left"/>
      <w:pPr>
        <w:ind w:left="1608" w:hanging="360"/>
      </w:pPr>
      <w:rPr>
        <w:rFonts w:hint="default"/>
      </w:rPr>
    </w:lvl>
    <w:lvl w:ilvl="1" w:tplc="08090019" w:tentative="1">
      <w:start w:val="1"/>
      <w:numFmt w:val="lowerLetter"/>
      <w:lvlText w:val="%2."/>
      <w:lvlJc w:val="left"/>
      <w:pPr>
        <w:ind w:left="2328" w:hanging="360"/>
      </w:pPr>
    </w:lvl>
    <w:lvl w:ilvl="2" w:tplc="0809001B" w:tentative="1">
      <w:start w:val="1"/>
      <w:numFmt w:val="lowerRoman"/>
      <w:lvlText w:val="%3."/>
      <w:lvlJc w:val="right"/>
      <w:pPr>
        <w:ind w:left="3048" w:hanging="180"/>
      </w:pPr>
    </w:lvl>
    <w:lvl w:ilvl="3" w:tplc="0809000F" w:tentative="1">
      <w:start w:val="1"/>
      <w:numFmt w:val="decimal"/>
      <w:lvlText w:val="%4."/>
      <w:lvlJc w:val="left"/>
      <w:pPr>
        <w:ind w:left="3768" w:hanging="360"/>
      </w:pPr>
    </w:lvl>
    <w:lvl w:ilvl="4" w:tplc="08090019" w:tentative="1">
      <w:start w:val="1"/>
      <w:numFmt w:val="lowerLetter"/>
      <w:lvlText w:val="%5."/>
      <w:lvlJc w:val="left"/>
      <w:pPr>
        <w:ind w:left="4488" w:hanging="360"/>
      </w:pPr>
    </w:lvl>
    <w:lvl w:ilvl="5" w:tplc="0809001B" w:tentative="1">
      <w:start w:val="1"/>
      <w:numFmt w:val="lowerRoman"/>
      <w:lvlText w:val="%6."/>
      <w:lvlJc w:val="right"/>
      <w:pPr>
        <w:ind w:left="5208" w:hanging="180"/>
      </w:pPr>
    </w:lvl>
    <w:lvl w:ilvl="6" w:tplc="0809000F" w:tentative="1">
      <w:start w:val="1"/>
      <w:numFmt w:val="decimal"/>
      <w:lvlText w:val="%7."/>
      <w:lvlJc w:val="left"/>
      <w:pPr>
        <w:ind w:left="5928" w:hanging="360"/>
      </w:pPr>
    </w:lvl>
    <w:lvl w:ilvl="7" w:tplc="08090019" w:tentative="1">
      <w:start w:val="1"/>
      <w:numFmt w:val="lowerLetter"/>
      <w:lvlText w:val="%8."/>
      <w:lvlJc w:val="left"/>
      <w:pPr>
        <w:ind w:left="6648" w:hanging="360"/>
      </w:pPr>
    </w:lvl>
    <w:lvl w:ilvl="8" w:tplc="0809001B" w:tentative="1">
      <w:start w:val="1"/>
      <w:numFmt w:val="lowerRoman"/>
      <w:lvlText w:val="%9."/>
      <w:lvlJc w:val="right"/>
      <w:pPr>
        <w:ind w:left="7368" w:hanging="180"/>
      </w:pPr>
    </w:lvl>
  </w:abstractNum>
  <w:abstractNum w:abstractNumId="20">
    <w:nsid w:val="70967C17"/>
    <w:multiLevelType w:val="hybridMultilevel"/>
    <w:tmpl w:val="9F529A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6"/>
    <w:lvlOverride w:ilvl="0">
      <w:lvl w:ilvl="0">
        <w:start w:val="1"/>
        <w:numFmt w:val="decimal"/>
        <w:pStyle w:val="Normalnumber"/>
        <w:lvlText w:val="%1."/>
        <w:lvlJc w:val="left"/>
        <w:pPr>
          <w:tabs>
            <w:tab w:val="num" w:pos="1134"/>
          </w:tabs>
          <w:ind w:left="1247" w:firstLine="0"/>
        </w:pPr>
        <w:rPr>
          <w:rFonts w:hint="default"/>
          <w:b w:val="0"/>
          <w:bCs w:val="0"/>
          <w:sz w:val="20"/>
          <w:szCs w:val="20"/>
        </w:rPr>
      </w:lvl>
    </w:lvlOverride>
  </w:num>
  <w:num w:numId="2">
    <w:abstractNumId w:val="7"/>
  </w:num>
  <w:num w:numId="3">
    <w:abstractNumId w:val="12"/>
  </w:num>
  <w:num w:numId="4">
    <w:abstractNumId w:val="6"/>
  </w:num>
  <w:num w:numId="5">
    <w:abstractNumId w:val="17"/>
  </w:num>
  <w:num w:numId="6">
    <w:abstractNumId w:val="4"/>
    <w:lvlOverride w:ilvl="0">
      <w:startOverride w:val="1"/>
    </w:lvlOverride>
  </w:num>
  <w:num w:numId="7">
    <w:abstractNumId w:val="15"/>
    <w:lvlOverride w:ilvl="0">
      <w:startOverride w:val="1"/>
    </w:lvlOverride>
  </w:num>
  <w:num w:numId="8">
    <w:abstractNumId w:val="16"/>
  </w:num>
  <w:num w:numId="9">
    <w:abstractNumId w:val="10"/>
  </w:num>
  <w:num w:numId="10">
    <w:abstractNumId w:val="18"/>
  </w:num>
  <w:num w:numId="11">
    <w:abstractNumId w:val="8"/>
  </w:num>
  <w:num w:numId="1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
  </w:num>
  <w:num w:numId="1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3"/>
  </w:num>
  <w:num w:numId="16">
    <w:abstractNumId w:val="9"/>
  </w:num>
  <w:num w:numId="17">
    <w:abstractNumId w:val="19"/>
  </w:num>
  <w:num w:numId="18">
    <w:abstractNumId w:val="20"/>
  </w:num>
  <w:num w:numId="1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1"/>
  </w:num>
  <w:num w:numId="21">
    <w:abstractNumId w:val="16"/>
    <w:lvlOverride w:ilvl="0">
      <w:lvl w:ilvl="0">
        <w:start w:val="1"/>
        <w:numFmt w:val="decimal"/>
        <w:pStyle w:val="Normalnumber"/>
        <w:lvlText w:val="%1."/>
        <w:lvlJc w:val="left"/>
        <w:pPr>
          <w:tabs>
            <w:tab w:val="num" w:pos="1134"/>
          </w:tabs>
          <w:ind w:left="1247" w:firstLine="0"/>
        </w:pPr>
        <w:rPr>
          <w:rFonts w:hint="default"/>
          <w:b w:val="0"/>
          <w:bCs w:val="0"/>
        </w:rPr>
      </w:lvl>
    </w:lvlOverride>
  </w:num>
  <w:num w:numId="22">
    <w:abstractNumId w:val="16"/>
    <w:lvlOverride w:ilvl="0">
      <w:lvl w:ilvl="0">
        <w:start w:val="1"/>
        <w:numFmt w:val="decimal"/>
        <w:pStyle w:val="Normalnumber"/>
        <w:lvlText w:val="%1."/>
        <w:lvlJc w:val="left"/>
        <w:pPr>
          <w:tabs>
            <w:tab w:val="num" w:pos="1134"/>
          </w:tabs>
          <w:ind w:left="1247" w:firstLine="0"/>
        </w:pPr>
        <w:rPr>
          <w:rFonts w:hint="default"/>
          <w:b w:val="0"/>
          <w:bCs w:val="0"/>
        </w:rPr>
      </w:lvl>
    </w:lvlOverride>
  </w:num>
  <w:num w:numId="23">
    <w:abstractNumId w:val="16"/>
    <w:lvlOverride w:ilvl="0">
      <w:lvl w:ilvl="0">
        <w:start w:val="1"/>
        <w:numFmt w:val="decimal"/>
        <w:pStyle w:val="Normalnumber"/>
        <w:lvlText w:val="%1."/>
        <w:lvlJc w:val="left"/>
        <w:pPr>
          <w:tabs>
            <w:tab w:val="num" w:pos="1134"/>
          </w:tabs>
          <w:ind w:left="1247" w:firstLine="0"/>
        </w:pPr>
        <w:rPr>
          <w:rFonts w:hint="default"/>
          <w:b w:val="0"/>
          <w:bCs w:val="0"/>
        </w:rPr>
      </w:lvl>
    </w:lvlOverride>
  </w:num>
  <w:num w:numId="24">
    <w:abstractNumId w:val="16"/>
    <w:lvlOverride w:ilvl="0">
      <w:lvl w:ilvl="0">
        <w:start w:val="1"/>
        <w:numFmt w:val="decimal"/>
        <w:pStyle w:val="Normalnumber"/>
        <w:lvlText w:val="%1."/>
        <w:lvlJc w:val="left"/>
        <w:pPr>
          <w:tabs>
            <w:tab w:val="num" w:pos="1134"/>
          </w:tabs>
          <w:ind w:left="1247" w:firstLine="0"/>
        </w:pPr>
        <w:rPr>
          <w:rFonts w:hint="default"/>
          <w:b w:val="0"/>
          <w:bCs w:val="0"/>
        </w:rPr>
      </w:lvl>
    </w:lvlOverride>
  </w:num>
  <w:num w:numId="25">
    <w:abstractNumId w:val="0"/>
  </w:num>
  <w:num w:numId="26">
    <w:abstractNumId w:val="16"/>
    <w:lvlOverride w:ilvl="0">
      <w:lvl w:ilvl="0">
        <w:start w:val="1"/>
        <w:numFmt w:val="decimal"/>
        <w:pStyle w:val="Normalnumber"/>
        <w:lvlText w:val="%1."/>
        <w:lvlJc w:val="left"/>
        <w:pPr>
          <w:tabs>
            <w:tab w:val="num" w:pos="1134"/>
          </w:tabs>
          <w:ind w:left="1247" w:firstLine="0"/>
        </w:pPr>
        <w:rPr>
          <w:rFonts w:hint="default"/>
          <w:b w:val="0"/>
          <w:bCs w:val="0"/>
        </w:rPr>
      </w:lvl>
    </w:lvlOverride>
  </w:num>
  <w:num w:numId="27">
    <w:abstractNumId w:val="16"/>
    <w:lvlOverride w:ilvl="0">
      <w:lvl w:ilvl="0">
        <w:start w:val="1"/>
        <w:numFmt w:val="decimal"/>
        <w:pStyle w:val="Normalnumber"/>
        <w:lvlText w:val="%1."/>
        <w:lvlJc w:val="left"/>
        <w:pPr>
          <w:tabs>
            <w:tab w:val="num" w:pos="1134"/>
          </w:tabs>
          <w:ind w:left="1247" w:firstLine="0"/>
        </w:pPr>
        <w:rPr>
          <w:rFonts w:hint="default"/>
          <w:b w:val="0"/>
          <w:bCs w:val="0"/>
        </w:rPr>
      </w:lvl>
    </w:lvlOverride>
  </w:num>
  <w:num w:numId="28">
    <w:abstractNumId w:val="16"/>
    <w:lvlOverride w:ilvl="0">
      <w:lvl w:ilvl="0">
        <w:start w:val="1"/>
        <w:numFmt w:val="decimal"/>
        <w:pStyle w:val="Normalnumber"/>
        <w:lvlText w:val="%1."/>
        <w:lvlJc w:val="left"/>
        <w:pPr>
          <w:tabs>
            <w:tab w:val="num" w:pos="1134"/>
          </w:tabs>
          <w:ind w:left="1247" w:firstLine="0"/>
        </w:pPr>
        <w:rPr>
          <w:rFonts w:hint="default"/>
          <w:b w:val="0"/>
          <w:bCs w:val="0"/>
        </w:rPr>
      </w:lvl>
    </w:lvlOverride>
  </w:num>
  <w:num w:numId="2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CA9"/>
    <w:rsid w:val="0000063E"/>
    <w:rsid w:val="00000E4A"/>
    <w:rsid w:val="00004079"/>
    <w:rsid w:val="00012F87"/>
    <w:rsid w:val="00013165"/>
    <w:rsid w:val="0001355F"/>
    <w:rsid w:val="000149E6"/>
    <w:rsid w:val="00014A82"/>
    <w:rsid w:val="000163B3"/>
    <w:rsid w:val="00021CDC"/>
    <w:rsid w:val="000234F7"/>
    <w:rsid w:val="00023DA9"/>
    <w:rsid w:val="000247B0"/>
    <w:rsid w:val="00024855"/>
    <w:rsid w:val="00026997"/>
    <w:rsid w:val="00026A08"/>
    <w:rsid w:val="000315C3"/>
    <w:rsid w:val="00031DDC"/>
    <w:rsid w:val="00032E4E"/>
    <w:rsid w:val="00033E0B"/>
    <w:rsid w:val="00035EDE"/>
    <w:rsid w:val="00040E03"/>
    <w:rsid w:val="00041979"/>
    <w:rsid w:val="000429A8"/>
    <w:rsid w:val="00045DCB"/>
    <w:rsid w:val="000509B4"/>
    <w:rsid w:val="00051BD7"/>
    <w:rsid w:val="0006035B"/>
    <w:rsid w:val="00061383"/>
    <w:rsid w:val="0006153D"/>
    <w:rsid w:val="0006686D"/>
    <w:rsid w:val="00071886"/>
    <w:rsid w:val="0007236C"/>
    <w:rsid w:val="000742BC"/>
    <w:rsid w:val="00076CC6"/>
    <w:rsid w:val="00077855"/>
    <w:rsid w:val="00082A0C"/>
    <w:rsid w:val="00083504"/>
    <w:rsid w:val="000836BB"/>
    <w:rsid w:val="00085A13"/>
    <w:rsid w:val="000862C6"/>
    <w:rsid w:val="00092581"/>
    <w:rsid w:val="00093DB2"/>
    <w:rsid w:val="00094296"/>
    <w:rsid w:val="0009640C"/>
    <w:rsid w:val="000965EF"/>
    <w:rsid w:val="000A2A5F"/>
    <w:rsid w:val="000A3B52"/>
    <w:rsid w:val="000A6756"/>
    <w:rsid w:val="000B0E84"/>
    <w:rsid w:val="000B22A2"/>
    <w:rsid w:val="000C0504"/>
    <w:rsid w:val="000C2A52"/>
    <w:rsid w:val="000C2AB7"/>
    <w:rsid w:val="000C680A"/>
    <w:rsid w:val="000D33C0"/>
    <w:rsid w:val="000D6941"/>
    <w:rsid w:val="000E0619"/>
    <w:rsid w:val="000E0BF3"/>
    <w:rsid w:val="000E2D32"/>
    <w:rsid w:val="000E6547"/>
    <w:rsid w:val="000E70C0"/>
    <w:rsid w:val="000E7FA0"/>
    <w:rsid w:val="00100E9A"/>
    <w:rsid w:val="001033C2"/>
    <w:rsid w:val="001202E3"/>
    <w:rsid w:val="00122F38"/>
    <w:rsid w:val="00123699"/>
    <w:rsid w:val="001241FB"/>
    <w:rsid w:val="0013059D"/>
    <w:rsid w:val="00133F4A"/>
    <w:rsid w:val="00136250"/>
    <w:rsid w:val="00141A55"/>
    <w:rsid w:val="00142D1C"/>
    <w:rsid w:val="00143470"/>
    <w:rsid w:val="0014397D"/>
    <w:rsid w:val="001446A3"/>
    <w:rsid w:val="00152327"/>
    <w:rsid w:val="00152706"/>
    <w:rsid w:val="00152A7E"/>
    <w:rsid w:val="00155395"/>
    <w:rsid w:val="00156B6B"/>
    <w:rsid w:val="00160D74"/>
    <w:rsid w:val="00167D02"/>
    <w:rsid w:val="00173258"/>
    <w:rsid w:val="00175DB9"/>
    <w:rsid w:val="00180C3F"/>
    <w:rsid w:val="00181559"/>
    <w:rsid w:val="00181EC8"/>
    <w:rsid w:val="00183448"/>
    <w:rsid w:val="00184349"/>
    <w:rsid w:val="00195F33"/>
    <w:rsid w:val="001A0F0E"/>
    <w:rsid w:val="001B1617"/>
    <w:rsid w:val="001B4EE8"/>
    <w:rsid w:val="001B504B"/>
    <w:rsid w:val="001B6247"/>
    <w:rsid w:val="001B7C89"/>
    <w:rsid w:val="001C7784"/>
    <w:rsid w:val="001D1768"/>
    <w:rsid w:val="001D29B1"/>
    <w:rsid w:val="001D3874"/>
    <w:rsid w:val="001D42CB"/>
    <w:rsid w:val="001D7E75"/>
    <w:rsid w:val="001E0D73"/>
    <w:rsid w:val="001E1740"/>
    <w:rsid w:val="001E2CDF"/>
    <w:rsid w:val="001E2E57"/>
    <w:rsid w:val="001E56D2"/>
    <w:rsid w:val="001E7D56"/>
    <w:rsid w:val="001F1565"/>
    <w:rsid w:val="001F2D52"/>
    <w:rsid w:val="001F75DE"/>
    <w:rsid w:val="0020020B"/>
    <w:rsid w:val="00200D58"/>
    <w:rsid w:val="002013BE"/>
    <w:rsid w:val="00201EDC"/>
    <w:rsid w:val="002063A4"/>
    <w:rsid w:val="00206DE1"/>
    <w:rsid w:val="0021145B"/>
    <w:rsid w:val="00220C23"/>
    <w:rsid w:val="00222822"/>
    <w:rsid w:val="0022389A"/>
    <w:rsid w:val="00225A90"/>
    <w:rsid w:val="002336F1"/>
    <w:rsid w:val="002360E7"/>
    <w:rsid w:val="00241362"/>
    <w:rsid w:val="0024375A"/>
    <w:rsid w:val="00243ACA"/>
    <w:rsid w:val="00243D36"/>
    <w:rsid w:val="00245092"/>
    <w:rsid w:val="00247707"/>
    <w:rsid w:val="00247C2D"/>
    <w:rsid w:val="00247ED3"/>
    <w:rsid w:val="00250C2F"/>
    <w:rsid w:val="0026018E"/>
    <w:rsid w:val="00272FEB"/>
    <w:rsid w:val="002739F2"/>
    <w:rsid w:val="002742DE"/>
    <w:rsid w:val="00281A23"/>
    <w:rsid w:val="002827B3"/>
    <w:rsid w:val="00286740"/>
    <w:rsid w:val="00287800"/>
    <w:rsid w:val="002878B7"/>
    <w:rsid w:val="0029051F"/>
    <w:rsid w:val="00291D9B"/>
    <w:rsid w:val="002929D8"/>
    <w:rsid w:val="00292BBE"/>
    <w:rsid w:val="002A1607"/>
    <w:rsid w:val="002A237D"/>
    <w:rsid w:val="002A36C8"/>
    <w:rsid w:val="002A4C53"/>
    <w:rsid w:val="002A6ABC"/>
    <w:rsid w:val="002A730A"/>
    <w:rsid w:val="002B037A"/>
    <w:rsid w:val="002B0672"/>
    <w:rsid w:val="002B247F"/>
    <w:rsid w:val="002B50D4"/>
    <w:rsid w:val="002B5742"/>
    <w:rsid w:val="002B7B01"/>
    <w:rsid w:val="002C145D"/>
    <w:rsid w:val="002C2C3E"/>
    <w:rsid w:val="002C533E"/>
    <w:rsid w:val="002D027F"/>
    <w:rsid w:val="002D0AB6"/>
    <w:rsid w:val="002D2581"/>
    <w:rsid w:val="002D532B"/>
    <w:rsid w:val="002D7A85"/>
    <w:rsid w:val="002D7B60"/>
    <w:rsid w:val="002E2C67"/>
    <w:rsid w:val="002E4207"/>
    <w:rsid w:val="002E45EB"/>
    <w:rsid w:val="002F29C6"/>
    <w:rsid w:val="002F2D0F"/>
    <w:rsid w:val="002F4761"/>
    <w:rsid w:val="002F5C79"/>
    <w:rsid w:val="00300353"/>
    <w:rsid w:val="003019E2"/>
    <w:rsid w:val="00305544"/>
    <w:rsid w:val="003065C0"/>
    <w:rsid w:val="00307C04"/>
    <w:rsid w:val="00312827"/>
    <w:rsid w:val="0031413F"/>
    <w:rsid w:val="003148BB"/>
    <w:rsid w:val="00317976"/>
    <w:rsid w:val="00320F73"/>
    <w:rsid w:val="00322D63"/>
    <w:rsid w:val="00324279"/>
    <w:rsid w:val="00324642"/>
    <w:rsid w:val="00326A74"/>
    <w:rsid w:val="00326CC0"/>
    <w:rsid w:val="003311C2"/>
    <w:rsid w:val="003355AB"/>
    <w:rsid w:val="00336292"/>
    <w:rsid w:val="003376E8"/>
    <w:rsid w:val="00345448"/>
    <w:rsid w:val="00347676"/>
    <w:rsid w:val="00355EA9"/>
    <w:rsid w:val="003571E8"/>
    <w:rsid w:val="003578DE"/>
    <w:rsid w:val="0036043A"/>
    <w:rsid w:val="00360CC5"/>
    <w:rsid w:val="003612A7"/>
    <w:rsid w:val="00361688"/>
    <w:rsid w:val="00373C8B"/>
    <w:rsid w:val="003744EF"/>
    <w:rsid w:val="00390D04"/>
    <w:rsid w:val="003929B8"/>
    <w:rsid w:val="00395AA9"/>
    <w:rsid w:val="00396257"/>
    <w:rsid w:val="00397EB8"/>
    <w:rsid w:val="003A4FD0"/>
    <w:rsid w:val="003A69D1"/>
    <w:rsid w:val="003A7705"/>
    <w:rsid w:val="003A77F1"/>
    <w:rsid w:val="003B0D36"/>
    <w:rsid w:val="003B1545"/>
    <w:rsid w:val="003C409D"/>
    <w:rsid w:val="003C5BA6"/>
    <w:rsid w:val="003C7BBB"/>
    <w:rsid w:val="003D3752"/>
    <w:rsid w:val="003D3F8B"/>
    <w:rsid w:val="003D788A"/>
    <w:rsid w:val="003E02EB"/>
    <w:rsid w:val="003E1BE3"/>
    <w:rsid w:val="003E2CA5"/>
    <w:rsid w:val="003E35DA"/>
    <w:rsid w:val="003E7D73"/>
    <w:rsid w:val="003F0E85"/>
    <w:rsid w:val="00405C13"/>
    <w:rsid w:val="004061F8"/>
    <w:rsid w:val="00407E03"/>
    <w:rsid w:val="00410C55"/>
    <w:rsid w:val="004131F6"/>
    <w:rsid w:val="004148ED"/>
    <w:rsid w:val="00415EC2"/>
    <w:rsid w:val="00416208"/>
    <w:rsid w:val="00416854"/>
    <w:rsid w:val="00417725"/>
    <w:rsid w:val="00425312"/>
    <w:rsid w:val="00435020"/>
    <w:rsid w:val="00437F26"/>
    <w:rsid w:val="004416EF"/>
    <w:rsid w:val="00444097"/>
    <w:rsid w:val="00445487"/>
    <w:rsid w:val="00447E0D"/>
    <w:rsid w:val="00454769"/>
    <w:rsid w:val="00466991"/>
    <w:rsid w:val="00467FD9"/>
    <w:rsid w:val="0047064C"/>
    <w:rsid w:val="00483EB3"/>
    <w:rsid w:val="0049242F"/>
    <w:rsid w:val="004928E9"/>
    <w:rsid w:val="0049469E"/>
    <w:rsid w:val="004A13BD"/>
    <w:rsid w:val="004A42E1"/>
    <w:rsid w:val="004A4F0A"/>
    <w:rsid w:val="004A65A3"/>
    <w:rsid w:val="004B162C"/>
    <w:rsid w:val="004B2ABE"/>
    <w:rsid w:val="004B368E"/>
    <w:rsid w:val="004B5600"/>
    <w:rsid w:val="004B7E47"/>
    <w:rsid w:val="004C3DBE"/>
    <w:rsid w:val="004C5C96"/>
    <w:rsid w:val="004C6489"/>
    <w:rsid w:val="004C77AD"/>
    <w:rsid w:val="004D06A4"/>
    <w:rsid w:val="004D102F"/>
    <w:rsid w:val="004D6BC1"/>
    <w:rsid w:val="004E269B"/>
    <w:rsid w:val="004F1A81"/>
    <w:rsid w:val="005031E0"/>
    <w:rsid w:val="005041CE"/>
    <w:rsid w:val="00516AC4"/>
    <w:rsid w:val="00520B29"/>
    <w:rsid w:val="005218D9"/>
    <w:rsid w:val="005237BC"/>
    <w:rsid w:val="005265AF"/>
    <w:rsid w:val="00535071"/>
    <w:rsid w:val="00536186"/>
    <w:rsid w:val="00536371"/>
    <w:rsid w:val="0054042F"/>
    <w:rsid w:val="00540E87"/>
    <w:rsid w:val="005419C6"/>
    <w:rsid w:val="00544CBB"/>
    <w:rsid w:val="005602E3"/>
    <w:rsid w:val="0056131C"/>
    <w:rsid w:val="005656D7"/>
    <w:rsid w:val="00566919"/>
    <w:rsid w:val="0056697D"/>
    <w:rsid w:val="00567020"/>
    <w:rsid w:val="0057060E"/>
    <w:rsid w:val="0057092A"/>
    <w:rsid w:val="0057315F"/>
    <w:rsid w:val="0057450D"/>
    <w:rsid w:val="00576104"/>
    <w:rsid w:val="005819CB"/>
    <w:rsid w:val="00584CC4"/>
    <w:rsid w:val="0058522B"/>
    <w:rsid w:val="00595EF0"/>
    <w:rsid w:val="005977D9"/>
    <w:rsid w:val="005977E0"/>
    <w:rsid w:val="005A776C"/>
    <w:rsid w:val="005B44BF"/>
    <w:rsid w:val="005B6798"/>
    <w:rsid w:val="005B76DB"/>
    <w:rsid w:val="005C11B4"/>
    <w:rsid w:val="005C3B69"/>
    <w:rsid w:val="005C67C8"/>
    <w:rsid w:val="005C72CB"/>
    <w:rsid w:val="005D0249"/>
    <w:rsid w:val="005D18FA"/>
    <w:rsid w:val="005D428D"/>
    <w:rsid w:val="005D4575"/>
    <w:rsid w:val="005D4FD4"/>
    <w:rsid w:val="005D4FD8"/>
    <w:rsid w:val="005D6AB1"/>
    <w:rsid w:val="005D6E8C"/>
    <w:rsid w:val="005E0755"/>
    <w:rsid w:val="005E0A65"/>
    <w:rsid w:val="005E4645"/>
    <w:rsid w:val="005E7F64"/>
    <w:rsid w:val="005F100C"/>
    <w:rsid w:val="005F33E7"/>
    <w:rsid w:val="005F5C13"/>
    <w:rsid w:val="005F68DA"/>
    <w:rsid w:val="005F6B68"/>
    <w:rsid w:val="0060773B"/>
    <w:rsid w:val="00610947"/>
    <w:rsid w:val="006157B5"/>
    <w:rsid w:val="00615BD4"/>
    <w:rsid w:val="0061666C"/>
    <w:rsid w:val="006174C6"/>
    <w:rsid w:val="006222DB"/>
    <w:rsid w:val="0062541E"/>
    <w:rsid w:val="00626AEE"/>
    <w:rsid w:val="00626FC6"/>
    <w:rsid w:val="006303B4"/>
    <w:rsid w:val="00630532"/>
    <w:rsid w:val="00630ADC"/>
    <w:rsid w:val="00633D3D"/>
    <w:rsid w:val="006343BA"/>
    <w:rsid w:val="006344D2"/>
    <w:rsid w:val="0063782E"/>
    <w:rsid w:val="00641703"/>
    <w:rsid w:val="006431A6"/>
    <w:rsid w:val="0064357E"/>
    <w:rsid w:val="006459F6"/>
    <w:rsid w:val="006501AD"/>
    <w:rsid w:val="006505CB"/>
    <w:rsid w:val="00651093"/>
    <w:rsid w:val="00651BFA"/>
    <w:rsid w:val="00654475"/>
    <w:rsid w:val="00660376"/>
    <w:rsid w:val="00662FE3"/>
    <w:rsid w:val="00665A4B"/>
    <w:rsid w:val="0066657D"/>
    <w:rsid w:val="0067073C"/>
    <w:rsid w:val="00671A7B"/>
    <w:rsid w:val="0067264E"/>
    <w:rsid w:val="00676F60"/>
    <w:rsid w:val="00690C3B"/>
    <w:rsid w:val="00690DD3"/>
    <w:rsid w:val="00692E2A"/>
    <w:rsid w:val="006A18A7"/>
    <w:rsid w:val="006A76F2"/>
    <w:rsid w:val="006B06A8"/>
    <w:rsid w:val="006B664F"/>
    <w:rsid w:val="006C00D5"/>
    <w:rsid w:val="006C04E8"/>
    <w:rsid w:val="006C0617"/>
    <w:rsid w:val="006C1184"/>
    <w:rsid w:val="006C20CC"/>
    <w:rsid w:val="006C2CE9"/>
    <w:rsid w:val="006C42E2"/>
    <w:rsid w:val="006C4E18"/>
    <w:rsid w:val="006D19D4"/>
    <w:rsid w:val="006D7EFB"/>
    <w:rsid w:val="006E2685"/>
    <w:rsid w:val="006E47E4"/>
    <w:rsid w:val="006E5BF7"/>
    <w:rsid w:val="006E6672"/>
    <w:rsid w:val="006E6722"/>
    <w:rsid w:val="006F1830"/>
    <w:rsid w:val="006F2578"/>
    <w:rsid w:val="006F4173"/>
    <w:rsid w:val="006F60FC"/>
    <w:rsid w:val="006F64D2"/>
    <w:rsid w:val="006F7E67"/>
    <w:rsid w:val="007027B9"/>
    <w:rsid w:val="007065A2"/>
    <w:rsid w:val="00707ECD"/>
    <w:rsid w:val="0071119D"/>
    <w:rsid w:val="007145DA"/>
    <w:rsid w:val="00715E88"/>
    <w:rsid w:val="00720CA6"/>
    <w:rsid w:val="00726229"/>
    <w:rsid w:val="007323BD"/>
    <w:rsid w:val="00732C8E"/>
    <w:rsid w:val="007334AC"/>
    <w:rsid w:val="00734904"/>
    <w:rsid w:val="00734CAA"/>
    <w:rsid w:val="00741F6A"/>
    <w:rsid w:val="00742680"/>
    <w:rsid w:val="00747CC1"/>
    <w:rsid w:val="0075533C"/>
    <w:rsid w:val="00757027"/>
    <w:rsid w:val="00757581"/>
    <w:rsid w:val="007602F5"/>
    <w:rsid w:val="00760D36"/>
    <w:rsid w:val="007611A0"/>
    <w:rsid w:val="00776636"/>
    <w:rsid w:val="007935E6"/>
    <w:rsid w:val="00796D3F"/>
    <w:rsid w:val="007A1683"/>
    <w:rsid w:val="007A5C12"/>
    <w:rsid w:val="007A7CB0"/>
    <w:rsid w:val="007B4411"/>
    <w:rsid w:val="007B68A3"/>
    <w:rsid w:val="007C0454"/>
    <w:rsid w:val="007C1E0B"/>
    <w:rsid w:val="007C2541"/>
    <w:rsid w:val="007D202E"/>
    <w:rsid w:val="007D3C14"/>
    <w:rsid w:val="007D40A8"/>
    <w:rsid w:val="007D66A8"/>
    <w:rsid w:val="007D790B"/>
    <w:rsid w:val="007E003F"/>
    <w:rsid w:val="007E13D3"/>
    <w:rsid w:val="007E4D28"/>
    <w:rsid w:val="007E5EF5"/>
    <w:rsid w:val="007E6B9A"/>
    <w:rsid w:val="007F0CF8"/>
    <w:rsid w:val="007F1491"/>
    <w:rsid w:val="007F62CB"/>
    <w:rsid w:val="00801F45"/>
    <w:rsid w:val="008142EC"/>
    <w:rsid w:val="00814477"/>
    <w:rsid w:val="008164F2"/>
    <w:rsid w:val="00821395"/>
    <w:rsid w:val="008244C3"/>
    <w:rsid w:val="008248DE"/>
    <w:rsid w:val="00826CB5"/>
    <w:rsid w:val="00830E26"/>
    <w:rsid w:val="00833327"/>
    <w:rsid w:val="0083353B"/>
    <w:rsid w:val="0083436D"/>
    <w:rsid w:val="008361C4"/>
    <w:rsid w:val="008366AB"/>
    <w:rsid w:val="008408C9"/>
    <w:rsid w:val="00843576"/>
    <w:rsid w:val="00843B64"/>
    <w:rsid w:val="00845A45"/>
    <w:rsid w:val="008478FC"/>
    <w:rsid w:val="00850F79"/>
    <w:rsid w:val="00851C51"/>
    <w:rsid w:val="00851D7A"/>
    <w:rsid w:val="00852E95"/>
    <w:rsid w:val="00857DEA"/>
    <w:rsid w:val="00861816"/>
    <w:rsid w:val="008630F4"/>
    <w:rsid w:val="00863959"/>
    <w:rsid w:val="00867BFF"/>
    <w:rsid w:val="00870419"/>
    <w:rsid w:val="00871542"/>
    <w:rsid w:val="00871CF3"/>
    <w:rsid w:val="00872BF6"/>
    <w:rsid w:val="00876174"/>
    <w:rsid w:val="008763E2"/>
    <w:rsid w:val="0088480A"/>
    <w:rsid w:val="0088757A"/>
    <w:rsid w:val="0089431B"/>
    <w:rsid w:val="00895668"/>
    <w:rsid w:val="008957DD"/>
    <w:rsid w:val="00897D98"/>
    <w:rsid w:val="008A6DF2"/>
    <w:rsid w:val="008A7807"/>
    <w:rsid w:val="008B4CC9"/>
    <w:rsid w:val="008C10EC"/>
    <w:rsid w:val="008C1589"/>
    <w:rsid w:val="008C3FA5"/>
    <w:rsid w:val="008C6754"/>
    <w:rsid w:val="008D49B9"/>
    <w:rsid w:val="008D4E9F"/>
    <w:rsid w:val="008D7C99"/>
    <w:rsid w:val="008E0FCB"/>
    <w:rsid w:val="008F1A86"/>
    <w:rsid w:val="0090168B"/>
    <w:rsid w:val="00912EC0"/>
    <w:rsid w:val="00915879"/>
    <w:rsid w:val="009171EE"/>
    <w:rsid w:val="0092178C"/>
    <w:rsid w:val="00922F77"/>
    <w:rsid w:val="00924FAF"/>
    <w:rsid w:val="009276DE"/>
    <w:rsid w:val="00930B88"/>
    <w:rsid w:val="00932468"/>
    <w:rsid w:val="00936094"/>
    <w:rsid w:val="009363CA"/>
    <w:rsid w:val="00936F7E"/>
    <w:rsid w:val="0094088E"/>
    <w:rsid w:val="00940DCC"/>
    <w:rsid w:val="0094179A"/>
    <w:rsid w:val="0094459E"/>
    <w:rsid w:val="00944DBC"/>
    <w:rsid w:val="00950977"/>
    <w:rsid w:val="00950D2C"/>
    <w:rsid w:val="00951A7B"/>
    <w:rsid w:val="009551D8"/>
    <w:rsid w:val="009564A6"/>
    <w:rsid w:val="00960460"/>
    <w:rsid w:val="00962F1A"/>
    <w:rsid w:val="00964524"/>
    <w:rsid w:val="00967296"/>
    <w:rsid w:val="00967621"/>
    <w:rsid w:val="00967E6A"/>
    <w:rsid w:val="00971312"/>
    <w:rsid w:val="0097392D"/>
    <w:rsid w:val="00974160"/>
    <w:rsid w:val="0098038C"/>
    <w:rsid w:val="009844D8"/>
    <w:rsid w:val="00986C30"/>
    <w:rsid w:val="00987EB2"/>
    <w:rsid w:val="009907D6"/>
    <w:rsid w:val="0099356B"/>
    <w:rsid w:val="009A42AA"/>
    <w:rsid w:val="009A5EB5"/>
    <w:rsid w:val="009B266A"/>
    <w:rsid w:val="009B4A0F"/>
    <w:rsid w:val="009B76E8"/>
    <w:rsid w:val="009C11D2"/>
    <w:rsid w:val="009C6C70"/>
    <w:rsid w:val="009C7231"/>
    <w:rsid w:val="009C7B0A"/>
    <w:rsid w:val="009C7F50"/>
    <w:rsid w:val="009D0B63"/>
    <w:rsid w:val="009D1E4A"/>
    <w:rsid w:val="009D566D"/>
    <w:rsid w:val="009D5CB8"/>
    <w:rsid w:val="009E181D"/>
    <w:rsid w:val="009E307E"/>
    <w:rsid w:val="009E3EAD"/>
    <w:rsid w:val="009E3F6D"/>
    <w:rsid w:val="009E419B"/>
    <w:rsid w:val="009E4377"/>
    <w:rsid w:val="009F07C2"/>
    <w:rsid w:val="009F1842"/>
    <w:rsid w:val="009F2615"/>
    <w:rsid w:val="009F26E8"/>
    <w:rsid w:val="009F6F8A"/>
    <w:rsid w:val="00A07368"/>
    <w:rsid w:val="00A07870"/>
    <w:rsid w:val="00A07C54"/>
    <w:rsid w:val="00A07F19"/>
    <w:rsid w:val="00A1348D"/>
    <w:rsid w:val="00A212C5"/>
    <w:rsid w:val="00A232EE"/>
    <w:rsid w:val="00A4175F"/>
    <w:rsid w:val="00A42EC5"/>
    <w:rsid w:val="00A44411"/>
    <w:rsid w:val="00A464FE"/>
    <w:rsid w:val="00A469FA"/>
    <w:rsid w:val="00A5108F"/>
    <w:rsid w:val="00A53662"/>
    <w:rsid w:val="00A55B01"/>
    <w:rsid w:val="00A56B5B"/>
    <w:rsid w:val="00A57899"/>
    <w:rsid w:val="00A603FF"/>
    <w:rsid w:val="00A60F24"/>
    <w:rsid w:val="00A61745"/>
    <w:rsid w:val="00A619B6"/>
    <w:rsid w:val="00A64304"/>
    <w:rsid w:val="00A648CA"/>
    <w:rsid w:val="00A657DD"/>
    <w:rsid w:val="00A666A6"/>
    <w:rsid w:val="00A675FD"/>
    <w:rsid w:val="00A72437"/>
    <w:rsid w:val="00A74534"/>
    <w:rsid w:val="00A74AF9"/>
    <w:rsid w:val="00A75829"/>
    <w:rsid w:val="00A75A05"/>
    <w:rsid w:val="00A75F4C"/>
    <w:rsid w:val="00A8048B"/>
    <w:rsid w:val="00A80611"/>
    <w:rsid w:val="00A845CE"/>
    <w:rsid w:val="00AA7546"/>
    <w:rsid w:val="00AB0C65"/>
    <w:rsid w:val="00AB5340"/>
    <w:rsid w:val="00AB6BE8"/>
    <w:rsid w:val="00AC0A89"/>
    <w:rsid w:val="00AC0BCB"/>
    <w:rsid w:val="00AC70D5"/>
    <w:rsid w:val="00AC7C96"/>
    <w:rsid w:val="00AD2E8A"/>
    <w:rsid w:val="00AD61CE"/>
    <w:rsid w:val="00AE1F30"/>
    <w:rsid w:val="00AE237D"/>
    <w:rsid w:val="00AE502A"/>
    <w:rsid w:val="00AE5C8B"/>
    <w:rsid w:val="00AF0959"/>
    <w:rsid w:val="00AF103D"/>
    <w:rsid w:val="00AF145A"/>
    <w:rsid w:val="00AF7C07"/>
    <w:rsid w:val="00B0012C"/>
    <w:rsid w:val="00B01DC6"/>
    <w:rsid w:val="00B0412B"/>
    <w:rsid w:val="00B04632"/>
    <w:rsid w:val="00B06C64"/>
    <w:rsid w:val="00B078E8"/>
    <w:rsid w:val="00B11CAC"/>
    <w:rsid w:val="00B14D01"/>
    <w:rsid w:val="00B16CB3"/>
    <w:rsid w:val="00B1765B"/>
    <w:rsid w:val="00B17789"/>
    <w:rsid w:val="00B22754"/>
    <w:rsid w:val="00B22C93"/>
    <w:rsid w:val="00B2387F"/>
    <w:rsid w:val="00B25229"/>
    <w:rsid w:val="00B27589"/>
    <w:rsid w:val="00B30262"/>
    <w:rsid w:val="00B30E5F"/>
    <w:rsid w:val="00B32F4A"/>
    <w:rsid w:val="00B35E52"/>
    <w:rsid w:val="00B405B7"/>
    <w:rsid w:val="00B406EE"/>
    <w:rsid w:val="00B4372E"/>
    <w:rsid w:val="00B445BF"/>
    <w:rsid w:val="00B52222"/>
    <w:rsid w:val="00B531DA"/>
    <w:rsid w:val="00B54895"/>
    <w:rsid w:val="00B54FE7"/>
    <w:rsid w:val="00B56D5E"/>
    <w:rsid w:val="00B61D18"/>
    <w:rsid w:val="00B647C6"/>
    <w:rsid w:val="00B65981"/>
    <w:rsid w:val="00B66901"/>
    <w:rsid w:val="00B66BDB"/>
    <w:rsid w:val="00B71E6D"/>
    <w:rsid w:val="00B72070"/>
    <w:rsid w:val="00B779E1"/>
    <w:rsid w:val="00B815CC"/>
    <w:rsid w:val="00B91EE1"/>
    <w:rsid w:val="00B97BB1"/>
    <w:rsid w:val="00BA0090"/>
    <w:rsid w:val="00BA14CB"/>
    <w:rsid w:val="00BA1A67"/>
    <w:rsid w:val="00BB2265"/>
    <w:rsid w:val="00BB4D5A"/>
    <w:rsid w:val="00BD0937"/>
    <w:rsid w:val="00BE55F5"/>
    <w:rsid w:val="00BE56C8"/>
    <w:rsid w:val="00BE5B5F"/>
    <w:rsid w:val="00BF5A86"/>
    <w:rsid w:val="00BF5BF7"/>
    <w:rsid w:val="00C008D1"/>
    <w:rsid w:val="00C038CE"/>
    <w:rsid w:val="00C078AF"/>
    <w:rsid w:val="00C11A66"/>
    <w:rsid w:val="00C12BC6"/>
    <w:rsid w:val="00C144AF"/>
    <w:rsid w:val="00C1777F"/>
    <w:rsid w:val="00C239C7"/>
    <w:rsid w:val="00C24EAE"/>
    <w:rsid w:val="00C24EC6"/>
    <w:rsid w:val="00C25D3A"/>
    <w:rsid w:val="00C26F55"/>
    <w:rsid w:val="00C30C57"/>
    <w:rsid w:val="00C30C63"/>
    <w:rsid w:val="00C31269"/>
    <w:rsid w:val="00C35076"/>
    <w:rsid w:val="00C36B8B"/>
    <w:rsid w:val="00C40330"/>
    <w:rsid w:val="00C406EF"/>
    <w:rsid w:val="00C415C1"/>
    <w:rsid w:val="00C4575E"/>
    <w:rsid w:val="00C46EDF"/>
    <w:rsid w:val="00C479BD"/>
    <w:rsid w:val="00C47DBF"/>
    <w:rsid w:val="00C5040E"/>
    <w:rsid w:val="00C533C0"/>
    <w:rsid w:val="00C552FF"/>
    <w:rsid w:val="00C558DA"/>
    <w:rsid w:val="00C55AF3"/>
    <w:rsid w:val="00C56E53"/>
    <w:rsid w:val="00C6016B"/>
    <w:rsid w:val="00C65C92"/>
    <w:rsid w:val="00C84759"/>
    <w:rsid w:val="00C85407"/>
    <w:rsid w:val="00C930FC"/>
    <w:rsid w:val="00C93AC9"/>
    <w:rsid w:val="00C963F6"/>
    <w:rsid w:val="00C96CE5"/>
    <w:rsid w:val="00C96EB2"/>
    <w:rsid w:val="00CA1653"/>
    <w:rsid w:val="00CA4A96"/>
    <w:rsid w:val="00CA596D"/>
    <w:rsid w:val="00CA5CA9"/>
    <w:rsid w:val="00CA6C7F"/>
    <w:rsid w:val="00CA77B4"/>
    <w:rsid w:val="00CA7C77"/>
    <w:rsid w:val="00CB22C4"/>
    <w:rsid w:val="00CB23B3"/>
    <w:rsid w:val="00CB77AC"/>
    <w:rsid w:val="00CC10A6"/>
    <w:rsid w:val="00CC3A86"/>
    <w:rsid w:val="00CC68CA"/>
    <w:rsid w:val="00CD2753"/>
    <w:rsid w:val="00CD3AFA"/>
    <w:rsid w:val="00CD5EB8"/>
    <w:rsid w:val="00CD7044"/>
    <w:rsid w:val="00CE08B9"/>
    <w:rsid w:val="00CE4B52"/>
    <w:rsid w:val="00CE524C"/>
    <w:rsid w:val="00CE63C3"/>
    <w:rsid w:val="00CF141F"/>
    <w:rsid w:val="00CF1D21"/>
    <w:rsid w:val="00CF4777"/>
    <w:rsid w:val="00CF4DB0"/>
    <w:rsid w:val="00CF6E57"/>
    <w:rsid w:val="00D067BB"/>
    <w:rsid w:val="00D076E9"/>
    <w:rsid w:val="00D1352A"/>
    <w:rsid w:val="00D169AF"/>
    <w:rsid w:val="00D17A1D"/>
    <w:rsid w:val="00D22839"/>
    <w:rsid w:val="00D25249"/>
    <w:rsid w:val="00D279EB"/>
    <w:rsid w:val="00D35DE2"/>
    <w:rsid w:val="00D40607"/>
    <w:rsid w:val="00D44172"/>
    <w:rsid w:val="00D45F5D"/>
    <w:rsid w:val="00D468E6"/>
    <w:rsid w:val="00D629F5"/>
    <w:rsid w:val="00D63B8C"/>
    <w:rsid w:val="00D66350"/>
    <w:rsid w:val="00D67AEC"/>
    <w:rsid w:val="00D739CC"/>
    <w:rsid w:val="00D74876"/>
    <w:rsid w:val="00D8093D"/>
    <w:rsid w:val="00D8108C"/>
    <w:rsid w:val="00D842AE"/>
    <w:rsid w:val="00D9211C"/>
    <w:rsid w:val="00D92DE0"/>
    <w:rsid w:val="00D92FEF"/>
    <w:rsid w:val="00D93A0F"/>
    <w:rsid w:val="00D958F1"/>
    <w:rsid w:val="00D9717B"/>
    <w:rsid w:val="00DA1BCA"/>
    <w:rsid w:val="00DA291A"/>
    <w:rsid w:val="00DB169B"/>
    <w:rsid w:val="00DB3FEA"/>
    <w:rsid w:val="00DB5CF3"/>
    <w:rsid w:val="00DB7513"/>
    <w:rsid w:val="00DC3262"/>
    <w:rsid w:val="00DC46FF"/>
    <w:rsid w:val="00DC5254"/>
    <w:rsid w:val="00DC569D"/>
    <w:rsid w:val="00DC57E3"/>
    <w:rsid w:val="00DC7D5B"/>
    <w:rsid w:val="00DD1A4F"/>
    <w:rsid w:val="00DD3107"/>
    <w:rsid w:val="00DD66EA"/>
    <w:rsid w:val="00DD7C2C"/>
    <w:rsid w:val="00DE3715"/>
    <w:rsid w:val="00DF05C9"/>
    <w:rsid w:val="00DF47DF"/>
    <w:rsid w:val="00DF5694"/>
    <w:rsid w:val="00E0035A"/>
    <w:rsid w:val="00E02432"/>
    <w:rsid w:val="00E03D8C"/>
    <w:rsid w:val="00E06797"/>
    <w:rsid w:val="00E06C23"/>
    <w:rsid w:val="00E1069C"/>
    <w:rsid w:val="00E1265B"/>
    <w:rsid w:val="00E13B48"/>
    <w:rsid w:val="00E1404F"/>
    <w:rsid w:val="00E17F09"/>
    <w:rsid w:val="00E21C83"/>
    <w:rsid w:val="00E24ADA"/>
    <w:rsid w:val="00E24D49"/>
    <w:rsid w:val="00E2738F"/>
    <w:rsid w:val="00E30BF6"/>
    <w:rsid w:val="00E32F59"/>
    <w:rsid w:val="00E33039"/>
    <w:rsid w:val="00E33A52"/>
    <w:rsid w:val="00E33B26"/>
    <w:rsid w:val="00E36B99"/>
    <w:rsid w:val="00E378B9"/>
    <w:rsid w:val="00E40F80"/>
    <w:rsid w:val="00E45F98"/>
    <w:rsid w:val="00E46D9A"/>
    <w:rsid w:val="00E5168E"/>
    <w:rsid w:val="00E565FF"/>
    <w:rsid w:val="00E60AA4"/>
    <w:rsid w:val="00E61335"/>
    <w:rsid w:val="00E65388"/>
    <w:rsid w:val="00E74E08"/>
    <w:rsid w:val="00E761D8"/>
    <w:rsid w:val="00E76CD8"/>
    <w:rsid w:val="00E7780E"/>
    <w:rsid w:val="00E85B7D"/>
    <w:rsid w:val="00E87859"/>
    <w:rsid w:val="00E87B7E"/>
    <w:rsid w:val="00E9121B"/>
    <w:rsid w:val="00E92905"/>
    <w:rsid w:val="00E93455"/>
    <w:rsid w:val="00EA0AE2"/>
    <w:rsid w:val="00EA39E5"/>
    <w:rsid w:val="00EB086F"/>
    <w:rsid w:val="00EB44AC"/>
    <w:rsid w:val="00EB7693"/>
    <w:rsid w:val="00EC2813"/>
    <w:rsid w:val="00EC336D"/>
    <w:rsid w:val="00EC3423"/>
    <w:rsid w:val="00EC5A46"/>
    <w:rsid w:val="00EC63E2"/>
    <w:rsid w:val="00ED366A"/>
    <w:rsid w:val="00ED7CFD"/>
    <w:rsid w:val="00EE49A2"/>
    <w:rsid w:val="00EF1A7E"/>
    <w:rsid w:val="00EF22B3"/>
    <w:rsid w:val="00EF46F2"/>
    <w:rsid w:val="00F01780"/>
    <w:rsid w:val="00F03B23"/>
    <w:rsid w:val="00F03B69"/>
    <w:rsid w:val="00F0517D"/>
    <w:rsid w:val="00F07A50"/>
    <w:rsid w:val="00F113DA"/>
    <w:rsid w:val="00F15FEE"/>
    <w:rsid w:val="00F26283"/>
    <w:rsid w:val="00F271D0"/>
    <w:rsid w:val="00F275A5"/>
    <w:rsid w:val="00F33F69"/>
    <w:rsid w:val="00F344C5"/>
    <w:rsid w:val="00F3465A"/>
    <w:rsid w:val="00F36A06"/>
    <w:rsid w:val="00F37DC8"/>
    <w:rsid w:val="00F400C1"/>
    <w:rsid w:val="00F407B0"/>
    <w:rsid w:val="00F439B3"/>
    <w:rsid w:val="00F5014A"/>
    <w:rsid w:val="00F573C6"/>
    <w:rsid w:val="00F650C3"/>
    <w:rsid w:val="00F65D85"/>
    <w:rsid w:val="00F705BB"/>
    <w:rsid w:val="00F74705"/>
    <w:rsid w:val="00F764D4"/>
    <w:rsid w:val="00F77D14"/>
    <w:rsid w:val="00F8091E"/>
    <w:rsid w:val="00F8615C"/>
    <w:rsid w:val="00F90C21"/>
    <w:rsid w:val="00F90F23"/>
    <w:rsid w:val="00F9205A"/>
    <w:rsid w:val="00F92D50"/>
    <w:rsid w:val="00F93019"/>
    <w:rsid w:val="00F969E5"/>
    <w:rsid w:val="00FA1B3D"/>
    <w:rsid w:val="00FA3C05"/>
    <w:rsid w:val="00FA6BB0"/>
    <w:rsid w:val="00FB0AA3"/>
    <w:rsid w:val="00FB0ED5"/>
    <w:rsid w:val="00FB1FD1"/>
    <w:rsid w:val="00FB35EF"/>
    <w:rsid w:val="00FB47DA"/>
    <w:rsid w:val="00FB7891"/>
    <w:rsid w:val="00FC3126"/>
    <w:rsid w:val="00FD06AC"/>
    <w:rsid w:val="00FD211D"/>
    <w:rsid w:val="00FD3F12"/>
    <w:rsid w:val="00FD5860"/>
    <w:rsid w:val="00FD7C34"/>
    <w:rsid w:val="00FE13E7"/>
    <w:rsid w:val="00FE156E"/>
    <w:rsid w:val="00FE352D"/>
    <w:rsid w:val="00FE391A"/>
    <w:rsid w:val="00FE40EB"/>
    <w:rsid w:val="00FE4778"/>
    <w:rsid w:val="00FE4D02"/>
    <w:rsid w:val="00FE7D62"/>
    <w:rsid w:val="00FF3819"/>
    <w:rsid w:val="00FF5AD4"/>
    <w:rsid w:val="00FF5C59"/>
    <w:rsid w:val="00FF767F"/>
  </w:rsids>
  <m:mathPr>
    <m:mathFont m:val="Cambria Math"/>
    <m:brkBin m:val="before"/>
    <m:brkBinSub m:val="--"/>
    <m:smallFrac/>
    <m:dispDef/>
    <m:lMargin m:val="0"/>
    <m:rMargin m:val="0"/>
    <m:defJc m:val="centerGroup"/>
    <m:wrapIndent m:val="1440"/>
    <m:intLim m:val="subSup"/>
    <m:naryLim m:val="undOvr"/>
  </m:mathPr>
  <w:themeFontLang w:val="es-ES_trad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267"/>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rPr>
  </w:style>
  <w:style w:type="paragraph" w:styleId="Heading6">
    <w:name w:val="heading 6"/>
    <w:basedOn w:val="Normal"/>
    <w:next w:val="Normal"/>
    <w:qFormat/>
    <w:rsid w:val="000D6941"/>
    <w:pPr>
      <w:keepNext/>
      <w:ind w:left="578"/>
      <w:outlineLvl w:val="5"/>
    </w:pPr>
    <w:rPr>
      <w:b/>
      <w:bCs/>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Univers" w:hAnsi="Univers"/>
        <w:b/>
        <w:i w:val="0"/>
        <w:caps/>
        <w:smallCaps w:val="0"/>
        <w:color w:val="auto"/>
        <w:sz w:val="27"/>
        <w:szCs w:val="27"/>
      </w:rPr>
    </w:tblStylePr>
    <w:tblStylePr w:type="lastRow">
      <w:pPr>
        <w:wordWrap/>
        <w:spacing w:afterLines="0" w:afterAutospacing="0"/>
        <w:ind w:rightChars="0" w:right="567"/>
      </w:pPr>
      <w:rPr>
        <w:rFonts w:ascii="Univers" w:hAnsi="Univers"/>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Univers" w:hAnsi="Univers"/>
        <w:b/>
        <w:i w:val="0"/>
        <w:color w:val="auto"/>
        <w:sz w:val="64"/>
        <w:szCs w:val="64"/>
      </w:rPr>
    </w:tblStylePr>
    <w:tblStylePr w:type="nwCell">
      <w:rPr>
        <w:rFonts w:ascii="Univers" w:hAnsi="Univers"/>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8"/>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rPr>
  </w:style>
  <w:style w:type="character" w:customStyle="1" w:styleId="CH3Char">
    <w:name w:val="CH3 Char"/>
    <w:link w:val="CH3"/>
    <w:rsid w:val="00DF05C9"/>
    <w:rPr>
      <w:b/>
      <w:lang w:eastAsia="en-US"/>
    </w:rPr>
  </w:style>
  <w:style w:type="character" w:customStyle="1" w:styleId="FootnoteTextChar">
    <w:name w:val="Footnote Text Char"/>
    <w:link w:val="FootnoteText"/>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lang w:val="en-GB" w:eastAsia="zh-CN"/>
    </w:rPr>
  </w:style>
  <w:style w:type="paragraph" w:customStyle="1" w:styleId="Articleheading">
    <w:name w:val="Article heading"/>
    <w:basedOn w:val="Normal"/>
    <w:next w:val="Subtitle"/>
    <w:rsid w:val="001033C2"/>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BBTitleChar">
    <w:name w:val="BB_Title Char"/>
    <w:link w:val="BBTitle"/>
    <w:rsid w:val="001033C2"/>
    <w:rPr>
      <w:b/>
      <w:sz w:val="28"/>
      <w:szCs w:val="28"/>
      <w:lang w:eastAsia="en-US"/>
    </w:rPr>
  </w:style>
  <w:style w:type="character" w:customStyle="1" w:styleId="ZZAnxheaderChar">
    <w:name w:val="ZZ_Anx_header Char"/>
    <w:link w:val="ZZAnxheader"/>
    <w:rsid w:val="001033C2"/>
    <w:rPr>
      <w:b/>
      <w:bCs/>
      <w:sz w:val="28"/>
      <w:szCs w:val="22"/>
      <w:lang w:eastAsia="en-US"/>
    </w:rPr>
  </w:style>
  <w:style w:type="paragraph" w:styleId="Subtitle">
    <w:name w:val="Subtitle"/>
    <w:basedOn w:val="Normal"/>
    <w:next w:val="Normal"/>
    <w:link w:val="SubtitleChar"/>
    <w:qFormat/>
    <w:rsid w:val="001033C2"/>
    <w:pPr>
      <w:spacing w:after="60"/>
      <w:jc w:val="center"/>
      <w:outlineLvl w:val="1"/>
    </w:pPr>
    <w:rPr>
      <w:rFonts w:ascii="Cambria" w:eastAsia="SimSun" w:hAnsi="Cambria"/>
    </w:rPr>
  </w:style>
  <w:style w:type="character" w:customStyle="1" w:styleId="SubtitleChar">
    <w:name w:val="Subtitle Char"/>
    <w:link w:val="Subtitle"/>
    <w:rsid w:val="001033C2"/>
    <w:rPr>
      <w:rFonts w:ascii="Cambria" w:eastAsia="SimSun" w:hAnsi="Cambria" w:cs="Times New Roman"/>
      <w:sz w:val="24"/>
      <w:szCs w:val="24"/>
      <w:lang w:eastAsia="en-US"/>
    </w:rPr>
  </w:style>
  <w:style w:type="character" w:customStyle="1" w:styleId="Paralevel1Char">
    <w:name w:val="Para level1 Char"/>
    <w:link w:val="Paralevel1"/>
    <w:locked/>
    <w:rsid w:val="007B4411"/>
    <w:rPr>
      <w:lang w:eastAsia="en-US"/>
    </w:rPr>
  </w:style>
  <w:style w:type="paragraph" w:customStyle="1" w:styleId="Paralevel1">
    <w:name w:val="Para level1"/>
    <w:basedOn w:val="Normal"/>
    <w:link w:val="Paralevel1Char"/>
    <w:autoRedefine/>
    <w:rsid w:val="007B4411"/>
    <w:pPr>
      <w:numPr>
        <w:numId w:val="6"/>
      </w:numPr>
      <w:tabs>
        <w:tab w:val="clear" w:pos="1247"/>
        <w:tab w:val="clear" w:pos="1814"/>
        <w:tab w:val="clear" w:pos="2381"/>
        <w:tab w:val="clear" w:pos="2948"/>
        <w:tab w:val="clear" w:pos="3515"/>
      </w:tabs>
      <w:suppressAutoHyphens/>
      <w:spacing w:after="120"/>
    </w:pPr>
  </w:style>
  <w:style w:type="paragraph" w:styleId="BodyText">
    <w:name w:val="Body Text"/>
    <w:basedOn w:val="Normal"/>
    <w:link w:val="BodyTextChar"/>
    <w:rsid w:val="009907D6"/>
    <w:pPr>
      <w:spacing w:after="120"/>
    </w:pPr>
  </w:style>
  <w:style w:type="character" w:customStyle="1" w:styleId="BodyTextChar">
    <w:name w:val="Body Text Char"/>
    <w:link w:val="BodyText"/>
    <w:rsid w:val="009907D6"/>
    <w:rPr>
      <w:lang w:eastAsia="en-US"/>
    </w:rPr>
  </w:style>
  <w:style w:type="paragraph" w:styleId="BodyTextIndent3">
    <w:name w:val="Body Text Indent 3"/>
    <w:basedOn w:val="Normal"/>
    <w:link w:val="BodyTextIndent3Char"/>
    <w:rsid w:val="009907D6"/>
    <w:pPr>
      <w:spacing w:after="120"/>
      <w:ind w:left="283"/>
    </w:pPr>
    <w:rPr>
      <w:sz w:val="16"/>
      <w:szCs w:val="16"/>
    </w:rPr>
  </w:style>
  <w:style w:type="character" w:customStyle="1" w:styleId="BodyTextIndent3Char">
    <w:name w:val="Body Text Indent 3 Char"/>
    <w:link w:val="BodyTextIndent3"/>
    <w:rsid w:val="009907D6"/>
    <w:rPr>
      <w:sz w:val="16"/>
      <w:szCs w:val="16"/>
      <w:lang w:eastAsia="en-US"/>
    </w:rPr>
  </w:style>
  <w:style w:type="character" w:customStyle="1" w:styleId="FooterChar">
    <w:name w:val="Footer Char"/>
    <w:link w:val="Footer"/>
    <w:semiHidden/>
    <w:rsid w:val="009907D6"/>
    <w:rPr>
      <w:sz w:val="18"/>
      <w:lang w:eastAsia="en-US"/>
    </w:rPr>
  </w:style>
  <w:style w:type="paragraph" w:styleId="Title">
    <w:name w:val="Title"/>
    <w:basedOn w:val="Normal"/>
    <w:link w:val="TitleChar"/>
    <w:autoRedefine/>
    <w:qFormat/>
    <w:rsid w:val="009907D6"/>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rPr>
  </w:style>
  <w:style w:type="character" w:customStyle="1" w:styleId="TitleChar">
    <w:name w:val="Title Char"/>
    <w:link w:val="Title"/>
    <w:rsid w:val="009907D6"/>
    <w:rPr>
      <w:rFonts w:cs="Arial"/>
      <w:b/>
      <w:bCs/>
      <w:kern w:val="28"/>
      <w:sz w:val="28"/>
      <w:szCs w:val="28"/>
      <w:lang w:eastAsia="en-US"/>
    </w:rPr>
  </w:style>
  <w:style w:type="paragraph" w:customStyle="1" w:styleId="Anxhead">
    <w:name w:val="Anx head"/>
    <w:basedOn w:val="Normal"/>
    <w:rsid w:val="009907D6"/>
    <w:pPr>
      <w:tabs>
        <w:tab w:val="clear" w:pos="1247"/>
        <w:tab w:val="clear" w:pos="1814"/>
        <w:tab w:val="clear" w:pos="2381"/>
        <w:tab w:val="clear" w:pos="2948"/>
        <w:tab w:val="clear" w:pos="3515"/>
      </w:tabs>
    </w:pPr>
    <w:rPr>
      <w:b/>
      <w:bCs/>
      <w:sz w:val="28"/>
      <w:szCs w:val="22"/>
    </w:rPr>
  </w:style>
  <w:style w:type="paragraph" w:customStyle="1" w:styleId="Anxtitle">
    <w:name w:val="Anx title"/>
    <w:basedOn w:val="Normal"/>
    <w:rsid w:val="009907D6"/>
    <w:pPr>
      <w:tabs>
        <w:tab w:val="clear" w:pos="1247"/>
        <w:tab w:val="clear" w:pos="1814"/>
        <w:tab w:val="clear" w:pos="2381"/>
        <w:tab w:val="clear" w:pos="2948"/>
        <w:tab w:val="clear" w:pos="3515"/>
      </w:tabs>
      <w:ind w:left="1247"/>
    </w:pPr>
    <w:rPr>
      <w:b/>
      <w:bCs/>
      <w:sz w:val="28"/>
      <w:szCs w:val="26"/>
    </w:rPr>
  </w:style>
  <w:style w:type="paragraph" w:customStyle="1" w:styleId="Paralevel3">
    <w:name w:val="Para level3"/>
    <w:basedOn w:val="Normal"/>
    <w:rsid w:val="009907D6"/>
    <w:pPr>
      <w:numPr>
        <w:numId w:val="7"/>
      </w:numPr>
      <w:tabs>
        <w:tab w:val="clear" w:pos="1247"/>
        <w:tab w:val="clear" w:pos="1814"/>
        <w:tab w:val="clear" w:pos="2381"/>
        <w:tab w:val="clear" w:pos="2948"/>
        <w:tab w:val="clear" w:pos="3515"/>
        <w:tab w:val="num" w:pos="360"/>
      </w:tabs>
      <w:suppressAutoHyphens/>
      <w:spacing w:after="120"/>
      <w:ind w:left="0" w:firstLine="0"/>
    </w:pPr>
  </w:style>
  <w:style w:type="paragraph" w:customStyle="1" w:styleId="Sombreadomediano1-nfasis11">
    <w:name w:val="Sombreado mediano 1 - Énfasis 11"/>
    <w:uiPriority w:val="1"/>
    <w:qFormat/>
    <w:rsid w:val="006C0617"/>
    <w:rPr>
      <w:rFonts w:ascii="Calibri" w:eastAsia="SimSun" w:hAnsi="Calibri" w:cs="Arial"/>
      <w:sz w:val="22"/>
      <w:szCs w:val="22"/>
      <w:lang w:val="en-US" w:eastAsia="zh-CN"/>
    </w:rPr>
  </w:style>
  <w:style w:type="paragraph" w:customStyle="1" w:styleId="Cuadrculamediana1-nfasis21">
    <w:name w:val="Cuadrícula mediana 1 - Énfasis 21"/>
    <w:basedOn w:val="Normal"/>
    <w:uiPriority w:val="34"/>
    <w:qFormat/>
    <w:rsid w:val="00776636"/>
    <w:pPr>
      <w:ind w:left="720"/>
      <w:contextualSpacing/>
    </w:pPr>
  </w:style>
  <w:style w:type="paragraph" w:customStyle="1" w:styleId="Listamediana2-nfasis21">
    <w:name w:val="Lista mediana 2 - Énfasis 21"/>
    <w:hidden/>
    <w:uiPriority w:val="71"/>
    <w:rsid w:val="006F4173"/>
    <w:rPr>
      <w:lang w:val="en-GB" w:eastAsia="en-US"/>
    </w:rPr>
  </w:style>
  <w:style w:type="paragraph" w:customStyle="1" w:styleId="indentlist">
    <w:name w:val="indent list"/>
    <w:basedOn w:val="Normal"/>
    <w:rsid w:val="00747CC1"/>
    <w:pPr>
      <w:numPr>
        <w:numId w:val="9"/>
      </w:numPr>
      <w:tabs>
        <w:tab w:val="left" w:pos="720"/>
      </w:tabs>
      <w:spacing w:after="120"/>
    </w:pPr>
  </w:style>
  <w:style w:type="character" w:customStyle="1" w:styleId="ft01">
    <w:name w:val="ft01"/>
    <w:rsid w:val="00094296"/>
    <w:rPr>
      <w:rFonts w:ascii="Times" w:hAnsi="Times" w:hint="default"/>
      <w:color w:val="000000"/>
      <w:sz w:val="23"/>
    </w:rPr>
  </w:style>
  <w:style w:type="paragraph" w:styleId="NormalWeb">
    <w:name w:val="Normal (Web)"/>
    <w:basedOn w:val="Normal"/>
    <w:rsid w:val="005F6B68"/>
  </w:style>
  <w:style w:type="paragraph" w:styleId="EndnoteText">
    <w:name w:val="endnote text"/>
    <w:basedOn w:val="Normal"/>
    <w:link w:val="EndnoteTextChar"/>
    <w:rsid w:val="00D9717B"/>
  </w:style>
  <w:style w:type="character" w:customStyle="1" w:styleId="EndnoteTextChar">
    <w:name w:val="Endnote Text Char"/>
    <w:link w:val="EndnoteText"/>
    <w:rsid w:val="00D9717B"/>
    <w:rPr>
      <w:lang w:eastAsia="en-US"/>
    </w:rPr>
  </w:style>
  <w:style w:type="character" w:styleId="EndnoteReference">
    <w:name w:val="endnote reference"/>
    <w:rsid w:val="00D9717B"/>
    <w:rPr>
      <w:vertAlign w:val="superscript"/>
    </w:rPr>
  </w:style>
  <w:style w:type="character" w:styleId="Strong">
    <w:name w:val="Strong"/>
    <w:uiPriority w:val="22"/>
    <w:qFormat/>
    <w:rsid w:val="005977E0"/>
    <w:rPr>
      <w:b/>
      <w:bCs/>
    </w:rPr>
  </w:style>
  <w:style w:type="table" w:styleId="TableGrid">
    <w:name w:val="Table Grid"/>
    <w:basedOn w:val="TableNormal"/>
    <w:rsid w:val="00F0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52327"/>
    <w:rPr>
      <w:color w:val="800080"/>
      <w:u w:val="single"/>
    </w:rPr>
  </w:style>
  <w:style w:type="paragraph" w:customStyle="1" w:styleId="Sombreadomulticolor-nfasis11">
    <w:name w:val="Sombreado multicolor - Énfasis 11"/>
    <w:hidden/>
    <w:uiPriority w:val="71"/>
    <w:rsid w:val="00320F73"/>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0" w:defSemiHidden="0" w:defUnhideWhenUsed="0" w:defQFormat="0" w:count="267"/>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rPr>
  </w:style>
  <w:style w:type="paragraph" w:styleId="Heading6">
    <w:name w:val="heading 6"/>
    <w:basedOn w:val="Normal"/>
    <w:next w:val="Normal"/>
    <w:qFormat/>
    <w:rsid w:val="000D6941"/>
    <w:pPr>
      <w:keepNext/>
      <w:ind w:left="578"/>
      <w:outlineLvl w:val="5"/>
    </w:pPr>
    <w:rPr>
      <w:b/>
      <w:bCs/>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Univers" w:hAnsi="Univers"/>
        <w:b/>
        <w:i w:val="0"/>
        <w:caps/>
        <w:smallCaps w:val="0"/>
        <w:color w:val="auto"/>
        <w:sz w:val="27"/>
        <w:szCs w:val="27"/>
      </w:rPr>
    </w:tblStylePr>
    <w:tblStylePr w:type="lastRow">
      <w:pPr>
        <w:wordWrap/>
        <w:spacing w:afterLines="0" w:afterAutospacing="0"/>
        <w:ind w:rightChars="0" w:right="567"/>
      </w:pPr>
      <w:rPr>
        <w:rFonts w:ascii="Univers" w:hAnsi="Univers"/>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Univers" w:hAnsi="Univers"/>
        <w:b/>
        <w:i w:val="0"/>
        <w:color w:val="auto"/>
        <w:sz w:val="64"/>
        <w:szCs w:val="64"/>
      </w:rPr>
    </w:tblStylePr>
    <w:tblStylePr w:type="nwCell">
      <w:rPr>
        <w:rFonts w:ascii="Univers" w:hAnsi="Univers"/>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8"/>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Caption">
    <w:name w:val="caption"/>
    <w:basedOn w:val="Normal"/>
    <w:next w:val="Normal"/>
    <w:qFormat/>
    <w:rsid w:val="00DF05C9"/>
    <w:pPr>
      <w:widowControl w:val="0"/>
      <w:tabs>
        <w:tab w:val="clear" w:pos="1247"/>
        <w:tab w:val="clear" w:pos="1814"/>
        <w:tab w:val="clear" w:pos="2381"/>
        <w:tab w:val="clear" w:pos="2948"/>
        <w:tab w:val="clear" w:pos="3515"/>
      </w:tabs>
    </w:pPr>
    <w:rPr>
      <w:snapToGrid w:val="0"/>
    </w:rPr>
  </w:style>
  <w:style w:type="character" w:customStyle="1" w:styleId="CH3Char">
    <w:name w:val="CH3 Char"/>
    <w:link w:val="CH3"/>
    <w:rsid w:val="00DF05C9"/>
    <w:rPr>
      <w:b/>
      <w:lang w:eastAsia="en-US"/>
    </w:rPr>
  </w:style>
  <w:style w:type="character" w:customStyle="1" w:styleId="FootnoteTextChar">
    <w:name w:val="Footnote Text Char"/>
    <w:link w:val="FootnoteText"/>
    <w:semiHidden/>
    <w:rsid w:val="00DF05C9"/>
    <w:rPr>
      <w:sz w:val="18"/>
      <w:lang w:val="fr-FR" w:eastAsia="en-US"/>
    </w:rPr>
  </w:style>
  <w:style w:type="paragraph" w:customStyle="1" w:styleId="Style10ptLeft043Firstline043After6pt">
    <w:name w:val="Style 10 pt Left:  0.43&quot; First line:  0.43&quot; After:  6 pt"/>
    <w:basedOn w:val="Normal"/>
    <w:uiPriority w:val="99"/>
    <w:rsid w:val="00DF05C9"/>
    <w:pPr>
      <w:tabs>
        <w:tab w:val="clear" w:pos="1247"/>
        <w:tab w:val="clear" w:pos="1814"/>
        <w:tab w:val="clear" w:pos="2381"/>
        <w:tab w:val="clear" w:pos="2948"/>
        <w:tab w:val="clear" w:pos="3515"/>
      </w:tabs>
      <w:spacing w:after="120"/>
      <w:ind w:left="1260" w:hanging="17"/>
    </w:pPr>
  </w:style>
  <w:style w:type="paragraph" w:styleId="BodyTextIndent">
    <w:name w:val="Body Text Indent"/>
    <w:basedOn w:val="Normal"/>
    <w:link w:val="BodyTextIndentChar"/>
    <w:rsid w:val="00DF05C9"/>
    <w:pPr>
      <w:tabs>
        <w:tab w:val="clear" w:pos="1247"/>
        <w:tab w:val="clear" w:pos="1814"/>
        <w:tab w:val="clear" w:pos="2381"/>
        <w:tab w:val="clear" w:pos="2948"/>
        <w:tab w:val="clear" w:pos="3515"/>
      </w:tabs>
      <w:spacing w:after="120"/>
      <w:ind w:left="360"/>
    </w:pPr>
  </w:style>
  <w:style w:type="character" w:customStyle="1" w:styleId="BodyTextIndentChar">
    <w:name w:val="Body Text Indent Char"/>
    <w:link w:val="BodyTextIndent"/>
    <w:rsid w:val="00DF05C9"/>
    <w:rPr>
      <w:sz w:val="24"/>
      <w:lang w:eastAsia="en-US"/>
    </w:rPr>
  </w:style>
  <w:style w:type="character" w:customStyle="1" w:styleId="CH2Char">
    <w:name w:val="CH2 Char"/>
    <w:link w:val="CH2"/>
    <w:rsid w:val="00DF05C9"/>
    <w:rPr>
      <w:b/>
      <w:sz w:val="24"/>
      <w:szCs w:val="24"/>
      <w:lang w:eastAsia="en-US"/>
    </w:rPr>
  </w:style>
  <w:style w:type="character" w:customStyle="1" w:styleId="ZZAnxtitleChar">
    <w:name w:val="ZZ_Anx_title Char"/>
    <w:link w:val="ZZAnxtitle"/>
    <w:rsid w:val="00DF05C9"/>
    <w:rPr>
      <w:b/>
      <w:bCs/>
      <w:sz w:val="28"/>
      <w:szCs w:val="26"/>
      <w:lang w:eastAsia="en-US"/>
    </w:rPr>
  </w:style>
  <w:style w:type="paragraph" w:customStyle="1" w:styleId="Default">
    <w:name w:val="Default"/>
    <w:rsid w:val="00960460"/>
    <w:pPr>
      <w:autoSpaceDE w:val="0"/>
      <w:autoSpaceDN w:val="0"/>
      <w:adjustRightInd w:val="0"/>
    </w:pPr>
    <w:rPr>
      <w:color w:val="000000"/>
      <w:lang w:val="en-GB" w:eastAsia="zh-CN"/>
    </w:rPr>
  </w:style>
  <w:style w:type="paragraph" w:customStyle="1" w:styleId="Articleheading">
    <w:name w:val="Article heading"/>
    <w:basedOn w:val="Normal"/>
    <w:next w:val="Subtitle"/>
    <w:rsid w:val="001033C2"/>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BBTitleChar">
    <w:name w:val="BB_Title Char"/>
    <w:link w:val="BBTitle"/>
    <w:rsid w:val="001033C2"/>
    <w:rPr>
      <w:b/>
      <w:sz w:val="28"/>
      <w:szCs w:val="28"/>
      <w:lang w:eastAsia="en-US"/>
    </w:rPr>
  </w:style>
  <w:style w:type="character" w:customStyle="1" w:styleId="ZZAnxheaderChar">
    <w:name w:val="ZZ_Anx_header Char"/>
    <w:link w:val="ZZAnxheader"/>
    <w:rsid w:val="001033C2"/>
    <w:rPr>
      <w:b/>
      <w:bCs/>
      <w:sz w:val="28"/>
      <w:szCs w:val="22"/>
      <w:lang w:eastAsia="en-US"/>
    </w:rPr>
  </w:style>
  <w:style w:type="paragraph" w:styleId="Subtitle">
    <w:name w:val="Subtitle"/>
    <w:basedOn w:val="Normal"/>
    <w:next w:val="Normal"/>
    <w:link w:val="SubtitleChar"/>
    <w:qFormat/>
    <w:rsid w:val="001033C2"/>
    <w:pPr>
      <w:spacing w:after="60"/>
      <w:jc w:val="center"/>
      <w:outlineLvl w:val="1"/>
    </w:pPr>
    <w:rPr>
      <w:rFonts w:ascii="Cambria" w:eastAsia="SimSun" w:hAnsi="Cambria"/>
    </w:rPr>
  </w:style>
  <w:style w:type="character" w:customStyle="1" w:styleId="SubtitleChar">
    <w:name w:val="Subtitle Char"/>
    <w:link w:val="Subtitle"/>
    <w:rsid w:val="001033C2"/>
    <w:rPr>
      <w:rFonts w:ascii="Cambria" w:eastAsia="SimSun" w:hAnsi="Cambria" w:cs="Times New Roman"/>
      <w:sz w:val="24"/>
      <w:szCs w:val="24"/>
      <w:lang w:eastAsia="en-US"/>
    </w:rPr>
  </w:style>
  <w:style w:type="character" w:customStyle="1" w:styleId="Paralevel1Char">
    <w:name w:val="Para level1 Char"/>
    <w:link w:val="Paralevel1"/>
    <w:locked/>
    <w:rsid w:val="007B4411"/>
    <w:rPr>
      <w:lang w:eastAsia="en-US"/>
    </w:rPr>
  </w:style>
  <w:style w:type="paragraph" w:customStyle="1" w:styleId="Paralevel1">
    <w:name w:val="Para level1"/>
    <w:basedOn w:val="Normal"/>
    <w:link w:val="Paralevel1Char"/>
    <w:autoRedefine/>
    <w:rsid w:val="007B4411"/>
    <w:pPr>
      <w:numPr>
        <w:numId w:val="6"/>
      </w:numPr>
      <w:tabs>
        <w:tab w:val="clear" w:pos="1247"/>
        <w:tab w:val="clear" w:pos="1814"/>
        <w:tab w:val="clear" w:pos="2381"/>
        <w:tab w:val="clear" w:pos="2948"/>
        <w:tab w:val="clear" w:pos="3515"/>
      </w:tabs>
      <w:suppressAutoHyphens/>
      <w:spacing w:after="120"/>
    </w:pPr>
  </w:style>
  <w:style w:type="paragraph" w:styleId="BodyText">
    <w:name w:val="Body Text"/>
    <w:basedOn w:val="Normal"/>
    <w:link w:val="BodyTextChar"/>
    <w:rsid w:val="009907D6"/>
    <w:pPr>
      <w:spacing w:after="120"/>
    </w:pPr>
  </w:style>
  <w:style w:type="character" w:customStyle="1" w:styleId="BodyTextChar">
    <w:name w:val="Body Text Char"/>
    <w:link w:val="BodyText"/>
    <w:rsid w:val="009907D6"/>
    <w:rPr>
      <w:lang w:eastAsia="en-US"/>
    </w:rPr>
  </w:style>
  <w:style w:type="paragraph" w:styleId="BodyTextIndent3">
    <w:name w:val="Body Text Indent 3"/>
    <w:basedOn w:val="Normal"/>
    <w:link w:val="BodyTextIndent3Char"/>
    <w:rsid w:val="009907D6"/>
    <w:pPr>
      <w:spacing w:after="120"/>
      <w:ind w:left="283"/>
    </w:pPr>
    <w:rPr>
      <w:sz w:val="16"/>
      <w:szCs w:val="16"/>
    </w:rPr>
  </w:style>
  <w:style w:type="character" w:customStyle="1" w:styleId="BodyTextIndent3Char">
    <w:name w:val="Body Text Indent 3 Char"/>
    <w:link w:val="BodyTextIndent3"/>
    <w:rsid w:val="009907D6"/>
    <w:rPr>
      <w:sz w:val="16"/>
      <w:szCs w:val="16"/>
      <w:lang w:eastAsia="en-US"/>
    </w:rPr>
  </w:style>
  <w:style w:type="character" w:customStyle="1" w:styleId="FooterChar">
    <w:name w:val="Footer Char"/>
    <w:link w:val="Footer"/>
    <w:semiHidden/>
    <w:rsid w:val="009907D6"/>
    <w:rPr>
      <w:sz w:val="18"/>
      <w:lang w:eastAsia="en-US"/>
    </w:rPr>
  </w:style>
  <w:style w:type="paragraph" w:styleId="Title">
    <w:name w:val="Title"/>
    <w:basedOn w:val="Normal"/>
    <w:link w:val="TitleChar"/>
    <w:autoRedefine/>
    <w:qFormat/>
    <w:rsid w:val="009907D6"/>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rPr>
  </w:style>
  <w:style w:type="character" w:customStyle="1" w:styleId="TitleChar">
    <w:name w:val="Title Char"/>
    <w:link w:val="Title"/>
    <w:rsid w:val="009907D6"/>
    <w:rPr>
      <w:rFonts w:cs="Arial"/>
      <w:b/>
      <w:bCs/>
      <w:kern w:val="28"/>
      <w:sz w:val="28"/>
      <w:szCs w:val="28"/>
      <w:lang w:eastAsia="en-US"/>
    </w:rPr>
  </w:style>
  <w:style w:type="paragraph" w:customStyle="1" w:styleId="Anxhead">
    <w:name w:val="Anx head"/>
    <w:basedOn w:val="Normal"/>
    <w:rsid w:val="009907D6"/>
    <w:pPr>
      <w:tabs>
        <w:tab w:val="clear" w:pos="1247"/>
        <w:tab w:val="clear" w:pos="1814"/>
        <w:tab w:val="clear" w:pos="2381"/>
        <w:tab w:val="clear" w:pos="2948"/>
        <w:tab w:val="clear" w:pos="3515"/>
      </w:tabs>
    </w:pPr>
    <w:rPr>
      <w:b/>
      <w:bCs/>
      <w:sz w:val="28"/>
      <w:szCs w:val="22"/>
    </w:rPr>
  </w:style>
  <w:style w:type="paragraph" w:customStyle="1" w:styleId="Anxtitle">
    <w:name w:val="Anx title"/>
    <w:basedOn w:val="Normal"/>
    <w:rsid w:val="009907D6"/>
    <w:pPr>
      <w:tabs>
        <w:tab w:val="clear" w:pos="1247"/>
        <w:tab w:val="clear" w:pos="1814"/>
        <w:tab w:val="clear" w:pos="2381"/>
        <w:tab w:val="clear" w:pos="2948"/>
        <w:tab w:val="clear" w:pos="3515"/>
      </w:tabs>
      <w:ind w:left="1247"/>
    </w:pPr>
    <w:rPr>
      <w:b/>
      <w:bCs/>
      <w:sz w:val="28"/>
      <w:szCs w:val="26"/>
    </w:rPr>
  </w:style>
  <w:style w:type="paragraph" w:customStyle="1" w:styleId="Paralevel3">
    <w:name w:val="Para level3"/>
    <w:basedOn w:val="Normal"/>
    <w:rsid w:val="009907D6"/>
    <w:pPr>
      <w:numPr>
        <w:numId w:val="7"/>
      </w:numPr>
      <w:tabs>
        <w:tab w:val="clear" w:pos="1247"/>
        <w:tab w:val="clear" w:pos="1814"/>
        <w:tab w:val="clear" w:pos="2381"/>
        <w:tab w:val="clear" w:pos="2948"/>
        <w:tab w:val="clear" w:pos="3515"/>
        <w:tab w:val="num" w:pos="360"/>
      </w:tabs>
      <w:suppressAutoHyphens/>
      <w:spacing w:after="120"/>
      <w:ind w:left="0" w:firstLine="0"/>
    </w:pPr>
  </w:style>
  <w:style w:type="paragraph" w:customStyle="1" w:styleId="Sombreadomediano1-nfasis11">
    <w:name w:val="Sombreado mediano 1 - Énfasis 11"/>
    <w:uiPriority w:val="1"/>
    <w:qFormat/>
    <w:rsid w:val="006C0617"/>
    <w:rPr>
      <w:rFonts w:ascii="Calibri" w:eastAsia="SimSun" w:hAnsi="Calibri" w:cs="Arial"/>
      <w:sz w:val="22"/>
      <w:szCs w:val="22"/>
      <w:lang w:val="en-US" w:eastAsia="zh-CN"/>
    </w:rPr>
  </w:style>
  <w:style w:type="paragraph" w:customStyle="1" w:styleId="Cuadrculamediana1-nfasis21">
    <w:name w:val="Cuadrícula mediana 1 - Énfasis 21"/>
    <w:basedOn w:val="Normal"/>
    <w:uiPriority w:val="34"/>
    <w:qFormat/>
    <w:rsid w:val="00776636"/>
    <w:pPr>
      <w:ind w:left="720"/>
      <w:contextualSpacing/>
    </w:pPr>
  </w:style>
  <w:style w:type="paragraph" w:customStyle="1" w:styleId="Listamediana2-nfasis21">
    <w:name w:val="Lista mediana 2 - Énfasis 21"/>
    <w:hidden/>
    <w:uiPriority w:val="71"/>
    <w:rsid w:val="006F4173"/>
    <w:rPr>
      <w:lang w:val="en-GB" w:eastAsia="en-US"/>
    </w:rPr>
  </w:style>
  <w:style w:type="paragraph" w:customStyle="1" w:styleId="indentlist">
    <w:name w:val="indent list"/>
    <w:basedOn w:val="Normal"/>
    <w:rsid w:val="00747CC1"/>
    <w:pPr>
      <w:numPr>
        <w:numId w:val="9"/>
      </w:numPr>
      <w:tabs>
        <w:tab w:val="left" w:pos="720"/>
      </w:tabs>
      <w:spacing w:after="120"/>
    </w:pPr>
  </w:style>
  <w:style w:type="character" w:customStyle="1" w:styleId="ft01">
    <w:name w:val="ft01"/>
    <w:rsid w:val="00094296"/>
    <w:rPr>
      <w:rFonts w:ascii="Times" w:hAnsi="Times" w:hint="default"/>
      <w:color w:val="000000"/>
      <w:sz w:val="23"/>
    </w:rPr>
  </w:style>
  <w:style w:type="paragraph" w:styleId="NormalWeb">
    <w:name w:val="Normal (Web)"/>
    <w:basedOn w:val="Normal"/>
    <w:rsid w:val="005F6B68"/>
  </w:style>
  <w:style w:type="paragraph" w:styleId="EndnoteText">
    <w:name w:val="endnote text"/>
    <w:basedOn w:val="Normal"/>
    <w:link w:val="EndnoteTextChar"/>
    <w:rsid w:val="00D9717B"/>
  </w:style>
  <w:style w:type="character" w:customStyle="1" w:styleId="EndnoteTextChar">
    <w:name w:val="Endnote Text Char"/>
    <w:link w:val="EndnoteText"/>
    <w:rsid w:val="00D9717B"/>
    <w:rPr>
      <w:lang w:eastAsia="en-US"/>
    </w:rPr>
  </w:style>
  <w:style w:type="character" w:styleId="EndnoteReference">
    <w:name w:val="endnote reference"/>
    <w:rsid w:val="00D9717B"/>
    <w:rPr>
      <w:vertAlign w:val="superscript"/>
    </w:rPr>
  </w:style>
  <w:style w:type="character" w:styleId="Strong">
    <w:name w:val="Strong"/>
    <w:uiPriority w:val="22"/>
    <w:qFormat/>
    <w:rsid w:val="005977E0"/>
    <w:rPr>
      <w:b/>
      <w:bCs/>
    </w:rPr>
  </w:style>
  <w:style w:type="table" w:styleId="TableGrid">
    <w:name w:val="Table Grid"/>
    <w:basedOn w:val="TableNormal"/>
    <w:rsid w:val="00F0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152327"/>
    <w:rPr>
      <w:color w:val="800080"/>
      <w:u w:val="single"/>
    </w:rPr>
  </w:style>
  <w:style w:type="paragraph" w:customStyle="1" w:styleId="Sombreadomulticolor-nfasis11">
    <w:name w:val="Sombreado multicolor - Énfasis 11"/>
    <w:hidden/>
    <w:uiPriority w:val="71"/>
    <w:rsid w:val="00320F7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374">
      <w:bodyDiv w:val="1"/>
      <w:marLeft w:val="0"/>
      <w:marRight w:val="0"/>
      <w:marTop w:val="0"/>
      <w:marBottom w:val="0"/>
      <w:divBdr>
        <w:top w:val="none" w:sz="0" w:space="0" w:color="auto"/>
        <w:left w:val="none" w:sz="0" w:space="0" w:color="auto"/>
        <w:bottom w:val="none" w:sz="0" w:space="0" w:color="auto"/>
        <w:right w:val="none" w:sz="0" w:space="0" w:color="auto"/>
      </w:divBdr>
    </w:div>
    <w:div w:id="167864360">
      <w:bodyDiv w:val="1"/>
      <w:marLeft w:val="0"/>
      <w:marRight w:val="0"/>
      <w:marTop w:val="0"/>
      <w:marBottom w:val="0"/>
      <w:divBdr>
        <w:top w:val="none" w:sz="0" w:space="0" w:color="auto"/>
        <w:left w:val="none" w:sz="0" w:space="0" w:color="auto"/>
        <w:bottom w:val="none" w:sz="0" w:space="0" w:color="auto"/>
        <w:right w:val="none" w:sz="0" w:space="0" w:color="auto"/>
      </w:divBdr>
    </w:div>
    <w:div w:id="214776843">
      <w:bodyDiv w:val="1"/>
      <w:marLeft w:val="0"/>
      <w:marRight w:val="0"/>
      <w:marTop w:val="0"/>
      <w:marBottom w:val="0"/>
      <w:divBdr>
        <w:top w:val="none" w:sz="0" w:space="0" w:color="auto"/>
        <w:left w:val="none" w:sz="0" w:space="0" w:color="auto"/>
        <w:bottom w:val="none" w:sz="0" w:space="0" w:color="auto"/>
        <w:right w:val="none" w:sz="0" w:space="0" w:color="auto"/>
      </w:divBdr>
      <w:divsChild>
        <w:div w:id="286399900">
          <w:marLeft w:val="0"/>
          <w:marRight w:val="0"/>
          <w:marTop w:val="225"/>
          <w:marBottom w:val="0"/>
          <w:divBdr>
            <w:top w:val="none" w:sz="0" w:space="0" w:color="auto"/>
            <w:left w:val="none" w:sz="0" w:space="0" w:color="auto"/>
            <w:bottom w:val="none" w:sz="0" w:space="0" w:color="auto"/>
            <w:right w:val="none" w:sz="0" w:space="0" w:color="auto"/>
          </w:divBdr>
          <w:divsChild>
            <w:div w:id="733163674">
              <w:marLeft w:val="0"/>
              <w:marRight w:val="0"/>
              <w:marTop w:val="285"/>
              <w:marBottom w:val="0"/>
              <w:divBdr>
                <w:top w:val="none" w:sz="0" w:space="0" w:color="auto"/>
                <w:left w:val="none" w:sz="0" w:space="0" w:color="auto"/>
                <w:bottom w:val="none" w:sz="0" w:space="0" w:color="auto"/>
                <w:right w:val="none" w:sz="0" w:space="0" w:color="auto"/>
              </w:divBdr>
              <w:divsChild>
                <w:div w:id="103232123">
                  <w:marLeft w:val="0"/>
                  <w:marRight w:val="0"/>
                  <w:marTop w:val="0"/>
                  <w:marBottom w:val="0"/>
                  <w:divBdr>
                    <w:top w:val="none" w:sz="0" w:space="0" w:color="auto"/>
                    <w:left w:val="none" w:sz="0" w:space="0" w:color="auto"/>
                    <w:bottom w:val="none" w:sz="0" w:space="0" w:color="auto"/>
                    <w:right w:val="none" w:sz="0" w:space="0" w:color="auto"/>
                  </w:divBdr>
                  <w:divsChild>
                    <w:div w:id="2011637176">
                      <w:marLeft w:val="0"/>
                      <w:marRight w:val="0"/>
                      <w:marTop w:val="0"/>
                      <w:marBottom w:val="0"/>
                      <w:divBdr>
                        <w:top w:val="none" w:sz="0" w:space="0" w:color="auto"/>
                        <w:left w:val="none" w:sz="0" w:space="0" w:color="auto"/>
                        <w:bottom w:val="none" w:sz="0" w:space="0" w:color="auto"/>
                        <w:right w:val="none" w:sz="0" w:space="0" w:color="auto"/>
                      </w:divBdr>
                      <w:divsChild>
                        <w:div w:id="547765972">
                          <w:marLeft w:val="0"/>
                          <w:marRight w:val="0"/>
                          <w:marTop w:val="0"/>
                          <w:marBottom w:val="0"/>
                          <w:divBdr>
                            <w:top w:val="none" w:sz="0" w:space="0" w:color="auto"/>
                            <w:left w:val="none" w:sz="0" w:space="0" w:color="auto"/>
                            <w:bottom w:val="none" w:sz="0" w:space="0" w:color="auto"/>
                            <w:right w:val="none" w:sz="0" w:space="0" w:color="auto"/>
                          </w:divBdr>
                          <w:divsChild>
                            <w:div w:id="1147169937">
                              <w:marLeft w:val="0"/>
                              <w:marRight w:val="0"/>
                              <w:marTop w:val="0"/>
                              <w:marBottom w:val="0"/>
                              <w:divBdr>
                                <w:top w:val="none" w:sz="0" w:space="0" w:color="auto"/>
                                <w:left w:val="none" w:sz="0" w:space="0" w:color="auto"/>
                                <w:bottom w:val="none" w:sz="0" w:space="0" w:color="auto"/>
                                <w:right w:val="none" w:sz="0" w:space="0" w:color="auto"/>
                              </w:divBdr>
                              <w:divsChild>
                                <w:div w:id="1682773913">
                                  <w:marLeft w:val="0"/>
                                  <w:marRight w:val="0"/>
                                  <w:marTop w:val="0"/>
                                  <w:marBottom w:val="0"/>
                                  <w:divBdr>
                                    <w:top w:val="none" w:sz="0" w:space="0" w:color="auto"/>
                                    <w:left w:val="none" w:sz="0" w:space="0" w:color="auto"/>
                                    <w:bottom w:val="none" w:sz="0" w:space="0" w:color="auto"/>
                                    <w:right w:val="none" w:sz="0" w:space="0" w:color="auto"/>
                                  </w:divBdr>
                                  <w:divsChild>
                                    <w:div w:id="184669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3656949">
      <w:bodyDiv w:val="1"/>
      <w:marLeft w:val="0"/>
      <w:marRight w:val="0"/>
      <w:marTop w:val="0"/>
      <w:marBottom w:val="0"/>
      <w:divBdr>
        <w:top w:val="none" w:sz="0" w:space="0" w:color="auto"/>
        <w:left w:val="none" w:sz="0" w:space="0" w:color="auto"/>
        <w:bottom w:val="none" w:sz="0" w:space="0" w:color="auto"/>
        <w:right w:val="none" w:sz="0" w:space="0" w:color="auto"/>
      </w:divBdr>
      <w:divsChild>
        <w:div w:id="1015302176">
          <w:marLeft w:val="0"/>
          <w:marRight w:val="0"/>
          <w:marTop w:val="225"/>
          <w:marBottom w:val="0"/>
          <w:divBdr>
            <w:top w:val="none" w:sz="0" w:space="0" w:color="auto"/>
            <w:left w:val="none" w:sz="0" w:space="0" w:color="auto"/>
            <w:bottom w:val="none" w:sz="0" w:space="0" w:color="auto"/>
            <w:right w:val="none" w:sz="0" w:space="0" w:color="auto"/>
          </w:divBdr>
          <w:divsChild>
            <w:div w:id="2106151820">
              <w:marLeft w:val="0"/>
              <w:marRight w:val="0"/>
              <w:marTop w:val="285"/>
              <w:marBottom w:val="0"/>
              <w:divBdr>
                <w:top w:val="none" w:sz="0" w:space="0" w:color="auto"/>
                <w:left w:val="none" w:sz="0" w:space="0" w:color="auto"/>
                <w:bottom w:val="none" w:sz="0" w:space="0" w:color="auto"/>
                <w:right w:val="none" w:sz="0" w:space="0" w:color="auto"/>
              </w:divBdr>
              <w:divsChild>
                <w:div w:id="1147556509">
                  <w:marLeft w:val="0"/>
                  <w:marRight w:val="0"/>
                  <w:marTop w:val="0"/>
                  <w:marBottom w:val="0"/>
                  <w:divBdr>
                    <w:top w:val="none" w:sz="0" w:space="0" w:color="auto"/>
                    <w:left w:val="none" w:sz="0" w:space="0" w:color="auto"/>
                    <w:bottom w:val="none" w:sz="0" w:space="0" w:color="auto"/>
                    <w:right w:val="none" w:sz="0" w:space="0" w:color="auto"/>
                  </w:divBdr>
                  <w:divsChild>
                    <w:div w:id="1890872469">
                      <w:marLeft w:val="0"/>
                      <w:marRight w:val="0"/>
                      <w:marTop w:val="0"/>
                      <w:marBottom w:val="0"/>
                      <w:divBdr>
                        <w:top w:val="none" w:sz="0" w:space="0" w:color="auto"/>
                        <w:left w:val="none" w:sz="0" w:space="0" w:color="auto"/>
                        <w:bottom w:val="none" w:sz="0" w:space="0" w:color="auto"/>
                        <w:right w:val="none" w:sz="0" w:space="0" w:color="auto"/>
                      </w:divBdr>
                      <w:divsChild>
                        <w:div w:id="1305962943">
                          <w:marLeft w:val="0"/>
                          <w:marRight w:val="0"/>
                          <w:marTop w:val="0"/>
                          <w:marBottom w:val="0"/>
                          <w:divBdr>
                            <w:top w:val="none" w:sz="0" w:space="0" w:color="auto"/>
                            <w:left w:val="none" w:sz="0" w:space="0" w:color="auto"/>
                            <w:bottom w:val="none" w:sz="0" w:space="0" w:color="auto"/>
                            <w:right w:val="none" w:sz="0" w:space="0" w:color="auto"/>
                          </w:divBdr>
                          <w:divsChild>
                            <w:div w:id="669453054">
                              <w:marLeft w:val="0"/>
                              <w:marRight w:val="0"/>
                              <w:marTop w:val="0"/>
                              <w:marBottom w:val="0"/>
                              <w:divBdr>
                                <w:top w:val="none" w:sz="0" w:space="0" w:color="auto"/>
                                <w:left w:val="none" w:sz="0" w:space="0" w:color="auto"/>
                                <w:bottom w:val="none" w:sz="0" w:space="0" w:color="auto"/>
                                <w:right w:val="none" w:sz="0" w:space="0" w:color="auto"/>
                              </w:divBdr>
                              <w:divsChild>
                                <w:div w:id="1522550636">
                                  <w:marLeft w:val="0"/>
                                  <w:marRight w:val="0"/>
                                  <w:marTop w:val="0"/>
                                  <w:marBottom w:val="0"/>
                                  <w:divBdr>
                                    <w:top w:val="none" w:sz="0" w:space="0" w:color="auto"/>
                                    <w:left w:val="none" w:sz="0" w:space="0" w:color="auto"/>
                                    <w:bottom w:val="none" w:sz="0" w:space="0" w:color="auto"/>
                                    <w:right w:val="none" w:sz="0" w:space="0" w:color="auto"/>
                                  </w:divBdr>
                                  <w:divsChild>
                                    <w:div w:id="18274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24286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4253179">
      <w:bodyDiv w:val="1"/>
      <w:marLeft w:val="0"/>
      <w:marRight w:val="0"/>
      <w:marTop w:val="0"/>
      <w:marBottom w:val="0"/>
      <w:divBdr>
        <w:top w:val="none" w:sz="0" w:space="0" w:color="auto"/>
        <w:left w:val="none" w:sz="0" w:space="0" w:color="auto"/>
        <w:bottom w:val="none" w:sz="0" w:space="0" w:color="auto"/>
        <w:right w:val="none" w:sz="0" w:space="0" w:color="auto"/>
      </w:divBdr>
      <w:divsChild>
        <w:div w:id="1346979519">
          <w:marLeft w:val="0"/>
          <w:marRight w:val="0"/>
          <w:marTop w:val="225"/>
          <w:marBottom w:val="0"/>
          <w:divBdr>
            <w:top w:val="none" w:sz="0" w:space="0" w:color="auto"/>
            <w:left w:val="none" w:sz="0" w:space="0" w:color="auto"/>
            <w:bottom w:val="none" w:sz="0" w:space="0" w:color="auto"/>
            <w:right w:val="none" w:sz="0" w:space="0" w:color="auto"/>
          </w:divBdr>
          <w:divsChild>
            <w:div w:id="1550146245">
              <w:marLeft w:val="0"/>
              <w:marRight w:val="0"/>
              <w:marTop w:val="285"/>
              <w:marBottom w:val="0"/>
              <w:divBdr>
                <w:top w:val="none" w:sz="0" w:space="0" w:color="auto"/>
                <w:left w:val="none" w:sz="0" w:space="0" w:color="auto"/>
                <w:bottom w:val="none" w:sz="0" w:space="0" w:color="auto"/>
                <w:right w:val="none" w:sz="0" w:space="0" w:color="auto"/>
              </w:divBdr>
              <w:divsChild>
                <w:div w:id="576284054">
                  <w:marLeft w:val="0"/>
                  <w:marRight w:val="0"/>
                  <w:marTop w:val="0"/>
                  <w:marBottom w:val="0"/>
                  <w:divBdr>
                    <w:top w:val="none" w:sz="0" w:space="0" w:color="auto"/>
                    <w:left w:val="none" w:sz="0" w:space="0" w:color="auto"/>
                    <w:bottom w:val="none" w:sz="0" w:space="0" w:color="auto"/>
                    <w:right w:val="none" w:sz="0" w:space="0" w:color="auto"/>
                  </w:divBdr>
                  <w:divsChild>
                    <w:div w:id="382945439">
                      <w:marLeft w:val="0"/>
                      <w:marRight w:val="0"/>
                      <w:marTop w:val="0"/>
                      <w:marBottom w:val="0"/>
                      <w:divBdr>
                        <w:top w:val="none" w:sz="0" w:space="0" w:color="auto"/>
                        <w:left w:val="none" w:sz="0" w:space="0" w:color="auto"/>
                        <w:bottom w:val="none" w:sz="0" w:space="0" w:color="auto"/>
                        <w:right w:val="none" w:sz="0" w:space="0" w:color="auto"/>
                      </w:divBdr>
                      <w:divsChild>
                        <w:div w:id="1777407952">
                          <w:marLeft w:val="0"/>
                          <w:marRight w:val="0"/>
                          <w:marTop w:val="0"/>
                          <w:marBottom w:val="0"/>
                          <w:divBdr>
                            <w:top w:val="none" w:sz="0" w:space="0" w:color="auto"/>
                            <w:left w:val="none" w:sz="0" w:space="0" w:color="auto"/>
                            <w:bottom w:val="none" w:sz="0" w:space="0" w:color="auto"/>
                            <w:right w:val="none" w:sz="0" w:space="0" w:color="auto"/>
                          </w:divBdr>
                          <w:divsChild>
                            <w:div w:id="287125667">
                              <w:marLeft w:val="0"/>
                              <w:marRight w:val="0"/>
                              <w:marTop w:val="0"/>
                              <w:marBottom w:val="0"/>
                              <w:divBdr>
                                <w:top w:val="none" w:sz="0" w:space="0" w:color="auto"/>
                                <w:left w:val="none" w:sz="0" w:space="0" w:color="auto"/>
                                <w:bottom w:val="none" w:sz="0" w:space="0" w:color="auto"/>
                                <w:right w:val="none" w:sz="0" w:space="0" w:color="auto"/>
                              </w:divBdr>
                              <w:divsChild>
                                <w:div w:id="1639916737">
                                  <w:marLeft w:val="0"/>
                                  <w:marRight w:val="0"/>
                                  <w:marTop w:val="0"/>
                                  <w:marBottom w:val="0"/>
                                  <w:divBdr>
                                    <w:top w:val="none" w:sz="0" w:space="0" w:color="auto"/>
                                    <w:left w:val="none" w:sz="0" w:space="0" w:color="auto"/>
                                    <w:bottom w:val="none" w:sz="0" w:space="0" w:color="auto"/>
                                    <w:right w:val="none" w:sz="0" w:space="0" w:color="auto"/>
                                  </w:divBdr>
                                  <w:divsChild>
                                    <w:div w:id="6729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372993">
      <w:bodyDiv w:val="1"/>
      <w:marLeft w:val="0"/>
      <w:marRight w:val="0"/>
      <w:marTop w:val="0"/>
      <w:marBottom w:val="0"/>
      <w:divBdr>
        <w:top w:val="none" w:sz="0" w:space="0" w:color="auto"/>
        <w:left w:val="none" w:sz="0" w:space="0" w:color="auto"/>
        <w:bottom w:val="none" w:sz="0" w:space="0" w:color="auto"/>
        <w:right w:val="none" w:sz="0" w:space="0" w:color="auto"/>
      </w:divBdr>
    </w:div>
    <w:div w:id="480193334">
      <w:bodyDiv w:val="1"/>
      <w:marLeft w:val="0"/>
      <w:marRight w:val="0"/>
      <w:marTop w:val="0"/>
      <w:marBottom w:val="0"/>
      <w:divBdr>
        <w:top w:val="none" w:sz="0" w:space="0" w:color="auto"/>
        <w:left w:val="none" w:sz="0" w:space="0" w:color="auto"/>
        <w:bottom w:val="none" w:sz="0" w:space="0" w:color="auto"/>
        <w:right w:val="none" w:sz="0" w:space="0" w:color="auto"/>
      </w:divBdr>
      <w:divsChild>
        <w:div w:id="1210340689">
          <w:marLeft w:val="0"/>
          <w:marRight w:val="0"/>
          <w:marTop w:val="225"/>
          <w:marBottom w:val="0"/>
          <w:divBdr>
            <w:top w:val="none" w:sz="0" w:space="0" w:color="auto"/>
            <w:left w:val="none" w:sz="0" w:space="0" w:color="auto"/>
            <w:bottom w:val="none" w:sz="0" w:space="0" w:color="auto"/>
            <w:right w:val="none" w:sz="0" w:space="0" w:color="auto"/>
          </w:divBdr>
          <w:divsChild>
            <w:div w:id="1442526447">
              <w:marLeft w:val="0"/>
              <w:marRight w:val="0"/>
              <w:marTop w:val="285"/>
              <w:marBottom w:val="0"/>
              <w:divBdr>
                <w:top w:val="none" w:sz="0" w:space="0" w:color="auto"/>
                <w:left w:val="none" w:sz="0" w:space="0" w:color="auto"/>
                <w:bottom w:val="none" w:sz="0" w:space="0" w:color="auto"/>
                <w:right w:val="none" w:sz="0" w:space="0" w:color="auto"/>
              </w:divBdr>
              <w:divsChild>
                <w:div w:id="1647277677">
                  <w:marLeft w:val="0"/>
                  <w:marRight w:val="0"/>
                  <w:marTop w:val="0"/>
                  <w:marBottom w:val="0"/>
                  <w:divBdr>
                    <w:top w:val="none" w:sz="0" w:space="0" w:color="auto"/>
                    <w:left w:val="none" w:sz="0" w:space="0" w:color="auto"/>
                    <w:bottom w:val="none" w:sz="0" w:space="0" w:color="auto"/>
                    <w:right w:val="none" w:sz="0" w:space="0" w:color="auto"/>
                  </w:divBdr>
                  <w:divsChild>
                    <w:div w:id="186798875">
                      <w:marLeft w:val="0"/>
                      <w:marRight w:val="0"/>
                      <w:marTop w:val="0"/>
                      <w:marBottom w:val="0"/>
                      <w:divBdr>
                        <w:top w:val="none" w:sz="0" w:space="0" w:color="auto"/>
                        <w:left w:val="none" w:sz="0" w:space="0" w:color="auto"/>
                        <w:bottom w:val="none" w:sz="0" w:space="0" w:color="auto"/>
                        <w:right w:val="none" w:sz="0" w:space="0" w:color="auto"/>
                      </w:divBdr>
                      <w:divsChild>
                        <w:div w:id="1124621719">
                          <w:marLeft w:val="0"/>
                          <w:marRight w:val="0"/>
                          <w:marTop w:val="0"/>
                          <w:marBottom w:val="0"/>
                          <w:divBdr>
                            <w:top w:val="none" w:sz="0" w:space="0" w:color="auto"/>
                            <w:left w:val="none" w:sz="0" w:space="0" w:color="auto"/>
                            <w:bottom w:val="none" w:sz="0" w:space="0" w:color="auto"/>
                            <w:right w:val="none" w:sz="0" w:space="0" w:color="auto"/>
                          </w:divBdr>
                          <w:divsChild>
                            <w:div w:id="1148933818">
                              <w:marLeft w:val="0"/>
                              <w:marRight w:val="0"/>
                              <w:marTop w:val="0"/>
                              <w:marBottom w:val="0"/>
                              <w:divBdr>
                                <w:top w:val="none" w:sz="0" w:space="0" w:color="auto"/>
                                <w:left w:val="none" w:sz="0" w:space="0" w:color="auto"/>
                                <w:bottom w:val="none" w:sz="0" w:space="0" w:color="auto"/>
                                <w:right w:val="none" w:sz="0" w:space="0" w:color="auto"/>
                              </w:divBdr>
                              <w:divsChild>
                                <w:div w:id="651060369">
                                  <w:marLeft w:val="0"/>
                                  <w:marRight w:val="0"/>
                                  <w:marTop w:val="0"/>
                                  <w:marBottom w:val="0"/>
                                  <w:divBdr>
                                    <w:top w:val="none" w:sz="0" w:space="0" w:color="auto"/>
                                    <w:left w:val="none" w:sz="0" w:space="0" w:color="auto"/>
                                    <w:bottom w:val="none" w:sz="0" w:space="0" w:color="auto"/>
                                    <w:right w:val="none" w:sz="0" w:space="0" w:color="auto"/>
                                  </w:divBdr>
                                  <w:divsChild>
                                    <w:div w:id="11489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722460">
      <w:bodyDiv w:val="1"/>
      <w:marLeft w:val="0"/>
      <w:marRight w:val="0"/>
      <w:marTop w:val="0"/>
      <w:marBottom w:val="0"/>
      <w:divBdr>
        <w:top w:val="none" w:sz="0" w:space="0" w:color="auto"/>
        <w:left w:val="none" w:sz="0" w:space="0" w:color="auto"/>
        <w:bottom w:val="none" w:sz="0" w:space="0" w:color="auto"/>
        <w:right w:val="none" w:sz="0" w:space="0" w:color="auto"/>
      </w:divBdr>
    </w:div>
    <w:div w:id="568459726">
      <w:bodyDiv w:val="1"/>
      <w:marLeft w:val="0"/>
      <w:marRight w:val="0"/>
      <w:marTop w:val="0"/>
      <w:marBottom w:val="0"/>
      <w:divBdr>
        <w:top w:val="none" w:sz="0" w:space="0" w:color="auto"/>
        <w:left w:val="none" w:sz="0" w:space="0" w:color="auto"/>
        <w:bottom w:val="none" w:sz="0" w:space="0" w:color="auto"/>
        <w:right w:val="none" w:sz="0" w:space="0" w:color="auto"/>
      </w:divBdr>
      <w:divsChild>
        <w:div w:id="664548810">
          <w:marLeft w:val="0"/>
          <w:marRight w:val="0"/>
          <w:marTop w:val="225"/>
          <w:marBottom w:val="0"/>
          <w:divBdr>
            <w:top w:val="none" w:sz="0" w:space="0" w:color="auto"/>
            <w:left w:val="none" w:sz="0" w:space="0" w:color="auto"/>
            <w:bottom w:val="none" w:sz="0" w:space="0" w:color="auto"/>
            <w:right w:val="none" w:sz="0" w:space="0" w:color="auto"/>
          </w:divBdr>
          <w:divsChild>
            <w:div w:id="1449814438">
              <w:marLeft w:val="0"/>
              <w:marRight w:val="0"/>
              <w:marTop w:val="285"/>
              <w:marBottom w:val="0"/>
              <w:divBdr>
                <w:top w:val="none" w:sz="0" w:space="0" w:color="auto"/>
                <w:left w:val="none" w:sz="0" w:space="0" w:color="auto"/>
                <w:bottom w:val="none" w:sz="0" w:space="0" w:color="auto"/>
                <w:right w:val="none" w:sz="0" w:space="0" w:color="auto"/>
              </w:divBdr>
              <w:divsChild>
                <w:div w:id="111098573">
                  <w:marLeft w:val="0"/>
                  <w:marRight w:val="0"/>
                  <w:marTop w:val="1500"/>
                  <w:marBottom w:val="0"/>
                  <w:divBdr>
                    <w:top w:val="none" w:sz="0" w:space="0" w:color="auto"/>
                    <w:left w:val="none" w:sz="0" w:space="0" w:color="auto"/>
                    <w:bottom w:val="none" w:sz="0" w:space="0" w:color="auto"/>
                    <w:right w:val="none" w:sz="0" w:space="0" w:color="auto"/>
                  </w:divBdr>
                  <w:divsChild>
                    <w:div w:id="1313871510">
                      <w:marLeft w:val="0"/>
                      <w:marRight w:val="0"/>
                      <w:marTop w:val="0"/>
                      <w:marBottom w:val="0"/>
                      <w:divBdr>
                        <w:top w:val="none" w:sz="0" w:space="0" w:color="auto"/>
                        <w:left w:val="none" w:sz="0" w:space="0" w:color="auto"/>
                        <w:bottom w:val="none" w:sz="0" w:space="0" w:color="auto"/>
                        <w:right w:val="none" w:sz="0" w:space="0" w:color="auto"/>
                      </w:divBdr>
                      <w:divsChild>
                        <w:div w:id="1774980172">
                          <w:marLeft w:val="0"/>
                          <w:marRight w:val="0"/>
                          <w:marTop w:val="0"/>
                          <w:marBottom w:val="0"/>
                          <w:divBdr>
                            <w:top w:val="none" w:sz="0" w:space="0" w:color="auto"/>
                            <w:left w:val="none" w:sz="0" w:space="0" w:color="auto"/>
                            <w:bottom w:val="none" w:sz="0" w:space="0" w:color="auto"/>
                            <w:right w:val="none" w:sz="0" w:space="0" w:color="auto"/>
                          </w:divBdr>
                          <w:divsChild>
                            <w:div w:id="1100636226">
                              <w:marLeft w:val="0"/>
                              <w:marRight w:val="0"/>
                              <w:marTop w:val="0"/>
                              <w:marBottom w:val="0"/>
                              <w:divBdr>
                                <w:top w:val="none" w:sz="0" w:space="0" w:color="auto"/>
                                <w:left w:val="none" w:sz="0" w:space="0" w:color="auto"/>
                                <w:bottom w:val="none" w:sz="0" w:space="0" w:color="auto"/>
                                <w:right w:val="none" w:sz="0" w:space="0" w:color="auto"/>
                              </w:divBdr>
                              <w:divsChild>
                                <w:div w:id="1844784279">
                                  <w:marLeft w:val="0"/>
                                  <w:marRight w:val="0"/>
                                  <w:marTop w:val="0"/>
                                  <w:marBottom w:val="0"/>
                                  <w:divBdr>
                                    <w:top w:val="none" w:sz="0" w:space="0" w:color="auto"/>
                                    <w:left w:val="none" w:sz="0" w:space="0" w:color="auto"/>
                                    <w:bottom w:val="none" w:sz="0" w:space="0" w:color="auto"/>
                                    <w:right w:val="none" w:sz="0" w:space="0" w:color="auto"/>
                                  </w:divBdr>
                                  <w:divsChild>
                                    <w:div w:id="2033601944">
                                      <w:marLeft w:val="0"/>
                                      <w:marRight w:val="0"/>
                                      <w:marTop w:val="0"/>
                                      <w:marBottom w:val="0"/>
                                      <w:divBdr>
                                        <w:top w:val="none" w:sz="0" w:space="0" w:color="auto"/>
                                        <w:left w:val="none" w:sz="0" w:space="0" w:color="auto"/>
                                        <w:bottom w:val="none" w:sz="0" w:space="0" w:color="auto"/>
                                        <w:right w:val="none" w:sz="0" w:space="0" w:color="auto"/>
                                      </w:divBdr>
                                      <w:divsChild>
                                        <w:div w:id="1597399123">
                                          <w:marLeft w:val="0"/>
                                          <w:marRight w:val="0"/>
                                          <w:marTop w:val="0"/>
                                          <w:marBottom w:val="375"/>
                                          <w:divBdr>
                                            <w:top w:val="none" w:sz="0" w:space="0" w:color="auto"/>
                                            <w:left w:val="none" w:sz="0" w:space="0" w:color="auto"/>
                                            <w:bottom w:val="none" w:sz="0" w:space="0" w:color="auto"/>
                                            <w:right w:val="none" w:sz="0" w:space="0" w:color="auto"/>
                                          </w:divBdr>
                                          <w:divsChild>
                                            <w:div w:id="1476220389">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0698429">
      <w:bodyDiv w:val="1"/>
      <w:marLeft w:val="0"/>
      <w:marRight w:val="0"/>
      <w:marTop w:val="0"/>
      <w:marBottom w:val="0"/>
      <w:divBdr>
        <w:top w:val="none" w:sz="0" w:space="0" w:color="auto"/>
        <w:left w:val="none" w:sz="0" w:space="0" w:color="auto"/>
        <w:bottom w:val="none" w:sz="0" w:space="0" w:color="auto"/>
        <w:right w:val="none" w:sz="0" w:space="0" w:color="auto"/>
      </w:divBdr>
      <w:divsChild>
        <w:div w:id="1535579899">
          <w:marLeft w:val="0"/>
          <w:marRight w:val="0"/>
          <w:marTop w:val="225"/>
          <w:marBottom w:val="0"/>
          <w:divBdr>
            <w:top w:val="none" w:sz="0" w:space="0" w:color="auto"/>
            <w:left w:val="none" w:sz="0" w:space="0" w:color="auto"/>
            <w:bottom w:val="none" w:sz="0" w:space="0" w:color="auto"/>
            <w:right w:val="none" w:sz="0" w:space="0" w:color="auto"/>
          </w:divBdr>
          <w:divsChild>
            <w:div w:id="2066250866">
              <w:marLeft w:val="0"/>
              <w:marRight w:val="0"/>
              <w:marTop w:val="285"/>
              <w:marBottom w:val="0"/>
              <w:divBdr>
                <w:top w:val="none" w:sz="0" w:space="0" w:color="auto"/>
                <w:left w:val="none" w:sz="0" w:space="0" w:color="auto"/>
                <w:bottom w:val="none" w:sz="0" w:space="0" w:color="auto"/>
                <w:right w:val="none" w:sz="0" w:space="0" w:color="auto"/>
              </w:divBdr>
              <w:divsChild>
                <w:div w:id="1901094235">
                  <w:marLeft w:val="0"/>
                  <w:marRight w:val="0"/>
                  <w:marTop w:val="0"/>
                  <w:marBottom w:val="0"/>
                  <w:divBdr>
                    <w:top w:val="none" w:sz="0" w:space="0" w:color="auto"/>
                    <w:left w:val="none" w:sz="0" w:space="0" w:color="auto"/>
                    <w:bottom w:val="none" w:sz="0" w:space="0" w:color="auto"/>
                    <w:right w:val="none" w:sz="0" w:space="0" w:color="auto"/>
                  </w:divBdr>
                  <w:divsChild>
                    <w:div w:id="287276404">
                      <w:marLeft w:val="0"/>
                      <w:marRight w:val="0"/>
                      <w:marTop w:val="0"/>
                      <w:marBottom w:val="0"/>
                      <w:divBdr>
                        <w:top w:val="none" w:sz="0" w:space="0" w:color="auto"/>
                        <w:left w:val="none" w:sz="0" w:space="0" w:color="auto"/>
                        <w:bottom w:val="none" w:sz="0" w:space="0" w:color="auto"/>
                        <w:right w:val="none" w:sz="0" w:space="0" w:color="auto"/>
                      </w:divBdr>
                      <w:divsChild>
                        <w:div w:id="178589237">
                          <w:marLeft w:val="0"/>
                          <w:marRight w:val="0"/>
                          <w:marTop w:val="0"/>
                          <w:marBottom w:val="0"/>
                          <w:divBdr>
                            <w:top w:val="none" w:sz="0" w:space="0" w:color="auto"/>
                            <w:left w:val="none" w:sz="0" w:space="0" w:color="auto"/>
                            <w:bottom w:val="none" w:sz="0" w:space="0" w:color="auto"/>
                            <w:right w:val="none" w:sz="0" w:space="0" w:color="auto"/>
                          </w:divBdr>
                          <w:divsChild>
                            <w:div w:id="309478041">
                              <w:marLeft w:val="0"/>
                              <w:marRight w:val="0"/>
                              <w:marTop w:val="0"/>
                              <w:marBottom w:val="0"/>
                              <w:divBdr>
                                <w:top w:val="none" w:sz="0" w:space="0" w:color="auto"/>
                                <w:left w:val="none" w:sz="0" w:space="0" w:color="auto"/>
                                <w:bottom w:val="none" w:sz="0" w:space="0" w:color="auto"/>
                                <w:right w:val="none" w:sz="0" w:space="0" w:color="auto"/>
                              </w:divBdr>
                              <w:divsChild>
                                <w:div w:id="1721053088">
                                  <w:marLeft w:val="0"/>
                                  <w:marRight w:val="0"/>
                                  <w:marTop w:val="0"/>
                                  <w:marBottom w:val="0"/>
                                  <w:divBdr>
                                    <w:top w:val="none" w:sz="0" w:space="0" w:color="auto"/>
                                    <w:left w:val="none" w:sz="0" w:space="0" w:color="auto"/>
                                    <w:bottom w:val="none" w:sz="0" w:space="0" w:color="auto"/>
                                    <w:right w:val="none" w:sz="0" w:space="0" w:color="auto"/>
                                  </w:divBdr>
                                  <w:divsChild>
                                    <w:div w:id="98612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100599">
      <w:bodyDiv w:val="1"/>
      <w:marLeft w:val="0"/>
      <w:marRight w:val="0"/>
      <w:marTop w:val="0"/>
      <w:marBottom w:val="0"/>
      <w:divBdr>
        <w:top w:val="none" w:sz="0" w:space="0" w:color="auto"/>
        <w:left w:val="none" w:sz="0" w:space="0" w:color="auto"/>
        <w:bottom w:val="none" w:sz="0" w:space="0" w:color="auto"/>
        <w:right w:val="none" w:sz="0" w:space="0" w:color="auto"/>
      </w:divBdr>
    </w:div>
    <w:div w:id="817501852">
      <w:bodyDiv w:val="1"/>
      <w:marLeft w:val="0"/>
      <w:marRight w:val="0"/>
      <w:marTop w:val="0"/>
      <w:marBottom w:val="0"/>
      <w:divBdr>
        <w:top w:val="none" w:sz="0" w:space="0" w:color="auto"/>
        <w:left w:val="none" w:sz="0" w:space="0" w:color="auto"/>
        <w:bottom w:val="none" w:sz="0" w:space="0" w:color="auto"/>
        <w:right w:val="none" w:sz="0" w:space="0" w:color="auto"/>
      </w:divBdr>
    </w:div>
    <w:div w:id="935332214">
      <w:bodyDiv w:val="1"/>
      <w:marLeft w:val="0"/>
      <w:marRight w:val="0"/>
      <w:marTop w:val="0"/>
      <w:marBottom w:val="0"/>
      <w:divBdr>
        <w:top w:val="none" w:sz="0" w:space="0" w:color="auto"/>
        <w:left w:val="none" w:sz="0" w:space="0" w:color="auto"/>
        <w:bottom w:val="none" w:sz="0" w:space="0" w:color="auto"/>
        <w:right w:val="none" w:sz="0" w:space="0" w:color="auto"/>
      </w:divBdr>
    </w:div>
    <w:div w:id="1075467857">
      <w:bodyDiv w:val="1"/>
      <w:marLeft w:val="0"/>
      <w:marRight w:val="0"/>
      <w:marTop w:val="0"/>
      <w:marBottom w:val="0"/>
      <w:divBdr>
        <w:top w:val="none" w:sz="0" w:space="0" w:color="auto"/>
        <w:left w:val="none" w:sz="0" w:space="0" w:color="auto"/>
        <w:bottom w:val="none" w:sz="0" w:space="0" w:color="auto"/>
        <w:right w:val="none" w:sz="0" w:space="0" w:color="auto"/>
      </w:divBdr>
      <w:divsChild>
        <w:div w:id="1429691146">
          <w:marLeft w:val="0"/>
          <w:marRight w:val="0"/>
          <w:marTop w:val="225"/>
          <w:marBottom w:val="0"/>
          <w:divBdr>
            <w:top w:val="none" w:sz="0" w:space="0" w:color="auto"/>
            <w:left w:val="none" w:sz="0" w:space="0" w:color="auto"/>
            <w:bottom w:val="none" w:sz="0" w:space="0" w:color="auto"/>
            <w:right w:val="none" w:sz="0" w:space="0" w:color="auto"/>
          </w:divBdr>
          <w:divsChild>
            <w:div w:id="1912232635">
              <w:marLeft w:val="0"/>
              <w:marRight w:val="0"/>
              <w:marTop w:val="285"/>
              <w:marBottom w:val="0"/>
              <w:divBdr>
                <w:top w:val="none" w:sz="0" w:space="0" w:color="auto"/>
                <w:left w:val="none" w:sz="0" w:space="0" w:color="auto"/>
                <w:bottom w:val="none" w:sz="0" w:space="0" w:color="auto"/>
                <w:right w:val="none" w:sz="0" w:space="0" w:color="auto"/>
              </w:divBdr>
              <w:divsChild>
                <w:div w:id="296647158">
                  <w:marLeft w:val="0"/>
                  <w:marRight w:val="0"/>
                  <w:marTop w:val="0"/>
                  <w:marBottom w:val="0"/>
                  <w:divBdr>
                    <w:top w:val="none" w:sz="0" w:space="0" w:color="auto"/>
                    <w:left w:val="none" w:sz="0" w:space="0" w:color="auto"/>
                    <w:bottom w:val="none" w:sz="0" w:space="0" w:color="auto"/>
                    <w:right w:val="none" w:sz="0" w:space="0" w:color="auto"/>
                  </w:divBdr>
                  <w:divsChild>
                    <w:div w:id="298340231">
                      <w:marLeft w:val="0"/>
                      <w:marRight w:val="0"/>
                      <w:marTop w:val="0"/>
                      <w:marBottom w:val="0"/>
                      <w:divBdr>
                        <w:top w:val="none" w:sz="0" w:space="0" w:color="auto"/>
                        <w:left w:val="none" w:sz="0" w:space="0" w:color="auto"/>
                        <w:bottom w:val="none" w:sz="0" w:space="0" w:color="auto"/>
                        <w:right w:val="none" w:sz="0" w:space="0" w:color="auto"/>
                      </w:divBdr>
                      <w:divsChild>
                        <w:div w:id="1591618874">
                          <w:marLeft w:val="0"/>
                          <w:marRight w:val="0"/>
                          <w:marTop w:val="0"/>
                          <w:marBottom w:val="0"/>
                          <w:divBdr>
                            <w:top w:val="none" w:sz="0" w:space="0" w:color="auto"/>
                            <w:left w:val="none" w:sz="0" w:space="0" w:color="auto"/>
                            <w:bottom w:val="none" w:sz="0" w:space="0" w:color="auto"/>
                            <w:right w:val="none" w:sz="0" w:space="0" w:color="auto"/>
                          </w:divBdr>
                          <w:divsChild>
                            <w:div w:id="10575317">
                              <w:marLeft w:val="0"/>
                              <w:marRight w:val="0"/>
                              <w:marTop w:val="0"/>
                              <w:marBottom w:val="0"/>
                              <w:divBdr>
                                <w:top w:val="none" w:sz="0" w:space="0" w:color="auto"/>
                                <w:left w:val="none" w:sz="0" w:space="0" w:color="auto"/>
                                <w:bottom w:val="none" w:sz="0" w:space="0" w:color="auto"/>
                                <w:right w:val="none" w:sz="0" w:space="0" w:color="auto"/>
                              </w:divBdr>
                              <w:divsChild>
                                <w:div w:id="1653289287">
                                  <w:marLeft w:val="0"/>
                                  <w:marRight w:val="0"/>
                                  <w:marTop w:val="0"/>
                                  <w:marBottom w:val="0"/>
                                  <w:divBdr>
                                    <w:top w:val="none" w:sz="0" w:space="0" w:color="auto"/>
                                    <w:left w:val="none" w:sz="0" w:space="0" w:color="auto"/>
                                    <w:bottom w:val="none" w:sz="0" w:space="0" w:color="auto"/>
                                    <w:right w:val="none" w:sz="0" w:space="0" w:color="auto"/>
                                  </w:divBdr>
                                  <w:divsChild>
                                    <w:div w:id="181837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210544">
      <w:bodyDiv w:val="1"/>
      <w:marLeft w:val="0"/>
      <w:marRight w:val="0"/>
      <w:marTop w:val="0"/>
      <w:marBottom w:val="0"/>
      <w:divBdr>
        <w:top w:val="none" w:sz="0" w:space="0" w:color="auto"/>
        <w:left w:val="none" w:sz="0" w:space="0" w:color="auto"/>
        <w:bottom w:val="none" w:sz="0" w:space="0" w:color="auto"/>
        <w:right w:val="none" w:sz="0" w:space="0" w:color="auto"/>
      </w:divBdr>
      <w:divsChild>
        <w:div w:id="2115131556">
          <w:marLeft w:val="0"/>
          <w:marRight w:val="0"/>
          <w:marTop w:val="225"/>
          <w:marBottom w:val="0"/>
          <w:divBdr>
            <w:top w:val="none" w:sz="0" w:space="0" w:color="auto"/>
            <w:left w:val="none" w:sz="0" w:space="0" w:color="auto"/>
            <w:bottom w:val="none" w:sz="0" w:space="0" w:color="auto"/>
            <w:right w:val="none" w:sz="0" w:space="0" w:color="auto"/>
          </w:divBdr>
          <w:divsChild>
            <w:div w:id="1485774727">
              <w:marLeft w:val="0"/>
              <w:marRight w:val="0"/>
              <w:marTop w:val="285"/>
              <w:marBottom w:val="0"/>
              <w:divBdr>
                <w:top w:val="none" w:sz="0" w:space="0" w:color="auto"/>
                <w:left w:val="none" w:sz="0" w:space="0" w:color="auto"/>
                <w:bottom w:val="none" w:sz="0" w:space="0" w:color="auto"/>
                <w:right w:val="none" w:sz="0" w:space="0" w:color="auto"/>
              </w:divBdr>
              <w:divsChild>
                <w:div w:id="877353739">
                  <w:marLeft w:val="0"/>
                  <w:marRight w:val="0"/>
                  <w:marTop w:val="0"/>
                  <w:marBottom w:val="0"/>
                  <w:divBdr>
                    <w:top w:val="none" w:sz="0" w:space="0" w:color="auto"/>
                    <w:left w:val="none" w:sz="0" w:space="0" w:color="auto"/>
                    <w:bottom w:val="none" w:sz="0" w:space="0" w:color="auto"/>
                    <w:right w:val="none" w:sz="0" w:space="0" w:color="auto"/>
                  </w:divBdr>
                  <w:divsChild>
                    <w:div w:id="2135516268">
                      <w:marLeft w:val="0"/>
                      <w:marRight w:val="0"/>
                      <w:marTop w:val="0"/>
                      <w:marBottom w:val="0"/>
                      <w:divBdr>
                        <w:top w:val="none" w:sz="0" w:space="0" w:color="auto"/>
                        <w:left w:val="none" w:sz="0" w:space="0" w:color="auto"/>
                        <w:bottom w:val="none" w:sz="0" w:space="0" w:color="auto"/>
                        <w:right w:val="none" w:sz="0" w:space="0" w:color="auto"/>
                      </w:divBdr>
                      <w:divsChild>
                        <w:div w:id="927738833">
                          <w:marLeft w:val="0"/>
                          <w:marRight w:val="0"/>
                          <w:marTop w:val="0"/>
                          <w:marBottom w:val="0"/>
                          <w:divBdr>
                            <w:top w:val="none" w:sz="0" w:space="0" w:color="auto"/>
                            <w:left w:val="none" w:sz="0" w:space="0" w:color="auto"/>
                            <w:bottom w:val="none" w:sz="0" w:space="0" w:color="auto"/>
                            <w:right w:val="none" w:sz="0" w:space="0" w:color="auto"/>
                          </w:divBdr>
                          <w:divsChild>
                            <w:div w:id="390152558">
                              <w:marLeft w:val="0"/>
                              <w:marRight w:val="0"/>
                              <w:marTop w:val="0"/>
                              <w:marBottom w:val="0"/>
                              <w:divBdr>
                                <w:top w:val="none" w:sz="0" w:space="0" w:color="auto"/>
                                <w:left w:val="none" w:sz="0" w:space="0" w:color="auto"/>
                                <w:bottom w:val="none" w:sz="0" w:space="0" w:color="auto"/>
                                <w:right w:val="none" w:sz="0" w:space="0" w:color="auto"/>
                              </w:divBdr>
                              <w:divsChild>
                                <w:div w:id="221714194">
                                  <w:marLeft w:val="0"/>
                                  <w:marRight w:val="0"/>
                                  <w:marTop w:val="0"/>
                                  <w:marBottom w:val="0"/>
                                  <w:divBdr>
                                    <w:top w:val="none" w:sz="0" w:space="0" w:color="auto"/>
                                    <w:left w:val="none" w:sz="0" w:space="0" w:color="auto"/>
                                    <w:bottom w:val="none" w:sz="0" w:space="0" w:color="auto"/>
                                    <w:right w:val="none" w:sz="0" w:space="0" w:color="auto"/>
                                  </w:divBdr>
                                  <w:divsChild>
                                    <w:div w:id="1783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76629">
      <w:bodyDiv w:val="1"/>
      <w:marLeft w:val="0"/>
      <w:marRight w:val="0"/>
      <w:marTop w:val="0"/>
      <w:marBottom w:val="0"/>
      <w:divBdr>
        <w:top w:val="none" w:sz="0" w:space="0" w:color="auto"/>
        <w:left w:val="none" w:sz="0" w:space="0" w:color="auto"/>
        <w:bottom w:val="none" w:sz="0" w:space="0" w:color="auto"/>
        <w:right w:val="none" w:sz="0" w:space="0" w:color="auto"/>
      </w:divBdr>
      <w:divsChild>
        <w:div w:id="150218359">
          <w:marLeft w:val="0"/>
          <w:marRight w:val="0"/>
          <w:marTop w:val="225"/>
          <w:marBottom w:val="0"/>
          <w:divBdr>
            <w:top w:val="none" w:sz="0" w:space="0" w:color="auto"/>
            <w:left w:val="none" w:sz="0" w:space="0" w:color="auto"/>
            <w:bottom w:val="none" w:sz="0" w:space="0" w:color="auto"/>
            <w:right w:val="none" w:sz="0" w:space="0" w:color="auto"/>
          </w:divBdr>
          <w:divsChild>
            <w:div w:id="449202188">
              <w:marLeft w:val="0"/>
              <w:marRight w:val="0"/>
              <w:marTop w:val="285"/>
              <w:marBottom w:val="0"/>
              <w:divBdr>
                <w:top w:val="none" w:sz="0" w:space="0" w:color="auto"/>
                <w:left w:val="none" w:sz="0" w:space="0" w:color="auto"/>
                <w:bottom w:val="none" w:sz="0" w:space="0" w:color="auto"/>
                <w:right w:val="none" w:sz="0" w:space="0" w:color="auto"/>
              </w:divBdr>
              <w:divsChild>
                <w:div w:id="1713072406">
                  <w:marLeft w:val="0"/>
                  <w:marRight w:val="0"/>
                  <w:marTop w:val="1500"/>
                  <w:marBottom w:val="0"/>
                  <w:divBdr>
                    <w:top w:val="none" w:sz="0" w:space="0" w:color="auto"/>
                    <w:left w:val="none" w:sz="0" w:space="0" w:color="auto"/>
                    <w:bottom w:val="none" w:sz="0" w:space="0" w:color="auto"/>
                    <w:right w:val="none" w:sz="0" w:space="0" w:color="auto"/>
                  </w:divBdr>
                  <w:divsChild>
                    <w:div w:id="2003005747">
                      <w:marLeft w:val="0"/>
                      <w:marRight w:val="0"/>
                      <w:marTop w:val="0"/>
                      <w:marBottom w:val="0"/>
                      <w:divBdr>
                        <w:top w:val="none" w:sz="0" w:space="0" w:color="auto"/>
                        <w:left w:val="none" w:sz="0" w:space="0" w:color="auto"/>
                        <w:bottom w:val="none" w:sz="0" w:space="0" w:color="auto"/>
                        <w:right w:val="none" w:sz="0" w:space="0" w:color="auto"/>
                      </w:divBdr>
                      <w:divsChild>
                        <w:div w:id="2067295680">
                          <w:marLeft w:val="0"/>
                          <w:marRight w:val="0"/>
                          <w:marTop w:val="0"/>
                          <w:marBottom w:val="0"/>
                          <w:divBdr>
                            <w:top w:val="none" w:sz="0" w:space="0" w:color="auto"/>
                            <w:left w:val="none" w:sz="0" w:space="0" w:color="auto"/>
                            <w:bottom w:val="none" w:sz="0" w:space="0" w:color="auto"/>
                            <w:right w:val="none" w:sz="0" w:space="0" w:color="auto"/>
                          </w:divBdr>
                          <w:divsChild>
                            <w:div w:id="374431674">
                              <w:marLeft w:val="0"/>
                              <w:marRight w:val="0"/>
                              <w:marTop w:val="0"/>
                              <w:marBottom w:val="0"/>
                              <w:divBdr>
                                <w:top w:val="none" w:sz="0" w:space="0" w:color="auto"/>
                                <w:left w:val="none" w:sz="0" w:space="0" w:color="auto"/>
                                <w:bottom w:val="none" w:sz="0" w:space="0" w:color="auto"/>
                                <w:right w:val="none" w:sz="0" w:space="0" w:color="auto"/>
                              </w:divBdr>
                              <w:divsChild>
                                <w:div w:id="27725615">
                                  <w:marLeft w:val="0"/>
                                  <w:marRight w:val="0"/>
                                  <w:marTop w:val="0"/>
                                  <w:marBottom w:val="0"/>
                                  <w:divBdr>
                                    <w:top w:val="none" w:sz="0" w:space="0" w:color="auto"/>
                                    <w:left w:val="none" w:sz="0" w:space="0" w:color="auto"/>
                                    <w:bottom w:val="none" w:sz="0" w:space="0" w:color="auto"/>
                                    <w:right w:val="none" w:sz="0" w:space="0" w:color="auto"/>
                                  </w:divBdr>
                                  <w:divsChild>
                                    <w:div w:id="358554462">
                                      <w:marLeft w:val="0"/>
                                      <w:marRight w:val="0"/>
                                      <w:marTop w:val="0"/>
                                      <w:marBottom w:val="0"/>
                                      <w:divBdr>
                                        <w:top w:val="none" w:sz="0" w:space="0" w:color="auto"/>
                                        <w:left w:val="none" w:sz="0" w:space="0" w:color="auto"/>
                                        <w:bottom w:val="none" w:sz="0" w:space="0" w:color="auto"/>
                                        <w:right w:val="none" w:sz="0" w:space="0" w:color="auto"/>
                                      </w:divBdr>
                                      <w:divsChild>
                                        <w:div w:id="797917019">
                                          <w:marLeft w:val="0"/>
                                          <w:marRight w:val="0"/>
                                          <w:marTop w:val="0"/>
                                          <w:marBottom w:val="375"/>
                                          <w:divBdr>
                                            <w:top w:val="none" w:sz="0" w:space="0" w:color="auto"/>
                                            <w:left w:val="none" w:sz="0" w:space="0" w:color="auto"/>
                                            <w:bottom w:val="none" w:sz="0" w:space="0" w:color="auto"/>
                                            <w:right w:val="none" w:sz="0" w:space="0" w:color="auto"/>
                                          </w:divBdr>
                                          <w:divsChild>
                                            <w:div w:id="1634872748">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41520936">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3871677">
      <w:bodyDiv w:val="1"/>
      <w:marLeft w:val="0"/>
      <w:marRight w:val="0"/>
      <w:marTop w:val="0"/>
      <w:marBottom w:val="0"/>
      <w:divBdr>
        <w:top w:val="none" w:sz="0" w:space="0" w:color="auto"/>
        <w:left w:val="none" w:sz="0" w:space="0" w:color="auto"/>
        <w:bottom w:val="none" w:sz="0" w:space="0" w:color="auto"/>
        <w:right w:val="none" w:sz="0" w:space="0" w:color="auto"/>
      </w:divBdr>
    </w:div>
    <w:div w:id="1552763794">
      <w:bodyDiv w:val="1"/>
      <w:marLeft w:val="0"/>
      <w:marRight w:val="0"/>
      <w:marTop w:val="0"/>
      <w:marBottom w:val="0"/>
      <w:divBdr>
        <w:top w:val="none" w:sz="0" w:space="0" w:color="auto"/>
        <w:left w:val="none" w:sz="0" w:space="0" w:color="auto"/>
        <w:bottom w:val="none" w:sz="0" w:space="0" w:color="auto"/>
        <w:right w:val="none" w:sz="0" w:space="0" w:color="auto"/>
      </w:divBdr>
    </w:div>
    <w:div w:id="1686130193">
      <w:bodyDiv w:val="1"/>
      <w:marLeft w:val="0"/>
      <w:marRight w:val="0"/>
      <w:marTop w:val="0"/>
      <w:marBottom w:val="0"/>
      <w:divBdr>
        <w:top w:val="none" w:sz="0" w:space="0" w:color="auto"/>
        <w:left w:val="none" w:sz="0" w:space="0" w:color="auto"/>
        <w:bottom w:val="none" w:sz="0" w:space="0" w:color="auto"/>
        <w:right w:val="none" w:sz="0" w:space="0" w:color="auto"/>
      </w:divBdr>
    </w:div>
    <w:div w:id="1726484623">
      <w:bodyDiv w:val="1"/>
      <w:marLeft w:val="0"/>
      <w:marRight w:val="0"/>
      <w:marTop w:val="0"/>
      <w:marBottom w:val="0"/>
      <w:divBdr>
        <w:top w:val="none" w:sz="0" w:space="0" w:color="auto"/>
        <w:left w:val="none" w:sz="0" w:space="0" w:color="auto"/>
        <w:bottom w:val="none" w:sz="0" w:space="0" w:color="auto"/>
        <w:right w:val="none" w:sz="0" w:space="0" w:color="auto"/>
      </w:divBdr>
      <w:divsChild>
        <w:div w:id="1011420297">
          <w:marLeft w:val="0"/>
          <w:marRight w:val="0"/>
          <w:marTop w:val="0"/>
          <w:marBottom w:val="0"/>
          <w:divBdr>
            <w:top w:val="none" w:sz="0" w:space="0" w:color="auto"/>
            <w:left w:val="none" w:sz="0" w:space="0" w:color="auto"/>
            <w:bottom w:val="none" w:sz="0" w:space="0" w:color="auto"/>
            <w:right w:val="none" w:sz="0" w:space="0" w:color="auto"/>
          </w:divBdr>
          <w:divsChild>
            <w:div w:id="1703819626">
              <w:marLeft w:val="0"/>
              <w:marRight w:val="0"/>
              <w:marTop w:val="0"/>
              <w:marBottom w:val="0"/>
              <w:divBdr>
                <w:top w:val="none" w:sz="0" w:space="0" w:color="auto"/>
                <w:left w:val="none" w:sz="0" w:space="0" w:color="auto"/>
                <w:bottom w:val="none" w:sz="0" w:space="0" w:color="auto"/>
                <w:right w:val="none" w:sz="0" w:space="0" w:color="auto"/>
              </w:divBdr>
              <w:divsChild>
                <w:div w:id="1311178818">
                  <w:marLeft w:val="0"/>
                  <w:marRight w:val="0"/>
                  <w:marTop w:val="0"/>
                  <w:marBottom w:val="0"/>
                  <w:divBdr>
                    <w:top w:val="none" w:sz="0" w:space="0" w:color="auto"/>
                    <w:left w:val="none" w:sz="0" w:space="0" w:color="auto"/>
                    <w:bottom w:val="none" w:sz="0" w:space="0" w:color="auto"/>
                    <w:right w:val="none" w:sz="0" w:space="0" w:color="auto"/>
                  </w:divBdr>
                  <w:divsChild>
                    <w:div w:id="736436652">
                      <w:marLeft w:val="0"/>
                      <w:marRight w:val="0"/>
                      <w:marTop w:val="0"/>
                      <w:marBottom w:val="0"/>
                      <w:divBdr>
                        <w:top w:val="none" w:sz="0" w:space="0" w:color="auto"/>
                        <w:left w:val="none" w:sz="0" w:space="0" w:color="auto"/>
                        <w:bottom w:val="none" w:sz="0" w:space="0" w:color="auto"/>
                        <w:right w:val="none" w:sz="0" w:space="0" w:color="auto"/>
                      </w:divBdr>
                      <w:divsChild>
                        <w:div w:id="1564829628">
                          <w:marLeft w:val="0"/>
                          <w:marRight w:val="0"/>
                          <w:marTop w:val="0"/>
                          <w:marBottom w:val="120"/>
                          <w:divBdr>
                            <w:top w:val="none" w:sz="0" w:space="0" w:color="auto"/>
                            <w:left w:val="none" w:sz="0" w:space="0" w:color="auto"/>
                            <w:bottom w:val="none" w:sz="0" w:space="0" w:color="auto"/>
                            <w:right w:val="none" w:sz="0" w:space="0" w:color="auto"/>
                          </w:divBdr>
                          <w:divsChild>
                            <w:div w:id="745373514">
                              <w:marLeft w:val="0"/>
                              <w:marRight w:val="0"/>
                              <w:marTop w:val="0"/>
                              <w:marBottom w:val="0"/>
                              <w:divBdr>
                                <w:top w:val="none" w:sz="0" w:space="0" w:color="auto"/>
                                <w:left w:val="none" w:sz="0" w:space="0" w:color="auto"/>
                                <w:bottom w:val="none" w:sz="0" w:space="0" w:color="auto"/>
                                <w:right w:val="none" w:sz="0" w:space="0" w:color="auto"/>
                              </w:divBdr>
                              <w:divsChild>
                                <w:div w:id="13837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495420">
      <w:bodyDiv w:val="1"/>
      <w:marLeft w:val="0"/>
      <w:marRight w:val="0"/>
      <w:marTop w:val="0"/>
      <w:marBottom w:val="0"/>
      <w:divBdr>
        <w:top w:val="none" w:sz="0" w:space="0" w:color="auto"/>
        <w:left w:val="none" w:sz="0" w:space="0" w:color="auto"/>
        <w:bottom w:val="none" w:sz="0" w:space="0" w:color="auto"/>
        <w:right w:val="none" w:sz="0" w:space="0" w:color="auto"/>
      </w:divBdr>
    </w:div>
    <w:div w:id="1784808686">
      <w:bodyDiv w:val="1"/>
      <w:marLeft w:val="0"/>
      <w:marRight w:val="0"/>
      <w:marTop w:val="0"/>
      <w:marBottom w:val="0"/>
      <w:divBdr>
        <w:top w:val="none" w:sz="0" w:space="0" w:color="auto"/>
        <w:left w:val="none" w:sz="0" w:space="0" w:color="auto"/>
        <w:bottom w:val="none" w:sz="0" w:space="0" w:color="auto"/>
        <w:right w:val="none" w:sz="0" w:space="0" w:color="auto"/>
      </w:divBdr>
      <w:divsChild>
        <w:div w:id="849484604">
          <w:marLeft w:val="0"/>
          <w:marRight w:val="0"/>
          <w:marTop w:val="0"/>
          <w:marBottom w:val="0"/>
          <w:divBdr>
            <w:top w:val="none" w:sz="0" w:space="0" w:color="auto"/>
            <w:left w:val="none" w:sz="0" w:space="0" w:color="auto"/>
            <w:bottom w:val="none" w:sz="0" w:space="0" w:color="auto"/>
            <w:right w:val="none" w:sz="0" w:space="0" w:color="auto"/>
          </w:divBdr>
          <w:divsChild>
            <w:div w:id="269359854">
              <w:marLeft w:val="0"/>
              <w:marRight w:val="0"/>
              <w:marTop w:val="0"/>
              <w:marBottom w:val="0"/>
              <w:divBdr>
                <w:top w:val="none" w:sz="0" w:space="0" w:color="auto"/>
                <w:left w:val="none" w:sz="0" w:space="0" w:color="auto"/>
                <w:bottom w:val="none" w:sz="0" w:space="0" w:color="auto"/>
                <w:right w:val="none" w:sz="0" w:space="0" w:color="auto"/>
              </w:divBdr>
              <w:divsChild>
                <w:div w:id="977877136">
                  <w:marLeft w:val="0"/>
                  <w:marRight w:val="0"/>
                  <w:marTop w:val="0"/>
                  <w:marBottom w:val="0"/>
                  <w:divBdr>
                    <w:top w:val="none" w:sz="0" w:space="0" w:color="auto"/>
                    <w:left w:val="none" w:sz="0" w:space="0" w:color="auto"/>
                    <w:bottom w:val="none" w:sz="0" w:space="0" w:color="auto"/>
                    <w:right w:val="none" w:sz="0" w:space="0" w:color="auto"/>
                  </w:divBdr>
                  <w:divsChild>
                    <w:div w:id="944926172">
                      <w:marLeft w:val="0"/>
                      <w:marRight w:val="0"/>
                      <w:marTop w:val="0"/>
                      <w:marBottom w:val="0"/>
                      <w:divBdr>
                        <w:top w:val="none" w:sz="0" w:space="0" w:color="auto"/>
                        <w:left w:val="none" w:sz="0" w:space="0" w:color="auto"/>
                        <w:bottom w:val="none" w:sz="0" w:space="0" w:color="auto"/>
                        <w:right w:val="none" w:sz="0" w:space="0" w:color="auto"/>
                      </w:divBdr>
                      <w:divsChild>
                        <w:div w:id="1216116412">
                          <w:marLeft w:val="0"/>
                          <w:marRight w:val="0"/>
                          <w:marTop w:val="0"/>
                          <w:marBottom w:val="120"/>
                          <w:divBdr>
                            <w:top w:val="none" w:sz="0" w:space="0" w:color="auto"/>
                            <w:left w:val="none" w:sz="0" w:space="0" w:color="auto"/>
                            <w:bottom w:val="none" w:sz="0" w:space="0" w:color="auto"/>
                            <w:right w:val="none" w:sz="0" w:space="0" w:color="auto"/>
                          </w:divBdr>
                          <w:divsChild>
                            <w:div w:id="565606861">
                              <w:marLeft w:val="0"/>
                              <w:marRight w:val="0"/>
                              <w:marTop w:val="0"/>
                              <w:marBottom w:val="0"/>
                              <w:divBdr>
                                <w:top w:val="none" w:sz="0" w:space="0" w:color="auto"/>
                                <w:left w:val="none" w:sz="0" w:space="0" w:color="auto"/>
                                <w:bottom w:val="none" w:sz="0" w:space="0" w:color="auto"/>
                                <w:right w:val="none" w:sz="0" w:space="0" w:color="auto"/>
                              </w:divBdr>
                              <w:divsChild>
                                <w:div w:id="176464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51296">
      <w:bodyDiv w:val="1"/>
      <w:marLeft w:val="0"/>
      <w:marRight w:val="0"/>
      <w:marTop w:val="0"/>
      <w:marBottom w:val="0"/>
      <w:divBdr>
        <w:top w:val="none" w:sz="0" w:space="0" w:color="auto"/>
        <w:left w:val="none" w:sz="0" w:space="0" w:color="auto"/>
        <w:bottom w:val="none" w:sz="0" w:space="0" w:color="auto"/>
        <w:right w:val="none" w:sz="0" w:space="0" w:color="auto"/>
      </w:divBdr>
    </w:div>
    <w:div w:id="1942688217">
      <w:bodyDiv w:val="1"/>
      <w:marLeft w:val="0"/>
      <w:marRight w:val="0"/>
      <w:marTop w:val="0"/>
      <w:marBottom w:val="0"/>
      <w:divBdr>
        <w:top w:val="none" w:sz="0" w:space="0" w:color="auto"/>
        <w:left w:val="none" w:sz="0" w:space="0" w:color="auto"/>
        <w:bottom w:val="none" w:sz="0" w:space="0" w:color="auto"/>
        <w:right w:val="none" w:sz="0" w:space="0" w:color="auto"/>
      </w:divBdr>
    </w:div>
    <w:div w:id="2033876479">
      <w:bodyDiv w:val="1"/>
      <w:marLeft w:val="0"/>
      <w:marRight w:val="0"/>
      <w:marTop w:val="0"/>
      <w:marBottom w:val="0"/>
      <w:divBdr>
        <w:top w:val="none" w:sz="0" w:space="0" w:color="auto"/>
        <w:left w:val="none" w:sz="0" w:space="0" w:color="auto"/>
        <w:bottom w:val="none" w:sz="0" w:space="0" w:color="auto"/>
        <w:right w:val="none" w:sz="0" w:space="0" w:color="auto"/>
      </w:divBdr>
    </w:div>
    <w:div w:id="2054765336">
      <w:bodyDiv w:val="1"/>
      <w:marLeft w:val="0"/>
      <w:marRight w:val="0"/>
      <w:marTop w:val="0"/>
      <w:marBottom w:val="0"/>
      <w:divBdr>
        <w:top w:val="none" w:sz="0" w:space="0" w:color="auto"/>
        <w:left w:val="none" w:sz="0" w:space="0" w:color="auto"/>
        <w:bottom w:val="none" w:sz="0" w:space="0" w:color="auto"/>
        <w:right w:val="none" w:sz="0" w:space="0" w:color="auto"/>
      </w:divBdr>
      <w:divsChild>
        <w:div w:id="1059085835">
          <w:marLeft w:val="0"/>
          <w:marRight w:val="0"/>
          <w:marTop w:val="225"/>
          <w:marBottom w:val="0"/>
          <w:divBdr>
            <w:top w:val="none" w:sz="0" w:space="0" w:color="auto"/>
            <w:left w:val="none" w:sz="0" w:space="0" w:color="auto"/>
            <w:bottom w:val="none" w:sz="0" w:space="0" w:color="auto"/>
            <w:right w:val="none" w:sz="0" w:space="0" w:color="auto"/>
          </w:divBdr>
          <w:divsChild>
            <w:div w:id="524711008">
              <w:marLeft w:val="0"/>
              <w:marRight w:val="0"/>
              <w:marTop w:val="285"/>
              <w:marBottom w:val="0"/>
              <w:divBdr>
                <w:top w:val="none" w:sz="0" w:space="0" w:color="auto"/>
                <w:left w:val="none" w:sz="0" w:space="0" w:color="auto"/>
                <w:bottom w:val="none" w:sz="0" w:space="0" w:color="auto"/>
                <w:right w:val="none" w:sz="0" w:space="0" w:color="auto"/>
              </w:divBdr>
              <w:divsChild>
                <w:div w:id="795104813">
                  <w:marLeft w:val="0"/>
                  <w:marRight w:val="0"/>
                  <w:marTop w:val="0"/>
                  <w:marBottom w:val="0"/>
                  <w:divBdr>
                    <w:top w:val="none" w:sz="0" w:space="0" w:color="auto"/>
                    <w:left w:val="none" w:sz="0" w:space="0" w:color="auto"/>
                    <w:bottom w:val="none" w:sz="0" w:space="0" w:color="auto"/>
                    <w:right w:val="none" w:sz="0" w:space="0" w:color="auto"/>
                  </w:divBdr>
                  <w:divsChild>
                    <w:div w:id="61492371">
                      <w:marLeft w:val="0"/>
                      <w:marRight w:val="0"/>
                      <w:marTop w:val="0"/>
                      <w:marBottom w:val="0"/>
                      <w:divBdr>
                        <w:top w:val="none" w:sz="0" w:space="0" w:color="auto"/>
                        <w:left w:val="none" w:sz="0" w:space="0" w:color="auto"/>
                        <w:bottom w:val="none" w:sz="0" w:space="0" w:color="auto"/>
                        <w:right w:val="none" w:sz="0" w:space="0" w:color="auto"/>
                      </w:divBdr>
                      <w:divsChild>
                        <w:div w:id="1274021228">
                          <w:marLeft w:val="0"/>
                          <w:marRight w:val="0"/>
                          <w:marTop w:val="0"/>
                          <w:marBottom w:val="0"/>
                          <w:divBdr>
                            <w:top w:val="none" w:sz="0" w:space="0" w:color="auto"/>
                            <w:left w:val="none" w:sz="0" w:space="0" w:color="auto"/>
                            <w:bottom w:val="none" w:sz="0" w:space="0" w:color="auto"/>
                            <w:right w:val="none" w:sz="0" w:space="0" w:color="auto"/>
                          </w:divBdr>
                          <w:divsChild>
                            <w:div w:id="1500347239">
                              <w:marLeft w:val="0"/>
                              <w:marRight w:val="0"/>
                              <w:marTop w:val="0"/>
                              <w:marBottom w:val="0"/>
                              <w:divBdr>
                                <w:top w:val="none" w:sz="0" w:space="0" w:color="auto"/>
                                <w:left w:val="none" w:sz="0" w:space="0" w:color="auto"/>
                                <w:bottom w:val="none" w:sz="0" w:space="0" w:color="auto"/>
                                <w:right w:val="none" w:sz="0" w:space="0" w:color="auto"/>
                              </w:divBdr>
                              <w:divsChild>
                                <w:div w:id="400376038">
                                  <w:marLeft w:val="0"/>
                                  <w:marRight w:val="0"/>
                                  <w:marTop w:val="0"/>
                                  <w:marBottom w:val="0"/>
                                  <w:divBdr>
                                    <w:top w:val="none" w:sz="0" w:space="0" w:color="auto"/>
                                    <w:left w:val="none" w:sz="0" w:space="0" w:color="auto"/>
                                    <w:bottom w:val="none" w:sz="0" w:space="0" w:color="auto"/>
                                    <w:right w:val="none" w:sz="0" w:space="0" w:color="auto"/>
                                  </w:divBdr>
                                  <w:divsChild>
                                    <w:div w:id="12336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DFC3A-4D2F-4892-A099-4DB27E5F3D2C}">
  <ds:schemaRefs>
    <ds:schemaRef ds:uri="http://schemas.openxmlformats.org/officeDocument/2006/bibliography"/>
  </ds:schemaRefs>
</ds:datastoreItem>
</file>

<file path=customXml/itemProps2.xml><?xml version="1.0" encoding="utf-8"?>
<ds:datastoreItem xmlns:ds="http://schemas.openxmlformats.org/officeDocument/2006/customXml" ds:itemID="{D289F1B9-D44C-4103-8000-CBE2C6502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4039</Words>
  <Characters>23028</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27013</CharactersWithSpaces>
  <SharedDoc>false</SharedDoc>
  <HLinks>
    <vt:vector size="12" baseType="variant">
      <vt:variant>
        <vt:i4>7209000</vt:i4>
      </vt:variant>
      <vt:variant>
        <vt:i4>3</vt:i4>
      </vt:variant>
      <vt:variant>
        <vt:i4>0</vt:i4>
      </vt:variant>
      <vt:variant>
        <vt:i4>5</vt:i4>
      </vt:variant>
      <vt:variant>
        <vt:lpwstr>http://www.mercuryconvention.org/AwarenessRaising/Workshops/tabid/3800/Default.aspx</vt:lpwstr>
      </vt:variant>
      <vt:variant>
        <vt:lpwstr/>
      </vt:variant>
      <vt:variant>
        <vt:i4>8257648</vt:i4>
      </vt:variant>
      <vt:variant>
        <vt:i4>0</vt:i4>
      </vt:variant>
      <vt:variant>
        <vt:i4>0</vt:i4>
      </vt:variant>
      <vt:variant>
        <vt:i4>5</vt:i4>
      </vt:variant>
      <vt:variant>
        <vt:lpwstr>http://mercuryconvention.org/Negotiations/INCBureau/tabid/3827/Default.aspx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LOGAN</cp:lastModifiedBy>
  <cp:revision>2</cp:revision>
  <cp:lastPrinted>2016-01-13T06:40:00Z</cp:lastPrinted>
  <dcterms:created xsi:type="dcterms:W3CDTF">2016-01-30T09:28:00Z</dcterms:created>
  <dcterms:modified xsi:type="dcterms:W3CDTF">2016-01-30T09:28:00Z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vicente.ubeda fernandez</vt:lpwstr>
  </property>
  <property fmtid="{D5CDD505-2E9C-101B-9397-08002B2CF9AE}" pid="4" name="GeneratedDate">
    <vt:lpwstr>12/30/2015 8:26:13 PM</vt:lpwstr>
  </property>
  <property fmtid="{D5CDD505-2E9C-101B-9397-08002B2CF9AE}" pid="5" name="OriginalDocID">
    <vt:lpwstr>9aad9d83-5511-4cb4-8b02-4bc8e8490ae5</vt:lpwstr>
  </property>
</Properties>
</file>