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668"/>
        <w:gridCol w:w="4677"/>
        <w:gridCol w:w="3435"/>
      </w:tblGrid>
      <w:tr w:rsidR="00032E4E" w:rsidRPr="006A1074">
        <w:trPr>
          <w:cantSplit/>
          <w:trHeight w:val="850"/>
        </w:trPr>
        <w:tc>
          <w:tcPr>
            <w:tcW w:w="1668" w:type="dxa"/>
          </w:tcPr>
          <w:p w:rsidR="00032E4E" w:rsidRPr="006A1074" w:rsidRDefault="00857609" w:rsidP="00EA5E23">
            <w:pPr>
              <w:rPr>
                <w:rFonts w:ascii="Univers" w:hAnsi="Univers"/>
                <w:b/>
                <w:noProof/>
                <w:sz w:val="27"/>
                <w:szCs w:val="27"/>
              </w:rPr>
            </w:pPr>
            <w:r>
              <w:rPr>
                <w:rFonts w:ascii="Arial" w:hAnsi="Arial" w:cs="Arial"/>
                <w:b/>
                <w:noProof/>
                <w:sz w:val="27"/>
                <w:szCs w:val="27"/>
              </w:rPr>
              <w:t>NAC</w:t>
            </w:r>
            <w:r w:rsidRPr="00C00C77">
              <w:rPr>
                <w:rFonts w:ascii="Arial" w:hAnsi="Arial" w:cs="Arial"/>
                <w:b/>
                <w:noProof/>
                <w:sz w:val="27"/>
                <w:szCs w:val="27"/>
              </w:rPr>
              <w:t>ION</w:t>
            </w:r>
            <w:r>
              <w:rPr>
                <w:rFonts w:ascii="Arial" w:hAnsi="Arial" w:cs="Arial"/>
                <w:b/>
                <w:noProof/>
                <w:sz w:val="27"/>
                <w:szCs w:val="27"/>
              </w:rPr>
              <w:t>ES</w:t>
            </w:r>
            <w:r w:rsidRPr="00C00C77">
              <w:rPr>
                <w:rFonts w:ascii="Arial" w:hAnsi="Arial" w:cs="Arial"/>
                <w:b/>
                <w:noProof/>
                <w:sz w:val="27"/>
                <w:szCs w:val="27"/>
              </w:rPr>
              <w:t xml:space="preserve"> UN</w:t>
            </w:r>
            <w:r>
              <w:rPr>
                <w:rFonts w:ascii="Arial" w:hAnsi="Arial" w:cs="Arial"/>
                <w:b/>
                <w:noProof/>
                <w:sz w:val="27"/>
                <w:szCs w:val="27"/>
              </w:rPr>
              <w:t>IDAS</w:t>
            </w:r>
          </w:p>
        </w:tc>
        <w:tc>
          <w:tcPr>
            <w:tcW w:w="4677" w:type="dxa"/>
          </w:tcPr>
          <w:p w:rsidR="00032E4E" w:rsidRPr="006A1074" w:rsidRDefault="00032E4E" w:rsidP="00023DA9">
            <w:pPr>
              <w:rPr>
                <w:rFonts w:ascii="Univers" w:hAnsi="Univers"/>
                <w:b/>
                <w:sz w:val="27"/>
                <w:szCs w:val="27"/>
              </w:rPr>
            </w:pPr>
          </w:p>
        </w:tc>
        <w:tc>
          <w:tcPr>
            <w:tcW w:w="3435" w:type="dxa"/>
          </w:tcPr>
          <w:p w:rsidR="00032E4E" w:rsidRPr="00C00C77" w:rsidRDefault="00857609" w:rsidP="00023DA9">
            <w:pPr>
              <w:jc w:val="right"/>
              <w:rPr>
                <w:rFonts w:ascii="Arial" w:hAnsi="Arial" w:cs="Arial"/>
                <w:b/>
                <w:sz w:val="64"/>
                <w:szCs w:val="64"/>
              </w:rPr>
            </w:pPr>
            <w:r w:rsidRPr="00C00C77">
              <w:rPr>
                <w:rFonts w:ascii="Arial" w:hAnsi="Arial" w:cs="Arial"/>
                <w:b/>
                <w:sz w:val="64"/>
                <w:szCs w:val="64"/>
              </w:rPr>
              <w:t>EP</w:t>
            </w:r>
          </w:p>
        </w:tc>
      </w:tr>
      <w:tr w:rsidR="00032E4E" w:rsidRPr="006A1074">
        <w:trPr>
          <w:cantSplit/>
          <w:trHeight w:val="281"/>
        </w:trPr>
        <w:tc>
          <w:tcPr>
            <w:tcW w:w="1668" w:type="dxa"/>
            <w:tcBorders>
              <w:bottom w:val="single" w:sz="4" w:space="0" w:color="auto"/>
            </w:tcBorders>
          </w:tcPr>
          <w:p w:rsidR="00032E4E" w:rsidRPr="006A1074" w:rsidRDefault="00032E4E" w:rsidP="00023DA9">
            <w:pPr>
              <w:rPr>
                <w:noProof/>
                <w:sz w:val="18"/>
                <w:szCs w:val="18"/>
              </w:rPr>
            </w:pPr>
          </w:p>
        </w:tc>
        <w:tc>
          <w:tcPr>
            <w:tcW w:w="4677" w:type="dxa"/>
            <w:tcBorders>
              <w:bottom w:val="single" w:sz="4" w:space="0" w:color="auto"/>
            </w:tcBorders>
          </w:tcPr>
          <w:p w:rsidR="00032E4E" w:rsidRPr="006A1074" w:rsidRDefault="00032E4E" w:rsidP="00023DA9">
            <w:pPr>
              <w:rPr>
                <w:rFonts w:ascii="Univers" w:hAnsi="Univers"/>
                <w:b/>
                <w:sz w:val="18"/>
                <w:szCs w:val="18"/>
              </w:rPr>
            </w:pPr>
          </w:p>
        </w:tc>
        <w:tc>
          <w:tcPr>
            <w:tcW w:w="3435" w:type="dxa"/>
            <w:tcBorders>
              <w:bottom w:val="single" w:sz="4" w:space="0" w:color="auto"/>
            </w:tcBorders>
          </w:tcPr>
          <w:p w:rsidR="00032E4E" w:rsidRPr="006A1074" w:rsidRDefault="00032E4E" w:rsidP="004B7E47">
            <w:pPr>
              <w:rPr>
                <w:noProof/>
                <w:sz w:val="18"/>
                <w:szCs w:val="18"/>
              </w:rPr>
            </w:pPr>
            <w:r w:rsidRPr="00857609">
              <w:rPr>
                <w:b/>
                <w:sz w:val="28"/>
                <w:lang w:val="es-ES"/>
              </w:rPr>
              <w:t>UNEP</w:t>
            </w:r>
            <w:r>
              <w:rPr>
                <w:lang w:val="es-ES"/>
              </w:rPr>
              <w:t>(DTIE)/Hg/INC.7/19</w:t>
            </w:r>
            <w:bookmarkStart w:id="0" w:name="OLE_LINK1"/>
            <w:bookmarkStart w:id="1" w:name="OLE_LINK2"/>
            <w:bookmarkEnd w:id="0"/>
            <w:bookmarkEnd w:id="1"/>
          </w:p>
        </w:tc>
      </w:tr>
      <w:bookmarkStart w:id="2" w:name="_MON_1021710482"/>
      <w:bookmarkStart w:id="3" w:name="_MON_1021710510"/>
      <w:bookmarkEnd w:id="2"/>
      <w:bookmarkEnd w:id="3"/>
      <w:tr w:rsidR="00032E4E" w:rsidRPr="006A1074">
        <w:trPr>
          <w:cantSplit/>
          <w:trHeight w:val="2844"/>
        </w:trPr>
        <w:tc>
          <w:tcPr>
            <w:tcW w:w="1668" w:type="dxa"/>
            <w:tcBorders>
              <w:top w:val="single" w:sz="4" w:space="0" w:color="auto"/>
              <w:bottom w:val="single" w:sz="24" w:space="0" w:color="auto"/>
            </w:tcBorders>
          </w:tcPr>
          <w:p w:rsidR="00032E4E" w:rsidRPr="006A1074" w:rsidRDefault="00032E4E" w:rsidP="00023DA9">
            <w:pPr>
              <w:rPr>
                <w:noProof/>
              </w:rPr>
            </w:pPr>
            <w:r w:rsidRPr="006A107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2.25pt" o:ole="" fillcolor="window">
                  <v:imagedata r:id="rId10" o:title=""/>
                </v:shape>
                <o:OLEObject Type="Embed" ProgID="Word.Picture.8" ShapeID="_x0000_i1025" DrawAspect="Content" ObjectID="_1514792474" r:id="rId11"/>
              </w:object>
            </w:r>
            <w:r w:rsidR="00195431">
              <w:rPr>
                <w:noProof/>
                <w:lang w:val="en-US"/>
              </w:rPr>
              <w:drawing>
                <wp:inline distT="0" distB="0" distL="0" distR="0">
                  <wp:extent cx="703580" cy="762000"/>
                  <wp:effectExtent l="0" t="0" r="127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762000"/>
                          </a:xfrm>
                          <a:prstGeom prst="rect">
                            <a:avLst/>
                          </a:prstGeom>
                          <a:noFill/>
                          <a:ln>
                            <a:noFill/>
                          </a:ln>
                        </pic:spPr>
                      </pic:pic>
                    </a:graphicData>
                  </a:graphic>
                </wp:inline>
              </w:drawing>
            </w:r>
          </w:p>
        </w:tc>
        <w:tc>
          <w:tcPr>
            <w:tcW w:w="4677" w:type="dxa"/>
            <w:tcBorders>
              <w:top w:val="single" w:sz="4" w:space="0" w:color="auto"/>
              <w:bottom w:val="single" w:sz="24" w:space="0" w:color="auto"/>
            </w:tcBorders>
          </w:tcPr>
          <w:p w:rsidR="00032E4E" w:rsidRPr="00857609" w:rsidRDefault="00032E4E" w:rsidP="006B3465">
            <w:pPr>
              <w:spacing w:before="1200"/>
              <w:rPr>
                <w:rFonts w:ascii="Arial" w:hAnsi="Arial"/>
                <w:b/>
                <w:sz w:val="32"/>
                <w:lang w:val="es-ES"/>
              </w:rPr>
            </w:pPr>
            <w:r w:rsidRPr="00857609">
              <w:rPr>
                <w:rFonts w:ascii="Arial" w:hAnsi="Arial"/>
                <w:b/>
                <w:sz w:val="32"/>
                <w:lang w:val="es-ES"/>
              </w:rPr>
              <w:t>Programa de las Naciones</w:t>
            </w:r>
            <w:r w:rsidR="00AA7883">
              <w:rPr>
                <w:rFonts w:ascii="Arial" w:hAnsi="Arial"/>
                <w:b/>
                <w:sz w:val="32"/>
                <w:lang w:val="es-ES"/>
              </w:rPr>
              <w:t> </w:t>
            </w:r>
            <w:r w:rsidRPr="00857609">
              <w:rPr>
                <w:rFonts w:ascii="Arial" w:hAnsi="Arial"/>
                <w:b/>
                <w:sz w:val="32"/>
                <w:lang w:val="es-ES"/>
              </w:rPr>
              <w:t>Unidas</w:t>
            </w:r>
            <w:r w:rsidR="00AA7883">
              <w:rPr>
                <w:rFonts w:ascii="Arial" w:hAnsi="Arial"/>
                <w:b/>
                <w:sz w:val="32"/>
                <w:lang w:val="es-ES"/>
              </w:rPr>
              <w:t xml:space="preserve"> </w:t>
            </w:r>
            <w:r w:rsidRPr="00857609">
              <w:rPr>
                <w:rFonts w:ascii="Arial" w:hAnsi="Arial"/>
                <w:b/>
                <w:sz w:val="32"/>
                <w:lang w:val="es-ES"/>
              </w:rPr>
              <w:t>para</w:t>
            </w:r>
            <w:r w:rsidRPr="00857609">
              <w:rPr>
                <w:rFonts w:ascii="Arial" w:hAnsi="Arial"/>
                <w:b/>
                <w:sz w:val="32"/>
                <w:lang w:val="es-ES"/>
              </w:rPr>
              <w:br/>
              <w:t xml:space="preserve">el </w:t>
            </w:r>
            <w:r w:rsidR="006B3465">
              <w:rPr>
                <w:rFonts w:ascii="Arial" w:hAnsi="Arial"/>
                <w:b/>
                <w:sz w:val="32"/>
                <w:lang w:val="es-ES"/>
              </w:rPr>
              <w:t>Medio A</w:t>
            </w:r>
            <w:r w:rsidRPr="00857609">
              <w:rPr>
                <w:rFonts w:ascii="Arial" w:hAnsi="Arial"/>
                <w:b/>
                <w:sz w:val="32"/>
                <w:lang w:val="es-ES"/>
              </w:rPr>
              <w:t>mbiente</w:t>
            </w:r>
          </w:p>
        </w:tc>
        <w:tc>
          <w:tcPr>
            <w:tcW w:w="3435" w:type="dxa"/>
            <w:tcBorders>
              <w:top w:val="single" w:sz="4" w:space="0" w:color="auto"/>
              <w:bottom w:val="single" w:sz="24" w:space="0" w:color="auto"/>
            </w:tcBorders>
          </w:tcPr>
          <w:p w:rsidR="00032E4E" w:rsidRPr="00125A94" w:rsidRDefault="00032E4E" w:rsidP="00EE69DC">
            <w:pPr>
              <w:spacing w:before="120"/>
              <w:rPr>
                <w:lang w:val="es-ES_tradnl"/>
              </w:rPr>
            </w:pPr>
            <w:r>
              <w:rPr>
                <w:lang w:val="es-ES"/>
              </w:rPr>
              <w:t>Distr. general</w:t>
            </w:r>
            <w:r>
              <w:rPr>
                <w:lang w:val="es-ES"/>
              </w:rPr>
              <w:br/>
              <w:t>9 de diciembre de 2015</w:t>
            </w:r>
          </w:p>
          <w:p w:rsidR="00032E4E" w:rsidRPr="006A1074" w:rsidRDefault="00DB7104" w:rsidP="00B1765B">
            <w:pPr>
              <w:spacing w:before="120"/>
            </w:pPr>
            <w:r w:rsidRPr="00BA01F1">
              <w:rPr>
                <w:lang w:val="es-ES_tradnl"/>
              </w:rPr>
              <w:t>Español</w:t>
            </w:r>
            <w:r w:rsidRPr="00BA01F1">
              <w:rPr>
                <w:lang w:val="es-ES_tradnl"/>
              </w:rPr>
              <w:br/>
              <w:t>Original: inglés</w:t>
            </w:r>
          </w:p>
        </w:tc>
      </w:tr>
    </w:tbl>
    <w:p w:rsidR="00032E4E" w:rsidRPr="00125A94" w:rsidRDefault="006B3465" w:rsidP="00EA5E23">
      <w:pPr>
        <w:pStyle w:val="AATitle"/>
        <w:keepNext w:val="0"/>
        <w:keepLines w:val="0"/>
        <w:ind w:right="4536"/>
        <w:rPr>
          <w:lang w:val="es-ES_tradnl"/>
        </w:rPr>
      </w:pPr>
      <w:r>
        <w:rPr>
          <w:lang w:val="es-ES"/>
        </w:rPr>
        <w:t>Comité Intergubernamental de N</w:t>
      </w:r>
      <w:r w:rsidR="00032E4E">
        <w:rPr>
          <w:lang w:val="es-ES"/>
        </w:rPr>
        <w:t>egociación</w:t>
      </w:r>
      <w:r w:rsidR="00EA5E23">
        <w:rPr>
          <w:lang w:val="es-ES"/>
        </w:rPr>
        <w:t xml:space="preserve"> </w:t>
      </w:r>
      <w:r w:rsidR="00032E4E">
        <w:rPr>
          <w:lang w:val="es-ES"/>
        </w:rPr>
        <w:t>encargado</w:t>
      </w:r>
      <w:r>
        <w:rPr>
          <w:lang w:val="es-ES"/>
        </w:rPr>
        <w:br/>
      </w:r>
      <w:r w:rsidR="00032E4E">
        <w:rPr>
          <w:lang w:val="es-ES"/>
        </w:rPr>
        <w:t xml:space="preserve"> de preparar un instrumento jurídicamente vinculante </w:t>
      </w:r>
      <w:r>
        <w:rPr>
          <w:lang w:val="es-ES"/>
        </w:rPr>
        <w:br/>
      </w:r>
      <w:r w:rsidR="00032E4E">
        <w:rPr>
          <w:lang w:val="es-ES"/>
        </w:rPr>
        <w:t>a nivel mundial</w:t>
      </w:r>
      <w:r w:rsidR="00EA5E23">
        <w:rPr>
          <w:lang w:val="es-ES"/>
        </w:rPr>
        <w:t xml:space="preserve"> </w:t>
      </w:r>
      <w:r w:rsidR="00032E4E">
        <w:rPr>
          <w:lang w:val="es-ES"/>
        </w:rPr>
        <w:t>sobre el mercurio</w:t>
      </w:r>
    </w:p>
    <w:p w:rsidR="00032E4E" w:rsidRPr="00125A94" w:rsidRDefault="004B7E47" w:rsidP="008D49B9">
      <w:pPr>
        <w:pStyle w:val="AATitle"/>
        <w:keepNext w:val="0"/>
        <w:keepLines w:val="0"/>
        <w:outlineLvl w:val="0"/>
        <w:rPr>
          <w:b w:val="0"/>
          <w:lang w:val="es-ES_tradnl"/>
        </w:rPr>
      </w:pPr>
      <w:r>
        <w:rPr>
          <w:lang w:val="es-ES"/>
        </w:rPr>
        <w:t xml:space="preserve">Séptimo período de sesiones </w:t>
      </w:r>
    </w:p>
    <w:p w:rsidR="00032E4E" w:rsidRPr="00125A94" w:rsidRDefault="004B7E47" w:rsidP="00085A13">
      <w:pPr>
        <w:pStyle w:val="AATitle"/>
        <w:keepNext w:val="0"/>
        <w:keepLines w:val="0"/>
        <w:outlineLvl w:val="0"/>
        <w:rPr>
          <w:b w:val="0"/>
          <w:lang w:val="es-ES_tradnl"/>
        </w:rPr>
      </w:pPr>
      <w:r w:rsidRPr="00194F0F">
        <w:rPr>
          <w:b w:val="0"/>
          <w:lang w:val="es-ES"/>
        </w:rPr>
        <w:t>Mar Muerto (Jordania), 10 a 15 de marzo de 2016</w:t>
      </w:r>
      <w:bookmarkStart w:id="4" w:name="_GoBack"/>
      <w:bookmarkEnd w:id="4"/>
    </w:p>
    <w:p w:rsidR="00732C8E" w:rsidRPr="00125A94" w:rsidRDefault="00732C8E" w:rsidP="00732C8E">
      <w:pPr>
        <w:pStyle w:val="AATitle"/>
        <w:keepNext w:val="0"/>
        <w:keepLines w:val="0"/>
        <w:rPr>
          <w:b w:val="0"/>
          <w:lang w:val="es-ES_tradnl"/>
        </w:rPr>
      </w:pPr>
      <w:r w:rsidRPr="00194F0F">
        <w:rPr>
          <w:b w:val="0"/>
          <w:lang w:val="es-ES"/>
        </w:rPr>
        <w:t>Tema 3 b) del programa provisional</w:t>
      </w:r>
      <w:r w:rsidRPr="00B654FE">
        <w:rPr>
          <w:b w:val="0"/>
          <w:lang w:val="es-ES"/>
        </w:rPr>
        <w:footnoteReference w:customMarkFollows="1" w:id="2"/>
        <w:t>*</w:t>
      </w:r>
    </w:p>
    <w:p w:rsidR="00732C8E" w:rsidRPr="00125A94" w:rsidRDefault="00012F87" w:rsidP="001D1529">
      <w:pPr>
        <w:pStyle w:val="AATitle2"/>
        <w:keepNext w:val="0"/>
        <w:keepLines w:val="0"/>
        <w:spacing w:before="60" w:after="0"/>
        <w:outlineLvl w:val="0"/>
        <w:rPr>
          <w:lang w:val="es-ES_tradnl"/>
        </w:rPr>
      </w:pPr>
      <w:r>
        <w:rPr>
          <w:lang w:val="es-ES"/>
        </w:rPr>
        <w:t>Labor de preparación de la entrada en vigor del Convenio de Minamata sobre el Mercurio y de la primera reunión de la Conferencia de las Partes en el Convenio: cuestiones que, en virtud del Convenio, deberá decidir la Conferencia de las Partes en su primera reunión</w:t>
      </w:r>
    </w:p>
    <w:p w:rsidR="00012F87" w:rsidRPr="00125A94" w:rsidRDefault="00A1313D" w:rsidP="00B82219">
      <w:pPr>
        <w:pStyle w:val="BBTitle"/>
        <w:keepNext w:val="0"/>
        <w:keepLines w:val="0"/>
        <w:rPr>
          <w:lang w:val="es-ES_tradnl"/>
        </w:rPr>
      </w:pPr>
      <w:r>
        <w:rPr>
          <w:lang w:val="es-ES"/>
        </w:rPr>
        <w:t xml:space="preserve">Recopilación de información sobre el uso de </w:t>
      </w:r>
      <w:r w:rsidR="00194F0F">
        <w:rPr>
          <w:lang w:val="es-ES"/>
        </w:rPr>
        <w:t xml:space="preserve">los </w:t>
      </w:r>
      <w:r>
        <w:rPr>
          <w:lang w:val="es-ES"/>
        </w:rPr>
        <w:t>umbrales de desechos de mercurio</w:t>
      </w:r>
    </w:p>
    <w:p w:rsidR="00732C8E" w:rsidRPr="00040E03" w:rsidRDefault="00DF05C9" w:rsidP="00732C8E">
      <w:pPr>
        <w:pStyle w:val="CH2"/>
        <w:keepNext w:val="0"/>
        <w:keepLines w:val="0"/>
      </w:pPr>
      <w:r>
        <w:rPr>
          <w:lang w:val="es-ES"/>
        </w:rPr>
        <w:tab/>
      </w:r>
      <w:r>
        <w:rPr>
          <w:lang w:val="es-ES"/>
        </w:rPr>
        <w:tab/>
        <w:t>Nota de la Secretaría</w:t>
      </w:r>
    </w:p>
    <w:p w:rsidR="00B82219" w:rsidRPr="00125A94" w:rsidRDefault="00120A58" w:rsidP="00AA7883">
      <w:pPr>
        <w:pStyle w:val="Normalnumber"/>
        <w:tabs>
          <w:tab w:val="clear" w:pos="1134"/>
          <w:tab w:val="clear" w:pos="1247"/>
          <w:tab w:val="clear" w:pos="1814"/>
          <w:tab w:val="clear" w:pos="2381"/>
          <w:tab w:val="clear" w:pos="2948"/>
          <w:tab w:val="clear" w:pos="3515"/>
          <w:tab w:val="clear" w:pos="4082"/>
        </w:tabs>
        <w:rPr>
          <w:lang w:val="es-ES_tradnl"/>
        </w:rPr>
      </w:pPr>
      <w:r>
        <w:rPr>
          <w:lang w:val="es-ES"/>
        </w:rPr>
        <w:t>En el párrafo 2 del artículo 11 del Convenio de Minamata sobre el Mercurio se definen los desechos de mercurio como “sustancias u objetos:</w:t>
      </w:r>
    </w:p>
    <w:p w:rsidR="00B82219" w:rsidRPr="00125A94" w:rsidRDefault="00B82219" w:rsidP="00AA7883">
      <w:pPr>
        <w:pStyle w:val="Normalnumber"/>
        <w:numPr>
          <w:ilvl w:val="1"/>
          <w:numId w:val="4"/>
        </w:numPr>
        <w:tabs>
          <w:tab w:val="clear" w:pos="1247"/>
          <w:tab w:val="clear" w:pos="1814"/>
          <w:tab w:val="clear" w:pos="2381"/>
          <w:tab w:val="clear" w:pos="2948"/>
          <w:tab w:val="clear" w:pos="3515"/>
          <w:tab w:val="clear" w:pos="4082"/>
        </w:tabs>
        <w:ind w:left="1247" w:firstLine="624"/>
        <w:rPr>
          <w:lang w:val="es-ES_tradnl"/>
        </w:rPr>
      </w:pPr>
      <w:r>
        <w:rPr>
          <w:lang w:val="es-ES"/>
        </w:rPr>
        <w:t>que constan de mercurio o compuestos de mercurio;</w:t>
      </w:r>
    </w:p>
    <w:p w:rsidR="00B82219" w:rsidRPr="00125A94" w:rsidRDefault="00B82219" w:rsidP="00AA7883">
      <w:pPr>
        <w:pStyle w:val="Normalnumber"/>
        <w:numPr>
          <w:ilvl w:val="1"/>
          <w:numId w:val="4"/>
        </w:numPr>
        <w:tabs>
          <w:tab w:val="clear" w:pos="1247"/>
          <w:tab w:val="clear" w:pos="1814"/>
          <w:tab w:val="clear" w:pos="2381"/>
          <w:tab w:val="clear" w:pos="2948"/>
          <w:tab w:val="clear" w:pos="3515"/>
          <w:tab w:val="clear" w:pos="4082"/>
        </w:tabs>
        <w:ind w:left="1247" w:firstLine="624"/>
        <w:rPr>
          <w:lang w:val="es-ES_tradnl"/>
        </w:rPr>
      </w:pPr>
      <w:r>
        <w:rPr>
          <w:lang w:val="es-ES"/>
        </w:rPr>
        <w:t>que contienen mercurio o compuestos de mercurio; o</w:t>
      </w:r>
    </w:p>
    <w:p w:rsidR="00B82219" w:rsidRPr="00125A94" w:rsidRDefault="00B82219" w:rsidP="00AA7883">
      <w:pPr>
        <w:pStyle w:val="Normalnumber"/>
        <w:numPr>
          <w:ilvl w:val="1"/>
          <w:numId w:val="4"/>
        </w:numPr>
        <w:tabs>
          <w:tab w:val="clear" w:pos="1247"/>
          <w:tab w:val="clear" w:pos="1814"/>
          <w:tab w:val="clear" w:pos="2381"/>
          <w:tab w:val="clear" w:pos="2948"/>
          <w:tab w:val="clear" w:pos="3515"/>
          <w:tab w:val="clear" w:pos="4082"/>
        </w:tabs>
        <w:ind w:left="1247" w:firstLine="624"/>
        <w:rPr>
          <w:lang w:val="es-ES_tradnl"/>
        </w:rPr>
      </w:pPr>
      <w:r>
        <w:rPr>
          <w:lang w:val="es-ES"/>
        </w:rPr>
        <w:t xml:space="preserve">que están contaminados con mercurio o con compuestos de mercurio, </w:t>
      </w:r>
    </w:p>
    <w:p w:rsidR="00B82219" w:rsidRPr="00125A94" w:rsidRDefault="00B82219" w:rsidP="00AA7883">
      <w:pPr>
        <w:pStyle w:val="Normalnumber"/>
        <w:numPr>
          <w:ilvl w:val="0"/>
          <w:numId w:val="0"/>
        </w:numPr>
        <w:tabs>
          <w:tab w:val="clear" w:pos="1247"/>
          <w:tab w:val="clear" w:pos="1814"/>
          <w:tab w:val="clear" w:pos="2381"/>
          <w:tab w:val="clear" w:pos="2948"/>
          <w:tab w:val="clear" w:pos="3515"/>
          <w:tab w:val="clear" w:pos="4082"/>
        </w:tabs>
        <w:ind w:left="1247"/>
        <w:rPr>
          <w:lang w:val="es-ES_tradnl"/>
        </w:rPr>
      </w:pPr>
      <w:proofErr w:type="gramStart"/>
      <w:r>
        <w:rPr>
          <w:lang w:val="es-ES"/>
        </w:rPr>
        <w:t>en</w:t>
      </w:r>
      <w:proofErr w:type="gramEnd"/>
      <w:r>
        <w:rPr>
          <w:lang w:val="es-ES"/>
        </w:rPr>
        <w:t xml:space="preserve"> una cantidad que exceda los umbrales pertinentes definidos por la Conferencia de las Partes, en colaboración con los órganos pertinentes del Convenio de Basilea sobre el Control de los Movimientos Transfronterizos de los Desechos Peligrosos y su Eliminación de manera armonizada, a cuya eliminación se procede, se propone proceder o se está obligado a proceder en virtud de lo dispuesto en la legislación nac</w:t>
      </w:r>
      <w:r w:rsidR="00194F0F">
        <w:rPr>
          <w:lang w:val="es-ES"/>
        </w:rPr>
        <w:t>ional o en el presente Convenio”</w:t>
      </w:r>
      <w:r>
        <w:rPr>
          <w:lang w:val="es-ES"/>
        </w:rPr>
        <w:t xml:space="preserve">. </w:t>
      </w:r>
    </w:p>
    <w:p w:rsidR="00FC5A9A" w:rsidRPr="00125A94" w:rsidRDefault="008F35D5" w:rsidP="00AA7883">
      <w:pPr>
        <w:pStyle w:val="Normalnumber"/>
        <w:tabs>
          <w:tab w:val="clear" w:pos="1134"/>
          <w:tab w:val="clear" w:pos="1247"/>
          <w:tab w:val="clear" w:pos="1814"/>
          <w:tab w:val="clear" w:pos="2381"/>
          <w:tab w:val="clear" w:pos="2948"/>
          <w:tab w:val="clear" w:pos="3515"/>
          <w:tab w:val="clear" w:pos="4082"/>
        </w:tabs>
        <w:rPr>
          <w:lang w:val="es-ES_tradnl"/>
        </w:rPr>
      </w:pPr>
      <w:r>
        <w:rPr>
          <w:lang w:val="es-ES"/>
        </w:rPr>
        <w:t>En el párrafo 8 de su resolución sobre los arreglos para el período de transición (UNEP(DTIE)/Hg/CONF/4, anexo I), la Conferencia de Plenip</w:t>
      </w:r>
      <w:r w:rsidR="00C63F2A">
        <w:rPr>
          <w:lang w:val="es-ES"/>
        </w:rPr>
        <w:t>otenciarios solicitó al Comité Intergubernamental de N</w:t>
      </w:r>
      <w:r>
        <w:rPr>
          <w:lang w:val="es-ES"/>
        </w:rPr>
        <w:t>egociación que apoyara, en lo posible y en consonancia con las prioridades del Convenio, las actividades exigidas o promovidas por el Convenio que facilitaran la rápi</w:t>
      </w:r>
      <w:r w:rsidR="00F378DE">
        <w:rPr>
          <w:lang w:val="es-ES"/>
        </w:rPr>
        <w:t>da entrada en vigor de este</w:t>
      </w:r>
      <w:r>
        <w:rPr>
          <w:lang w:val="es-ES"/>
        </w:rPr>
        <w:t xml:space="preserve"> y su aplicación efectiva tras su entrada en vigor, en particular los</w:t>
      </w:r>
      <w:r w:rsidR="00F378DE">
        <w:rPr>
          <w:lang w:val="es-ES"/>
        </w:rPr>
        <w:t xml:space="preserve"> umbrales para la identificación</w:t>
      </w:r>
      <w:r>
        <w:rPr>
          <w:lang w:val="es-ES"/>
        </w:rPr>
        <w:t xml:space="preserve"> de desechos de mercurio, con arreglo al párrafo 2 del artículo 11, entre otras cosas.</w:t>
      </w:r>
    </w:p>
    <w:p w:rsidR="00FC5A9A" w:rsidRPr="00125A94" w:rsidRDefault="00196E61" w:rsidP="00AA7883">
      <w:pPr>
        <w:pStyle w:val="Normalnumber"/>
        <w:tabs>
          <w:tab w:val="clear" w:pos="1134"/>
          <w:tab w:val="clear" w:pos="1247"/>
          <w:tab w:val="clear" w:pos="1814"/>
          <w:tab w:val="clear" w:pos="2381"/>
          <w:tab w:val="clear" w:pos="2948"/>
          <w:tab w:val="clear" w:pos="3515"/>
          <w:tab w:val="clear" w:pos="4082"/>
        </w:tabs>
        <w:rPr>
          <w:lang w:val="es-ES_tradnl"/>
        </w:rPr>
      </w:pPr>
      <w:r>
        <w:rPr>
          <w:lang w:val="es-ES"/>
        </w:rPr>
        <w:t xml:space="preserve">En su sexto período de sesiones, el Comité </w:t>
      </w:r>
      <w:r w:rsidR="00C63F2A">
        <w:rPr>
          <w:lang w:val="es-ES"/>
        </w:rPr>
        <w:t>Intergubernamental de N</w:t>
      </w:r>
      <w:r>
        <w:rPr>
          <w:lang w:val="es-ES"/>
        </w:rPr>
        <w:t xml:space="preserve">egociación examinó la cuestión de los umbrales de desechos de mercurio. El Comité solicitó a los países que </w:t>
      </w:r>
      <w:r w:rsidR="00E651BB">
        <w:rPr>
          <w:lang w:val="es-ES"/>
        </w:rPr>
        <w:t xml:space="preserve">informaran a la Secretaría </w:t>
      </w:r>
      <w:r>
        <w:rPr>
          <w:lang w:val="es-ES"/>
        </w:rPr>
        <w:t xml:space="preserve">sobre su uso de </w:t>
      </w:r>
      <w:r w:rsidR="00E651BB">
        <w:rPr>
          <w:lang w:val="es-ES"/>
        </w:rPr>
        <w:t xml:space="preserve">los </w:t>
      </w:r>
      <w:r>
        <w:rPr>
          <w:lang w:val="es-ES"/>
        </w:rPr>
        <w:t xml:space="preserve">umbrales </w:t>
      </w:r>
      <w:r w:rsidR="00C75C41">
        <w:rPr>
          <w:lang w:val="es-ES"/>
        </w:rPr>
        <w:t xml:space="preserve">de desechos de mercurio y </w:t>
      </w:r>
      <w:r>
        <w:rPr>
          <w:lang w:val="es-ES"/>
        </w:rPr>
        <w:t xml:space="preserve">los niveles establecidos y pidió a la Secretaría que recopilara esa información para examinarla en su séptimo período de sesiones. </w:t>
      </w:r>
    </w:p>
    <w:p w:rsidR="00147B34" w:rsidRPr="00125A94" w:rsidRDefault="00C75418" w:rsidP="00AA7883">
      <w:pPr>
        <w:pStyle w:val="Normalnumber"/>
        <w:tabs>
          <w:tab w:val="clear" w:pos="1134"/>
          <w:tab w:val="clear" w:pos="1247"/>
          <w:tab w:val="clear" w:pos="1814"/>
          <w:tab w:val="clear" w:pos="2381"/>
          <w:tab w:val="clear" w:pos="2948"/>
          <w:tab w:val="clear" w:pos="3515"/>
          <w:tab w:val="clear" w:pos="4082"/>
        </w:tabs>
        <w:rPr>
          <w:lang w:val="es-ES_tradnl"/>
        </w:rPr>
      </w:pPr>
      <w:r>
        <w:rPr>
          <w:lang w:val="es-ES"/>
        </w:rPr>
        <w:lastRenderedPageBreak/>
        <w:t>Tras el sexto período de sesion</w:t>
      </w:r>
      <w:r w:rsidR="00B654FE">
        <w:rPr>
          <w:lang w:val="es-ES"/>
        </w:rPr>
        <w:t>es, la Secretaría hizo un</w:t>
      </w:r>
      <w:r>
        <w:rPr>
          <w:lang w:val="es-ES"/>
        </w:rPr>
        <w:t xml:space="preserve"> llamamiento a los gobiernos y agentes pertinentes para que presentaran información en relación con los umbrales de desechos. En atención a una solicitud formulada por la Mesa del Comité, la fecha límite para la presentación de información se amplió del 30 de junio al 31 de agosto de 2015. Se recibieron presentaciones de nueve países y una organización de integración económica regional, que pueden consultarse en </w:t>
      </w:r>
      <w:hyperlink r:id="rId13" w:history="1">
        <w:r w:rsidR="00C75C41" w:rsidRPr="00543FBA">
          <w:rPr>
            <w:rStyle w:val="Hyperlink"/>
            <w:lang w:val="es-ES"/>
          </w:rPr>
          <w:t>http://www.mercuryconvention.org/Negotiations/INC7/INC7submissions/tabid/4754/Default.aspx</w:t>
        </w:r>
      </w:hyperlink>
      <w:r w:rsidR="00C75C41">
        <w:rPr>
          <w:lang w:val="es-ES"/>
        </w:rPr>
        <w:t>.</w:t>
      </w:r>
      <w:r>
        <w:rPr>
          <w:lang w:val="es-ES"/>
        </w:rPr>
        <w:t xml:space="preserve"> En el anexo de la presente nota se recopilan esas presentaciones.</w:t>
      </w:r>
    </w:p>
    <w:p w:rsidR="00FC5A9A" w:rsidRPr="00125A94" w:rsidRDefault="0066029D" w:rsidP="00BD36F3">
      <w:pPr>
        <w:pStyle w:val="Normalnumber"/>
        <w:rPr>
          <w:lang w:val="es-ES_tradnl"/>
        </w:rPr>
      </w:pPr>
      <w:r>
        <w:rPr>
          <w:lang w:val="es-ES"/>
        </w:rPr>
        <w:t>El Comité tal vez desee examinar esa información en las deliberaciones sobre los umbrales de desechos de mercurio que celebrará en su séptimo período de sesiones.</w:t>
      </w:r>
    </w:p>
    <w:p w:rsidR="0043723E" w:rsidRPr="00125A94" w:rsidRDefault="0043723E" w:rsidP="00830ECC">
      <w:pPr>
        <w:pStyle w:val="Normalnumber"/>
        <w:numPr>
          <w:ilvl w:val="0"/>
          <w:numId w:val="0"/>
        </w:numPr>
        <w:ind w:left="1247"/>
        <w:rPr>
          <w:lang w:val="es-ES_tradnl"/>
        </w:rPr>
      </w:pPr>
    </w:p>
    <w:p w:rsidR="00C84861" w:rsidRPr="00125A94" w:rsidRDefault="00C84861" w:rsidP="001C7784">
      <w:pPr>
        <w:pStyle w:val="ZZAnxtitle"/>
        <w:ind w:left="0"/>
        <w:rPr>
          <w:sz w:val="20"/>
          <w:szCs w:val="20"/>
          <w:lang w:val="es-ES_tradnl"/>
        </w:rPr>
        <w:sectPr w:rsidR="00C84861" w:rsidRPr="00125A94" w:rsidSect="00B654F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1C7784" w:rsidRPr="00125A94" w:rsidRDefault="001C7784" w:rsidP="006B0CFE">
      <w:pPr>
        <w:pStyle w:val="ZZAnxheader"/>
        <w:rPr>
          <w:sz w:val="20"/>
          <w:szCs w:val="20"/>
          <w:lang w:val="es-ES_tradnl"/>
        </w:rPr>
      </w:pPr>
      <w:r>
        <w:rPr>
          <w:lang w:val="es-ES"/>
        </w:rPr>
        <w:t>Anexo</w:t>
      </w:r>
    </w:p>
    <w:p w:rsidR="00DF05C9" w:rsidRPr="00125A94" w:rsidRDefault="00866BF9" w:rsidP="00585025">
      <w:pPr>
        <w:pStyle w:val="ZZAnxtitle"/>
        <w:spacing w:before="240"/>
        <w:rPr>
          <w:lang w:val="es-ES_tradnl"/>
        </w:rPr>
      </w:pPr>
      <w:r>
        <w:rPr>
          <w:lang w:val="es-ES"/>
        </w:rPr>
        <w:t xml:space="preserve">Recopilación de presentaciones sobre el uso de </w:t>
      </w:r>
      <w:r w:rsidR="00C75C41">
        <w:rPr>
          <w:lang w:val="es-ES"/>
        </w:rPr>
        <w:t xml:space="preserve">los </w:t>
      </w:r>
      <w:r>
        <w:rPr>
          <w:lang w:val="es-ES"/>
        </w:rPr>
        <w:t xml:space="preserve">umbrales de desechos de mercurio </w:t>
      </w:r>
    </w:p>
    <w:p w:rsidR="006555F4" w:rsidRPr="00125A94" w:rsidRDefault="006555F4" w:rsidP="00D027C7">
      <w:pPr>
        <w:pStyle w:val="Normalnumber"/>
        <w:numPr>
          <w:ilvl w:val="0"/>
          <w:numId w:val="0"/>
        </w:numPr>
        <w:tabs>
          <w:tab w:val="clear" w:pos="1247"/>
          <w:tab w:val="clear" w:pos="1814"/>
          <w:tab w:val="clear" w:pos="2381"/>
          <w:tab w:val="clear" w:pos="2948"/>
          <w:tab w:val="clear" w:pos="3515"/>
          <w:tab w:val="left" w:pos="624"/>
          <w:tab w:val="left" w:pos="1843"/>
        </w:tabs>
        <w:ind w:left="1247"/>
        <w:rPr>
          <w:lang w:val="es-ES_tradnl"/>
        </w:rPr>
      </w:pPr>
      <w:r>
        <w:rPr>
          <w:lang w:val="es-ES"/>
        </w:rPr>
        <w:t xml:space="preserve">En el cuadro siguiente se resume la información presentada por los nueve países y la organización </w:t>
      </w:r>
      <w:r w:rsidR="00B654FE">
        <w:rPr>
          <w:lang w:val="es-ES"/>
        </w:rPr>
        <w:t xml:space="preserve">de integración económica </w:t>
      </w:r>
      <w:r>
        <w:rPr>
          <w:lang w:val="es-ES"/>
        </w:rPr>
        <w:t>regional que figuran en la primera columna. Los espacios en blanco significan que no se presentó ninguna información del tipo indicado por el encabezamiento de la columna en cuestión.</w:t>
      </w:r>
    </w:p>
    <w:tbl>
      <w:tblPr>
        <w:tblW w:w="1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1260"/>
        <w:gridCol w:w="1433"/>
        <w:gridCol w:w="1496"/>
        <w:gridCol w:w="2929"/>
        <w:gridCol w:w="1245"/>
        <w:gridCol w:w="1684"/>
        <w:gridCol w:w="2852"/>
        <w:gridCol w:w="77"/>
      </w:tblGrid>
      <w:tr w:rsidR="006555F4" w:rsidRPr="00C75418" w:rsidTr="006B3465">
        <w:trPr>
          <w:gridBefore w:val="1"/>
          <w:gridAfter w:val="1"/>
          <w:wBefore w:w="392" w:type="dxa"/>
          <w:wAfter w:w="77" w:type="dxa"/>
          <w:tblHeader/>
        </w:trPr>
        <w:tc>
          <w:tcPr>
            <w:tcW w:w="1276" w:type="dxa"/>
            <w:shd w:val="clear" w:color="auto" w:fill="auto"/>
          </w:tcPr>
          <w:p w:rsidR="006555F4" w:rsidRPr="00194F0F" w:rsidRDefault="004B2518" w:rsidP="00585025">
            <w:pPr>
              <w:pStyle w:val="Normal-pool"/>
              <w:spacing w:after="120"/>
              <w:rPr>
                <w:b/>
                <w:bCs/>
              </w:rPr>
            </w:pPr>
            <w:r w:rsidRPr="00194F0F">
              <w:rPr>
                <w:b/>
                <w:lang w:val="es-ES"/>
              </w:rPr>
              <w:t>Parte remitente</w:t>
            </w:r>
          </w:p>
        </w:tc>
        <w:tc>
          <w:tcPr>
            <w:tcW w:w="2693" w:type="dxa"/>
            <w:gridSpan w:val="2"/>
            <w:shd w:val="clear" w:color="auto" w:fill="auto"/>
          </w:tcPr>
          <w:p w:rsidR="006555F4" w:rsidRPr="00125A94" w:rsidRDefault="00AD3C07" w:rsidP="00585025">
            <w:pPr>
              <w:pStyle w:val="Normal-pool"/>
              <w:spacing w:after="120"/>
              <w:rPr>
                <w:b/>
                <w:bCs/>
                <w:lang w:val="es-ES_tradnl"/>
              </w:rPr>
            </w:pPr>
            <w:r w:rsidRPr="00194F0F">
              <w:rPr>
                <w:b/>
                <w:lang w:val="es-ES"/>
              </w:rPr>
              <w:t xml:space="preserve">Uso de </w:t>
            </w:r>
            <w:r w:rsidR="00C75C41">
              <w:rPr>
                <w:b/>
                <w:lang w:val="es-ES"/>
              </w:rPr>
              <w:t xml:space="preserve">los </w:t>
            </w:r>
            <w:r w:rsidRPr="00194F0F">
              <w:rPr>
                <w:b/>
                <w:lang w:val="es-ES"/>
              </w:rPr>
              <w:t>umbrales de de</w:t>
            </w:r>
            <w:r w:rsidR="00C75C41">
              <w:rPr>
                <w:b/>
                <w:lang w:val="es-ES"/>
              </w:rPr>
              <w:t>sechos de mercurio o parámetro</w:t>
            </w:r>
            <w:r w:rsidRPr="00194F0F">
              <w:rPr>
                <w:b/>
                <w:lang w:val="es-ES"/>
              </w:rPr>
              <w:t xml:space="preserve"> similar</w:t>
            </w:r>
          </w:p>
        </w:tc>
        <w:tc>
          <w:tcPr>
            <w:tcW w:w="5670" w:type="dxa"/>
            <w:gridSpan w:val="3"/>
          </w:tcPr>
          <w:p w:rsidR="006555F4" w:rsidRPr="00194F0F" w:rsidRDefault="006555F4" w:rsidP="00585025">
            <w:pPr>
              <w:pStyle w:val="Normal-pool"/>
              <w:spacing w:after="120"/>
              <w:rPr>
                <w:b/>
                <w:bCs/>
              </w:rPr>
            </w:pPr>
            <w:r w:rsidRPr="00194F0F">
              <w:rPr>
                <w:b/>
                <w:lang w:val="es-ES"/>
              </w:rPr>
              <w:t>Umbral</w:t>
            </w:r>
          </w:p>
        </w:tc>
        <w:tc>
          <w:tcPr>
            <w:tcW w:w="4536" w:type="dxa"/>
            <w:gridSpan w:val="2"/>
            <w:shd w:val="clear" w:color="auto" w:fill="auto"/>
          </w:tcPr>
          <w:p w:rsidR="006555F4" w:rsidRPr="00194F0F" w:rsidRDefault="006555F4" w:rsidP="00585025">
            <w:pPr>
              <w:pStyle w:val="Normal-pool"/>
              <w:spacing w:after="120"/>
              <w:rPr>
                <w:b/>
                <w:bCs/>
              </w:rPr>
            </w:pPr>
            <w:r w:rsidRPr="00194F0F">
              <w:rPr>
                <w:b/>
                <w:lang w:val="es-ES"/>
              </w:rPr>
              <w:t>Información adicional</w:t>
            </w:r>
          </w:p>
        </w:tc>
      </w:tr>
      <w:tr w:rsidR="006555F4" w:rsidRPr="006B3465" w:rsidTr="006B3465">
        <w:trPr>
          <w:gridBefore w:val="1"/>
          <w:gridAfter w:val="1"/>
          <w:wBefore w:w="392" w:type="dxa"/>
          <w:wAfter w:w="77" w:type="dxa"/>
        </w:trPr>
        <w:tc>
          <w:tcPr>
            <w:tcW w:w="1276" w:type="dxa"/>
            <w:shd w:val="clear" w:color="auto" w:fill="auto"/>
          </w:tcPr>
          <w:p w:rsidR="006555F4" w:rsidRPr="00194F0F" w:rsidRDefault="006555F4" w:rsidP="00585025">
            <w:pPr>
              <w:pStyle w:val="Normal-pool"/>
              <w:spacing w:after="120"/>
              <w:rPr>
                <w:b/>
                <w:bCs/>
              </w:rPr>
            </w:pPr>
            <w:r w:rsidRPr="00194F0F">
              <w:rPr>
                <w:b/>
                <w:lang w:val="es-ES"/>
              </w:rPr>
              <w:t>Brasil</w:t>
            </w:r>
          </w:p>
        </w:tc>
        <w:tc>
          <w:tcPr>
            <w:tcW w:w="2693" w:type="dxa"/>
            <w:gridSpan w:val="2"/>
            <w:shd w:val="clear" w:color="auto" w:fill="auto"/>
          </w:tcPr>
          <w:p w:rsidR="006555F4" w:rsidRPr="00C75418" w:rsidRDefault="00C75C41" w:rsidP="00585025">
            <w:pPr>
              <w:pStyle w:val="Normal-pool"/>
              <w:spacing w:after="120"/>
            </w:pPr>
            <w:r>
              <w:rPr>
                <w:lang w:val="es-ES"/>
              </w:rPr>
              <w:t>Los desechos que contienen</w:t>
            </w:r>
            <w:r w:rsidR="00392F0E">
              <w:rPr>
                <w:lang w:val="es-ES"/>
              </w:rPr>
              <w:t xml:space="preserve"> mercurio se consideran desechos peligrosos. No se usan umbrales para determinar esa condición.  </w:t>
            </w:r>
          </w:p>
        </w:tc>
        <w:tc>
          <w:tcPr>
            <w:tcW w:w="5670" w:type="dxa"/>
            <w:gridSpan w:val="3"/>
          </w:tcPr>
          <w:p w:rsidR="00392F0E" w:rsidRPr="00125A94" w:rsidRDefault="00392F0E" w:rsidP="00585025">
            <w:pPr>
              <w:pStyle w:val="Normal-pool"/>
              <w:spacing w:after="120"/>
              <w:rPr>
                <w:lang w:val="es-ES_tradnl"/>
              </w:rPr>
            </w:pPr>
            <w:r>
              <w:rPr>
                <w:lang w:val="es-ES"/>
              </w:rPr>
              <w:t xml:space="preserve">El umbral para los extractos de lixiviación de mercurio es 0,1 mg/l. </w:t>
            </w:r>
          </w:p>
          <w:p w:rsidR="00392F0E" w:rsidRPr="00125A94" w:rsidRDefault="00392F0E" w:rsidP="00585025">
            <w:pPr>
              <w:pStyle w:val="Normal-pool"/>
              <w:spacing w:after="120"/>
              <w:rPr>
                <w:lang w:val="es-ES_tradnl"/>
              </w:rPr>
            </w:pPr>
            <w:r>
              <w:rPr>
                <w:lang w:val="es-ES"/>
              </w:rPr>
              <w:t xml:space="preserve">El umbral para determinar si los desechos que contienen mercurio </w:t>
            </w:r>
            <w:proofErr w:type="gramStart"/>
            <w:r>
              <w:rPr>
                <w:lang w:val="es-ES"/>
              </w:rPr>
              <w:t>está</w:t>
            </w:r>
            <w:proofErr w:type="gramEnd"/>
            <w:r>
              <w:rPr>
                <w:lang w:val="es-ES"/>
              </w:rPr>
              <w:t xml:space="preserve"> inerte, medidos por ensayos de solubilidad, es 0,001 mg/l.</w:t>
            </w:r>
          </w:p>
          <w:p w:rsidR="00D561A4" w:rsidRPr="00125A94" w:rsidRDefault="00D561A4" w:rsidP="00585025">
            <w:pPr>
              <w:pStyle w:val="Normal-pool"/>
              <w:spacing w:after="120"/>
              <w:rPr>
                <w:lang w:val="es-ES_tradnl"/>
              </w:rPr>
            </w:pPr>
          </w:p>
        </w:tc>
        <w:tc>
          <w:tcPr>
            <w:tcW w:w="4536" w:type="dxa"/>
            <w:gridSpan w:val="2"/>
            <w:shd w:val="clear" w:color="auto" w:fill="auto"/>
          </w:tcPr>
          <w:p w:rsidR="00D45767" w:rsidRPr="00125A94" w:rsidRDefault="006053B0" w:rsidP="00585025">
            <w:pPr>
              <w:pStyle w:val="Normal-pool"/>
              <w:spacing w:after="120"/>
              <w:rPr>
                <w:lang w:val="es-ES_tradnl"/>
              </w:rPr>
            </w:pPr>
            <w:r>
              <w:rPr>
                <w:lang w:val="es-ES"/>
              </w:rPr>
              <w:t xml:space="preserve">La </w:t>
            </w:r>
            <w:r>
              <w:rPr>
                <w:i/>
                <w:iCs/>
                <w:lang w:val="es-ES"/>
              </w:rPr>
              <w:t>Clasificación de Residuos Sólidos ABNT NBR 10004/2004</w:t>
            </w:r>
            <w:r w:rsidR="007E64B0" w:rsidRPr="00C75418">
              <w:rPr>
                <w:rStyle w:val="FootnoteReference"/>
                <w:szCs w:val="20"/>
                <w:lang w:val="es-ES"/>
              </w:rPr>
              <w:footnoteReference w:id="3"/>
            </w:r>
            <w:r>
              <w:rPr>
                <w:lang w:val="es-ES"/>
              </w:rPr>
              <w:t xml:space="preserve"> es la norma que regula los niveles de mercurio en los desechos. </w:t>
            </w:r>
          </w:p>
        </w:tc>
      </w:tr>
      <w:tr w:rsidR="00FA309F" w:rsidRPr="006B3465" w:rsidTr="006B3465">
        <w:trPr>
          <w:gridBefore w:val="1"/>
          <w:gridAfter w:val="1"/>
          <w:wBefore w:w="392" w:type="dxa"/>
          <w:wAfter w:w="77" w:type="dxa"/>
        </w:trPr>
        <w:tc>
          <w:tcPr>
            <w:tcW w:w="1276" w:type="dxa"/>
            <w:shd w:val="clear" w:color="auto" w:fill="auto"/>
          </w:tcPr>
          <w:p w:rsidR="00FA309F" w:rsidRPr="00194F0F" w:rsidRDefault="00FA309F" w:rsidP="00585025">
            <w:pPr>
              <w:pStyle w:val="Normal-pool"/>
              <w:spacing w:after="120"/>
              <w:rPr>
                <w:b/>
                <w:bCs/>
              </w:rPr>
            </w:pPr>
            <w:r w:rsidRPr="00194F0F">
              <w:rPr>
                <w:b/>
                <w:lang w:val="es-ES"/>
              </w:rPr>
              <w:t>Canadá</w:t>
            </w:r>
          </w:p>
        </w:tc>
        <w:tc>
          <w:tcPr>
            <w:tcW w:w="2693" w:type="dxa"/>
            <w:gridSpan w:val="2"/>
            <w:shd w:val="clear" w:color="auto" w:fill="auto"/>
          </w:tcPr>
          <w:p w:rsidR="00FA309F" w:rsidRPr="00C75418" w:rsidRDefault="007354D9" w:rsidP="00585025">
            <w:pPr>
              <w:pStyle w:val="Normal-pool"/>
              <w:spacing w:after="120"/>
            </w:pPr>
            <w:r>
              <w:rPr>
                <w:lang w:val="es-ES"/>
              </w:rPr>
              <w:t xml:space="preserve">Los desechos de mercurio se consideran desechos peligrosos en consonancia con las definiciones del Convenio de Basilea. No se usan umbrales para determinar esa condición. </w:t>
            </w:r>
          </w:p>
        </w:tc>
        <w:tc>
          <w:tcPr>
            <w:tcW w:w="5670" w:type="dxa"/>
            <w:gridSpan w:val="3"/>
          </w:tcPr>
          <w:p w:rsidR="00FA309F" w:rsidRPr="00125A94" w:rsidRDefault="00394ABC" w:rsidP="00585025">
            <w:pPr>
              <w:pStyle w:val="Normal-pool"/>
              <w:spacing w:after="120"/>
              <w:rPr>
                <w:lang w:val="es-ES_tradnl"/>
              </w:rPr>
            </w:pPr>
            <w:r>
              <w:rPr>
                <w:lang w:val="es-ES"/>
              </w:rPr>
              <w:t>No se ha establecido ningún umbral.</w:t>
            </w:r>
          </w:p>
        </w:tc>
        <w:tc>
          <w:tcPr>
            <w:tcW w:w="4536" w:type="dxa"/>
            <w:gridSpan w:val="2"/>
            <w:shd w:val="clear" w:color="auto" w:fill="auto"/>
          </w:tcPr>
          <w:p w:rsidR="00FA309F" w:rsidRPr="00125A94" w:rsidRDefault="00FB5E43" w:rsidP="00585025">
            <w:pPr>
              <w:pStyle w:val="Normal-pool"/>
              <w:spacing w:after="120"/>
              <w:rPr>
                <w:lang w:val="es-ES_tradnl"/>
              </w:rPr>
            </w:pPr>
            <w:r>
              <w:rPr>
                <w:lang w:val="es-ES"/>
              </w:rPr>
              <w:t>Según el</w:t>
            </w:r>
            <w:r>
              <w:rPr>
                <w:i/>
                <w:iCs/>
                <w:lang w:val="es-ES"/>
              </w:rPr>
              <w:t xml:space="preserve"> Reglamento de exportación e importación de desechos peligrosos y materiales reciclables peligrosos (EIHWHRMR)</w:t>
            </w:r>
            <w:r w:rsidR="006A14A8" w:rsidRPr="00C75418">
              <w:rPr>
                <w:rStyle w:val="FootnoteReference"/>
                <w:szCs w:val="20"/>
                <w:lang w:val="es-ES"/>
              </w:rPr>
              <w:footnoteReference w:id="4"/>
            </w:r>
            <w:r>
              <w:rPr>
                <w:lang w:val="es-ES"/>
              </w:rPr>
              <w:t xml:space="preserve">, los desechos de mercurio pueden catalogarse como desechos peligrosos o materiales reciclables peligrosos. En general, las jurisdicciones provinciales y territoriales definen los desechos de mercurio como desechos peligrosos, en consonancia con el </w:t>
            </w:r>
            <w:r>
              <w:rPr>
                <w:i/>
                <w:iCs/>
                <w:lang w:val="es-ES"/>
              </w:rPr>
              <w:t>EIHWHRMR</w:t>
            </w:r>
            <w:r>
              <w:rPr>
                <w:lang w:val="es-ES"/>
              </w:rPr>
              <w:t xml:space="preserve"> y el </w:t>
            </w:r>
            <w:r>
              <w:rPr>
                <w:i/>
                <w:iCs/>
                <w:lang w:val="es-ES"/>
              </w:rPr>
              <w:t>Reglamento de transporte de mercancías peligrosas</w:t>
            </w:r>
            <w:r w:rsidR="00E7609C" w:rsidRPr="00C75418">
              <w:rPr>
                <w:rStyle w:val="FootnoteReference"/>
                <w:szCs w:val="20"/>
                <w:lang w:val="es-ES"/>
              </w:rPr>
              <w:footnoteReference w:id="5"/>
            </w:r>
            <w:r>
              <w:rPr>
                <w:lang w:val="es-ES"/>
              </w:rPr>
              <w:t>.</w:t>
            </w:r>
          </w:p>
        </w:tc>
      </w:tr>
      <w:tr w:rsidR="006555F4" w:rsidRPr="006B3465" w:rsidTr="006B3465">
        <w:trPr>
          <w:gridBefore w:val="1"/>
          <w:gridAfter w:val="1"/>
          <w:wBefore w:w="392" w:type="dxa"/>
          <w:wAfter w:w="77" w:type="dxa"/>
        </w:trPr>
        <w:tc>
          <w:tcPr>
            <w:tcW w:w="1276" w:type="dxa"/>
            <w:shd w:val="clear" w:color="auto" w:fill="auto"/>
          </w:tcPr>
          <w:p w:rsidR="006555F4" w:rsidRPr="00194F0F" w:rsidRDefault="006555F4" w:rsidP="00585025">
            <w:pPr>
              <w:pStyle w:val="Normal-pool"/>
              <w:keepNext/>
              <w:keepLines/>
              <w:spacing w:after="120"/>
              <w:rPr>
                <w:b/>
                <w:bCs/>
              </w:rPr>
            </w:pPr>
            <w:r w:rsidRPr="00194F0F">
              <w:rPr>
                <w:b/>
                <w:lang w:val="es-ES"/>
              </w:rPr>
              <w:t>China</w:t>
            </w:r>
          </w:p>
        </w:tc>
        <w:tc>
          <w:tcPr>
            <w:tcW w:w="2693" w:type="dxa"/>
            <w:gridSpan w:val="2"/>
            <w:shd w:val="clear" w:color="auto" w:fill="auto"/>
          </w:tcPr>
          <w:p w:rsidR="006555F4" w:rsidRPr="00125A94" w:rsidRDefault="00AD3C07" w:rsidP="00585025">
            <w:pPr>
              <w:pStyle w:val="Normal-pool"/>
              <w:keepNext/>
              <w:keepLines/>
              <w:spacing w:after="120"/>
              <w:rPr>
                <w:b/>
                <w:lang w:val="es-ES_tradnl"/>
              </w:rPr>
            </w:pPr>
            <w:r>
              <w:rPr>
                <w:lang w:val="es-ES"/>
              </w:rPr>
              <w:t xml:space="preserve">Los desechos peligrosos incluidos en la </w:t>
            </w:r>
            <w:r>
              <w:rPr>
                <w:i/>
                <w:iCs/>
                <w:lang w:val="es-ES"/>
              </w:rPr>
              <w:t>Lista nacional de desechos peligrosos</w:t>
            </w:r>
            <w:r>
              <w:rPr>
                <w:lang w:val="es-ES"/>
              </w:rPr>
              <w:t xml:space="preserve"> que contienen mercurio se tratan como desechos de mercurio. Otros desechos se definen como desechos contaminados con mercurio mediante la aplicación de las normas de identificación de desechos peligrosos. </w:t>
            </w:r>
          </w:p>
        </w:tc>
        <w:tc>
          <w:tcPr>
            <w:tcW w:w="5670" w:type="dxa"/>
            <w:gridSpan w:val="3"/>
          </w:tcPr>
          <w:p w:rsidR="006555F4" w:rsidRPr="00125A94" w:rsidRDefault="007715F6" w:rsidP="00585025">
            <w:pPr>
              <w:pStyle w:val="Normal-pool"/>
              <w:keepNext/>
              <w:keepLines/>
              <w:spacing w:after="120"/>
              <w:rPr>
                <w:lang w:val="es-ES_tradnl"/>
              </w:rPr>
            </w:pPr>
            <w:r>
              <w:rPr>
                <w:lang w:val="es-ES"/>
              </w:rPr>
              <w:t>Para los líquidos de lixiviación</w:t>
            </w:r>
            <w:r w:rsidR="00C75C41">
              <w:rPr>
                <w:lang w:val="es-ES"/>
              </w:rPr>
              <w:t>,</w:t>
            </w:r>
            <w:r>
              <w:rPr>
                <w:lang w:val="es-ES"/>
              </w:rPr>
              <w:t xml:space="preserve"> se aplican los siguientes umbrales:</w:t>
            </w:r>
          </w:p>
          <w:p w:rsidR="007715F6" w:rsidRPr="00125A94" w:rsidRDefault="00053E1F" w:rsidP="00BD36F3">
            <w:pPr>
              <w:pStyle w:val="Normal-pool"/>
              <w:numPr>
                <w:ilvl w:val="0"/>
                <w:numId w:val="18"/>
              </w:numPr>
              <w:spacing w:after="60"/>
              <w:ind w:left="113" w:hanging="113"/>
              <w:rPr>
                <w:lang w:val="es-ES_tradnl"/>
              </w:rPr>
            </w:pPr>
            <w:proofErr w:type="spellStart"/>
            <w:r>
              <w:rPr>
                <w:lang w:val="es-ES"/>
              </w:rPr>
              <w:t>Metilmercurio</w:t>
            </w:r>
            <w:proofErr w:type="spellEnd"/>
            <w:r>
              <w:rPr>
                <w:lang w:val="es-ES"/>
              </w:rPr>
              <w:t xml:space="preserve">: 0,01 </w:t>
            </w:r>
            <w:proofErr w:type="spellStart"/>
            <w:r>
              <w:rPr>
                <w:lang w:val="es-ES"/>
              </w:rPr>
              <w:t>μg</w:t>
            </w:r>
            <w:proofErr w:type="spellEnd"/>
            <w:r>
              <w:rPr>
                <w:lang w:val="es-ES"/>
              </w:rPr>
              <w:t>/l</w:t>
            </w:r>
          </w:p>
          <w:p w:rsidR="007715F6" w:rsidRPr="00125A94" w:rsidRDefault="00053E1F" w:rsidP="00BD36F3">
            <w:pPr>
              <w:pStyle w:val="Normal-pool"/>
              <w:numPr>
                <w:ilvl w:val="0"/>
                <w:numId w:val="18"/>
              </w:numPr>
              <w:spacing w:after="60"/>
              <w:ind w:left="113" w:hanging="113"/>
              <w:rPr>
                <w:lang w:val="es-ES_tradnl"/>
              </w:rPr>
            </w:pPr>
            <w:r>
              <w:rPr>
                <w:lang w:val="es-ES"/>
              </w:rPr>
              <w:t xml:space="preserve"> </w:t>
            </w:r>
            <w:proofErr w:type="spellStart"/>
            <w:r>
              <w:rPr>
                <w:lang w:val="es-ES"/>
              </w:rPr>
              <w:t>Etilmercurio</w:t>
            </w:r>
            <w:proofErr w:type="spellEnd"/>
            <w:r>
              <w:rPr>
                <w:lang w:val="es-ES"/>
              </w:rPr>
              <w:t xml:space="preserve">: 0,02 </w:t>
            </w:r>
            <w:proofErr w:type="spellStart"/>
            <w:r>
              <w:rPr>
                <w:lang w:val="es-ES"/>
              </w:rPr>
              <w:t>μg</w:t>
            </w:r>
            <w:proofErr w:type="spellEnd"/>
            <w:r>
              <w:rPr>
                <w:lang w:val="es-ES"/>
              </w:rPr>
              <w:t>/l</w:t>
            </w:r>
          </w:p>
          <w:p w:rsidR="007715F6" w:rsidRPr="00125A94" w:rsidRDefault="00053E1F" w:rsidP="00BD36F3">
            <w:pPr>
              <w:pStyle w:val="Normal-pool"/>
              <w:numPr>
                <w:ilvl w:val="0"/>
                <w:numId w:val="18"/>
              </w:numPr>
              <w:spacing w:after="60"/>
              <w:ind w:left="113" w:hanging="113"/>
              <w:rPr>
                <w:lang w:val="es-ES_tradnl"/>
              </w:rPr>
            </w:pPr>
            <w:r>
              <w:rPr>
                <w:lang w:val="es-ES"/>
              </w:rPr>
              <w:t xml:space="preserve"> Mercurio total: 0,1 mg/l</w:t>
            </w:r>
          </w:p>
          <w:p w:rsidR="00106E8A" w:rsidRDefault="00412416" w:rsidP="00585025">
            <w:pPr>
              <w:pStyle w:val="Normal-pool"/>
              <w:keepNext/>
              <w:keepLines/>
              <w:spacing w:after="120"/>
              <w:rPr>
                <w:lang w:val="es-ES"/>
              </w:rPr>
            </w:pPr>
            <w:r>
              <w:rPr>
                <w:lang w:val="es-ES"/>
              </w:rPr>
              <w:t>Con respecto a</w:t>
            </w:r>
            <w:r w:rsidR="007715F6">
              <w:rPr>
                <w:lang w:val="es-ES"/>
              </w:rPr>
              <w:t xml:space="preserve"> los desechos peligrosos, para el yoduro de mercurio, el </w:t>
            </w:r>
            <w:proofErr w:type="spellStart"/>
            <w:r w:rsidR="007715F6">
              <w:rPr>
                <w:lang w:val="es-ES"/>
              </w:rPr>
              <w:t>tiocianato</w:t>
            </w:r>
            <w:proofErr w:type="spellEnd"/>
            <w:r w:rsidR="007715F6">
              <w:rPr>
                <w:lang w:val="es-ES"/>
              </w:rPr>
              <w:t xml:space="preserve"> de mercurio, el cloruro de mercurio, el cianuro de mercurio y el nitrato de mercurio se aplica un umbral de 0,1%. Para el bromuro </w:t>
            </w:r>
            <w:proofErr w:type="spellStart"/>
            <w:r w:rsidR="007715F6">
              <w:rPr>
                <w:lang w:val="es-ES"/>
              </w:rPr>
              <w:t>mercurioso</w:t>
            </w:r>
            <w:proofErr w:type="spellEnd"/>
            <w:r w:rsidR="007715F6">
              <w:rPr>
                <w:lang w:val="es-ES"/>
              </w:rPr>
              <w:t xml:space="preserve"> el umbral es 3%. En el caso de las mezclas, se tiene en cuenta la suma de la toxicidad de los componentes.</w:t>
            </w:r>
          </w:p>
          <w:p w:rsidR="00125A94" w:rsidRPr="00125A94" w:rsidRDefault="00125A94" w:rsidP="00585025">
            <w:pPr>
              <w:pStyle w:val="Normal-pool"/>
              <w:keepNext/>
              <w:keepLines/>
              <w:spacing w:after="120"/>
              <w:rPr>
                <w:lang w:val="es-ES_tradnl"/>
              </w:rPr>
            </w:pPr>
          </w:p>
          <w:p w:rsidR="007715F6" w:rsidRPr="00125A94" w:rsidRDefault="00106E8A" w:rsidP="00585025">
            <w:pPr>
              <w:pStyle w:val="Normal-pool"/>
              <w:keepNext/>
              <w:keepLines/>
              <w:spacing w:after="120"/>
              <w:rPr>
                <w:lang w:val="es-ES_tradnl"/>
              </w:rPr>
            </w:pPr>
            <w:r>
              <w:rPr>
                <w:lang w:val="es-ES"/>
              </w:rPr>
              <w:t>Para las cenizas volantes procedentes de diversos sectores eliminadas en vertederos, el umbral es 0,05 mg/l.</w:t>
            </w:r>
          </w:p>
        </w:tc>
        <w:tc>
          <w:tcPr>
            <w:tcW w:w="4536" w:type="dxa"/>
            <w:gridSpan w:val="2"/>
            <w:shd w:val="clear" w:color="auto" w:fill="auto"/>
          </w:tcPr>
          <w:p w:rsidR="006555F4" w:rsidRDefault="00CA54CF" w:rsidP="00585025">
            <w:pPr>
              <w:pStyle w:val="Normal-pool"/>
              <w:keepNext/>
              <w:keepLines/>
              <w:spacing w:after="120"/>
              <w:rPr>
                <w:lang w:val="es-ES"/>
              </w:rPr>
            </w:pPr>
            <w:r>
              <w:rPr>
                <w:lang w:val="es-ES"/>
              </w:rPr>
              <w:t xml:space="preserve">La </w:t>
            </w:r>
            <w:r>
              <w:rPr>
                <w:i/>
                <w:iCs/>
                <w:lang w:val="es-ES"/>
              </w:rPr>
              <w:t xml:space="preserve">Norma GB5085.3-2007 de identificación de toxicidad de </w:t>
            </w:r>
            <w:r w:rsidR="00C75C41">
              <w:rPr>
                <w:i/>
                <w:iCs/>
                <w:lang w:val="es-ES"/>
              </w:rPr>
              <w:t xml:space="preserve">la </w:t>
            </w:r>
            <w:r>
              <w:rPr>
                <w:i/>
                <w:iCs/>
                <w:lang w:val="es-ES"/>
              </w:rPr>
              <w:t>extracción</w:t>
            </w:r>
            <w:r>
              <w:rPr>
                <w:lang w:val="es-ES"/>
              </w:rPr>
              <w:t xml:space="preserve"> de las </w:t>
            </w:r>
            <w:r>
              <w:rPr>
                <w:i/>
                <w:iCs/>
                <w:lang w:val="es-ES"/>
              </w:rPr>
              <w:t>Normas de identificación de desechos</w:t>
            </w:r>
            <w:r>
              <w:rPr>
                <w:lang w:val="es-ES"/>
              </w:rPr>
              <w:t xml:space="preserve"> </w:t>
            </w:r>
            <w:r>
              <w:rPr>
                <w:i/>
                <w:iCs/>
                <w:lang w:val="es-ES"/>
              </w:rPr>
              <w:t>peligrosos</w:t>
            </w:r>
            <w:r w:rsidR="00C75C41">
              <w:rPr>
                <w:i/>
                <w:iCs/>
                <w:lang w:val="es-ES"/>
              </w:rPr>
              <w:t xml:space="preserve"> </w:t>
            </w:r>
            <w:r>
              <w:rPr>
                <w:lang w:val="es-ES"/>
              </w:rPr>
              <w:t>establece los umbrales de mercurio para los líquidos de lixiviación.</w:t>
            </w:r>
          </w:p>
          <w:p w:rsidR="006A76AF" w:rsidRPr="00BD36F3" w:rsidRDefault="006A76AF" w:rsidP="006B3465">
            <w:pPr>
              <w:pStyle w:val="Normal-pool"/>
              <w:keepNext/>
              <w:keepLines/>
              <w:rPr>
                <w:lang w:val="es-ES"/>
              </w:rPr>
            </w:pPr>
          </w:p>
          <w:p w:rsidR="00CA54CF" w:rsidRPr="00125A94" w:rsidRDefault="00CA54CF" w:rsidP="00585025">
            <w:pPr>
              <w:pStyle w:val="Normal-pool"/>
              <w:keepNext/>
              <w:keepLines/>
              <w:spacing w:after="120"/>
              <w:rPr>
                <w:lang w:val="es-ES_tradnl"/>
              </w:rPr>
            </w:pPr>
            <w:r>
              <w:rPr>
                <w:lang w:val="es-ES"/>
              </w:rPr>
              <w:t xml:space="preserve">La </w:t>
            </w:r>
            <w:r>
              <w:rPr>
                <w:i/>
                <w:iCs/>
                <w:lang w:val="es-ES"/>
              </w:rPr>
              <w:t>Norma GB5085.6-2007 de identificación de contenido de sustancias tóxicas</w:t>
            </w:r>
            <w:r>
              <w:rPr>
                <w:lang w:val="es-ES"/>
              </w:rPr>
              <w:t xml:space="preserve"> de las </w:t>
            </w:r>
            <w:r>
              <w:rPr>
                <w:i/>
                <w:iCs/>
                <w:lang w:val="es-ES"/>
              </w:rPr>
              <w:t>Normas de identificación de desechos</w:t>
            </w:r>
            <w:r w:rsidR="00D608FF">
              <w:rPr>
                <w:i/>
                <w:iCs/>
                <w:lang w:val="es-ES"/>
              </w:rPr>
              <w:t xml:space="preserve"> </w:t>
            </w:r>
            <w:r>
              <w:rPr>
                <w:i/>
                <w:iCs/>
                <w:lang w:val="es-ES"/>
              </w:rPr>
              <w:t>peligrosos</w:t>
            </w:r>
            <w:r>
              <w:rPr>
                <w:lang w:val="es-ES"/>
              </w:rPr>
              <w:t xml:space="preserve"> establece los umbrales de mercurio para los desechos peligrosos.</w:t>
            </w:r>
          </w:p>
          <w:p w:rsidR="006A76AF" w:rsidRDefault="006A76AF" w:rsidP="006B3465">
            <w:pPr>
              <w:pStyle w:val="Normal-pool"/>
              <w:keepNext/>
              <w:keepLines/>
              <w:tabs>
                <w:tab w:val="clear" w:pos="1247"/>
              </w:tabs>
              <w:rPr>
                <w:lang w:val="es-ES"/>
              </w:rPr>
            </w:pPr>
          </w:p>
          <w:p w:rsidR="00CA54CF" w:rsidRPr="00125A94" w:rsidRDefault="00CA54CF" w:rsidP="00585025">
            <w:pPr>
              <w:pStyle w:val="Normal-pool"/>
              <w:keepNext/>
              <w:keepLines/>
              <w:tabs>
                <w:tab w:val="clear" w:pos="1247"/>
              </w:tabs>
              <w:spacing w:after="120"/>
              <w:rPr>
                <w:lang w:val="es-ES_tradnl"/>
              </w:rPr>
            </w:pPr>
            <w:r>
              <w:rPr>
                <w:lang w:val="es-ES"/>
              </w:rPr>
              <w:t xml:space="preserve">El </w:t>
            </w:r>
            <w:r>
              <w:rPr>
                <w:i/>
                <w:iCs/>
                <w:lang w:val="es-ES"/>
              </w:rPr>
              <w:t>Método de tampón de ácido acético (HJ / T300-2007) – Procedimiento de extracción para lixiviación de desechos sólidos tóxicos</w:t>
            </w:r>
            <w:r>
              <w:rPr>
                <w:lang w:val="es-ES"/>
              </w:rPr>
              <w:t xml:space="preserve"> se usa para determinar la conveniencia de eliminar un desecho en un vertedero según la </w:t>
            </w:r>
            <w:r>
              <w:rPr>
                <w:i/>
                <w:iCs/>
                <w:lang w:val="es-ES"/>
              </w:rPr>
              <w:t>Norma de control de la contaminación en vertederos de desechos sólidos municipales</w:t>
            </w:r>
            <w:r>
              <w:rPr>
                <w:lang w:val="es-ES"/>
              </w:rPr>
              <w:t>.</w:t>
            </w:r>
          </w:p>
        </w:tc>
      </w:tr>
      <w:tr w:rsidR="00FA309F" w:rsidRPr="006B3465" w:rsidTr="006B3465">
        <w:trPr>
          <w:gridBefore w:val="1"/>
          <w:gridAfter w:val="1"/>
          <w:wBefore w:w="392" w:type="dxa"/>
          <w:wAfter w:w="77" w:type="dxa"/>
        </w:trPr>
        <w:tc>
          <w:tcPr>
            <w:tcW w:w="1276" w:type="dxa"/>
            <w:shd w:val="clear" w:color="auto" w:fill="auto"/>
          </w:tcPr>
          <w:p w:rsidR="00FA309F" w:rsidRPr="00F378DE" w:rsidRDefault="00FA309F" w:rsidP="00585025">
            <w:pPr>
              <w:pStyle w:val="Normal-pool"/>
              <w:keepNext/>
              <w:keepLines/>
              <w:spacing w:after="120"/>
              <w:rPr>
                <w:b/>
                <w:bCs/>
              </w:rPr>
            </w:pPr>
            <w:r w:rsidRPr="00F378DE">
              <w:rPr>
                <w:b/>
                <w:lang w:val="es-ES"/>
              </w:rPr>
              <w:t>Colombia</w:t>
            </w:r>
          </w:p>
        </w:tc>
        <w:tc>
          <w:tcPr>
            <w:tcW w:w="2693" w:type="dxa"/>
            <w:gridSpan w:val="2"/>
            <w:shd w:val="clear" w:color="auto" w:fill="auto"/>
          </w:tcPr>
          <w:p w:rsidR="00FA309F" w:rsidRPr="00125A94" w:rsidRDefault="0020368D" w:rsidP="00585025">
            <w:pPr>
              <w:pStyle w:val="Normal-pool"/>
              <w:keepNext/>
              <w:keepLines/>
              <w:spacing w:after="120"/>
              <w:rPr>
                <w:lang w:val="es-ES_tradnl"/>
              </w:rPr>
            </w:pPr>
            <w:r>
              <w:rPr>
                <w:lang w:val="es-ES"/>
              </w:rPr>
              <w:t>No se ha establecido ningún umbral.</w:t>
            </w:r>
          </w:p>
        </w:tc>
        <w:tc>
          <w:tcPr>
            <w:tcW w:w="5670" w:type="dxa"/>
            <w:gridSpan w:val="3"/>
          </w:tcPr>
          <w:p w:rsidR="00FA309F" w:rsidRPr="00125A94" w:rsidRDefault="00FA309F" w:rsidP="00585025">
            <w:pPr>
              <w:pStyle w:val="Normal-pool"/>
              <w:keepNext/>
              <w:keepLines/>
              <w:spacing w:after="120"/>
              <w:rPr>
                <w:lang w:val="es-ES_tradnl"/>
              </w:rPr>
            </w:pPr>
          </w:p>
        </w:tc>
        <w:tc>
          <w:tcPr>
            <w:tcW w:w="4536" w:type="dxa"/>
            <w:gridSpan w:val="2"/>
            <w:shd w:val="clear" w:color="auto" w:fill="auto"/>
          </w:tcPr>
          <w:p w:rsidR="00FA309F" w:rsidRPr="00125A94" w:rsidRDefault="00FA309F" w:rsidP="00585025">
            <w:pPr>
              <w:pStyle w:val="Normal-pool"/>
              <w:keepNext/>
              <w:keepLines/>
              <w:spacing w:after="120"/>
              <w:rPr>
                <w:lang w:val="es-ES_tradnl"/>
              </w:rPr>
            </w:pPr>
          </w:p>
        </w:tc>
      </w:tr>
      <w:tr w:rsidR="00F378DE" w:rsidRPr="006B3465" w:rsidTr="006B3465">
        <w:trPr>
          <w:gridBefore w:val="1"/>
          <w:gridAfter w:val="1"/>
          <w:wBefore w:w="392" w:type="dxa"/>
          <w:wAfter w:w="77" w:type="dxa"/>
        </w:trPr>
        <w:tc>
          <w:tcPr>
            <w:tcW w:w="1276" w:type="dxa"/>
            <w:shd w:val="clear" w:color="auto" w:fill="auto"/>
          </w:tcPr>
          <w:p w:rsidR="00F378DE" w:rsidRPr="00F378DE" w:rsidRDefault="00F378DE" w:rsidP="00585025">
            <w:pPr>
              <w:pStyle w:val="Normal-pool"/>
              <w:spacing w:after="120"/>
              <w:rPr>
                <w:b/>
                <w:bCs/>
              </w:rPr>
            </w:pPr>
            <w:r w:rsidRPr="00F378DE">
              <w:rPr>
                <w:b/>
                <w:lang w:val="es-ES"/>
              </w:rPr>
              <w:t>Estados Unidos de América</w:t>
            </w:r>
          </w:p>
        </w:tc>
        <w:tc>
          <w:tcPr>
            <w:tcW w:w="2693" w:type="dxa"/>
            <w:gridSpan w:val="2"/>
            <w:shd w:val="clear" w:color="auto" w:fill="auto"/>
          </w:tcPr>
          <w:p w:rsidR="00F378DE" w:rsidRPr="00125A94" w:rsidRDefault="00F378DE" w:rsidP="00585025">
            <w:pPr>
              <w:pStyle w:val="Normal-pool"/>
              <w:spacing w:after="120"/>
              <w:rPr>
                <w:lang w:val="es-ES_tradnl"/>
              </w:rPr>
            </w:pPr>
            <w:r>
              <w:rPr>
                <w:lang w:val="es-ES"/>
              </w:rPr>
              <w:t>Los desechos cuyo contenido de mercurio excede el umbral se catalogan como desechos peligrosos.</w:t>
            </w:r>
          </w:p>
        </w:tc>
        <w:tc>
          <w:tcPr>
            <w:tcW w:w="5670" w:type="dxa"/>
            <w:gridSpan w:val="3"/>
          </w:tcPr>
          <w:p w:rsidR="00F378DE" w:rsidRPr="00125A94" w:rsidRDefault="00F378DE" w:rsidP="00585025">
            <w:pPr>
              <w:pStyle w:val="Normal-pool"/>
              <w:spacing w:after="120"/>
              <w:rPr>
                <w:lang w:val="es-ES_tradnl"/>
              </w:rPr>
            </w:pPr>
            <w:r>
              <w:rPr>
                <w:lang w:val="es-ES"/>
              </w:rPr>
              <w:t xml:space="preserve">Los desechos que, según el </w:t>
            </w:r>
            <w:r>
              <w:rPr>
                <w:i/>
                <w:iCs/>
                <w:lang w:val="es-ES"/>
              </w:rPr>
              <w:t>Procedimiento de lixiviación de la característica de toxicidad</w:t>
            </w:r>
            <w:r w:rsidR="00412416">
              <w:rPr>
                <w:lang w:val="es-ES"/>
              </w:rPr>
              <w:t>, contienen</w:t>
            </w:r>
            <w:r>
              <w:rPr>
                <w:lang w:val="es-ES"/>
              </w:rPr>
              <w:t xml:space="preserve"> más de 0,2 mg de Hg/l, se catalogan como peligrosos.</w:t>
            </w:r>
          </w:p>
        </w:tc>
        <w:tc>
          <w:tcPr>
            <w:tcW w:w="4536" w:type="dxa"/>
            <w:gridSpan w:val="2"/>
            <w:shd w:val="clear" w:color="auto" w:fill="auto"/>
          </w:tcPr>
          <w:p w:rsidR="00F378DE" w:rsidRPr="00125A94" w:rsidRDefault="00F378DE" w:rsidP="00585025">
            <w:pPr>
              <w:pStyle w:val="Normal-pool"/>
              <w:spacing w:after="120"/>
              <w:rPr>
                <w:lang w:val="es-ES_tradnl"/>
              </w:rPr>
            </w:pPr>
            <w:r>
              <w:rPr>
                <w:lang w:val="es-ES"/>
              </w:rPr>
              <w:t xml:space="preserve">La </w:t>
            </w:r>
            <w:r>
              <w:rPr>
                <w:i/>
                <w:iCs/>
                <w:lang w:val="es-ES"/>
              </w:rPr>
              <w:t>Ley de conservación y recuperación de recursos de los Estados Unidos</w:t>
            </w:r>
            <w:r w:rsidRPr="00C75418">
              <w:rPr>
                <w:rStyle w:val="FootnoteReference"/>
                <w:szCs w:val="20"/>
                <w:lang w:val="es-ES"/>
              </w:rPr>
              <w:footnoteReference w:id="6"/>
            </w:r>
            <w:r>
              <w:rPr>
                <w:lang w:val="es-ES"/>
              </w:rPr>
              <w:t xml:space="preserve"> regula la clasificación y el tratamiento de los desechos peligrosos.</w:t>
            </w:r>
          </w:p>
        </w:tc>
      </w:tr>
      <w:tr w:rsidR="00F378DE" w:rsidRPr="006B3465" w:rsidTr="006B3465">
        <w:trPr>
          <w:gridBefore w:val="1"/>
          <w:gridAfter w:val="1"/>
          <w:wBefore w:w="392" w:type="dxa"/>
          <w:wAfter w:w="77" w:type="dxa"/>
        </w:trPr>
        <w:tc>
          <w:tcPr>
            <w:tcW w:w="1276" w:type="dxa"/>
            <w:shd w:val="clear" w:color="auto" w:fill="auto"/>
          </w:tcPr>
          <w:p w:rsidR="00F378DE" w:rsidRPr="00F378DE" w:rsidRDefault="00F378DE" w:rsidP="00585025">
            <w:pPr>
              <w:pStyle w:val="Normal-pool"/>
              <w:spacing w:after="120"/>
              <w:rPr>
                <w:b/>
                <w:bCs/>
              </w:rPr>
            </w:pPr>
            <w:r w:rsidRPr="00F378DE">
              <w:rPr>
                <w:b/>
                <w:lang w:val="es-ES"/>
              </w:rPr>
              <w:t>Japón</w:t>
            </w:r>
          </w:p>
        </w:tc>
        <w:tc>
          <w:tcPr>
            <w:tcW w:w="2693" w:type="dxa"/>
            <w:gridSpan w:val="2"/>
            <w:shd w:val="clear" w:color="auto" w:fill="auto"/>
          </w:tcPr>
          <w:p w:rsidR="00F378DE" w:rsidRPr="00125A94" w:rsidRDefault="00F378DE" w:rsidP="00882F6E">
            <w:pPr>
              <w:pStyle w:val="Normal-pool"/>
              <w:spacing w:after="60"/>
              <w:rPr>
                <w:lang w:val="es-ES_tradnl"/>
              </w:rPr>
            </w:pPr>
            <w:r>
              <w:rPr>
                <w:lang w:val="es-ES"/>
              </w:rPr>
              <w:t>El Japón cuenta actualmente con tres tipos de umbrales de desechos de mercurio:</w:t>
            </w:r>
          </w:p>
          <w:p w:rsidR="00F378DE" w:rsidRPr="00125A94" w:rsidRDefault="00F378DE" w:rsidP="006B3465">
            <w:pPr>
              <w:pStyle w:val="Normal-pool"/>
              <w:numPr>
                <w:ilvl w:val="0"/>
                <w:numId w:val="18"/>
              </w:numPr>
              <w:spacing w:after="240"/>
              <w:ind w:left="113" w:hanging="113"/>
              <w:rPr>
                <w:lang w:val="es-ES_tradnl"/>
              </w:rPr>
            </w:pPr>
            <w:r>
              <w:rPr>
                <w:lang w:val="es-ES"/>
              </w:rPr>
              <w:t xml:space="preserve"> Umbrales para los desechos peligrosos sujetos a las normas de importación y exportación del Convenio de Basilea</w:t>
            </w:r>
          </w:p>
          <w:p w:rsidR="00F378DE" w:rsidRPr="00125A94" w:rsidRDefault="00F378DE" w:rsidP="00BD36F3">
            <w:pPr>
              <w:pStyle w:val="Normal-pool"/>
              <w:numPr>
                <w:ilvl w:val="0"/>
                <w:numId w:val="18"/>
              </w:numPr>
              <w:spacing w:after="60"/>
              <w:ind w:left="113" w:hanging="113"/>
              <w:rPr>
                <w:lang w:val="es-ES_tradnl"/>
              </w:rPr>
            </w:pPr>
            <w:r>
              <w:rPr>
                <w:lang w:val="es-ES"/>
              </w:rPr>
              <w:t xml:space="preserve"> Umbrales para desechos industriales sujetos a control especial.</w:t>
            </w:r>
          </w:p>
          <w:p w:rsidR="00F378DE" w:rsidRPr="00125A94" w:rsidRDefault="00F378DE" w:rsidP="00BD36F3">
            <w:pPr>
              <w:pStyle w:val="Normal-pool"/>
              <w:numPr>
                <w:ilvl w:val="0"/>
                <w:numId w:val="18"/>
              </w:numPr>
              <w:spacing w:after="60"/>
              <w:ind w:left="113" w:hanging="113"/>
              <w:rPr>
                <w:lang w:val="es-ES_tradnl"/>
              </w:rPr>
            </w:pPr>
            <w:r>
              <w:rPr>
                <w:lang w:val="es-ES"/>
              </w:rPr>
              <w:t xml:space="preserve"> Umbrales para los desechos tratados que deben eliminarse en vertederos aislados de desechos industriales peligrosos </w:t>
            </w:r>
          </w:p>
          <w:p w:rsidR="00F378DE" w:rsidRPr="00125A94" w:rsidRDefault="00F378DE" w:rsidP="00882F6E">
            <w:pPr>
              <w:pStyle w:val="Normal-pool"/>
              <w:spacing w:after="60"/>
              <w:rPr>
                <w:lang w:val="es-ES_tradnl"/>
              </w:rPr>
            </w:pPr>
            <w:r>
              <w:rPr>
                <w:lang w:val="es-ES"/>
              </w:rPr>
              <w:t>Además, las leyes futuras podrán catalogar algunos materiales como materiales reciclables que contienen mercurio.</w:t>
            </w:r>
          </w:p>
        </w:tc>
        <w:tc>
          <w:tcPr>
            <w:tcW w:w="5670" w:type="dxa"/>
            <w:gridSpan w:val="3"/>
          </w:tcPr>
          <w:p w:rsidR="00F378DE" w:rsidRPr="00125A94" w:rsidRDefault="00F378DE" w:rsidP="00882F6E">
            <w:pPr>
              <w:pStyle w:val="Normal-pool"/>
              <w:spacing w:after="60"/>
              <w:rPr>
                <w:lang w:val="es-ES_tradnl"/>
              </w:rPr>
            </w:pPr>
            <w:r>
              <w:rPr>
                <w:lang w:val="es-ES"/>
              </w:rPr>
              <w:t>Con respecto a los desechos peligrosos, se aplican los siguientes umbrales de mercurio:</w:t>
            </w:r>
          </w:p>
          <w:p w:rsidR="00F378DE" w:rsidRPr="00125A94" w:rsidRDefault="00F378DE" w:rsidP="00BD36F3">
            <w:pPr>
              <w:pStyle w:val="Normal-pool"/>
              <w:numPr>
                <w:ilvl w:val="0"/>
                <w:numId w:val="18"/>
              </w:numPr>
              <w:spacing w:after="60"/>
              <w:ind w:left="113" w:hanging="113"/>
              <w:rPr>
                <w:lang w:val="es-ES_tradnl"/>
              </w:rPr>
            </w:pPr>
            <w:r>
              <w:rPr>
                <w:lang w:val="es-ES"/>
              </w:rPr>
              <w:t xml:space="preserve"> Determinados compuestos: 0,1% del peso</w:t>
            </w:r>
          </w:p>
          <w:p w:rsidR="00F378DE" w:rsidRPr="00125A94" w:rsidRDefault="00F378DE" w:rsidP="00BD36F3">
            <w:pPr>
              <w:pStyle w:val="Normal-pool"/>
              <w:numPr>
                <w:ilvl w:val="0"/>
                <w:numId w:val="18"/>
              </w:numPr>
              <w:spacing w:after="60"/>
              <w:ind w:left="113" w:hanging="113"/>
              <w:rPr>
                <w:lang w:val="es-ES_tradnl"/>
              </w:rPr>
            </w:pPr>
            <w:r>
              <w:rPr>
                <w:lang w:val="es-ES"/>
              </w:rPr>
              <w:t xml:space="preserve"> Desechos que contienen </w:t>
            </w:r>
            <w:proofErr w:type="spellStart"/>
            <w:r>
              <w:rPr>
                <w:lang w:val="es-ES"/>
              </w:rPr>
              <w:t>nucleato</w:t>
            </w:r>
            <w:proofErr w:type="spellEnd"/>
            <w:r>
              <w:rPr>
                <w:lang w:val="es-ES"/>
              </w:rPr>
              <w:t xml:space="preserve"> de mercurio, acetato </w:t>
            </w:r>
            <w:proofErr w:type="spellStart"/>
            <w:r>
              <w:rPr>
                <w:lang w:val="es-ES"/>
              </w:rPr>
              <w:t>mercurioso</w:t>
            </w:r>
            <w:proofErr w:type="spellEnd"/>
            <w:r>
              <w:rPr>
                <w:lang w:val="es-ES"/>
              </w:rPr>
              <w:t xml:space="preserve">, acetato de </w:t>
            </w:r>
            <w:proofErr w:type="spellStart"/>
            <w:r>
              <w:rPr>
                <w:lang w:val="es-ES"/>
              </w:rPr>
              <w:t>fenilmercurio</w:t>
            </w:r>
            <w:proofErr w:type="spellEnd"/>
            <w:r>
              <w:rPr>
                <w:lang w:val="es-ES"/>
              </w:rPr>
              <w:t xml:space="preserve">, nitrato de </w:t>
            </w:r>
            <w:proofErr w:type="spellStart"/>
            <w:r>
              <w:rPr>
                <w:lang w:val="es-ES"/>
              </w:rPr>
              <w:t>fenilmercurio</w:t>
            </w:r>
            <w:proofErr w:type="spellEnd"/>
            <w:r>
              <w:rPr>
                <w:lang w:val="es-ES"/>
              </w:rPr>
              <w:t xml:space="preserve"> o </w:t>
            </w:r>
            <w:proofErr w:type="spellStart"/>
            <w:r>
              <w:rPr>
                <w:lang w:val="es-ES"/>
              </w:rPr>
              <w:t>timerosal</w:t>
            </w:r>
            <w:proofErr w:type="spellEnd"/>
            <w:r>
              <w:rPr>
                <w:lang w:val="es-ES"/>
              </w:rPr>
              <w:t>: 1% del peso.</w:t>
            </w:r>
          </w:p>
          <w:p w:rsidR="00BD36F3" w:rsidRDefault="00BD36F3" w:rsidP="00882F6E">
            <w:pPr>
              <w:pStyle w:val="Normal-pool"/>
              <w:spacing w:after="60"/>
              <w:rPr>
                <w:lang w:val="es-ES"/>
              </w:rPr>
            </w:pPr>
          </w:p>
          <w:p w:rsidR="006B3465" w:rsidRDefault="006B3465"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Con respecto a la importación y exportación de desechos sólidos para las operaciones de eliminación enumeradas en D1 a D4 y R10 del anexo IV del Convenio de Basilea, los umbrales son los siguientes:</w:t>
            </w:r>
          </w:p>
          <w:p w:rsidR="00F378DE" w:rsidRPr="00125A94" w:rsidRDefault="00F378DE" w:rsidP="00BD36F3">
            <w:pPr>
              <w:pStyle w:val="Normal-pool"/>
              <w:numPr>
                <w:ilvl w:val="0"/>
                <w:numId w:val="18"/>
              </w:numPr>
              <w:spacing w:after="60"/>
              <w:ind w:left="113" w:hanging="113"/>
              <w:rPr>
                <w:lang w:val="es-ES_tradnl"/>
              </w:rPr>
            </w:pPr>
            <w:r>
              <w:rPr>
                <w:lang w:val="es-ES"/>
              </w:rPr>
              <w:t xml:space="preserve"> Mercurio total: 0,5 </w:t>
            </w:r>
            <w:proofErr w:type="spellStart"/>
            <w:r>
              <w:rPr>
                <w:lang w:val="es-ES"/>
              </w:rPr>
              <w:t>μg</w:t>
            </w:r>
            <w:proofErr w:type="spellEnd"/>
            <w:r>
              <w:rPr>
                <w:lang w:val="es-ES"/>
              </w:rPr>
              <w:t>/l</w:t>
            </w:r>
          </w:p>
          <w:p w:rsidR="00F378DE" w:rsidRPr="00125A94" w:rsidRDefault="00F378DE" w:rsidP="00BD36F3">
            <w:pPr>
              <w:pStyle w:val="Normal-pool"/>
              <w:numPr>
                <w:ilvl w:val="0"/>
                <w:numId w:val="18"/>
              </w:numPr>
              <w:spacing w:after="60"/>
              <w:ind w:left="113" w:hanging="113"/>
              <w:rPr>
                <w:lang w:val="es-ES_tradnl"/>
              </w:rPr>
            </w:pPr>
            <w:r>
              <w:rPr>
                <w:lang w:val="es-ES"/>
              </w:rPr>
              <w:t xml:space="preserve"> </w:t>
            </w:r>
            <w:proofErr w:type="spellStart"/>
            <w:r>
              <w:rPr>
                <w:lang w:val="es-ES"/>
              </w:rPr>
              <w:t>Alquilmercurio</w:t>
            </w:r>
            <w:proofErr w:type="spellEnd"/>
            <w:r>
              <w:rPr>
                <w:lang w:val="es-ES"/>
              </w:rPr>
              <w:t>: toda cantidad detectada</w:t>
            </w:r>
          </w:p>
          <w:p w:rsidR="00BD36F3" w:rsidRDefault="00BD36F3"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Para las demás operaciones de eliminación, los umbrales son los siguientes:</w:t>
            </w:r>
          </w:p>
          <w:p w:rsidR="00F378DE" w:rsidRPr="00125A94" w:rsidRDefault="00F378DE" w:rsidP="00BD36F3">
            <w:pPr>
              <w:pStyle w:val="Normal-pool"/>
              <w:numPr>
                <w:ilvl w:val="0"/>
                <w:numId w:val="18"/>
              </w:numPr>
              <w:spacing w:after="60"/>
              <w:ind w:left="113" w:hanging="113"/>
              <w:rPr>
                <w:lang w:val="es-ES_tradnl"/>
              </w:rPr>
            </w:pPr>
            <w:r>
              <w:rPr>
                <w:lang w:val="es-ES"/>
              </w:rPr>
              <w:t xml:space="preserve"> Mercurio o compuestos de mercurio: 0,5 </w:t>
            </w:r>
            <w:proofErr w:type="spellStart"/>
            <w:r>
              <w:rPr>
                <w:lang w:val="es-ES"/>
              </w:rPr>
              <w:t>μg</w:t>
            </w:r>
            <w:proofErr w:type="spellEnd"/>
            <w:r>
              <w:rPr>
                <w:lang w:val="es-ES"/>
              </w:rPr>
              <w:t xml:space="preserve"> de Hg/l</w:t>
            </w:r>
          </w:p>
          <w:p w:rsidR="00F378DE" w:rsidRPr="00125A94" w:rsidRDefault="00F378DE" w:rsidP="00BD36F3">
            <w:pPr>
              <w:pStyle w:val="Normal-pool"/>
              <w:numPr>
                <w:ilvl w:val="0"/>
                <w:numId w:val="18"/>
              </w:numPr>
              <w:spacing w:after="60"/>
              <w:ind w:left="113" w:hanging="113"/>
              <w:rPr>
                <w:lang w:val="es-ES_tradnl"/>
              </w:rPr>
            </w:pPr>
            <w:r>
              <w:rPr>
                <w:lang w:val="es-ES"/>
              </w:rPr>
              <w:t xml:space="preserve"> Compuestos alquílicos de mercurio: toda cantidad detectada</w:t>
            </w:r>
          </w:p>
          <w:p w:rsidR="00BD36F3" w:rsidRDefault="00BD36F3"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Con respecto a la importación y exportación de desechos líquidos para las operaciones de eliminación enumeradas en D1 a D4 y R10 del anexo IV del Convenio de Basilea, los umbrales son los siguientes:</w:t>
            </w:r>
          </w:p>
          <w:p w:rsidR="00F378DE" w:rsidRPr="00125A94" w:rsidRDefault="00F378DE" w:rsidP="00BD36F3">
            <w:pPr>
              <w:pStyle w:val="Normal-pool"/>
              <w:numPr>
                <w:ilvl w:val="0"/>
                <w:numId w:val="18"/>
              </w:numPr>
              <w:spacing w:after="60"/>
              <w:ind w:left="113" w:hanging="113"/>
              <w:rPr>
                <w:lang w:val="es-ES_tradnl"/>
              </w:rPr>
            </w:pPr>
            <w:r>
              <w:rPr>
                <w:lang w:val="es-ES"/>
              </w:rPr>
              <w:t xml:space="preserve"> Mercurio, </w:t>
            </w:r>
            <w:proofErr w:type="spellStart"/>
            <w:r>
              <w:rPr>
                <w:lang w:val="es-ES"/>
              </w:rPr>
              <w:t>alquilmercurio</w:t>
            </w:r>
            <w:proofErr w:type="spellEnd"/>
            <w:r>
              <w:rPr>
                <w:lang w:val="es-ES"/>
              </w:rPr>
              <w:t xml:space="preserve"> y otros compuestos de mercurio: 0,5 </w:t>
            </w:r>
            <w:proofErr w:type="spellStart"/>
            <w:r>
              <w:rPr>
                <w:lang w:val="es-ES"/>
              </w:rPr>
              <w:t>μg</w:t>
            </w:r>
            <w:proofErr w:type="spellEnd"/>
            <w:r>
              <w:rPr>
                <w:lang w:val="es-ES"/>
              </w:rPr>
              <w:t xml:space="preserve"> de Hg/l</w:t>
            </w:r>
          </w:p>
          <w:p w:rsidR="00F378DE" w:rsidRPr="00125A94" w:rsidRDefault="00F378DE" w:rsidP="00BD36F3">
            <w:pPr>
              <w:pStyle w:val="Normal-pool"/>
              <w:numPr>
                <w:ilvl w:val="0"/>
                <w:numId w:val="18"/>
              </w:numPr>
              <w:spacing w:after="60"/>
              <w:ind w:left="113" w:hanging="113"/>
              <w:rPr>
                <w:lang w:val="es-ES_tradnl"/>
              </w:rPr>
            </w:pPr>
            <w:r>
              <w:rPr>
                <w:lang w:val="es-ES"/>
              </w:rPr>
              <w:t xml:space="preserve"> Compuestos alquílicos de mercurio: 0,5 </w:t>
            </w:r>
            <w:proofErr w:type="spellStart"/>
            <w:r>
              <w:rPr>
                <w:lang w:val="es-ES"/>
              </w:rPr>
              <w:t>μg</w:t>
            </w:r>
            <w:proofErr w:type="spellEnd"/>
            <w:r>
              <w:rPr>
                <w:lang w:val="es-ES"/>
              </w:rPr>
              <w:t xml:space="preserve"> de alquilo Hg/l.</w:t>
            </w:r>
          </w:p>
          <w:p w:rsidR="00BD36F3" w:rsidRDefault="00BD36F3"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Para las demás operaciones de eliminación, los umbrales son los siguientes:</w:t>
            </w:r>
          </w:p>
          <w:p w:rsidR="00F378DE" w:rsidRPr="00125A94" w:rsidRDefault="00F378DE" w:rsidP="00BD36F3">
            <w:pPr>
              <w:pStyle w:val="Normal-pool"/>
              <w:numPr>
                <w:ilvl w:val="0"/>
                <w:numId w:val="18"/>
              </w:numPr>
              <w:spacing w:after="60"/>
              <w:ind w:left="113" w:hanging="113"/>
              <w:rPr>
                <w:lang w:val="es-ES_tradnl"/>
              </w:rPr>
            </w:pPr>
            <w:r>
              <w:rPr>
                <w:lang w:val="es-ES"/>
              </w:rPr>
              <w:t xml:space="preserve"> Mercurio, </w:t>
            </w:r>
            <w:proofErr w:type="spellStart"/>
            <w:r>
              <w:rPr>
                <w:lang w:val="es-ES"/>
              </w:rPr>
              <w:t>alquilmercurio</w:t>
            </w:r>
            <w:proofErr w:type="spellEnd"/>
            <w:r>
              <w:rPr>
                <w:lang w:val="es-ES"/>
              </w:rPr>
              <w:t xml:space="preserve"> y otros compuestos de mercurio: 0,5 </w:t>
            </w:r>
            <w:proofErr w:type="spellStart"/>
            <w:r>
              <w:rPr>
                <w:lang w:val="es-ES"/>
              </w:rPr>
              <w:t>μg</w:t>
            </w:r>
            <w:proofErr w:type="spellEnd"/>
            <w:r>
              <w:rPr>
                <w:lang w:val="es-ES"/>
              </w:rPr>
              <w:t xml:space="preserve"> de Hg/l</w:t>
            </w:r>
          </w:p>
          <w:p w:rsidR="00F378DE" w:rsidRPr="00125A94" w:rsidRDefault="00F378DE" w:rsidP="00BD36F3">
            <w:pPr>
              <w:pStyle w:val="Normal-pool"/>
              <w:numPr>
                <w:ilvl w:val="0"/>
                <w:numId w:val="18"/>
              </w:numPr>
              <w:spacing w:after="60"/>
              <w:ind w:left="113" w:hanging="113"/>
              <w:rPr>
                <w:lang w:val="es-ES_tradnl"/>
              </w:rPr>
            </w:pPr>
            <w:r>
              <w:rPr>
                <w:lang w:val="es-ES"/>
              </w:rPr>
              <w:t xml:space="preserve"> Compuestos alquílicos de mercurio: 0,5 </w:t>
            </w:r>
            <w:proofErr w:type="spellStart"/>
            <w:r>
              <w:rPr>
                <w:lang w:val="es-ES"/>
              </w:rPr>
              <w:t>μg</w:t>
            </w:r>
            <w:proofErr w:type="spellEnd"/>
            <w:r>
              <w:rPr>
                <w:lang w:val="es-ES"/>
              </w:rPr>
              <w:t xml:space="preserve"> de alquilo Hg/l.</w:t>
            </w:r>
          </w:p>
          <w:p w:rsidR="00BD36F3" w:rsidRDefault="00BD36F3"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Para los desechos industriales sujetos a control especial, salvo ácido y álcali, procedentes de determinadas instalaciones:</w:t>
            </w:r>
          </w:p>
          <w:p w:rsidR="00F378DE" w:rsidRPr="002B751C" w:rsidRDefault="00F378DE" w:rsidP="002B751C">
            <w:pPr>
              <w:pStyle w:val="Normal-pool"/>
              <w:keepNext/>
              <w:keepLines/>
              <w:numPr>
                <w:ilvl w:val="0"/>
                <w:numId w:val="18"/>
              </w:numPr>
              <w:spacing w:after="60"/>
              <w:ind w:left="113" w:hanging="113"/>
              <w:rPr>
                <w:lang w:val="es-ES"/>
              </w:rPr>
            </w:pPr>
            <w:r>
              <w:rPr>
                <w:lang w:val="es-ES"/>
              </w:rPr>
              <w:t xml:space="preserve"> </w:t>
            </w:r>
            <w:r w:rsidRPr="002B751C">
              <w:rPr>
                <w:lang w:val="es-ES"/>
              </w:rPr>
              <w:t xml:space="preserve">Mercurio o compuestos de mercurio: 5 </w:t>
            </w:r>
            <w:proofErr w:type="spellStart"/>
            <w:r w:rsidRPr="002B751C">
              <w:rPr>
                <w:lang w:val="es-ES"/>
              </w:rPr>
              <w:t>μg</w:t>
            </w:r>
            <w:proofErr w:type="spellEnd"/>
            <w:r w:rsidRPr="002B751C">
              <w:rPr>
                <w:lang w:val="es-ES"/>
              </w:rPr>
              <w:t xml:space="preserve"> de Hg/l</w:t>
            </w:r>
          </w:p>
          <w:p w:rsidR="00F378DE" w:rsidRPr="00125A94" w:rsidRDefault="00F378DE" w:rsidP="002B751C">
            <w:pPr>
              <w:pStyle w:val="Normal-pool"/>
              <w:keepNext/>
              <w:keepLines/>
              <w:numPr>
                <w:ilvl w:val="0"/>
                <w:numId w:val="18"/>
              </w:numPr>
              <w:spacing w:after="60"/>
              <w:ind w:left="113" w:hanging="113"/>
              <w:rPr>
                <w:lang w:val="es-ES_tradnl"/>
              </w:rPr>
            </w:pPr>
            <w:r>
              <w:rPr>
                <w:lang w:val="es-ES"/>
              </w:rPr>
              <w:t>Compuestos alquílicos de mercurio: toda cantidad detectada</w:t>
            </w:r>
          </w:p>
          <w:p w:rsidR="002B751C" w:rsidRDefault="002B751C" w:rsidP="00BD36F3">
            <w:pPr>
              <w:pStyle w:val="Normal-pool"/>
              <w:keepNext/>
              <w:keepLines/>
              <w:spacing w:after="60"/>
              <w:rPr>
                <w:lang w:val="es-ES"/>
              </w:rPr>
            </w:pPr>
          </w:p>
          <w:p w:rsidR="00F378DE" w:rsidRPr="00125A94" w:rsidRDefault="00F378DE" w:rsidP="00BD36F3">
            <w:pPr>
              <w:pStyle w:val="Normal-pool"/>
              <w:keepNext/>
              <w:keepLines/>
              <w:spacing w:after="60"/>
              <w:rPr>
                <w:lang w:val="es-ES_tradnl"/>
              </w:rPr>
            </w:pPr>
            <w:r>
              <w:rPr>
                <w:lang w:val="es-ES"/>
              </w:rPr>
              <w:t>Para los desechos de ácido y álcali para determinadas instalaciones:</w:t>
            </w:r>
          </w:p>
          <w:p w:rsidR="00F378DE" w:rsidRPr="00125A94" w:rsidRDefault="00F378DE" w:rsidP="00BD36F3">
            <w:pPr>
              <w:pStyle w:val="Normal-pool"/>
              <w:keepNext/>
              <w:keepLines/>
              <w:numPr>
                <w:ilvl w:val="0"/>
                <w:numId w:val="18"/>
              </w:numPr>
              <w:spacing w:after="60"/>
              <w:ind w:left="113" w:hanging="113"/>
              <w:rPr>
                <w:lang w:val="es-ES_tradnl"/>
              </w:rPr>
            </w:pPr>
            <w:r>
              <w:rPr>
                <w:lang w:val="es-ES"/>
              </w:rPr>
              <w:t xml:space="preserve"> Mercurio o compuestos de mercurio: 50 </w:t>
            </w:r>
            <w:proofErr w:type="spellStart"/>
            <w:r>
              <w:rPr>
                <w:lang w:val="es-ES"/>
              </w:rPr>
              <w:t>μg</w:t>
            </w:r>
            <w:proofErr w:type="spellEnd"/>
            <w:r>
              <w:rPr>
                <w:lang w:val="es-ES"/>
              </w:rPr>
              <w:t xml:space="preserve"> de Hg/l</w:t>
            </w:r>
          </w:p>
          <w:p w:rsidR="00F378DE" w:rsidRPr="00125A94" w:rsidRDefault="00F378DE" w:rsidP="00BD36F3">
            <w:pPr>
              <w:pStyle w:val="Normal-pool"/>
              <w:keepNext/>
              <w:keepLines/>
              <w:numPr>
                <w:ilvl w:val="0"/>
                <w:numId w:val="18"/>
              </w:numPr>
              <w:spacing w:after="60"/>
              <w:ind w:left="113" w:hanging="113"/>
              <w:rPr>
                <w:lang w:val="es-ES_tradnl"/>
              </w:rPr>
            </w:pPr>
            <w:r>
              <w:rPr>
                <w:lang w:val="es-ES"/>
              </w:rPr>
              <w:t xml:space="preserve"> Compuestos alquílicos de mercurio: toda cantidad detectada</w:t>
            </w:r>
          </w:p>
          <w:p w:rsidR="00BD36F3" w:rsidRDefault="00BD36F3"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Para los desechos tratados que deben eliminarse en vertederos aislados de desechos industriales peligrosos:</w:t>
            </w:r>
          </w:p>
          <w:p w:rsidR="00F378DE" w:rsidRPr="00125A94" w:rsidRDefault="00F378DE" w:rsidP="00BD36F3">
            <w:pPr>
              <w:pStyle w:val="Normal-pool"/>
              <w:numPr>
                <w:ilvl w:val="0"/>
                <w:numId w:val="18"/>
              </w:numPr>
              <w:spacing w:after="60"/>
              <w:ind w:left="113" w:hanging="113"/>
              <w:rPr>
                <w:lang w:val="es-ES_tradnl"/>
              </w:rPr>
            </w:pPr>
            <w:r>
              <w:rPr>
                <w:lang w:val="es-ES"/>
              </w:rPr>
              <w:t xml:space="preserve"> Mercurio o compuestos de mercurio: 5 </w:t>
            </w:r>
            <w:proofErr w:type="spellStart"/>
            <w:r>
              <w:rPr>
                <w:lang w:val="es-ES"/>
              </w:rPr>
              <w:t>μg</w:t>
            </w:r>
            <w:proofErr w:type="spellEnd"/>
            <w:r>
              <w:rPr>
                <w:lang w:val="es-ES"/>
              </w:rPr>
              <w:t xml:space="preserve"> de Hg/l</w:t>
            </w:r>
          </w:p>
          <w:p w:rsidR="00F378DE" w:rsidRPr="00125A94" w:rsidRDefault="00F378DE" w:rsidP="00BD36F3">
            <w:pPr>
              <w:pStyle w:val="Normal-pool"/>
              <w:numPr>
                <w:ilvl w:val="0"/>
                <w:numId w:val="18"/>
              </w:numPr>
              <w:spacing w:after="60"/>
              <w:ind w:left="113" w:hanging="113"/>
              <w:rPr>
                <w:lang w:val="es-ES_tradnl"/>
              </w:rPr>
            </w:pPr>
            <w:r>
              <w:rPr>
                <w:lang w:val="es-ES"/>
              </w:rPr>
              <w:t xml:space="preserve"> Compuestos alquílicos de mercurio: toda cantidad detectada</w:t>
            </w:r>
          </w:p>
        </w:tc>
        <w:tc>
          <w:tcPr>
            <w:tcW w:w="4536" w:type="dxa"/>
            <w:gridSpan w:val="2"/>
            <w:shd w:val="clear" w:color="auto" w:fill="auto"/>
          </w:tcPr>
          <w:p w:rsidR="00F378DE" w:rsidRDefault="00F378DE" w:rsidP="00882F6E">
            <w:pPr>
              <w:pStyle w:val="Normal-pool"/>
              <w:spacing w:after="60"/>
              <w:rPr>
                <w:lang w:val="es-ES"/>
              </w:rPr>
            </w:pPr>
            <w:r>
              <w:rPr>
                <w:lang w:val="es-ES"/>
              </w:rPr>
              <w:t xml:space="preserve">La </w:t>
            </w:r>
            <w:r w:rsidR="00412416">
              <w:rPr>
                <w:i/>
                <w:iCs/>
                <w:lang w:val="es-ES"/>
              </w:rPr>
              <w:t>Ley de c</w:t>
            </w:r>
            <w:r>
              <w:rPr>
                <w:i/>
                <w:iCs/>
                <w:lang w:val="es-ES"/>
              </w:rPr>
              <w:t>ontrol de las exportaciones, importaciones y</w:t>
            </w:r>
            <w:r>
              <w:rPr>
                <w:lang w:val="es-ES"/>
              </w:rPr>
              <w:t xml:space="preserve"> </w:t>
            </w:r>
            <w:r w:rsidR="008125C9">
              <w:rPr>
                <w:i/>
                <w:iCs/>
                <w:lang w:val="es-ES"/>
              </w:rPr>
              <w:t>otras operaciones relativas a</w:t>
            </w:r>
            <w:r>
              <w:rPr>
                <w:i/>
                <w:iCs/>
                <w:lang w:val="es-ES"/>
              </w:rPr>
              <w:t xml:space="preserve"> determinados desechos peligrosos y otros desechos</w:t>
            </w:r>
            <w:r>
              <w:rPr>
                <w:lang w:val="es-ES"/>
              </w:rPr>
              <w:t xml:space="preserve"> establece los criterios para la clasificación de los desechos peligrosos.</w:t>
            </w:r>
          </w:p>
          <w:p w:rsidR="006A76AF" w:rsidRPr="00125A94" w:rsidRDefault="006A76AF" w:rsidP="006B3465">
            <w:pPr>
              <w:pStyle w:val="Normal-pool"/>
              <w:rPr>
                <w:i/>
                <w:iCs/>
                <w:lang w:val="es-ES_tradnl"/>
              </w:rPr>
            </w:pPr>
          </w:p>
          <w:p w:rsidR="00F378DE" w:rsidRDefault="00F378DE" w:rsidP="006B3465">
            <w:pPr>
              <w:pStyle w:val="Normal-pool"/>
              <w:rPr>
                <w:lang w:val="es-ES"/>
              </w:rPr>
            </w:pPr>
            <w:r>
              <w:rPr>
                <w:lang w:val="es-ES"/>
              </w:rPr>
              <w:t xml:space="preserve">Las </w:t>
            </w:r>
            <w:r>
              <w:rPr>
                <w:i/>
                <w:iCs/>
                <w:lang w:val="es-ES"/>
              </w:rPr>
              <w:t>Normas de calidad de los suelos</w:t>
            </w:r>
            <w:r>
              <w:rPr>
                <w:lang w:val="es-ES"/>
              </w:rPr>
              <w:t xml:space="preserve"> contiene</w:t>
            </w:r>
            <w:r w:rsidR="00125A94">
              <w:rPr>
                <w:lang w:val="es-ES"/>
              </w:rPr>
              <w:t>n</w:t>
            </w:r>
            <w:r>
              <w:rPr>
                <w:lang w:val="es-ES"/>
              </w:rPr>
              <w:t xml:space="preserve"> disposiciones sobre la importación y exportación de desechos sólidos para su eliminación.</w:t>
            </w:r>
          </w:p>
          <w:p w:rsidR="006A76AF" w:rsidRPr="00BD36F3" w:rsidRDefault="006A76AF"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 xml:space="preserve">La </w:t>
            </w:r>
            <w:r>
              <w:rPr>
                <w:i/>
                <w:iCs/>
                <w:lang w:val="es-ES"/>
              </w:rPr>
              <w:t>Ley de prevención de la contaminación del agua</w:t>
            </w:r>
            <w:r>
              <w:rPr>
                <w:lang w:val="es-ES"/>
              </w:rPr>
              <w:t xml:space="preserve"> contiene normas sobre la importación y exportación de desechos líquidos para su eliminación.</w:t>
            </w:r>
          </w:p>
          <w:p w:rsidR="006A76AF" w:rsidRDefault="006A76AF"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 xml:space="preserve">La </w:t>
            </w:r>
            <w:r>
              <w:rPr>
                <w:i/>
                <w:iCs/>
                <w:lang w:val="es-ES"/>
              </w:rPr>
              <w:t>Ley de gestión de desechos y limpieza municipal</w:t>
            </w:r>
            <w:r>
              <w:rPr>
                <w:lang w:val="es-ES"/>
              </w:rPr>
              <w:t xml:space="preserve"> contiene normas para los desechos industriales sujetos a control especial.</w:t>
            </w:r>
          </w:p>
          <w:p w:rsidR="006A76AF" w:rsidRDefault="006A76AF" w:rsidP="00882F6E">
            <w:pPr>
              <w:pStyle w:val="Normal-pool"/>
              <w:spacing w:after="60"/>
              <w:rPr>
                <w:lang w:val="es-ES"/>
              </w:rPr>
            </w:pPr>
          </w:p>
          <w:p w:rsidR="00F378DE" w:rsidRPr="00125A94" w:rsidRDefault="00F378DE" w:rsidP="00882F6E">
            <w:pPr>
              <w:pStyle w:val="Normal-pool"/>
              <w:spacing w:after="60"/>
              <w:rPr>
                <w:lang w:val="es-ES_tradnl"/>
              </w:rPr>
            </w:pPr>
            <w:r>
              <w:rPr>
                <w:lang w:val="es-ES"/>
              </w:rPr>
              <w:t xml:space="preserve">Las </w:t>
            </w:r>
            <w:r w:rsidRPr="008125C9">
              <w:rPr>
                <w:i/>
                <w:lang w:val="es-ES"/>
              </w:rPr>
              <w:t>Normas de verificación de los desechos industriales</w:t>
            </w:r>
            <w:r w:rsidR="008125C9">
              <w:rPr>
                <w:lang w:val="es-ES"/>
              </w:rPr>
              <w:t xml:space="preserve"> regulan la eliminación de </w:t>
            </w:r>
            <w:r>
              <w:rPr>
                <w:lang w:val="es-ES"/>
              </w:rPr>
              <w:t>desechos en vertederos aislados de desechos industriales peligrosos.</w:t>
            </w:r>
          </w:p>
        </w:tc>
      </w:tr>
      <w:tr w:rsidR="00F378DE" w:rsidRPr="006B3465" w:rsidTr="006B3465">
        <w:trPr>
          <w:gridBefore w:val="1"/>
          <w:gridAfter w:val="1"/>
          <w:wBefore w:w="392" w:type="dxa"/>
          <w:wAfter w:w="77" w:type="dxa"/>
        </w:trPr>
        <w:tc>
          <w:tcPr>
            <w:tcW w:w="1276" w:type="dxa"/>
            <w:shd w:val="clear" w:color="auto" w:fill="auto"/>
          </w:tcPr>
          <w:p w:rsidR="00F378DE" w:rsidRPr="00F378DE" w:rsidRDefault="00F378DE" w:rsidP="00585025">
            <w:pPr>
              <w:pStyle w:val="Normal-pool"/>
              <w:keepNext/>
              <w:keepLines/>
              <w:spacing w:after="120"/>
              <w:rPr>
                <w:b/>
                <w:bCs/>
              </w:rPr>
            </w:pPr>
            <w:r w:rsidRPr="00F378DE">
              <w:rPr>
                <w:b/>
                <w:lang w:val="es-ES"/>
              </w:rPr>
              <w:t>México</w:t>
            </w:r>
          </w:p>
        </w:tc>
        <w:tc>
          <w:tcPr>
            <w:tcW w:w="2693" w:type="dxa"/>
            <w:gridSpan w:val="2"/>
            <w:shd w:val="clear" w:color="auto" w:fill="auto"/>
          </w:tcPr>
          <w:p w:rsidR="00F378DE" w:rsidRPr="00125A94" w:rsidRDefault="00F378DE" w:rsidP="00585025">
            <w:pPr>
              <w:pStyle w:val="Normal-pool"/>
              <w:keepNext/>
              <w:keepLines/>
              <w:spacing w:after="120"/>
              <w:rPr>
                <w:lang w:val="es-ES_tradnl"/>
              </w:rPr>
            </w:pPr>
            <w:r>
              <w:rPr>
                <w:lang w:val="es-ES"/>
              </w:rPr>
              <w:t>Los desechos que contienen mercurio se definen como desechos peligrosos según las definiciones del Convenio de Basilea.</w:t>
            </w:r>
          </w:p>
        </w:tc>
        <w:tc>
          <w:tcPr>
            <w:tcW w:w="5670" w:type="dxa"/>
            <w:gridSpan w:val="3"/>
          </w:tcPr>
          <w:p w:rsidR="00F378DE" w:rsidRPr="00125A94" w:rsidRDefault="00F378DE" w:rsidP="00585025">
            <w:pPr>
              <w:pStyle w:val="Normal-pool"/>
              <w:keepNext/>
              <w:keepLines/>
              <w:spacing w:after="120"/>
              <w:rPr>
                <w:lang w:val="es-ES_tradnl"/>
              </w:rPr>
            </w:pPr>
            <w:r>
              <w:rPr>
                <w:lang w:val="es-ES"/>
              </w:rPr>
              <w:t>Para la clasificación de los desechos tóxicos, el</w:t>
            </w:r>
            <w:r w:rsidR="00686062">
              <w:rPr>
                <w:lang w:val="es-ES"/>
              </w:rPr>
              <w:t xml:space="preserve"> umbral máximo permisible determinado mediante</w:t>
            </w:r>
            <w:r>
              <w:rPr>
                <w:lang w:val="es-ES"/>
              </w:rPr>
              <w:t xml:space="preserve"> </w:t>
            </w:r>
            <w:r w:rsidR="00686062">
              <w:rPr>
                <w:lang w:val="es-ES"/>
              </w:rPr>
              <w:t>prueba</w:t>
            </w:r>
            <w:r>
              <w:rPr>
                <w:lang w:val="es-ES"/>
              </w:rPr>
              <w:t xml:space="preserve"> de lixiviación es 0,2 mg de Hg/l.</w:t>
            </w:r>
          </w:p>
        </w:tc>
        <w:tc>
          <w:tcPr>
            <w:tcW w:w="4536" w:type="dxa"/>
            <w:gridSpan w:val="2"/>
            <w:shd w:val="clear" w:color="auto" w:fill="auto"/>
          </w:tcPr>
          <w:p w:rsidR="00F378DE" w:rsidRPr="00125A94" w:rsidRDefault="00F378DE" w:rsidP="00585025">
            <w:pPr>
              <w:pStyle w:val="Normal-pool"/>
              <w:keepNext/>
              <w:keepLines/>
              <w:spacing w:after="120"/>
              <w:rPr>
                <w:lang w:val="es-ES_tradnl"/>
              </w:rPr>
            </w:pPr>
            <w:r>
              <w:rPr>
                <w:lang w:val="es-ES"/>
              </w:rPr>
              <w:t xml:space="preserve">La </w:t>
            </w:r>
            <w:r>
              <w:rPr>
                <w:i/>
                <w:iCs/>
                <w:lang w:val="es-ES"/>
              </w:rPr>
              <w:t>Ley General para la Prevención y Gestión Integral de los Residuos</w:t>
            </w:r>
            <w:r w:rsidRPr="00C75418">
              <w:rPr>
                <w:rStyle w:val="FootnoteReference"/>
                <w:szCs w:val="20"/>
                <w:lang w:val="es-ES"/>
              </w:rPr>
              <w:footnoteReference w:id="7"/>
            </w:r>
            <w:r>
              <w:rPr>
                <w:lang w:val="es-ES"/>
              </w:rPr>
              <w:t xml:space="preserve"> regula la gestión ecológicamente racional de los desechos peligrosos y establece las condiciones para su recuperación, reciclado y reutilización. </w:t>
            </w:r>
          </w:p>
          <w:p w:rsidR="006A76AF" w:rsidRDefault="006A76AF" w:rsidP="00585025">
            <w:pPr>
              <w:pStyle w:val="Normal-pool"/>
              <w:keepNext/>
              <w:keepLines/>
              <w:spacing w:after="120"/>
              <w:rPr>
                <w:lang w:val="es-ES"/>
              </w:rPr>
            </w:pPr>
          </w:p>
          <w:p w:rsidR="00F378DE" w:rsidRPr="00125A94" w:rsidRDefault="00F378DE" w:rsidP="00585025">
            <w:pPr>
              <w:pStyle w:val="Normal-pool"/>
              <w:keepNext/>
              <w:keepLines/>
              <w:spacing w:after="120"/>
              <w:rPr>
                <w:lang w:val="es-ES_tradnl"/>
              </w:rPr>
            </w:pPr>
            <w:r>
              <w:rPr>
                <w:lang w:val="es-ES"/>
              </w:rPr>
              <w:t xml:space="preserve">La norma </w:t>
            </w:r>
            <w:r>
              <w:rPr>
                <w:i/>
                <w:iCs/>
                <w:lang w:val="es-ES"/>
              </w:rPr>
              <w:t>NOM-052-SEMARNAT-2005</w:t>
            </w:r>
            <w:r w:rsidRPr="00C75418">
              <w:rPr>
                <w:rStyle w:val="FootnoteReference"/>
                <w:szCs w:val="20"/>
                <w:lang w:val="es-ES"/>
              </w:rPr>
              <w:footnoteReference w:id="8"/>
            </w:r>
            <w:r>
              <w:rPr>
                <w:lang w:val="es-ES"/>
              </w:rPr>
              <w:t xml:space="preserve"> establece el límite máximo de mercurio para los desechos peligrosos.</w:t>
            </w:r>
          </w:p>
        </w:tc>
      </w:tr>
      <w:tr w:rsidR="00F378DE" w:rsidRPr="006B3465" w:rsidTr="006B3465">
        <w:trPr>
          <w:gridBefore w:val="1"/>
          <w:gridAfter w:val="1"/>
          <w:wBefore w:w="392" w:type="dxa"/>
          <w:wAfter w:w="77" w:type="dxa"/>
        </w:trPr>
        <w:tc>
          <w:tcPr>
            <w:tcW w:w="1276" w:type="dxa"/>
            <w:shd w:val="clear" w:color="auto" w:fill="auto"/>
          </w:tcPr>
          <w:p w:rsidR="00F378DE" w:rsidRPr="00F378DE" w:rsidRDefault="00F378DE" w:rsidP="00585025">
            <w:pPr>
              <w:pStyle w:val="Normal-pool"/>
              <w:spacing w:after="120"/>
              <w:rPr>
                <w:b/>
                <w:bCs/>
              </w:rPr>
            </w:pPr>
            <w:r w:rsidRPr="00F378DE">
              <w:rPr>
                <w:b/>
                <w:lang w:val="es-ES"/>
              </w:rPr>
              <w:t>Noruega</w:t>
            </w:r>
          </w:p>
        </w:tc>
        <w:tc>
          <w:tcPr>
            <w:tcW w:w="2693" w:type="dxa"/>
            <w:gridSpan w:val="2"/>
            <w:shd w:val="clear" w:color="auto" w:fill="auto"/>
          </w:tcPr>
          <w:p w:rsidR="00F378DE" w:rsidRPr="00125A94" w:rsidRDefault="00F378DE" w:rsidP="00585025">
            <w:pPr>
              <w:pStyle w:val="Normal-pool"/>
              <w:spacing w:after="120"/>
              <w:rPr>
                <w:lang w:val="es-ES_tradnl"/>
              </w:rPr>
            </w:pPr>
            <w:r>
              <w:rPr>
                <w:lang w:val="es-ES"/>
              </w:rPr>
              <w:t xml:space="preserve">No existe una definición oficial de los desechos de mercurio. Los desechos cuyo contenido de mercurio excede el umbral se consideran desechos peligrosos. </w:t>
            </w:r>
          </w:p>
        </w:tc>
        <w:tc>
          <w:tcPr>
            <w:tcW w:w="5670" w:type="dxa"/>
            <w:gridSpan w:val="3"/>
          </w:tcPr>
          <w:p w:rsidR="00F378DE" w:rsidRPr="00125A94" w:rsidRDefault="00F378DE" w:rsidP="00585025">
            <w:pPr>
              <w:pStyle w:val="Normal-pool"/>
              <w:spacing w:after="120"/>
              <w:rPr>
                <w:lang w:val="es-ES_tradnl"/>
              </w:rPr>
            </w:pPr>
            <w:r>
              <w:rPr>
                <w:lang w:val="es-ES"/>
              </w:rPr>
              <w:t>Para los desechos peligrosos, el umbral es 0,1%.</w:t>
            </w:r>
          </w:p>
          <w:p w:rsidR="00F378DE" w:rsidRPr="00125A94" w:rsidRDefault="00F378DE" w:rsidP="00585025">
            <w:pPr>
              <w:pStyle w:val="Normal-pool"/>
              <w:spacing w:after="120"/>
              <w:rPr>
                <w:lang w:val="es-ES_tradnl"/>
              </w:rPr>
            </w:pPr>
          </w:p>
        </w:tc>
        <w:tc>
          <w:tcPr>
            <w:tcW w:w="4536" w:type="dxa"/>
            <w:gridSpan w:val="2"/>
            <w:shd w:val="clear" w:color="auto" w:fill="auto"/>
          </w:tcPr>
          <w:p w:rsidR="00F378DE" w:rsidRPr="00125A94" w:rsidRDefault="00F378DE" w:rsidP="00585025">
            <w:pPr>
              <w:pStyle w:val="Normal-pool"/>
              <w:spacing w:after="120"/>
              <w:rPr>
                <w:lang w:val="es-ES_tradnl"/>
              </w:rPr>
            </w:pPr>
            <w:r>
              <w:rPr>
                <w:lang w:val="es-ES"/>
              </w:rPr>
              <w:t xml:space="preserve">En el capítulo 11 del </w:t>
            </w:r>
            <w:r>
              <w:rPr>
                <w:i/>
                <w:iCs/>
                <w:lang w:val="es-ES"/>
              </w:rPr>
              <w:t>Reglamento relativo al reciclaje de desechos (Reglamento de desechos)</w:t>
            </w:r>
            <w:r w:rsidRPr="00C75418">
              <w:rPr>
                <w:rStyle w:val="FootnoteReference"/>
                <w:szCs w:val="20"/>
                <w:lang w:val="es-ES"/>
              </w:rPr>
              <w:footnoteReference w:id="9"/>
            </w:r>
            <w:r w:rsidR="00686062">
              <w:rPr>
                <w:i/>
                <w:iCs/>
                <w:lang w:val="es-ES"/>
              </w:rPr>
              <w:t xml:space="preserve"> </w:t>
            </w:r>
            <w:r>
              <w:rPr>
                <w:lang w:val="es-ES"/>
              </w:rPr>
              <w:t xml:space="preserve">se define y regula el tratamiento de los desechos peligrosos. </w:t>
            </w:r>
          </w:p>
        </w:tc>
      </w:tr>
      <w:tr w:rsidR="00F378DE" w:rsidRPr="006B3465" w:rsidTr="006B3465">
        <w:trPr>
          <w:gridBefore w:val="1"/>
          <w:gridAfter w:val="1"/>
          <w:wBefore w:w="392" w:type="dxa"/>
          <w:wAfter w:w="77" w:type="dxa"/>
        </w:trPr>
        <w:tc>
          <w:tcPr>
            <w:tcW w:w="1276" w:type="dxa"/>
            <w:shd w:val="clear" w:color="auto" w:fill="auto"/>
          </w:tcPr>
          <w:p w:rsidR="00F378DE" w:rsidRPr="00F378DE" w:rsidRDefault="00F378DE" w:rsidP="002B751C">
            <w:pPr>
              <w:pStyle w:val="Normal-pool"/>
              <w:keepNext/>
              <w:keepLines/>
              <w:spacing w:after="120"/>
              <w:rPr>
                <w:b/>
                <w:bCs/>
              </w:rPr>
            </w:pPr>
            <w:r w:rsidRPr="00F378DE">
              <w:rPr>
                <w:b/>
                <w:lang w:val="es-ES"/>
              </w:rPr>
              <w:t>Suiza</w:t>
            </w:r>
          </w:p>
        </w:tc>
        <w:tc>
          <w:tcPr>
            <w:tcW w:w="2693" w:type="dxa"/>
            <w:gridSpan w:val="2"/>
            <w:shd w:val="clear" w:color="auto" w:fill="auto"/>
          </w:tcPr>
          <w:p w:rsidR="00F378DE" w:rsidRPr="00125A94" w:rsidRDefault="00F378DE" w:rsidP="002B751C">
            <w:pPr>
              <w:pStyle w:val="Normal-pool"/>
              <w:keepNext/>
              <w:keepLines/>
              <w:spacing w:after="120"/>
              <w:rPr>
                <w:lang w:val="es-ES_tradnl"/>
              </w:rPr>
            </w:pPr>
            <w:r>
              <w:rPr>
                <w:lang w:val="es-ES"/>
              </w:rPr>
              <w:t>La definición de desechos peligrosos se basa en las características peligrosas establecidas en el Convenio de Basilea.</w:t>
            </w:r>
          </w:p>
        </w:tc>
        <w:tc>
          <w:tcPr>
            <w:tcW w:w="5670" w:type="dxa"/>
            <w:gridSpan w:val="3"/>
          </w:tcPr>
          <w:p w:rsidR="00F378DE" w:rsidRPr="00125A94" w:rsidRDefault="00F378DE" w:rsidP="002B751C">
            <w:pPr>
              <w:pStyle w:val="Normal-pool"/>
              <w:keepNext/>
              <w:keepLines/>
              <w:spacing w:after="120"/>
              <w:rPr>
                <w:lang w:val="es-ES_tradnl"/>
              </w:rPr>
            </w:pPr>
            <w:r>
              <w:rPr>
                <w:lang w:val="es-ES"/>
              </w:rPr>
              <w:t>Los umbrales de mercurio en los desechos son los siguientes:</w:t>
            </w:r>
          </w:p>
          <w:p w:rsidR="00F378DE" w:rsidRPr="00125A94" w:rsidRDefault="00F378DE" w:rsidP="002B751C">
            <w:pPr>
              <w:pStyle w:val="Normal-pool"/>
              <w:keepNext/>
              <w:keepLines/>
              <w:spacing w:after="120"/>
              <w:rPr>
                <w:lang w:val="es-ES_tradnl"/>
              </w:rPr>
            </w:pPr>
            <w:r>
              <w:rPr>
                <w:lang w:val="es-ES"/>
              </w:rPr>
              <w:t xml:space="preserve"> Para desechos no acuosos: 5 mg/kg</w:t>
            </w:r>
          </w:p>
          <w:p w:rsidR="00F378DE" w:rsidRPr="00125A94" w:rsidRDefault="00F378DE" w:rsidP="002B751C">
            <w:pPr>
              <w:pStyle w:val="Normal-pool"/>
              <w:keepNext/>
              <w:keepLines/>
              <w:spacing w:after="120"/>
              <w:rPr>
                <w:lang w:val="es-ES_tradnl"/>
              </w:rPr>
            </w:pPr>
            <w:r>
              <w:rPr>
                <w:lang w:val="es-ES"/>
              </w:rPr>
              <w:t xml:space="preserve"> Para desechos acuosos: 0,01 mg/l</w:t>
            </w:r>
          </w:p>
        </w:tc>
        <w:tc>
          <w:tcPr>
            <w:tcW w:w="4536" w:type="dxa"/>
            <w:gridSpan w:val="2"/>
            <w:shd w:val="clear" w:color="auto" w:fill="auto"/>
          </w:tcPr>
          <w:p w:rsidR="00F378DE" w:rsidRPr="00125A94" w:rsidRDefault="00F378DE" w:rsidP="002B751C">
            <w:pPr>
              <w:pStyle w:val="Normal-pool"/>
              <w:keepNext/>
              <w:keepLines/>
              <w:spacing w:after="120"/>
              <w:rPr>
                <w:lang w:val="es-ES_tradnl"/>
              </w:rPr>
            </w:pPr>
            <w:r>
              <w:rPr>
                <w:lang w:val="es-ES"/>
              </w:rPr>
              <w:t xml:space="preserve">La </w:t>
            </w:r>
            <w:r>
              <w:rPr>
                <w:i/>
                <w:iCs/>
                <w:lang w:val="es-ES"/>
              </w:rPr>
              <w:t>Ordenanza técnica sobre el tratamiento de los desechos</w:t>
            </w:r>
            <w:r w:rsidRPr="00C75418">
              <w:rPr>
                <w:rStyle w:val="FootnoteReference"/>
                <w:szCs w:val="20"/>
                <w:lang w:val="es-ES"/>
              </w:rPr>
              <w:footnoteReference w:id="10"/>
            </w:r>
            <w:r>
              <w:rPr>
                <w:lang w:val="es-ES"/>
              </w:rPr>
              <w:t xml:space="preserve"> y la </w:t>
            </w:r>
            <w:r>
              <w:rPr>
                <w:i/>
                <w:iCs/>
                <w:lang w:val="es-ES"/>
              </w:rPr>
              <w:t>Ordenanza sobre la rehabilitación de los sitios contaminados</w:t>
            </w:r>
            <w:r w:rsidRPr="00C75418">
              <w:rPr>
                <w:rStyle w:val="FootnoteReference"/>
                <w:szCs w:val="20"/>
                <w:lang w:val="es-ES"/>
              </w:rPr>
              <w:footnoteReference w:id="11"/>
            </w:r>
            <w:r w:rsidR="00686062">
              <w:rPr>
                <w:lang w:val="es-ES"/>
              </w:rPr>
              <w:t xml:space="preserve"> </w:t>
            </w:r>
            <w:proofErr w:type="gramStart"/>
            <w:r w:rsidR="00686062">
              <w:rPr>
                <w:lang w:val="es-ES"/>
              </w:rPr>
              <w:t>establece</w:t>
            </w:r>
            <w:proofErr w:type="gramEnd"/>
            <w:r>
              <w:rPr>
                <w:lang w:val="es-ES"/>
              </w:rPr>
              <w:t xml:space="preserve"> los umbrales de mercurio en los desechos.</w:t>
            </w:r>
          </w:p>
        </w:tc>
      </w:tr>
      <w:tr w:rsidR="00F378DE" w:rsidRPr="006B3465" w:rsidTr="006B3465">
        <w:trPr>
          <w:gridBefore w:val="1"/>
          <w:gridAfter w:val="1"/>
          <w:wBefore w:w="392" w:type="dxa"/>
          <w:wAfter w:w="77" w:type="dxa"/>
        </w:trPr>
        <w:tc>
          <w:tcPr>
            <w:tcW w:w="1276" w:type="dxa"/>
            <w:shd w:val="clear" w:color="auto" w:fill="auto"/>
          </w:tcPr>
          <w:p w:rsidR="00F378DE" w:rsidRPr="00125A94" w:rsidRDefault="00F378DE" w:rsidP="00585025">
            <w:pPr>
              <w:pStyle w:val="Normal-pool"/>
              <w:spacing w:after="120"/>
              <w:rPr>
                <w:b/>
                <w:bCs/>
                <w:lang w:val="es-ES_tradnl"/>
              </w:rPr>
            </w:pPr>
            <w:r w:rsidRPr="00F378DE">
              <w:rPr>
                <w:b/>
                <w:lang w:val="es-ES"/>
              </w:rPr>
              <w:t>Unión Europea y sus Estados miembros</w:t>
            </w:r>
          </w:p>
        </w:tc>
        <w:tc>
          <w:tcPr>
            <w:tcW w:w="2693" w:type="dxa"/>
            <w:gridSpan w:val="2"/>
            <w:shd w:val="clear" w:color="auto" w:fill="auto"/>
          </w:tcPr>
          <w:p w:rsidR="00F378DE" w:rsidRPr="00125A94" w:rsidRDefault="00F378DE" w:rsidP="00585025">
            <w:pPr>
              <w:pStyle w:val="Normal-pool"/>
              <w:spacing w:after="120"/>
              <w:rPr>
                <w:lang w:val="es-ES_tradnl"/>
              </w:rPr>
            </w:pPr>
            <w:r>
              <w:rPr>
                <w:lang w:val="es-ES"/>
              </w:rPr>
              <w:t>La Unión Europea no ha establecido umbrales para definir los desechos de mercurio. Existen criterios para definir los desechos peligrosos, para el almacenamiento temporal de desechos de mercurio y para determinados desechos eléctricos y electrónicos. Se considera que, en caso de establecerse umbrales, tal vez sea necesario usar más de uno para definir los desech</w:t>
            </w:r>
            <w:r w:rsidR="00AD1E23">
              <w:rPr>
                <w:lang w:val="es-ES"/>
              </w:rPr>
              <w:t>os de mercurio, dada</w:t>
            </w:r>
            <w:r>
              <w:rPr>
                <w:lang w:val="es-ES"/>
              </w:rPr>
              <w:t xml:space="preserve"> la diversa naturaleza de los desechos.</w:t>
            </w:r>
          </w:p>
        </w:tc>
        <w:tc>
          <w:tcPr>
            <w:tcW w:w="5670" w:type="dxa"/>
            <w:gridSpan w:val="3"/>
          </w:tcPr>
          <w:p w:rsidR="00F378DE" w:rsidRPr="00125A94" w:rsidRDefault="00F378DE" w:rsidP="00585025">
            <w:pPr>
              <w:pStyle w:val="Normal-pool"/>
              <w:spacing w:after="120"/>
              <w:rPr>
                <w:lang w:val="es-ES_tradnl"/>
              </w:rPr>
            </w:pPr>
            <w:r>
              <w:rPr>
                <w:lang w:val="es-ES"/>
              </w:rPr>
              <w:t>No se ha establecido ningún umbral.</w:t>
            </w:r>
          </w:p>
        </w:tc>
        <w:tc>
          <w:tcPr>
            <w:tcW w:w="4536" w:type="dxa"/>
            <w:gridSpan w:val="2"/>
            <w:shd w:val="clear" w:color="auto" w:fill="auto"/>
          </w:tcPr>
          <w:p w:rsidR="00F378DE" w:rsidRDefault="00F378DE" w:rsidP="00B350FD">
            <w:pPr>
              <w:pStyle w:val="Normal-pool"/>
              <w:rPr>
                <w:lang w:val="es-ES"/>
              </w:rPr>
            </w:pPr>
            <w:r>
              <w:rPr>
                <w:lang w:val="es-ES"/>
              </w:rPr>
              <w:t xml:space="preserve">La </w:t>
            </w:r>
            <w:r>
              <w:rPr>
                <w:i/>
                <w:iCs/>
                <w:lang w:val="es-ES"/>
              </w:rPr>
              <w:t>Decisión 2000/532 de la Comisión</w:t>
            </w:r>
            <w:r w:rsidRPr="00C75418">
              <w:rPr>
                <w:rStyle w:val="FootnoteReference"/>
                <w:szCs w:val="20"/>
                <w:lang w:val="es-ES"/>
              </w:rPr>
              <w:footnoteReference w:id="12"/>
            </w:r>
            <w:r>
              <w:rPr>
                <w:lang w:val="es-ES"/>
              </w:rPr>
              <w:t xml:space="preserve"> establece una lista de desechos peligrosos y sustituye </w:t>
            </w:r>
            <w:r w:rsidR="00570D72">
              <w:rPr>
                <w:lang w:val="es-ES"/>
              </w:rPr>
              <w:t xml:space="preserve">a </w:t>
            </w:r>
            <w:r>
              <w:rPr>
                <w:lang w:val="es-ES"/>
              </w:rPr>
              <w:t>las decisiones anteriores sobre la cuestión. En concreto, en el párrafo 4 del anexo se resalta que los desechos que contienen mercurio se consideran peligrosos.</w:t>
            </w:r>
          </w:p>
          <w:p w:rsidR="006A76AF" w:rsidRPr="00125A94" w:rsidRDefault="006A76AF" w:rsidP="006B3465">
            <w:pPr>
              <w:pStyle w:val="Normal-pool"/>
              <w:rPr>
                <w:lang w:val="es-ES_tradnl"/>
              </w:rPr>
            </w:pPr>
          </w:p>
          <w:p w:rsidR="00F378DE" w:rsidRPr="00125A94" w:rsidRDefault="00F378DE" w:rsidP="00B350FD">
            <w:pPr>
              <w:pStyle w:val="Normal-pool"/>
              <w:rPr>
                <w:lang w:val="es-ES_tradnl"/>
              </w:rPr>
            </w:pPr>
            <w:r>
              <w:rPr>
                <w:lang w:val="es-ES"/>
              </w:rPr>
              <w:t xml:space="preserve">La </w:t>
            </w:r>
            <w:r>
              <w:rPr>
                <w:i/>
                <w:iCs/>
                <w:lang w:val="es-ES"/>
              </w:rPr>
              <w:t>Directiva 2011/97/UE del Consejo</w:t>
            </w:r>
            <w:r w:rsidRPr="00AD1E23">
              <w:rPr>
                <w:rStyle w:val="FootnoteReference"/>
                <w:iCs/>
                <w:szCs w:val="20"/>
                <w:lang w:val="es-ES"/>
              </w:rPr>
              <w:footnoteReference w:id="13"/>
            </w:r>
            <w:r>
              <w:rPr>
                <w:lang w:val="es-ES"/>
              </w:rPr>
              <w:t xml:space="preserve"> enmienda la Directiva 1999/31/CE</w:t>
            </w:r>
            <w:r w:rsidRPr="00C75418">
              <w:rPr>
                <w:rStyle w:val="FootnoteReference"/>
                <w:szCs w:val="20"/>
                <w:lang w:val="es-ES"/>
              </w:rPr>
              <w:footnoteReference w:id="14"/>
            </w:r>
            <w:r>
              <w:rPr>
                <w:lang w:val="es-ES"/>
              </w:rPr>
              <w:t xml:space="preserve"> de la Unión Europea sobre los criterios para el almacenamiento de mercurio metálico de los desechos. </w:t>
            </w:r>
          </w:p>
          <w:p w:rsidR="006A76AF" w:rsidRDefault="006A76AF" w:rsidP="006B3465">
            <w:pPr>
              <w:pStyle w:val="Normal-pool"/>
              <w:rPr>
                <w:lang w:val="es-ES"/>
              </w:rPr>
            </w:pPr>
          </w:p>
          <w:p w:rsidR="00F378DE" w:rsidRPr="00125A94" w:rsidRDefault="00F378DE" w:rsidP="00585025">
            <w:pPr>
              <w:pStyle w:val="Normal-pool"/>
              <w:spacing w:after="120"/>
              <w:rPr>
                <w:lang w:val="es-ES_tradnl"/>
              </w:rPr>
            </w:pPr>
            <w:r>
              <w:rPr>
                <w:lang w:val="es-ES"/>
              </w:rPr>
              <w:t xml:space="preserve">La </w:t>
            </w:r>
            <w:r>
              <w:rPr>
                <w:i/>
                <w:iCs/>
                <w:lang w:val="es-ES"/>
              </w:rPr>
              <w:t>Directiva 2012/19/UE del Parlamento Europeo y del Consejo</w:t>
            </w:r>
            <w:r w:rsidRPr="00C75418">
              <w:rPr>
                <w:rStyle w:val="FootnoteReference"/>
                <w:szCs w:val="20"/>
                <w:lang w:val="es-ES"/>
              </w:rPr>
              <w:footnoteReference w:id="15"/>
            </w:r>
            <w:r>
              <w:rPr>
                <w:lang w:val="es-ES"/>
              </w:rPr>
              <w:t xml:space="preserve"> sobre residuos de aparatos eléctricos y electrónicos contiene disposiciones sobre la gestión ambientalmente racional de los residuos de aparatos eléctricos y electrónicos y se incluyen requisitos sobre la separación de ciertos compuestos de mercurio.</w:t>
            </w:r>
          </w:p>
        </w:tc>
      </w:tr>
      <w:tr w:rsidR="00202268" w:rsidRPr="006B3465" w:rsidTr="006B3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2928" w:type="dxa"/>
            <w:gridSpan w:val="3"/>
            <w:shd w:val="clear" w:color="auto" w:fill="auto"/>
          </w:tcPr>
          <w:p w:rsidR="00202268" w:rsidRPr="006B3465" w:rsidRDefault="00202268" w:rsidP="00202268">
            <w:pPr>
              <w:pStyle w:val="Normal-pool"/>
              <w:spacing w:before="520"/>
              <w:rPr>
                <w:lang w:val="es-ES"/>
              </w:rPr>
            </w:pPr>
          </w:p>
        </w:tc>
        <w:tc>
          <w:tcPr>
            <w:tcW w:w="2929" w:type="dxa"/>
            <w:gridSpan w:val="2"/>
            <w:shd w:val="clear" w:color="auto" w:fill="auto"/>
          </w:tcPr>
          <w:p w:rsidR="00202268" w:rsidRPr="00125A94" w:rsidRDefault="00202268" w:rsidP="00202268">
            <w:pPr>
              <w:pStyle w:val="Normal-pool"/>
              <w:spacing w:before="520"/>
              <w:rPr>
                <w:lang w:val="es-ES_tradnl"/>
              </w:rPr>
            </w:pPr>
          </w:p>
        </w:tc>
        <w:tc>
          <w:tcPr>
            <w:tcW w:w="2929" w:type="dxa"/>
            <w:tcBorders>
              <w:bottom w:val="single" w:sz="4" w:space="0" w:color="auto"/>
            </w:tcBorders>
            <w:shd w:val="clear" w:color="auto" w:fill="auto"/>
          </w:tcPr>
          <w:p w:rsidR="00202268" w:rsidRPr="00125A94" w:rsidRDefault="00202268" w:rsidP="00202268">
            <w:pPr>
              <w:pStyle w:val="Normal-pool"/>
              <w:spacing w:before="520"/>
              <w:rPr>
                <w:lang w:val="es-ES_tradnl"/>
              </w:rPr>
            </w:pPr>
          </w:p>
        </w:tc>
        <w:tc>
          <w:tcPr>
            <w:tcW w:w="2929" w:type="dxa"/>
            <w:gridSpan w:val="2"/>
            <w:shd w:val="clear" w:color="auto" w:fill="auto"/>
          </w:tcPr>
          <w:p w:rsidR="00202268" w:rsidRPr="00125A94" w:rsidRDefault="00202268" w:rsidP="00202268">
            <w:pPr>
              <w:pStyle w:val="Normal-pool"/>
              <w:spacing w:before="520"/>
              <w:rPr>
                <w:lang w:val="es-ES_tradnl"/>
              </w:rPr>
            </w:pPr>
          </w:p>
        </w:tc>
        <w:tc>
          <w:tcPr>
            <w:tcW w:w="2929" w:type="dxa"/>
            <w:gridSpan w:val="2"/>
            <w:shd w:val="clear" w:color="auto" w:fill="auto"/>
          </w:tcPr>
          <w:p w:rsidR="00202268" w:rsidRPr="00125A94" w:rsidRDefault="00202268" w:rsidP="00202268">
            <w:pPr>
              <w:pStyle w:val="Normal-pool"/>
              <w:spacing w:before="520"/>
              <w:rPr>
                <w:lang w:val="es-ES_tradnl"/>
              </w:rPr>
            </w:pPr>
          </w:p>
        </w:tc>
      </w:tr>
    </w:tbl>
    <w:p w:rsidR="00202268" w:rsidRPr="00125A94" w:rsidRDefault="00202268" w:rsidP="006B0CFE">
      <w:pPr>
        <w:pStyle w:val="Normal-pool"/>
        <w:rPr>
          <w:lang w:val="es-ES_tradnl"/>
        </w:rPr>
      </w:pPr>
    </w:p>
    <w:sectPr w:rsidR="00202268" w:rsidRPr="00125A94" w:rsidSect="006B0CFE">
      <w:headerReference w:type="even" r:id="rId20"/>
      <w:headerReference w:type="default" r:id="rId21"/>
      <w:headerReference w:type="first" r:id="rId22"/>
      <w:footerReference w:type="first" r:id="rId23"/>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65" w:rsidRDefault="006B3465">
      <w:r>
        <w:separator/>
      </w:r>
    </w:p>
  </w:endnote>
  <w:endnote w:type="continuationSeparator" w:id="0">
    <w:p w:rsidR="006B3465" w:rsidRDefault="006B3465">
      <w:r>
        <w:continuationSeparator/>
      </w:r>
    </w:p>
  </w:endnote>
  <w:endnote w:type="continuationNotice" w:id="1">
    <w:p w:rsidR="006B3465" w:rsidRDefault="006B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Default="006B3465">
    <w:pPr>
      <w:pStyle w:val="Footer"/>
    </w:pPr>
    <w:r>
      <w:rPr>
        <w:rStyle w:val="PageNumber"/>
      </w:rPr>
      <w:fldChar w:fldCharType="begin"/>
    </w:r>
    <w:r>
      <w:rPr>
        <w:rStyle w:val="PageNumber"/>
      </w:rPr>
      <w:instrText xml:space="preserve"> PAGE </w:instrText>
    </w:r>
    <w:r>
      <w:rPr>
        <w:rStyle w:val="PageNumber"/>
      </w:rPr>
      <w:fldChar w:fldCharType="separate"/>
    </w:r>
    <w:r w:rsidR="00B350F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Default="006B346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350FD">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C63F2A" w:rsidRDefault="00C63F2A" w:rsidP="00B1765B">
    <w:pPr>
      <w:pStyle w:val="Footer"/>
      <w:tabs>
        <w:tab w:val="clear" w:pos="1247"/>
        <w:tab w:val="clear" w:pos="1814"/>
        <w:tab w:val="clear" w:pos="2381"/>
        <w:tab w:val="clear" w:pos="2948"/>
        <w:tab w:val="clear" w:pos="3515"/>
        <w:tab w:val="clear" w:pos="4320"/>
        <w:tab w:val="clear" w:pos="8640"/>
        <w:tab w:val="left" w:pos="624"/>
      </w:tabs>
      <w:rPr>
        <w:sz w:val="20"/>
      </w:rPr>
    </w:pPr>
    <w:r w:rsidRPr="00C63F2A">
      <w:rPr>
        <w:sz w:val="20"/>
        <w:lang w:val="es-ES"/>
      </w:rPr>
      <w:t>K1504059</w:t>
    </w:r>
    <w:r w:rsidRPr="00C63F2A">
      <w:rPr>
        <w:sz w:val="20"/>
        <w:lang w:val="es-ES"/>
      </w:rPr>
      <w:tab/>
      <w:t>20</w:t>
    </w:r>
    <w:r w:rsidR="006B3465" w:rsidRPr="00C63F2A">
      <w:rPr>
        <w:sz w:val="20"/>
        <w:lang w:val="es-ES"/>
      </w:rPr>
      <w:t>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6B0CFE" w:rsidRDefault="006B3465" w:rsidP="006B0CFE">
    <w:pPr>
      <w:pStyle w:val="Footer"/>
      <w:tabs>
        <w:tab w:val="clear" w:pos="1247"/>
        <w:tab w:val="clear" w:pos="1814"/>
        <w:tab w:val="clear" w:pos="2381"/>
        <w:tab w:val="clear" w:pos="2948"/>
        <w:tab w:val="clear" w:pos="3515"/>
        <w:tab w:val="clear" w:pos="4320"/>
        <w:tab w:val="clear" w:pos="8640"/>
        <w:tab w:val="left" w:pos="624"/>
      </w:tabs>
      <w:jc w:val="right"/>
      <w:rPr>
        <w:b/>
      </w:rPr>
    </w:pPr>
    <w:r>
      <w:fldChar w:fldCharType="begin"/>
    </w:r>
    <w:r>
      <w:instrText xml:space="preserve"> PAGE   \* MERGEFORMAT </w:instrText>
    </w:r>
    <w:r>
      <w:fldChar w:fldCharType="separate"/>
    </w:r>
    <w:r w:rsidR="00B350FD" w:rsidRPr="00B350FD">
      <w:rPr>
        <w:b/>
        <w:noProof/>
      </w:rPr>
      <w:t>3</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65" w:rsidRDefault="006B3465" w:rsidP="006B0CFE">
      <w:pPr>
        <w:spacing w:before="60"/>
        <w:ind w:left="624"/>
      </w:pPr>
      <w:r>
        <w:separator/>
      </w:r>
    </w:p>
  </w:footnote>
  <w:footnote w:type="continuationSeparator" w:id="0">
    <w:p w:rsidR="006B3465" w:rsidRDefault="006B3465">
      <w:r>
        <w:continuationSeparator/>
      </w:r>
    </w:p>
  </w:footnote>
  <w:footnote w:type="continuationNotice" w:id="1">
    <w:p w:rsidR="006B3465" w:rsidRDefault="006B3465"/>
  </w:footnote>
  <w:footnote w:id="2">
    <w:p w:rsidR="006B3465" w:rsidRPr="00C63F2A" w:rsidRDefault="006B3465" w:rsidP="00732C8E">
      <w:pPr>
        <w:tabs>
          <w:tab w:val="left" w:pos="624"/>
        </w:tabs>
        <w:spacing w:before="60"/>
        <w:ind w:left="1247"/>
        <w:rPr>
          <w:sz w:val="18"/>
          <w:szCs w:val="18"/>
          <w:lang w:val="es-ES_tradnl"/>
        </w:rPr>
      </w:pPr>
      <w:r w:rsidRPr="00C63F2A">
        <w:rPr>
          <w:sz w:val="18"/>
          <w:szCs w:val="18"/>
          <w:lang w:val="es-ES"/>
        </w:rPr>
        <w:t>* UNEP(DTIE)/Hg/INC.7/1.</w:t>
      </w:r>
    </w:p>
  </w:footnote>
  <w:footnote w:id="3">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http://www.ccs.ufrj.br/images/biosseguranca/CLASSIFICACAO_DE_RESIDUOS_SOLIDOS_NBR_10004_ABNT.pdf. Consultado el 7 de diciembre de 2015.</w:t>
      </w:r>
    </w:p>
  </w:footnote>
  <w:footnote w:id="4">
    <w:p w:rsidR="006B3465" w:rsidRPr="00B350FD" w:rsidRDefault="006B3465">
      <w:pPr>
        <w:pStyle w:val="FootnoteText"/>
        <w:rPr>
          <w:szCs w:val="18"/>
        </w:rPr>
      </w:pPr>
      <w:r w:rsidRPr="00B350FD">
        <w:rPr>
          <w:rStyle w:val="FootnoteReference"/>
          <w:sz w:val="18"/>
          <w:lang w:val="es-ES"/>
        </w:rPr>
        <w:footnoteRef/>
      </w:r>
      <w:r w:rsidRPr="00B350FD">
        <w:rPr>
          <w:szCs w:val="18"/>
        </w:rPr>
        <w:t xml:space="preserve"> http://www.ec.gc.ca/lcpe-cepa/eng/regulations/detailReg.cfm?intReg=84. </w:t>
      </w:r>
      <w:r w:rsidRPr="00B350FD">
        <w:rPr>
          <w:szCs w:val="18"/>
          <w:lang w:val="es-ES"/>
        </w:rPr>
        <w:t>Consultado el 4 de diciembre de 2015.</w:t>
      </w:r>
    </w:p>
  </w:footnote>
  <w:footnote w:id="5">
    <w:p w:rsidR="006B3465" w:rsidRPr="00194F0F" w:rsidRDefault="006B3465">
      <w:pPr>
        <w:pStyle w:val="FootnoteText"/>
        <w:rPr>
          <w:sz w:val="16"/>
          <w:szCs w:val="16"/>
        </w:rPr>
      </w:pPr>
      <w:r w:rsidRPr="00B350FD">
        <w:rPr>
          <w:rStyle w:val="FootnoteReference"/>
          <w:sz w:val="18"/>
          <w:lang w:val="es-ES"/>
        </w:rPr>
        <w:footnoteRef/>
      </w:r>
      <w:r w:rsidRPr="00B350FD">
        <w:rPr>
          <w:szCs w:val="18"/>
          <w:lang w:val="es-ES"/>
        </w:rPr>
        <w:t xml:space="preserve"> https://www.tc.gc.ca/eng/tdg/clear-menu-497.htm. Consultado el 4 de diciembre de 2015.</w:t>
      </w:r>
    </w:p>
  </w:footnote>
  <w:footnote w:id="6">
    <w:p w:rsidR="006B3465" w:rsidRPr="00B350FD" w:rsidRDefault="006B3465">
      <w:pPr>
        <w:pStyle w:val="FootnoteText"/>
        <w:rPr>
          <w:szCs w:val="18"/>
        </w:rPr>
      </w:pPr>
      <w:r w:rsidRPr="00B350FD">
        <w:rPr>
          <w:rStyle w:val="FootnoteReference"/>
          <w:sz w:val="18"/>
          <w:lang w:val="es-ES"/>
        </w:rPr>
        <w:footnoteRef/>
      </w:r>
      <w:r w:rsidRPr="00B350FD">
        <w:rPr>
          <w:szCs w:val="18"/>
        </w:rPr>
        <w:t xml:space="preserve"> </w:t>
      </w:r>
      <w:proofErr w:type="gramStart"/>
      <w:r w:rsidRPr="00B350FD">
        <w:rPr>
          <w:szCs w:val="18"/>
        </w:rPr>
        <w:t>http</w:t>
      </w:r>
      <w:proofErr w:type="gramEnd"/>
      <w:r w:rsidRPr="00B350FD">
        <w:rPr>
          <w:szCs w:val="18"/>
        </w:rPr>
        <w:t xml:space="preserve">://www2.epa.gov/laws-regulations/summary-resource-conservation-and-recovery-act. </w:t>
      </w:r>
      <w:r w:rsidRPr="00B350FD">
        <w:rPr>
          <w:szCs w:val="18"/>
          <w:lang w:val="es-ES"/>
        </w:rPr>
        <w:t>Consultado el 4 de diciembre de 2015.</w:t>
      </w:r>
    </w:p>
  </w:footnote>
  <w:footnote w:id="7">
    <w:p w:rsidR="006B3465" w:rsidRPr="00B350FD" w:rsidRDefault="006B3465">
      <w:pPr>
        <w:pStyle w:val="FootnoteText"/>
        <w:rPr>
          <w:b/>
          <w:szCs w:val="18"/>
        </w:rPr>
      </w:pPr>
      <w:r w:rsidRPr="00B350FD">
        <w:rPr>
          <w:rStyle w:val="FootnoteReference"/>
          <w:sz w:val="18"/>
          <w:lang w:val="es-ES"/>
        </w:rPr>
        <w:footnoteRef/>
      </w:r>
      <w:r w:rsidRPr="00B350FD">
        <w:rPr>
          <w:szCs w:val="18"/>
          <w:lang w:val="es-ES"/>
        </w:rPr>
        <w:t xml:space="preserve"> http://www.pemex.com/acerca/marco_normativo/Documents/leyes/LeyGral-PGIR_051113.pdf. Consultado el 8 de diciembre de 2015.</w:t>
      </w:r>
    </w:p>
  </w:footnote>
  <w:footnote w:id="8">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http://www.inb.unam.mx/stecnica/nom052_semarnat.pdf. Consultado el 8 de diciembre de 2015.</w:t>
      </w:r>
    </w:p>
  </w:footnote>
  <w:footnote w:id="9">
    <w:p w:rsidR="006B3465" w:rsidRPr="007E64B0" w:rsidRDefault="006B3465">
      <w:pPr>
        <w:pStyle w:val="FootnoteText"/>
        <w:rPr>
          <w:sz w:val="16"/>
          <w:szCs w:val="16"/>
        </w:rPr>
      </w:pPr>
      <w:r w:rsidRPr="00B350FD">
        <w:rPr>
          <w:rStyle w:val="FootnoteReference"/>
          <w:sz w:val="18"/>
          <w:lang w:val="es-ES"/>
        </w:rPr>
        <w:footnoteRef/>
      </w:r>
      <w:r w:rsidRPr="00B350FD">
        <w:rPr>
          <w:szCs w:val="18"/>
        </w:rPr>
        <w:t xml:space="preserve"> http://www.miljodirektoratet.no/no/Regelverk/Forskrifter/Regulations-relating-to-the-recycling-of-waste-Waste-Regulations/Chapter-11-Hazardous-waste/. </w:t>
      </w:r>
      <w:r w:rsidRPr="00B350FD">
        <w:rPr>
          <w:szCs w:val="18"/>
          <w:lang w:val="es-ES"/>
        </w:rPr>
        <w:t>Consultado el 4 de diciembre de 2015.</w:t>
      </w:r>
    </w:p>
  </w:footnote>
  <w:footnote w:id="10">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https://www.admin.ch/opc/de/classified-compilation/19900325/201107010000/814.600.pdf. Consultado el 4 de diciembre de 2015.</w:t>
      </w:r>
    </w:p>
  </w:footnote>
  <w:footnote w:id="11">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https://www.admin.ch/opc/en/classified-compilation/19983151/201503010000/814.680.pdf. Consultado el 4 de diciembre de 2015.</w:t>
      </w:r>
    </w:p>
  </w:footnote>
  <w:footnote w:id="12">
    <w:p w:rsidR="006B3465" w:rsidRPr="00B350FD" w:rsidRDefault="006B3465">
      <w:pPr>
        <w:pStyle w:val="FootnoteText"/>
        <w:rPr>
          <w:szCs w:val="18"/>
        </w:rPr>
      </w:pPr>
      <w:r w:rsidRPr="00B350FD">
        <w:rPr>
          <w:rStyle w:val="FootnoteReference"/>
          <w:sz w:val="18"/>
          <w:lang w:val="es-ES"/>
        </w:rPr>
        <w:footnoteRef/>
      </w:r>
      <w:r w:rsidRPr="00B350FD">
        <w:rPr>
          <w:szCs w:val="18"/>
        </w:rPr>
        <w:t xml:space="preserve"> </w:t>
      </w:r>
      <w:hyperlink r:id="rId1" w:history="1">
        <w:r w:rsidRPr="00B350FD">
          <w:rPr>
            <w:rStyle w:val="Hyperlink"/>
            <w:sz w:val="18"/>
            <w:szCs w:val="18"/>
          </w:rPr>
          <w:t>http://eur-lex.europa.eu/legal-conte</w:t>
        </w:r>
      </w:hyperlink>
      <w:r w:rsidRPr="00B350FD">
        <w:rPr>
          <w:szCs w:val="18"/>
        </w:rPr>
        <w:t>nt/ES/TXT/</w:t>
      </w:r>
      <w:proofErr w:type="gramStart"/>
      <w:r w:rsidRPr="00B350FD">
        <w:rPr>
          <w:szCs w:val="18"/>
        </w:rPr>
        <w:t>?uri</w:t>
      </w:r>
      <w:proofErr w:type="gramEnd"/>
      <w:r w:rsidRPr="00B350FD">
        <w:rPr>
          <w:szCs w:val="18"/>
        </w:rPr>
        <w:t xml:space="preserve">=CELEX:32000D0532. </w:t>
      </w:r>
      <w:r w:rsidRPr="00B350FD">
        <w:rPr>
          <w:szCs w:val="18"/>
          <w:lang w:val="es-ES"/>
        </w:rPr>
        <w:t>Consultado el 4 de diciembre de 2015.</w:t>
      </w:r>
    </w:p>
  </w:footnote>
  <w:footnote w:id="13">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http://eur-lex.europa.eu/legal-content/ES/TXT/?uri=CELEX:32011L0097. Consultado el 4 de diciembre de 2015.</w:t>
      </w:r>
    </w:p>
  </w:footnote>
  <w:footnote w:id="14">
    <w:p w:rsidR="006B3465" w:rsidRPr="00B350FD" w:rsidRDefault="006B3465">
      <w:pPr>
        <w:pStyle w:val="FootnoteText"/>
        <w:rPr>
          <w:szCs w:val="18"/>
        </w:rPr>
      </w:pPr>
      <w:r w:rsidRPr="00B350FD">
        <w:rPr>
          <w:rStyle w:val="FootnoteReference"/>
          <w:sz w:val="18"/>
          <w:lang w:val="es-ES"/>
        </w:rPr>
        <w:footnoteRef/>
      </w:r>
      <w:r w:rsidRPr="00B350FD">
        <w:rPr>
          <w:szCs w:val="18"/>
          <w:lang w:val="es-ES"/>
        </w:rPr>
        <w:t xml:space="preserve"> http://eur-lex.europa.eu/legal-content/ES/TXT/?uri=CELEX:31999L0031 Consultado el 4 de diciembre de 2015.</w:t>
      </w:r>
    </w:p>
  </w:footnote>
  <w:footnote w:id="15">
    <w:p w:rsidR="006B3465" w:rsidRPr="007E64B0" w:rsidRDefault="006B3465">
      <w:pPr>
        <w:pStyle w:val="FootnoteText"/>
        <w:rPr>
          <w:sz w:val="16"/>
          <w:szCs w:val="16"/>
        </w:rPr>
      </w:pPr>
      <w:r w:rsidRPr="00B350FD">
        <w:rPr>
          <w:rStyle w:val="FootnoteReference"/>
          <w:sz w:val="18"/>
          <w:lang w:val="es-ES"/>
        </w:rPr>
        <w:footnoteRef/>
      </w:r>
      <w:r w:rsidRPr="00B350FD">
        <w:rPr>
          <w:szCs w:val="18"/>
        </w:rPr>
        <w:t xml:space="preserve"> http://eur-lex.europa.eu/legal-content/ES/TXT/?uri=CELEX:32012L0019. </w:t>
      </w:r>
      <w:r w:rsidRPr="00B350FD">
        <w:rPr>
          <w:szCs w:val="18"/>
          <w:lang w:val="es-ES"/>
        </w:rPr>
        <w:t>Consultado el 4 de diciembre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CA5CA9" w:rsidRDefault="006B3465">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CA5CA9" w:rsidRDefault="006B3465" w:rsidP="000F49AA">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54474" o:spid="_x0000_s2051" type="#_x0000_t136" style="position:absolute;left:0;text-align:left;margin-left:0;margin-top:0;width:525.3pt;height:150.0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roofErr w:type="gramStart"/>
    <w:r w:rsidRPr="00CA5CA9">
      <w:rPr>
        <w:bCs/>
        <w:szCs w:val="18"/>
      </w:rPr>
      <w:t>UNEP</w:t>
    </w:r>
    <w:r>
      <w:rPr>
        <w:szCs w:val="18"/>
      </w:rPr>
      <w:t>(</w:t>
    </w:r>
    <w:proofErr w:type="gramEnd"/>
    <w:r>
      <w:rPr>
        <w:szCs w:val="18"/>
      </w:rPr>
      <w:t>DTIE)/Hg/INC.7</w:t>
    </w:r>
    <w:r w:rsidRPr="00CA5CA9">
      <w:rPr>
        <w:szCs w:val="18"/>
      </w:rPr>
      <w:t>/</w:t>
    </w:r>
    <w:r>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202268" w:rsidRDefault="006B3465" w:rsidP="0020226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6B0CFE" w:rsidRDefault="006B3465">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6B0CFE" w:rsidRDefault="006B3465" w:rsidP="006B0CFE">
    <w:pPr>
      <w:pStyle w:val="Header"/>
      <w:jc w:val="right"/>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65" w:rsidRPr="006B0CFE" w:rsidRDefault="006B3465" w:rsidP="006B0CFE">
    <w:pPr>
      <w:pStyle w:val="Header"/>
      <w:jc w:val="right"/>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65A"/>
    <w:multiLevelType w:val="hybridMultilevel"/>
    <w:tmpl w:val="07CA1D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A457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8A46398"/>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
    <w:nsid w:val="2E1D56B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50907B25"/>
    <w:multiLevelType w:val="hybridMultilevel"/>
    <w:tmpl w:val="EC645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A66A9D"/>
    <w:multiLevelType w:val="multilevel"/>
    <w:tmpl w:val="59A8193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ind w:left="2174" w:hanging="360"/>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0254D24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abstractNum w:abstractNumId="12">
    <w:nsid w:val="6CBE0C80"/>
    <w:multiLevelType w:val="hybridMultilevel"/>
    <w:tmpl w:val="731ECA42"/>
    <w:lvl w:ilvl="0" w:tplc="1A382422">
      <w:start w:val="1"/>
      <w:numFmt w:val="lowerLetter"/>
      <w:lvlText w:val="(%1)"/>
      <w:lvlJc w:val="left"/>
      <w:pPr>
        <w:ind w:left="3030" w:hanging="6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8"/>
  </w:num>
  <w:num w:numId="2">
    <w:abstractNumId w:val="3"/>
  </w:num>
  <w:num w:numId="3">
    <w:abstractNumId w:val="6"/>
  </w:num>
  <w:num w:numId="4">
    <w:abstractNumId w:val="8"/>
  </w:num>
  <w:num w:numId="5">
    <w:abstractNumId w:val="2"/>
  </w:num>
  <w:num w:numId="6">
    <w:abstractNumId w:val="2"/>
    <w:lvlOverride w:ilvl="0">
      <w:lvl w:ilvl="0">
        <w:start w:val="1"/>
        <w:numFmt w:val="decimal"/>
        <w:lvlText w:val="%1."/>
        <w:lvlJc w:val="left"/>
        <w:pPr>
          <w:tabs>
            <w:tab w:val="num" w:pos="597"/>
          </w:tabs>
          <w:ind w:left="1277" w:firstLine="0"/>
        </w:pPr>
        <w:rPr>
          <w:rFonts w:hint="default"/>
          <w:lang w:val="en-CA"/>
        </w:rPr>
      </w:lvl>
    </w:lvlOverride>
  </w:num>
  <w:num w:numId="7">
    <w:abstractNumId w:val="10"/>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12"/>
  </w:num>
  <w:num w:numId="9">
    <w:abstractNumId w:val="11"/>
  </w:num>
  <w:num w:numId="10">
    <w:abstractNumId w:val="5"/>
  </w:num>
  <w:num w:numId="11">
    <w:abstractNumId w:val="1"/>
  </w:num>
  <w:num w:numId="12">
    <w:abstractNumId w:val="4"/>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8E2"/>
    <w:rsid w:val="00000E4A"/>
    <w:rsid w:val="000075D6"/>
    <w:rsid w:val="00012F87"/>
    <w:rsid w:val="000149E6"/>
    <w:rsid w:val="00021CDC"/>
    <w:rsid w:val="00023DA9"/>
    <w:rsid w:val="000247B0"/>
    <w:rsid w:val="00026997"/>
    <w:rsid w:val="00026A08"/>
    <w:rsid w:val="00030C26"/>
    <w:rsid w:val="00032E4E"/>
    <w:rsid w:val="00033E0B"/>
    <w:rsid w:val="00035EDE"/>
    <w:rsid w:val="0003646D"/>
    <w:rsid w:val="00037811"/>
    <w:rsid w:val="00040E03"/>
    <w:rsid w:val="00041979"/>
    <w:rsid w:val="00046D5A"/>
    <w:rsid w:val="000509B4"/>
    <w:rsid w:val="00053E1F"/>
    <w:rsid w:val="0006035B"/>
    <w:rsid w:val="00065E9F"/>
    <w:rsid w:val="00071886"/>
    <w:rsid w:val="000742BC"/>
    <w:rsid w:val="00076CC6"/>
    <w:rsid w:val="00082A0C"/>
    <w:rsid w:val="00083504"/>
    <w:rsid w:val="00084EC1"/>
    <w:rsid w:val="00085A13"/>
    <w:rsid w:val="000862C6"/>
    <w:rsid w:val="00092581"/>
    <w:rsid w:val="000947F3"/>
    <w:rsid w:val="0009640C"/>
    <w:rsid w:val="000A2A5F"/>
    <w:rsid w:val="000A3B52"/>
    <w:rsid w:val="000B22A2"/>
    <w:rsid w:val="000B74CF"/>
    <w:rsid w:val="000C0504"/>
    <w:rsid w:val="000C2A52"/>
    <w:rsid w:val="000D33C0"/>
    <w:rsid w:val="000D6941"/>
    <w:rsid w:val="000D6C66"/>
    <w:rsid w:val="000E528E"/>
    <w:rsid w:val="000F49AA"/>
    <w:rsid w:val="000F7B97"/>
    <w:rsid w:val="00100E9A"/>
    <w:rsid w:val="00106509"/>
    <w:rsid w:val="00106961"/>
    <w:rsid w:val="00106E8A"/>
    <w:rsid w:val="001115C6"/>
    <w:rsid w:val="001202E3"/>
    <w:rsid w:val="00120A58"/>
    <w:rsid w:val="00123699"/>
    <w:rsid w:val="001241FB"/>
    <w:rsid w:val="00125A94"/>
    <w:rsid w:val="00127A00"/>
    <w:rsid w:val="0013059D"/>
    <w:rsid w:val="00133B26"/>
    <w:rsid w:val="00133F4A"/>
    <w:rsid w:val="00136C24"/>
    <w:rsid w:val="00141A55"/>
    <w:rsid w:val="0014397D"/>
    <w:rsid w:val="001446A3"/>
    <w:rsid w:val="00147B34"/>
    <w:rsid w:val="00155395"/>
    <w:rsid w:val="00156B6B"/>
    <w:rsid w:val="00160D74"/>
    <w:rsid w:val="00165767"/>
    <w:rsid w:val="001671AE"/>
    <w:rsid w:val="001675B3"/>
    <w:rsid w:val="00167D02"/>
    <w:rsid w:val="00173258"/>
    <w:rsid w:val="00180C3F"/>
    <w:rsid w:val="00181EC8"/>
    <w:rsid w:val="00184349"/>
    <w:rsid w:val="00194F0F"/>
    <w:rsid w:val="00195431"/>
    <w:rsid w:val="00195F33"/>
    <w:rsid w:val="00196E61"/>
    <w:rsid w:val="001A4C53"/>
    <w:rsid w:val="001B1617"/>
    <w:rsid w:val="001B504B"/>
    <w:rsid w:val="001B563D"/>
    <w:rsid w:val="001B7C89"/>
    <w:rsid w:val="001C7784"/>
    <w:rsid w:val="001D1529"/>
    <w:rsid w:val="001D36CF"/>
    <w:rsid w:val="001D3874"/>
    <w:rsid w:val="001D7CBC"/>
    <w:rsid w:val="001D7E75"/>
    <w:rsid w:val="001E0D73"/>
    <w:rsid w:val="001E1740"/>
    <w:rsid w:val="001E2E57"/>
    <w:rsid w:val="001E56D2"/>
    <w:rsid w:val="001E7D56"/>
    <w:rsid w:val="001F75DE"/>
    <w:rsid w:val="00200D58"/>
    <w:rsid w:val="002013BE"/>
    <w:rsid w:val="00201EDC"/>
    <w:rsid w:val="00202268"/>
    <w:rsid w:val="0020368D"/>
    <w:rsid w:val="002063A4"/>
    <w:rsid w:val="0021145B"/>
    <w:rsid w:val="002207F0"/>
    <w:rsid w:val="00220C23"/>
    <w:rsid w:val="00222822"/>
    <w:rsid w:val="00222B59"/>
    <w:rsid w:val="0022389A"/>
    <w:rsid w:val="00226584"/>
    <w:rsid w:val="00236A6E"/>
    <w:rsid w:val="00241362"/>
    <w:rsid w:val="0024375A"/>
    <w:rsid w:val="00243D36"/>
    <w:rsid w:val="00247707"/>
    <w:rsid w:val="0026018E"/>
    <w:rsid w:val="00265AA8"/>
    <w:rsid w:val="002739F2"/>
    <w:rsid w:val="00281A23"/>
    <w:rsid w:val="002831E2"/>
    <w:rsid w:val="00286740"/>
    <w:rsid w:val="00291D9B"/>
    <w:rsid w:val="002929D8"/>
    <w:rsid w:val="00296899"/>
    <w:rsid w:val="00297784"/>
    <w:rsid w:val="00297B47"/>
    <w:rsid w:val="002A1607"/>
    <w:rsid w:val="002A237D"/>
    <w:rsid w:val="002A4C53"/>
    <w:rsid w:val="002A53FC"/>
    <w:rsid w:val="002A6ABC"/>
    <w:rsid w:val="002A7914"/>
    <w:rsid w:val="002B0672"/>
    <w:rsid w:val="002B247F"/>
    <w:rsid w:val="002B50D4"/>
    <w:rsid w:val="002B751C"/>
    <w:rsid w:val="002C145D"/>
    <w:rsid w:val="002C2C3E"/>
    <w:rsid w:val="002C533E"/>
    <w:rsid w:val="002D027F"/>
    <w:rsid w:val="002D2581"/>
    <w:rsid w:val="002D7A85"/>
    <w:rsid w:val="002D7B60"/>
    <w:rsid w:val="002E2C67"/>
    <w:rsid w:val="002E4207"/>
    <w:rsid w:val="002F2D0F"/>
    <w:rsid w:val="002F34D5"/>
    <w:rsid w:val="002F4761"/>
    <w:rsid w:val="002F5C79"/>
    <w:rsid w:val="00300648"/>
    <w:rsid w:val="003019E2"/>
    <w:rsid w:val="00307C04"/>
    <w:rsid w:val="0031413F"/>
    <w:rsid w:val="003148BB"/>
    <w:rsid w:val="003154B3"/>
    <w:rsid w:val="00317976"/>
    <w:rsid w:val="00324642"/>
    <w:rsid w:val="00326CC0"/>
    <w:rsid w:val="00327332"/>
    <w:rsid w:val="00336096"/>
    <w:rsid w:val="00336DD7"/>
    <w:rsid w:val="003376E8"/>
    <w:rsid w:val="00340A9B"/>
    <w:rsid w:val="00345448"/>
    <w:rsid w:val="00347676"/>
    <w:rsid w:val="00355EA9"/>
    <w:rsid w:val="00356835"/>
    <w:rsid w:val="003578DE"/>
    <w:rsid w:val="003612A7"/>
    <w:rsid w:val="00361688"/>
    <w:rsid w:val="00373C8B"/>
    <w:rsid w:val="003744EF"/>
    <w:rsid w:val="00381AA0"/>
    <w:rsid w:val="00383B0E"/>
    <w:rsid w:val="00384D55"/>
    <w:rsid w:val="003868D6"/>
    <w:rsid w:val="003929B8"/>
    <w:rsid w:val="00392F0E"/>
    <w:rsid w:val="00394ABC"/>
    <w:rsid w:val="00396257"/>
    <w:rsid w:val="00397EB8"/>
    <w:rsid w:val="003A4FD0"/>
    <w:rsid w:val="003A69D1"/>
    <w:rsid w:val="003A7705"/>
    <w:rsid w:val="003A77F1"/>
    <w:rsid w:val="003B1545"/>
    <w:rsid w:val="003C409D"/>
    <w:rsid w:val="003C5BA6"/>
    <w:rsid w:val="003D3752"/>
    <w:rsid w:val="003E02EB"/>
    <w:rsid w:val="003E0604"/>
    <w:rsid w:val="003E35DA"/>
    <w:rsid w:val="003E7D73"/>
    <w:rsid w:val="003F0A33"/>
    <w:rsid w:val="003F0E85"/>
    <w:rsid w:val="003F3CD1"/>
    <w:rsid w:val="00405C13"/>
    <w:rsid w:val="00407B5D"/>
    <w:rsid w:val="00410C55"/>
    <w:rsid w:val="00412416"/>
    <w:rsid w:val="004131F6"/>
    <w:rsid w:val="004148ED"/>
    <w:rsid w:val="00415EC2"/>
    <w:rsid w:val="00416854"/>
    <w:rsid w:val="00417725"/>
    <w:rsid w:val="00425312"/>
    <w:rsid w:val="0043321A"/>
    <w:rsid w:val="0043723E"/>
    <w:rsid w:val="00437E5A"/>
    <w:rsid w:val="00437F26"/>
    <w:rsid w:val="00441302"/>
    <w:rsid w:val="00444097"/>
    <w:rsid w:val="00445487"/>
    <w:rsid w:val="00447E0D"/>
    <w:rsid w:val="00451CC3"/>
    <w:rsid w:val="00454769"/>
    <w:rsid w:val="004550CE"/>
    <w:rsid w:val="0045764F"/>
    <w:rsid w:val="00466991"/>
    <w:rsid w:val="00467FD9"/>
    <w:rsid w:val="0047064C"/>
    <w:rsid w:val="004712D3"/>
    <w:rsid w:val="00480E12"/>
    <w:rsid w:val="0048201A"/>
    <w:rsid w:val="00491069"/>
    <w:rsid w:val="00492B74"/>
    <w:rsid w:val="0049469E"/>
    <w:rsid w:val="004A42E1"/>
    <w:rsid w:val="004B162C"/>
    <w:rsid w:val="004B2518"/>
    <w:rsid w:val="004B2ABE"/>
    <w:rsid w:val="004B78B8"/>
    <w:rsid w:val="004B7E47"/>
    <w:rsid w:val="004C113A"/>
    <w:rsid w:val="004C24B4"/>
    <w:rsid w:val="004C3DBE"/>
    <w:rsid w:val="004C5C96"/>
    <w:rsid w:val="004C77AD"/>
    <w:rsid w:val="004D06A4"/>
    <w:rsid w:val="004D102F"/>
    <w:rsid w:val="004E349C"/>
    <w:rsid w:val="004F00E6"/>
    <w:rsid w:val="004F0CC3"/>
    <w:rsid w:val="004F11A9"/>
    <w:rsid w:val="004F1A81"/>
    <w:rsid w:val="004F33E3"/>
    <w:rsid w:val="004F4390"/>
    <w:rsid w:val="004F44BB"/>
    <w:rsid w:val="00500634"/>
    <w:rsid w:val="005031E0"/>
    <w:rsid w:val="0050542E"/>
    <w:rsid w:val="00517C69"/>
    <w:rsid w:val="005205FA"/>
    <w:rsid w:val="005218D9"/>
    <w:rsid w:val="0052336A"/>
    <w:rsid w:val="005237BC"/>
    <w:rsid w:val="005265AF"/>
    <w:rsid w:val="00533BF6"/>
    <w:rsid w:val="00536186"/>
    <w:rsid w:val="0054042F"/>
    <w:rsid w:val="00540E87"/>
    <w:rsid w:val="005419C6"/>
    <w:rsid w:val="00544CBB"/>
    <w:rsid w:val="005656D7"/>
    <w:rsid w:val="00566919"/>
    <w:rsid w:val="0057060E"/>
    <w:rsid w:val="00570D72"/>
    <w:rsid w:val="0057315F"/>
    <w:rsid w:val="0057450D"/>
    <w:rsid w:val="00576104"/>
    <w:rsid w:val="005819D6"/>
    <w:rsid w:val="00585025"/>
    <w:rsid w:val="00593516"/>
    <w:rsid w:val="005956D6"/>
    <w:rsid w:val="0059632C"/>
    <w:rsid w:val="005B44BF"/>
    <w:rsid w:val="005B76DB"/>
    <w:rsid w:val="005C11B4"/>
    <w:rsid w:val="005C134E"/>
    <w:rsid w:val="005C3B69"/>
    <w:rsid w:val="005C67C8"/>
    <w:rsid w:val="005C72CB"/>
    <w:rsid w:val="005D0249"/>
    <w:rsid w:val="005D18FA"/>
    <w:rsid w:val="005D4575"/>
    <w:rsid w:val="005D4FD4"/>
    <w:rsid w:val="005D663A"/>
    <w:rsid w:val="005D6AB1"/>
    <w:rsid w:val="005D6E8C"/>
    <w:rsid w:val="005F100C"/>
    <w:rsid w:val="005F68DA"/>
    <w:rsid w:val="006053B0"/>
    <w:rsid w:val="0060773B"/>
    <w:rsid w:val="00610A68"/>
    <w:rsid w:val="00613441"/>
    <w:rsid w:val="006157B5"/>
    <w:rsid w:val="0061666C"/>
    <w:rsid w:val="006174C6"/>
    <w:rsid w:val="006222DB"/>
    <w:rsid w:val="006269E2"/>
    <w:rsid w:val="00626FC6"/>
    <w:rsid w:val="006303B4"/>
    <w:rsid w:val="00630ADC"/>
    <w:rsid w:val="00632D6F"/>
    <w:rsid w:val="00633D3D"/>
    <w:rsid w:val="006343BA"/>
    <w:rsid w:val="00634E73"/>
    <w:rsid w:val="00641703"/>
    <w:rsid w:val="006431A6"/>
    <w:rsid w:val="0064357E"/>
    <w:rsid w:val="006459F6"/>
    <w:rsid w:val="006501AD"/>
    <w:rsid w:val="00651BFA"/>
    <w:rsid w:val="00651FD1"/>
    <w:rsid w:val="00654475"/>
    <w:rsid w:val="006555F4"/>
    <w:rsid w:val="0066029D"/>
    <w:rsid w:val="00665A4B"/>
    <w:rsid w:val="0066657D"/>
    <w:rsid w:val="00674C5C"/>
    <w:rsid w:val="00681412"/>
    <w:rsid w:val="00686062"/>
    <w:rsid w:val="00690C3B"/>
    <w:rsid w:val="00690DD3"/>
    <w:rsid w:val="0069156F"/>
    <w:rsid w:val="00692E2A"/>
    <w:rsid w:val="006A14A8"/>
    <w:rsid w:val="006A47C6"/>
    <w:rsid w:val="006A76AF"/>
    <w:rsid w:val="006A76F2"/>
    <w:rsid w:val="006B06A8"/>
    <w:rsid w:val="006B0CFE"/>
    <w:rsid w:val="006B1E3D"/>
    <w:rsid w:val="006B3465"/>
    <w:rsid w:val="006B54F1"/>
    <w:rsid w:val="006B7835"/>
    <w:rsid w:val="006C00D5"/>
    <w:rsid w:val="006C1184"/>
    <w:rsid w:val="006D19D4"/>
    <w:rsid w:val="006D2EA3"/>
    <w:rsid w:val="006D7EFB"/>
    <w:rsid w:val="006E0552"/>
    <w:rsid w:val="006E6672"/>
    <w:rsid w:val="006E6722"/>
    <w:rsid w:val="006F0106"/>
    <w:rsid w:val="006F1FE8"/>
    <w:rsid w:val="006F2578"/>
    <w:rsid w:val="006F59C6"/>
    <w:rsid w:val="006F60FC"/>
    <w:rsid w:val="006F64D2"/>
    <w:rsid w:val="007027B9"/>
    <w:rsid w:val="007145DA"/>
    <w:rsid w:val="00715E88"/>
    <w:rsid w:val="00720CA6"/>
    <w:rsid w:val="0072258C"/>
    <w:rsid w:val="00722B91"/>
    <w:rsid w:val="00732C8E"/>
    <w:rsid w:val="00734CAA"/>
    <w:rsid w:val="007354D9"/>
    <w:rsid w:val="00737BFA"/>
    <w:rsid w:val="00740710"/>
    <w:rsid w:val="00742680"/>
    <w:rsid w:val="00754596"/>
    <w:rsid w:val="0075533C"/>
    <w:rsid w:val="00757027"/>
    <w:rsid w:val="00757581"/>
    <w:rsid w:val="007602F5"/>
    <w:rsid w:val="00760511"/>
    <w:rsid w:val="00760D36"/>
    <w:rsid w:val="007611A0"/>
    <w:rsid w:val="00767B11"/>
    <w:rsid w:val="007715F6"/>
    <w:rsid w:val="00777DEC"/>
    <w:rsid w:val="00780754"/>
    <w:rsid w:val="00783321"/>
    <w:rsid w:val="007861D5"/>
    <w:rsid w:val="00791061"/>
    <w:rsid w:val="007935E6"/>
    <w:rsid w:val="00796D3F"/>
    <w:rsid w:val="007A1683"/>
    <w:rsid w:val="007A1F8F"/>
    <w:rsid w:val="007A5C12"/>
    <w:rsid w:val="007A7CB0"/>
    <w:rsid w:val="007B68A3"/>
    <w:rsid w:val="007C1E0B"/>
    <w:rsid w:val="007C2541"/>
    <w:rsid w:val="007D17E3"/>
    <w:rsid w:val="007D1C0F"/>
    <w:rsid w:val="007D3C14"/>
    <w:rsid w:val="007D50C5"/>
    <w:rsid w:val="007D66A8"/>
    <w:rsid w:val="007E003F"/>
    <w:rsid w:val="007E19A0"/>
    <w:rsid w:val="007E1AE8"/>
    <w:rsid w:val="007E4D28"/>
    <w:rsid w:val="007E5EF5"/>
    <w:rsid w:val="007E64B0"/>
    <w:rsid w:val="007F0CF8"/>
    <w:rsid w:val="007F62CB"/>
    <w:rsid w:val="008125C9"/>
    <w:rsid w:val="00812C8F"/>
    <w:rsid w:val="008142EC"/>
    <w:rsid w:val="00814A75"/>
    <w:rsid w:val="008164F2"/>
    <w:rsid w:val="00821395"/>
    <w:rsid w:val="00830E26"/>
    <w:rsid w:val="00830ECC"/>
    <w:rsid w:val="00833327"/>
    <w:rsid w:val="0083436D"/>
    <w:rsid w:val="00843208"/>
    <w:rsid w:val="00843576"/>
    <w:rsid w:val="00843B64"/>
    <w:rsid w:val="00845A45"/>
    <w:rsid w:val="008478FC"/>
    <w:rsid w:val="00850280"/>
    <w:rsid w:val="00851C51"/>
    <w:rsid w:val="00857609"/>
    <w:rsid w:val="00857DEA"/>
    <w:rsid w:val="00861816"/>
    <w:rsid w:val="008630F4"/>
    <w:rsid w:val="00863959"/>
    <w:rsid w:val="00864A92"/>
    <w:rsid w:val="00866BF9"/>
    <w:rsid w:val="00866EFB"/>
    <w:rsid w:val="008677B9"/>
    <w:rsid w:val="00867BFF"/>
    <w:rsid w:val="00870419"/>
    <w:rsid w:val="00871542"/>
    <w:rsid w:val="00872BF6"/>
    <w:rsid w:val="008763E2"/>
    <w:rsid w:val="00876896"/>
    <w:rsid w:val="00882F6E"/>
    <w:rsid w:val="0088480A"/>
    <w:rsid w:val="0088757A"/>
    <w:rsid w:val="0089431B"/>
    <w:rsid w:val="00895668"/>
    <w:rsid w:val="008957DD"/>
    <w:rsid w:val="00897D98"/>
    <w:rsid w:val="008A390B"/>
    <w:rsid w:val="008A6DF2"/>
    <w:rsid w:val="008A7807"/>
    <w:rsid w:val="008B4CC9"/>
    <w:rsid w:val="008D49B9"/>
    <w:rsid w:val="008D4E9F"/>
    <w:rsid w:val="008D7C99"/>
    <w:rsid w:val="008E0FCB"/>
    <w:rsid w:val="008E77A6"/>
    <w:rsid w:val="008F06ED"/>
    <w:rsid w:val="008F35D5"/>
    <w:rsid w:val="0090168B"/>
    <w:rsid w:val="00907C41"/>
    <w:rsid w:val="0092178C"/>
    <w:rsid w:val="00925B3B"/>
    <w:rsid w:val="00930B88"/>
    <w:rsid w:val="0093409D"/>
    <w:rsid w:val="00934797"/>
    <w:rsid w:val="00936F7E"/>
    <w:rsid w:val="00940DCC"/>
    <w:rsid w:val="00941279"/>
    <w:rsid w:val="0094179A"/>
    <w:rsid w:val="0094459E"/>
    <w:rsid w:val="00944DBC"/>
    <w:rsid w:val="00945726"/>
    <w:rsid w:val="00950977"/>
    <w:rsid w:val="00951A7B"/>
    <w:rsid w:val="00952E00"/>
    <w:rsid w:val="009564A6"/>
    <w:rsid w:val="00960460"/>
    <w:rsid w:val="00962F1A"/>
    <w:rsid w:val="00964524"/>
    <w:rsid w:val="00967621"/>
    <w:rsid w:val="00967E6A"/>
    <w:rsid w:val="009704F8"/>
    <w:rsid w:val="00973B72"/>
    <w:rsid w:val="00980DCF"/>
    <w:rsid w:val="00987EB2"/>
    <w:rsid w:val="009B4A0F"/>
    <w:rsid w:val="009C11D2"/>
    <w:rsid w:val="009C6C70"/>
    <w:rsid w:val="009C74E1"/>
    <w:rsid w:val="009C7B0A"/>
    <w:rsid w:val="009D0B63"/>
    <w:rsid w:val="009D5CB8"/>
    <w:rsid w:val="009E0B13"/>
    <w:rsid w:val="009E181D"/>
    <w:rsid w:val="009E307E"/>
    <w:rsid w:val="009E3EAD"/>
    <w:rsid w:val="009E419B"/>
    <w:rsid w:val="009E4377"/>
    <w:rsid w:val="009F2615"/>
    <w:rsid w:val="009F26E8"/>
    <w:rsid w:val="00A01A22"/>
    <w:rsid w:val="00A065EE"/>
    <w:rsid w:val="00A07870"/>
    <w:rsid w:val="00A07C54"/>
    <w:rsid w:val="00A07F19"/>
    <w:rsid w:val="00A1313D"/>
    <w:rsid w:val="00A1348D"/>
    <w:rsid w:val="00A212C5"/>
    <w:rsid w:val="00A232EE"/>
    <w:rsid w:val="00A26E70"/>
    <w:rsid w:val="00A4175F"/>
    <w:rsid w:val="00A42EC5"/>
    <w:rsid w:val="00A44411"/>
    <w:rsid w:val="00A469FA"/>
    <w:rsid w:val="00A5108F"/>
    <w:rsid w:val="00A53662"/>
    <w:rsid w:val="00A55B01"/>
    <w:rsid w:val="00A56B5B"/>
    <w:rsid w:val="00A603FF"/>
    <w:rsid w:val="00A619B6"/>
    <w:rsid w:val="00A648CA"/>
    <w:rsid w:val="00A657DD"/>
    <w:rsid w:val="00A65DB2"/>
    <w:rsid w:val="00A666A6"/>
    <w:rsid w:val="00A675FD"/>
    <w:rsid w:val="00A72437"/>
    <w:rsid w:val="00A744C5"/>
    <w:rsid w:val="00A75829"/>
    <w:rsid w:val="00A8048B"/>
    <w:rsid w:val="00A80611"/>
    <w:rsid w:val="00A8749F"/>
    <w:rsid w:val="00AA4227"/>
    <w:rsid w:val="00AA7883"/>
    <w:rsid w:val="00AB5340"/>
    <w:rsid w:val="00AB6BE8"/>
    <w:rsid w:val="00AC0A89"/>
    <w:rsid w:val="00AC7C96"/>
    <w:rsid w:val="00AD1E23"/>
    <w:rsid w:val="00AD3C07"/>
    <w:rsid w:val="00AD61CE"/>
    <w:rsid w:val="00AE237D"/>
    <w:rsid w:val="00AE3BB4"/>
    <w:rsid w:val="00AE502A"/>
    <w:rsid w:val="00AE5C8B"/>
    <w:rsid w:val="00AF3595"/>
    <w:rsid w:val="00AF6166"/>
    <w:rsid w:val="00AF7C07"/>
    <w:rsid w:val="00B0012C"/>
    <w:rsid w:val="00B01DC6"/>
    <w:rsid w:val="00B04632"/>
    <w:rsid w:val="00B06C64"/>
    <w:rsid w:val="00B10CD4"/>
    <w:rsid w:val="00B11CAC"/>
    <w:rsid w:val="00B14634"/>
    <w:rsid w:val="00B14D01"/>
    <w:rsid w:val="00B16CA9"/>
    <w:rsid w:val="00B16CB3"/>
    <w:rsid w:val="00B1765B"/>
    <w:rsid w:val="00B22C93"/>
    <w:rsid w:val="00B242F2"/>
    <w:rsid w:val="00B25B41"/>
    <w:rsid w:val="00B27589"/>
    <w:rsid w:val="00B350FD"/>
    <w:rsid w:val="00B405B7"/>
    <w:rsid w:val="00B4372E"/>
    <w:rsid w:val="00B51F1B"/>
    <w:rsid w:val="00B52222"/>
    <w:rsid w:val="00B531DA"/>
    <w:rsid w:val="00B54895"/>
    <w:rsid w:val="00B54FE7"/>
    <w:rsid w:val="00B55401"/>
    <w:rsid w:val="00B56D5E"/>
    <w:rsid w:val="00B647C6"/>
    <w:rsid w:val="00B654FE"/>
    <w:rsid w:val="00B65981"/>
    <w:rsid w:val="00B65EFD"/>
    <w:rsid w:val="00B66901"/>
    <w:rsid w:val="00B66BDB"/>
    <w:rsid w:val="00B71E6D"/>
    <w:rsid w:val="00B72070"/>
    <w:rsid w:val="00B779E1"/>
    <w:rsid w:val="00B815CC"/>
    <w:rsid w:val="00B82219"/>
    <w:rsid w:val="00B91EE1"/>
    <w:rsid w:val="00B94D52"/>
    <w:rsid w:val="00BA0090"/>
    <w:rsid w:val="00BA1A67"/>
    <w:rsid w:val="00BA38F1"/>
    <w:rsid w:val="00BB2B44"/>
    <w:rsid w:val="00BD36F3"/>
    <w:rsid w:val="00BD3D4C"/>
    <w:rsid w:val="00BD5936"/>
    <w:rsid w:val="00BE0AE5"/>
    <w:rsid w:val="00BE5333"/>
    <w:rsid w:val="00BE5B5F"/>
    <w:rsid w:val="00BF3CFD"/>
    <w:rsid w:val="00BF642C"/>
    <w:rsid w:val="00C044E9"/>
    <w:rsid w:val="00C078AF"/>
    <w:rsid w:val="00C26F55"/>
    <w:rsid w:val="00C30C63"/>
    <w:rsid w:val="00C31269"/>
    <w:rsid w:val="00C3256F"/>
    <w:rsid w:val="00C36B8B"/>
    <w:rsid w:val="00C376F6"/>
    <w:rsid w:val="00C40330"/>
    <w:rsid w:val="00C415C1"/>
    <w:rsid w:val="00C4376A"/>
    <w:rsid w:val="00C47DBF"/>
    <w:rsid w:val="00C5040E"/>
    <w:rsid w:val="00C520AB"/>
    <w:rsid w:val="00C533C0"/>
    <w:rsid w:val="00C552FF"/>
    <w:rsid w:val="00C558DA"/>
    <w:rsid w:val="00C55AF3"/>
    <w:rsid w:val="00C56D80"/>
    <w:rsid w:val="00C56E53"/>
    <w:rsid w:val="00C63F2A"/>
    <w:rsid w:val="00C75418"/>
    <w:rsid w:val="00C75C41"/>
    <w:rsid w:val="00C84759"/>
    <w:rsid w:val="00C84861"/>
    <w:rsid w:val="00C930FC"/>
    <w:rsid w:val="00C9393C"/>
    <w:rsid w:val="00C970D2"/>
    <w:rsid w:val="00CA54CF"/>
    <w:rsid w:val="00CA5CA9"/>
    <w:rsid w:val="00CA6437"/>
    <w:rsid w:val="00CA6C7F"/>
    <w:rsid w:val="00CA7C77"/>
    <w:rsid w:val="00CB4D0E"/>
    <w:rsid w:val="00CC10A6"/>
    <w:rsid w:val="00CC1A94"/>
    <w:rsid w:val="00CC3A86"/>
    <w:rsid w:val="00CC53BC"/>
    <w:rsid w:val="00CD3AFA"/>
    <w:rsid w:val="00CD5217"/>
    <w:rsid w:val="00CD5EB8"/>
    <w:rsid w:val="00CD7044"/>
    <w:rsid w:val="00CE08B9"/>
    <w:rsid w:val="00CE524C"/>
    <w:rsid w:val="00CF141F"/>
    <w:rsid w:val="00CF4777"/>
    <w:rsid w:val="00CF5960"/>
    <w:rsid w:val="00D027C7"/>
    <w:rsid w:val="00D067BB"/>
    <w:rsid w:val="00D110DB"/>
    <w:rsid w:val="00D12339"/>
    <w:rsid w:val="00D125A2"/>
    <w:rsid w:val="00D1352A"/>
    <w:rsid w:val="00D169AF"/>
    <w:rsid w:val="00D17901"/>
    <w:rsid w:val="00D2002B"/>
    <w:rsid w:val="00D22839"/>
    <w:rsid w:val="00D23BAC"/>
    <w:rsid w:val="00D25249"/>
    <w:rsid w:val="00D33430"/>
    <w:rsid w:val="00D335B2"/>
    <w:rsid w:val="00D367E4"/>
    <w:rsid w:val="00D44172"/>
    <w:rsid w:val="00D45767"/>
    <w:rsid w:val="00D45B8A"/>
    <w:rsid w:val="00D4650D"/>
    <w:rsid w:val="00D55BD9"/>
    <w:rsid w:val="00D561A4"/>
    <w:rsid w:val="00D608FF"/>
    <w:rsid w:val="00D617EC"/>
    <w:rsid w:val="00D63B8C"/>
    <w:rsid w:val="00D66D1D"/>
    <w:rsid w:val="00D67AEC"/>
    <w:rsid w:val="00D70BD8"/>
    <w:rsid w:val="00D739CC"/>
    <w:rsid w:val="00D800E6"/>
    <w:rsid w:val="00D8093D"/>
    <w:rsid w:val="00D8108C"/>
    <w:rsid w:val="00D842AE"/>
    <w:rsid w:val="00D9211C"/>
    <w:rsid w:val="00D921BE"/>
    <w:rsid w:val="00D92DE0"/>
    <w:rsid w:val="00D92FEF"/>
    <w:rsid w:val="00D93A0F"/>
    <w:rsid w:val="00D958F1"/>
    <w:rsid w:val="00DA1806"/>
    <w:rsid w:val="00DA1BCA"/>
    <w:rsid w:val="00DA4948"/>
    <w:rsid w:val="00DA6891"/>
    <w:rsid w:val="00DB5CF3"/>
    <w:rsid w:val="00DB7104"/>
    <w:rsid w:val="00DC163F"/>
    <w:rsid w:val="00DC425B"/>
    <w:rsid w:val="00DC46FF"/>
    <w:rsid w:val="00DC5254"/>
    <w:rsid w:val="00DC569D"/>
    <w:rsid w:val="00DC57E3"/>
    <w:rsid w:val="00DD1A4F"/>
    <w:rsid w:val="00DD3107"/>
    <w:rsid w:val="00DD7C2C"/>
    <w:rsid w:val="00DF05C9"/>
    <w:rsid w:val="00DF12C7"/>
    <w:rsid w:val="00E0035A"/>
    <w:rsid w:val="00E06797"/>
    <w:rsid w:val="00E1265B"/>
    <w:rsid w:val="00E13B48"/>
    <w:rsid w:val="00E1404F"/>
    <w:rsid w:val="00E21C83"/>
    <w:rsid w:val="00E24ADA"/>
    <w:rsid w:val="00E25DAA"/>
    <w:rsid w:val="00E32F59"/>
    <w:rsid w:val="00E46D9A"/>
    <w:rsid w:val="00E5168E"/>
    <w:rsid w:val="00E565FF"/>
    <w:rsid w:val="00E60AA4"/>
    <w:rsid w:val="00E62A1C"/>
    <w:rsid w:val="00E651BB"/>
    <w:rsid w:val="00E65388"/>
    <w:rsid w:val="00E74E08"/>
    <w:rsid w:val="00E7609C"/>
    <w:rsid w:val="00E761D8"/>
    <w:rsid w:val="00E76CD8"/>
    <w:rsid w:val="00E85B34"/>
    <w:rsid w:val="00E85B7D"/>
    <w:rsid w:val="00E9121B"/>
    <w:rsid w:val="00EA0AE2"/>
    <w:rsid w:val="00EA2058"/>
    <w:rsid w:val="00EA39E5"/>
    <w:rsid w:val="00EA4A2B"/>
    <w:rsid w:val="00EA5E23"/>
    <w:rsid w:val="00EB0275"/>
    <w:rsid w:val="00EB44AC"/>
    <w:rsid w:val="00EC2813"/>
    <w:rsid w:val="00EC2E77"/>
    <w:rsid w:val="00EC3733"/>
    <w:rsid w:val="00EC5A46"/>
    <w:rsid w:val="00EC63E2"/>
    <w:rsid w:val="00ED366A"/>
    <w:rsid w:val="00EE49A2"/>
    <w:rsid w:val="00EE64F9"/>
    <w:rsid w:val="00EE69DC"/>
    <w:rsid w:val="00EF22B3"/>
    <w:rsid w:val="00F03B69"/>
    <w:rsid w:val="00F04CAE"/>
    <w:rsid w:val="00F0517D"/>
    <w:rsid w:val="00F07A50"/>
    <w:rsid w:val="00F113DA"/>
    <w:rsid w:val="00F11890"/>
    <w:rsid w:val="00F275A5"/>
    <w:rsid w:val="00F3465A"/>
    <w:rsid w:val="00F378DE"/>
    <w:rsid w:val="00F37DC8"/>
    <w:rsid w:val="00F439B3"/>
    <w:rsid w:val="00F5014A"/>
    <w:rsid w:val="00F650C3"/>
    <w:rsid w:val="00F65D85"/>
    <w:rsid w:val="00F74705"/>
    <w:rsid w:val="00F8091E"/>
    <w:rsid w:val="00F8615C"/>
    <w:rsid w:val="00F90F23"/>
    <w:rsid w:val="00F969E5"/>
    <w:rsid w:val="00FA309F"/>
    <w:rsid w:val="00FA4225"/>
    <w:rsid w:val="00FA4620"/>
    <w:rsid w:val="00FA6BB0"/>
    <w:rsid w:val="00FA7F15"/>
    <w:rsid w:val="00FB0652"/>
    <w:rsid w:val="00FB0ED5"/>
    <w:rsid w:val="00FB5E43"/>
    <w:rsid w:val="00FB6587"/>
    <w:rsid w:val="00FB7891"/>
    <w:rsid w:val="00FC5A9A"/>
    <w:rsid w:val="00FD06AC"/>
    <w:rsid w:val="00FD211D"/>
    <w:rsid w:val="00FD5860"/>
    <w:rsid w:val="00FD5B33"/>
    <w:rsid w:val="00FE352D"/>
    <w:rsid w:val="00FE40EB"/>
    <w:rsid w:val="00FE4D02"/>
    <w:rsid w:val="00FE5E19"/>
    <w:rsid w:val="00FE7D62"/>
    <w:rsid w:val="00FF3819"/>
    <w:rsid w:val="00FF5AD4"/>
    <w:rsid w:val="00FF69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numbering" w:customStyle="1" w:styleId="Normallist1">
    <w:name w:val="Normal_list1"/>
    <w:basedOn w:val="NoList"/>
    <w:rsid w:val="00866BF9"/>
  </w:style>
  <w:style w:type="paragraph" w:styleId="NoSpacing">
    <w:name w:val="No Spacing"/>
    <w:uiPriority w:val="1"/>
    <w:qFormat/>
    <w:rsid w:val="001D36CF"/>
    <w:rPr>
      <w:rFonts w:ascii="Calibri" w:eastAsia="SimSun" w:hAnsi="Calibri" w:cs="Arial"/>
      <w:sz w:val="22"/>
      <w:szCs w:val="22"/>
      <w:lang w:val="en-US" w:eastAsia="zh-CN"/>
    </w:rPr>
  </w:style>
  <w:style w:type="character" w:styleId="FollowedHyperlink">
    <w:name w:val="FollowedHyperlink"/>
    <w:rsid w:val="00980DCF"/>
    <w:rPr>
      <w:color w:val="800080"/>
      <w:u w:val="single"/>
    </w:rPr>
  </w:style>
  <w:style w:type="table" w:styleId="TableGrid">
    <w:name w:val="Table Grid"/>
    <w:basedOn w:val="TableNormal"/>
    <w:rsid w:val="00202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sz w:val="24"/>
      <w:szCs w:val="24"/>
      <w:lang w:val="en-GB" w:eastAsia="zh-CN"/>
    </w:rPr>
  </w:style>
  <w:style w:type="numbering" w:customStyle="1" w:styleId="Normallist1">
    <w:name w:val="Normal_list1"/>
    <w:basedOn w:val="NoList"/>
    <w:rsid w:val="00866BF9"/>
  </w:style>
  <w:style w:type="paragraph" w:styleId="NoSpacing">
    <w:name w:val="No Spacing"/>
    <w:uiPriority w:val="1"/>
    <w:qFormat/>
    <w:rsid w:val="001D36CF"/>
    <w:rPr>
      <w:rFonts w:ascii="Calibri" w:eastAsia="SimSun" w:hAnsi="Calibri" w:cs="Arial"/>
      <w:sz w:val="22"/>
      <w:szCs w:val="22"/>
      <w:lang w:val="en-US" w:eastAsia="zh-CN"/>
    </w:rPr>
  </w:style>
  <w:style w:type="character" w:styleId="FollowedHyperlink">
    <w:name w:val="FollowedHyperlink"/>
    <w:rsid w:val="00980DCF"/>
    <w:rPr>
      <w:color w:val="800080"/>
      <w:u w:val="single"/>
    </w:rPr>
  </w:style>
  <w:style w:type="table" w:styleId="TableGrid">
    <w:name w:val="Table Grid"/>
    <w:basedOn w:val="TableNormal"/>
    <w:rsid w:val="00202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9374577">
      <w:bodyDiv w:val="1"/>
      <w:marLeft w:val="0"/>
      <w:marRight w:val="0"/>
      <w:marTop w:val="0"/>
      <w:marBottom w:val="0"/>
      <w:divBdr>
        <w:top w:val="none" w:sz="0" w:space="0" w:color="auto"/>
        <w:left w:val="none" w:sz="0" w:space="0" w:color="auto"/>
        <w:bottom w:val="none" w:sz="0" w:space="0" w:color="auto"/>
        <w:right w:val="none" w:sz="0" w:space="0" w:color="auto"/>
      </w:divBdr>
    </w:div>
    <w:div w:id="86456010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3571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rcuryconvention.org/Negotiations/INC7/INC7submissions/tabid/4754/Default.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5ACC-6801-4125-836A-A1238F74DB8C}">
  <ds:schemaRefs>
    <ds:schemaRef ds:uri="http://schemas.openxmlformats.org/officeDocument/2006/bibliography"/>
  </ds:schemaRefs>
</ds:datastoreItem>
</file>

<file path=customXml/itemProps2.xml><?xml version="1.0" encoding="utf-8"?>
<ds:datastoreItem xmlns:ds="http://schemas.openxmlformats.org/officeDocument/2006/customXml" ds:itemID="{DDDC1E9C-0F7F-4514-9BC3-55F47AE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12863</CharactersWithSpaces>
  <SharedDoc>false</SharedDoc>
  <HLinks>
    <vt:vector size="84" baseType="variant">
      <vt:variant>
        <vt:i4>2162726</vt:i4>
      </vt:variant>
      <vt:variant>
        <vt:i4>3</vt:i4>
      </vt:variant>
      <vt:variant>
        <vt:i4>0</vt:i4>
      </vt:variant>
      <vt:variant>
        <vt:i4>5</vt:i4>
      </vt:variant>
      <vt:variant>
        <vt:lpwstr>http://www.mercuryconvention.org/Negotiations/INC7/INC7submissions/tabid/4754/Default.aspx</vt:lpwstr>
      </vt:variant>
      <vt:variant>
        <vt:lpwstr/>
      </vt:variant>
      <vt:variant>
        <vt:i4>7471216</vt:i4>
      </vt:variant>
      <vt:variant>
        <vt:i4>36</vt:i4>
      </vt:variant>
      <vt:variant>
        <vt:i4>0</vt:i4>
      </vt:variant>
      <vt:variant>
        <vt:i4>5</vt:i4>
      </vt:variant>
      <vt:variant>
        <vt:lpwstr>http://www2.epa.gov/laws-regulations/summary-resource-conservation-and-recovery-act</vt:lpwstr>
      </vt:variant>
      <vt:variant>
        <vt:lpwstr/>
      </vt:variant>
      <vt:variant>
        <vt:i4>327687</vt:i4>
      </vt:variant>
      <vt:variant>
        <vt:i4>33</vt:i4>
      </vt:variant>
      <vt:variant>
        <vt:i4>0</vt:i4>
      </vt:variant>
      <vt:variant>
        <vt:i4>5</vt:i4>
      </vt:variant>
      <vt:variant>
        <vt:lpwstr>https://www.admin.ch/opc/en/classified-compilation/19983151/201503010000/814.680.pdf</vt:lpwstr>
      </vt:variant>
      <vt:variant>
        <vt:lpwstr/>
      </vt:variant>
      <vt:variant>
        <vt:i4>10</vt:i4>
      </vt:variant>
      <vt:variant>
        <vt:i4>30</vt:i4>
      </vt:variant>
      <vt:variant>
        <vt:i4>0</vt:i4>
      </vt:variant>
      <vt:variant>
        <vt:i4>5</vt:i4>
      </vt:variant>
      <vt:variant>
        <vt:lpwstr>https://www.admin.ch/opc/de/classified-compilation/19900325/201107010000/814.600.pdf</vt:lpwstr>
      </vt:variant>
      <vt:variant>
        <vt:lpwstr/>
      </vt:variant>
      <vt:variant>
        <vt:i4>5963796</vt:i4>
      </vt:variant>
      <vt:variant>
        <vt:i4>27</vt:i4>
      </vt:variant>
      <vt:variant>
        <vt:i4>0</vt:i4>
      </vt:variant>
      <vt:variant>
        <vt:i4>5</vt:i4>
      </vt:variant>
      <vt:variant>
        <vt:lpwstr>http://www.miljodirektoratet.no/no/Regelverk/Forskrifter/Regulations-relating-to-the-recycling-of-waste-Waste-Regulations/Chapter-11-Hazardous-waste/</vt:lpwstr>
      </vt:variant>
      <vt:variant>
        <vt:lpwstr/>
      </vt:variant>
      <vt:variant>
        <vt:i4>8126537</vt:i4>
      </vt:variant>
      <vt:variant>
        <vt:i4>24</vt:i4>
      </vt:variant>
      <vt:variant>
        <vt:i4>0</vt:i4>
      </vt:variant>
      <vt:variant>
        <vt:i4>5</vt:i4>
      </vt:variant>
      <vt:variant>
        <vt:lpwstr>http://www.inb.unam.mx/stecnica/nom052_semarnat.pdf</vt:lpwstr>
      </vt:variant>
      <vt:variant>
        <vt:lpwstr/>
      </vt:variant>
      <vt:variant>
        <vt:i4>5242974</vt:i4>
      </vt:variant>
      <vt:variant>
        <vt:i4>21</vt:i4>
      </vt:variant>
      <vt:variant>
        <vt:i4>0</vt:i4>
      </vt:variant>
      <vt:variant>
        <vt:i4>5</vt:i4>
      </vt:variant>
      <vt:variant>
        <vt:lpwstr>http://www.pemex.com/acerca/marco_normativo/Documents/leyes/LeyGral-PGIR_051113.pdf</vt:lpwstr>
      </vt:variant>
      <vt:variant>
        <vt:lpwstr/>
      </vt:variant>
      <vt:variant>
        <vt:i4>1704029</vt:i4>
      </vt:variant>
      <vt:variant>
        <vt:i4>18</vt:i4>
      </vt:variant>
      <vt:variant>
        <vt:i4>0</vt:i4>
      </vt:variant>
      <vt:variant>
        <vt:i4>5</vt:i4>
      </vt:variant>
      <vt:variant>
        <vt:lpwstr>http://eur-lex.europa.eu/legal-content/EN/TXT/?uri=celex%3A32012L0019</vt:lpwstr>
      </vt:variant>
      <vt:variant>
        <vt:lpwstr/>
      </vt:variant>
      <vt:variant>
        <vt:i4>917595</vt:i4>
      </vt:variant>
      <vt:variant>
        <vt:i4>15</vt:i4>
      </vt:variant>
      <vt:variant>
        <vt:i4>0</vt:i4>
      </vt:variant>
      <vt:variant>
        <vt:i4>5</vt:i4>
      </vt:variant>
      <vt:variant>
        <vt:lpwstr>http://eur-lex.europa.eu/legal-content/en/ALL/?uri=CELEX%3A31999L0031</vt:lpwstr>
      </vt:variant>
      <vt:variant>
        <vt:lpwstr/>
      </vt:variant>
      <vt:variant>
        <vt:i4>2228259</vt:i4>
      </vt:variant>
      <vt:variant>
        <vt:i4>12</vt:i4>
      </vt:variant>
      <vt:variant>
        <vt:i4>0</vt:i4>
      </vt:variant>
      <vt:variant>
        <vt:i4>5</vt:i4>
      </vt:variant>
      <vt:variant>
        <vt:lpwstr>http://eur-lex.europa.eu/legal-content/EN/TXT/?uri=celex:32011L0097</vt:lpwstr>
      </vt:variant>
      <vt:variant>
        <vt:lpwstr/>
      </vt:variant>
      <vt:variant>
        <vt:i4>1704017</vt:i4>
      </vt:variant>
      <vt:variant>
        <vt:i4>9</vt:i4>
      </vt:variant>
      <vt:variant>
        <vt:i4>0</vt:i4>
      </vt:variant>
      <vt:variant>
        <vt:i4>5</vt:i4>
      </vt:variant>
      <vt:variant>
        <vt:lpwstr>http://eur-lex.europa.eu/legal-content/EN/TXT/?uri=CELEX%3A32000D0532</vt:lpwstr>
      </vt:variant>
      <vt:variant>
        <vt:lpwstr/>
      </vt:variant>
      <vt:variant>
        <vt:i4>2818148</vt:i4>
      </vt:variant>
      <vt:variant>
        <vt:i4>6</vt:i4>
      </vt:variant>
      <vt:variant>
        <vt:i4>0</vt:i4>
      </vt:variant>
      <vt:variant>
        <vt:i4>5</vt:i4>
      </vt:variant>
      <vt:variant>
        <vt:lpwstr>https://www.tc.gc.ca/eng/tdg/clear-menu-497.htm</vt:lpwstr>
      </vt:variant>
      <vt:variant>
        <vt:lpwstr/>
      </vt:variant>
      <vt:variant>
        <vt:i4>5505050</vt:i4>
      </vt:variant>
      <vt:variant>
        <vt:i4>3</vt:i4>
      </vt:variant>
      <vt:variant>
        <vt:i4>0</vt:i4>
      </vt:variant>
      <vt:variant>
        <vt:i4>5</vt:i4>
      </vt:variant>
      <vt:variant>
        <vt:lpwstr>http://www.ec.gc.ca/lcpe-cepa/eng/regulations/detailReg.cfm?intReg=84</vt:lpwstr>
      </vt:variant>
      <vt:variant>
        <vt:lpwstr/>
      </vt:variant>
      <vt:variant>
        <vt:i4>2162796</vt:i4>
      </vt:variant>
      <vt:variant>
        <vt:i4>0</vt:i4>
      </vt:variant>
      <vt:variant>
        <vt:i4>0</vt:i4>
      </vt:variant>
      <vt:variant>
        <vt:i4>5</vt:i4>
      </vt:variant>
      <vt:variant>
        <vt:lpwstr>http://www.ccs.ufrj.br/images/biosseguranca/CLASSIFICACAO_DE_RESIDUOS_SOLIDOS_NBR_10004_ABNT.pdf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Jimena Vallejo</cp:lastModifiedBy>
  <cp:revision>2</cp:revision>
  <cp:lastPrinted>2015-12-30T12:30:00Z</cp:lastPrinted>
  <dcterms:created xsi:type="dcterms:W3CDTF">2016-01-20T07:55:00Z</dcterms:created>
  <dcterms:modified xsi:type="dcterms:W3CDTF">2016-01-20T07:55:00Z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12/22/2015 1:14:18 PM</vt:lpwstr>
  </property>
  <property fmtid="{D5CDD505-2E9C-101B-9397-08002B2CF9AE}" pid="5" name="OriginalDocID">
    <vt:lpwstr>27dfbb2d-8771-454c-91c7-d9c754d63bf1</vt:lpwstr>
  </property>
</Properties>
</file>