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435"/>
      </w:tblGrid>
      <w:tr w:rsidR="006C222B" w:rsidRPr="005B40C0">
        <w:trPr>
          <w:cantSplit/>
          <w:trHeight w:val="850"/>
        </w:trPr>
        <w:tc>
          <w:tcPr>
            <w:tcW w:w="1809" w:type="dxa"/>
          </w:tcPr>
          <w:p w:rsidR="006C222B" w:rsidRPr="005B40C0" w:rsidRDefault="006C222B" w:rsidP="006C222B">
            <w:pPr>
              <w:rPr>
                <w:rFonts w:ascii="Univers" w:hAnsi="Univers"/>
                <w:b/>
                <w:noProof/>
                <w:sz w:val="27"/>
                <w:szCs w:val="27"/>
                <w:lang w:val="es-ES_tradnl"/>
              </w:rPr>
            </w:pPr>
            <w:r w:rsidRPr="005B40C0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t>NACIONES</w:t>
            </w:r>
            <w:r w:rsidRPr="005B40C0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br/>
              <w:t>UNIDAS</w:t>
            </w:r>
          </w:p>
        </w:tc>
        <w:tc>
          <w:tcPr>
            <w:tcW w:w="4536" w:type="dxa"/>
          </w:tcPr>
          <w:p w:rsidR="006C222B" w:rsidRPr="005B40C0" w:rsidRDefault="006C222B" w:rsidP="006C222B">
            <w:pPr>
              <w:rPr>
                <w:rFonts w:ascii="Univers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435" w:type="dxa"/>
          </w:tcPr>
          <w:p w:rsidR="006C222B" w:rsidRPr="005B40C0" w:rsidRDefault="006C222B" w:rsidP="006C222B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ES_tradnl"/>
              </w:rPr>
            </w:pPr>
            <w:r w:rsidRPr="005B40C0">
              <w:rPr>
                <w:rFonts w:ascii="Arial" w:hAnsi="Arial" w:cs="Arial"/>
                <w:b/>
                <w:sz w:val="64"/>
                <w:szCs w:val="64"/>
                <w:lang w:val="es-ES_tradnl"/>
              </w:rPr>
              <w:t>EP</w:t>
            </w:r>
          </w:p>
        </w:tc>
      </w:tr>
      <w:tr w:rsidR="006C222B" w:rsidRPr="005B40C0">
        <w:trPr>
          <w:cantSplit/>
          <w:trHeight w:val="281"/>
        </w:trPr>
        <w:tc>
          <w:tcPr>
            <w:tcW w:w="1809" w:type="dxa"/>
            <w:tcBorders>
              <w:bottom w:val="single" w:sz="4" w:space="0" w:color="auto"/>
            </w:tcBorders>
          </w:tcPr>
          <w:p w:rsidR="006C222B" w:rsidRPr="005B40C0" w:rsidRDefault="006C222B" w:rsidP="006C222B">
            <w:pPr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C222B" w:rsidRPr="005B40C0" w:rsidRDefault="006C222B" w:rsidP="006C222B">
            <w:pPr>
              <w:rPr>
                <w:rFonts w:ascii="Univers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C222B" w:rsidRPr="005B40C0" w:rsidRDefault="006C222B" w:rsidP="006C222B">
            <w:pPr>
              <w:rPr>
                <w:noProof/>
                <w:sz w:val="18"/>
                <w:szCs w:val="18"/>
                <w:lang w:val="es-ES_tradnl"/>
              </w:rPr>
            </w:pPr>
            <w:r w:rsidRPr="005B40C0">
              <w:rPr>
                <w:b/>
                <w:bCs/>
                <w:sz w:val="28"/>
                <w:lang w:val="es-ES_tradnl"/>
              </w:rPr>
              <w:t>UNEP</w:t>
            </w:r>
            <w:r w:rsidRPr="005B40C0">
              <w:rPr>
                <w:lang w:val="es-ES_tradnl"/>
              </w:rPr>
              <w:t>(DTIE)/</w:t>
            </w:r>
            <w:bookmarkStart w:id="0" w:name="OLE_LINK1"/>
            <w:bookmarkStart w:id="1" w:name="OLE_LINK2"/>
            <w:r w:rsidRPr="005B40C0">
              <w:rPr>
                <w:lang w:val="es-ES_tradnl"/>
              </w:rPr>
              <w:t>Hg/</w:t>
            </w:r>
            <w:bookmarkEnd w:id="0"/>
            <w:bookmarkEnd w:id="1"/>
            <w:r w:rsidRPr="005B40C0">
              <w:rPr>
                <w:lang w:val="es-ES_tradnl"/>
              </w:rPr>
              <w:t>INC.7/</w:t>
            </w:r>
            <w:r>
              <w:rPr>
                <w:lang w:val="es-ES_tradnl"/>
              </w:rPr>
              <w:t>16</w:t>
            </w:r>
          </w:p>
        </w:tc>
      </w:tr>
      <w:tr w:rsidR="006C222B" w:rsidRPr="00991914">
        <w:trPr>
          <w:cantSplit/>
          <w:trHeight w:val="2549"/>
        </w:trPr>
        <w:tc>
          <w:tcPr>
            <w:tcW w:w="1809" w:type="dxa"/>
            <w:tcBorders>
              <w:top w:val="single" w:sz="4" w:space="0" w:color="auto"/>
              <w:bottom w:val="single" w:sz="24" w:space="0" w:color="auto"/>
            </w:tcBorders>
          </w:tcPr>
          <w:p w:rsidR="006C222B" w:rsidRPr="005B40C0" w:rsidRDefault="006C222B" w:rsidP="006C222B">
            <w:pPr>
              <w:rPr>
                <w:noProof/>
                <w:lang w:val="es-ES_tradnl"/>
              </w:rPr>
            </w:pPr>
            <w:r w:rsidRPr="005B40C0">
              <w:rPr>
                <w:noProof/>
                <w:lang w:val="es-ES_tradnl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61.8pt" o:ole="" fillcolor="window">
                  <v:imagedata r:id="rId10" o:title=""/>
                </v:shape>
                <o:OLEObject Type="Embed" ProgID="Word.Picture.8" ShapeID="_x0000_i1025" DrawAspect="Content" ObjectID="_1514370723" r:id="rId11"/>
              </w:object>
            </w:r>
            <w:r w:rsidRPr="005B40C0">
              <w:rPr>
                <w:noProof/>
                <w:lang w:val="en-US"/>
              </w:rPr>
              <w:drawing>
                <wp:inline distT="0" distB="0" distL="0" distR="0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:rsidR="006C222B" w:rsidRPr="005B40C0" w:rsidRDefault="006C222B" w:rsidP="006C222B">
            <w:pPr>
              <w:spacing w:before="1200"/>
              <w:rPr>
                <w:rFonts w:ascii="Arial" w:hAnsi="Arial" w:cs="Arial"/>
                <w:b/>
                <w:sz w:val="28"/>
                <w:lang w:val="es-ES_tradnl"/>
              </w:rPr>
            </w:pP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t>Programa de las</w:t>
            </w: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br/>
              <w:t>Naciones Unidas</w:t>
            </w: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br/>
              <w:t>para el Medio Ambiente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6C222B" w:rsidRPr="005B40C0" w:rsidRDefault="006C222B" w:rsidP="006C222B">
            <w:pPr>
              <w:spacing w:before="240"/>
              <w:rPr>
                <w:lang w:val="es-ES_tradnl"/>
              </w:rPr>
            </w:pPr>
            <w:r w:rsidRPr="005B40C0">
              <w:rPr>
                <w:lang w:val="es-ES_tradnl"/>
              </w:rPr>
              <w:t>Distr. general</w:t>
            </w:r>
            <w:r w:rsidRPr="005B40C0">
              <w:rPr>
                <w:lang w:val="es-ES_tradnl"/>
              </w:rPr>
              <w:br w:type="textWrapping" w:clear="all"/>
            </w:r>
            <w:r>
              <w:rPr>
                <w:lang w:val="es-ES_tradnl"/>
              </w:rPr>
              <w:t>2</w:t>
            </w:r>
            <w:r w:rsidRPr="005B40C0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 xml:space="preserve">diciembre de </w:t>
            </w:r>
            <w:r w:rsidRPr="005B40C0">
              <w:rPr>
                <w:lang w:val="es-ES_tradnl"/>
              </w:rPr>
              <w:t>2015</w:t>
            </w:r>
          </w:p>
          <w:p w:rsidR="006C222B" w:rsidRPr="005B40C0" w:rsidRDefault="006C222B" w:rsidP="006C222B">
            <w:pPr>
              <w:spacing w:before="240"/>
              <w:rPr>
                <w:lang w:val="es-ES_tradnl"/>
              </w:rPr>
            </w:pPr>
            <w:r w:rsidRPr="005B40C0">
              <w:rPr>
                <w:lang w:val="es-ES_tradnl"/>
              </w:rPr>
              <w:t>Español</w:t>
            </w:r>
            <w:r w:rsidRPr="005B40C0">
              <w:rPr>
                <w:lang w:val="es-ES_tradnl"/>
              </w:rPr>
              <w:br/>
              <w:t>Original: inglés</w:t>
            </w:r>
          </w:p>
        </w:tc>
      </w:tr>
    </w:tbl>
    <w:p w:rsidR="006C222B" w:rsidRPr="005B40C0" w:rsidRDefault="006C222B" w:rsidP="006C222B">
      <w:pPr>
        <w:pStyle w:val="AATitle"/>
        <w:keepNext w:val="0"/>
        <w:keepLines w:val="0"/>
        <w:ind w:right="4820"/>
        <w:rPr>
          <w:lang w:val="es-ES_tradnl"/>
        </w:rPr>
      </w:pPr>
      <w:r w:rsidRPr="005B40C0">
        <w:rPr>
          <w:lang w:val="es-ES_tradnl"/>
        </w:rPr>
        <w:t xml:space="preserve">Comité </w:t>
      </w:r>
      <w:r w:rsidR="00CA4F02">
        <w:rPr>
          <w:lang w:val="es-ES_tradnl"/>
        </w:rPr>
        <w:t>I</w:t>
      </w:r>
      <w:r w:rsidRPr="005B40C0">
        <w:rPr>
          <w:lang w:val="es-ES_tradnl"/>
        </w:rPr>
        <w:t xml:space="preserve">ntergubernamental de </w:t>
      </w:r>
      <w:r w:rsidR="00CA4F02">
        <w:rPr>
          <w:lang w:val="es-ES_tradnl"/>
        </w:rPr>
        <w:t>N</w:t>
      </w:r>
      <w:r w:rsidRPr="005B40C0">
        <w:rPr>
          <w:lang w:val="es-ES_tradnl"/>
        </w:rPr>
        <w:t>egociación encargado de elaborar un instrumento jurídicamente vinculante a nivel mundial sobre el mercurio</w:t>
      </w:r>
    </w:p>
    <w:p w:rsidR="006C222B" w:rsidRPr="005B40C0" w:rsidRDefault="006C222B" w:rsidP="006C222B">
      <w:pPr>
        <w:pStyle w:val="AATitle"/>
        <w:rPr>
          <w:lang w:val="es-ES_tradnl"/>
        </w:rPr>
      </w:pPr>
      <w:r w:rsidRPr="005B40C0">
        <w:rPr>
          <w:lang w:val="es-ES_tradnl"/>
        </w:rPr>
        <w:t>Séptimo período de sesiones</w:t>
      </w:r>
    </w:p>
    <w:p w:rsidR="006C222B" w:rsidRPr="005B40C0" w:rsidRDefault="006C222B" w:rsidP="006C222B">
      <w:pPr>
        <w:pStyle w:val="AATitle"/>
        <w:keepNext w:val="0"/>
        <w:keepLines w:val="0"/>
        <w:outlineLvl w:val="0"/>
        <w:rPr>
          <w:b w:val="0"/>
          <w:lang w:val="es-ES_tradnl"/>
        </w:rPr>
      </w:pPr>
      <w:r w:rsidRPr="005B40C0">
        <w:rPr>
          <w:b w:val="0"/>
          <w:lang w:val="es-ES_tradnl"/>
        </w:rPr>
        <w:t>Mar Muerto (Jordania), 10 a 15 de marzo de 2016</w:t>
      </w:r>
      <w:r w:rsidRPr="005B40C0">
        <w:rPr>
          <w:lang w:val="es-ES_tradnl"/>
        </w:rPr>
        <w:t xml:space="preserve"> </w:t>
      </w:r>
    </w:p>
    <w:p w:rsidR="006C222B" w:rsidRPr="005B40C0" w:rsidRDefault="006C222B" w:rsidP="006C222B">
      <w:pPr>
        <w:pStyle w:val="AATitle"/>
        <w:keepNext w:val="0"/>
        <w:keepLines w:val="0"/>
        <w:rPr>
          <w:b w:val="0"/>
          <w:lang w:val="es-ES_tradnl"/>
        </w:rPr>
      </w:pPr>
      <w:r w:rsidRPr="005B40C0">
        <w:rPr>
          <w:b w:val="0"/>
          <w:lang w:val="es-ES_tradnl"/>
        </w:rPr>
        <w:t>Tema 3 b) del programa provisional</w:t>
      </w:r>
      <w:r w:rsidRPr="005B40C0">
        <w:rPr>
          <w:b w:val="0"/>
          <w:lang w:val="es-ES_tradnl"/>
        </w:rPr>
        <w:footnoteReference w:customMarkFollows="1" w:id="2"/>
        <w:t>*</w:t>
      </w:r>
    </w:p>
    <w:p w:rsidR="006C222B" w:rsidRPr="005B40C0" w:rsidRDefault="006C222B" w:rsidP="006C222B">
      <w:pPr>
        <w:pStyle w:val="AATitle2"/>
        <w:keepNext w:val="0"/>
        <w:keepLines w:val="0"/>
        <w:spacing w:before="60" w:after="0"/>
        <w:outlineLvl w:val="0"/>
        <w:rPr>
          <w:lang w:val="es-ES_tradnl"/>
        </w:rPr>
      </w:pPr>
      <w:r w:rsidRPr="005B40C0">
        <w:rPr>
          <w:lang w:val="es-ES_tradnl"/>
        </w:rPr>
        <w:t>Labor de preparación de la entrada en vigor del Convenio de Minamata sobre el Mercurio y de la primera reunión de la Conferencia de las Partes</w:t>
      </w:r>
      <w:r w:rsidR="001C619E">
        <w:rPr>
          <w:lang w:val="es-ES_tradnl"/>
        </w:rPr>
        <w:t xml:space="preserve"> en el Convenio</w:t>
      </w:r>
      <w:r w:rsidRPr="005B40C0">
        <w:rPr>
          <w:lang w:val="es-ES_tradnl"/>
        </w:rPr>
        <w:t>: cuestiones que, en virtud del Convenio, deberá decidir la Conferencia de las Partes en su primera reunión</w:t>
      </w:r>
    </w:p>
    <w:p w:rsidR="00732C8E" w:rsidRPr="004651CE" w:rsidRDefault="004651CE" w:rsidP="002E4680">
      <w:pPr>
        <w:pStyle w:val="BBTitle"/>
        <w:keepNext w:val="0"/>
        <w:keepLines w:val="0"/>
        <w:rPr>
          <w:lang w:val="es-ES_tradnl"/>
        </w:rPr>
      </w:pPr>
      <w:r w:rsidRPr="004651CE">
        <w:rPr>
          <w:lang w:val="es-ES_tradnl"/>
        </w:rPr>
        <w:t xml:space="preserve">Análisis de los ofrecimientos para acoger la </w:t>
      </w:r>
      <w:r w:rsidR="00CA38F8">
        <w:rPr>
          <w:lang w:val="es-ES_tradnl"/>
        </w:rPr>
        <w:t>s</w:t>
      </w:r>
      <w:r w:rsidRPr="004651CE">
        <w:rPr>
          <w:lang w:val="es-ES_tradnl"/>
        </w:rPr>
        <w:t>ecretar</w:t>
      </w:r>
      <w:r>
        <w:rPr>
          <w:lang w:val="es-ES_tradnl"/>
        </w:rPr>
        <w:t>ía permanente del Convenio de Minamata sobre el Mercurio</w:t>
      </w:r>
    </w:p>
    <w:p w:rsidR="00732C8E" w:rsidRPr="00927EDA" w:rsidRDefault="00732C8E" w:rsidP="00927EDA">
      <w:pPr>
        <w:pStyle w:val="CH2"/>
      </w:pPr>
      <w:r w:rsidRPr="004651CE">
        <w:rPr>
          <w:lang w:val="es-ES_tradnl"/>
        </w:rPr>
        <w:tab/>
      </w:r>
      <w:r w:rsidRPr="004651CE">
        <w:rPr>
          <w:lang w:val="es-ES_tradnl"/>
        </w:rPr>
        <w:tab/>
      </w:r>
      <w:r w:rsidR="004651CE">
        <w:t xml:space="preserve">Nota de la </w:t>
      </w:r>
      <w:r w:rsidR="001C619E">
        <w:t>S</w:t>
      </w:r>
      <w:r w:rsidR="004651CE">
        <w:t>ecretaría</w:t>
      </w:r>
    </w:p>
    <w:p w:rsidR="002E4680" w:rsidRPr="004651CE" w:rsidRDefault="004651CE" w:rsidP="00B36F19">
      <w:pPr>
        <w:pStyle w:val="Normalnumber"/>
        <w:rPr>
          <w:lang w:val="es-ES_tradnl"/>
        </w:rPr>
      </w:pPr>
      <w:r w:rsidRPr="004651CE">
        <w:rPr>
          <w:lang w:val="es-ES_tradnl"/>
        </w:rPr>
        <w:t xml:space="preserve">En su sexto período de sesiones, el Comité </w:t>
      </w:r>
      <w:r w:rsidR="00CA4F02">
        <w:rPr>
          <w:lang w:val="es-ES_tradnl"/>
        </w:rPr>
        <w:t>Intergubernamental de N</w:t>
      </w:r>
      <w:r w:rsidRPr="004651CE">
        <w:rPr>
          <w:lang w:val="es-ES_tradnl"/>
        </w:rPr>
        <w:t>egociación encargado de elaborar un instrumento jurídicamente vinculante a nivel m</w:t>
      </w:r>
      <w:r w:rsidR="001C619E">
        <w:rPr>
          <w:lang w:val="es-ES_tradnl"/>
        </w:rPr>
        <w:t>undial sobre el mercurio pidi</w:t>
      </w:r>
      <w:r w:rsidRPr="004651CE">
        <w:rPr>
          <w:lang w:val="es-ES_tradnl"/>
        </w:rPr>
        <w:t xml:space="preserve">ó a la </w:t>
      </w:r>
      <w:r w:rsidR="006E2B7F" w:rsidRPr="006E2B7F">
        <w:rPr>
          <w:lang w:val="es-ES_tradnl"/>
        </w:rPr>
        <w:t>secretaría provisional que solicitase ofrecimientos de gobiernos interesados en acoger la secretaría permanente del Convenio de Minamata y que reuniera y analizara esos ofrecimientos para que el Comité los examinara en su séptimo período de sesiones.</w:t>
      </w:r>
    </w:p>
    <w:p w:rsidR="002E4680" w:rsidRPr="00536EDF" w:rsidRDefault="006E2B7F" w:rsidP="00923F47">
      <w:pPr>
        <w:pStyle w:val="Normalnumber"/>
        <w:rPr>
          <w:lang w:val="es-ES_tradnl"/>
        </w:rPr>
      </w:pPr>
      <w:r w:rsidRPr="006E2B7F">
        <w:rPr>
          <w:lang w:val="es-ES_tradnl"/>
        </w:rPr>
        <w:t xml:space="preserve">Consecuentemente, el 5 de diciembre de 2014 el Director Ejecutivo del Programa de las Naciones Unidas para el Medio Ambiente (PNUMA) remitió una carta a todos los gobiernos a través </w:t>
      </w:r>
      <w:r>
        <w:rPr>
          <w:lang w:val="es-ES_tradnl"/>
        </w:rPr>
        <w:t>de los enlaces oficiales del PNUMA en la que les invitaba a presentar sus ofertas para acoger físicamente la secretaría del Convenio de Minamata</w:t>
      </w:r>
      <w:r w:rsidR="002E4680" w:rsidRPr="006E2B7F">
        <w:rPr>
          <w:lang w:val="es-ES_tradnl"/>
        </w:rPr>
        <w:t xml:space="preserve">. </w:t>
      </w:r>
      <w:r w:rsidRPr="006E2B7F">
        <w:rPr>
          <w:lang w:val="es-ES_tradnl"/>
        </w:rPr>
        <w:t xml:space="preserve">En un anexo, la carta incluía las categorías de información que pueden formar parte de la propuesta presentada por un gobierno interesado </w:t>
      </w:r>
      <w:r>
        <w:rPr>
          <w:lang w:val="es-ES_tradnl"/>
        </w:rPr>
        <w:t xml:space="preserve">en acoger físicamente la </w:t>
      </w:r>
      <w:r w:rsidR="009850EB">
        <w:rPr>
          <w:lang w:val="es-ES_tradnl"/>
        </w:rPr>
        <w:t>s</w:t>
      </w:r>
      <w:r>
        <w:rPr>
          <w:lang w:val="es-ES_tradnl"/>
        </w:rPr>
        <w:t xml:space="preserve">ecretaría </w:t>
      </w:r>
      <w:r w:rsidR="009850EB">
        <w:rPr>
          <w:lang w:val="es-ES_tradnl"/>
        </w:rPr>
        <w:t xml:space="preserve">del convenio de Minamata. </w:t>
      </w:r>
      <w:r w:rsidR="009850EB" w:rsidRPr="009850EB">
        <w:rPr>
          <w:lang w:val="es-ES_tradnl"/>
        </w:rPr>
        <w:t>En la carta del Dire</w:t>
      </w:r>
      <w:r w:rsidR="00CA4F02">
        <w:rPr>
          <w:lang w:val="es-ES_tradnl"/>
        </w:rPr>
        <w:t>ctor Ejecutivo se establecía el </w:t>
      </w:r>
      <w:r w:rsidR="009850EB" w:rsidRPr="009850EB">
        <w:rPr>
          <w:lang w:val="es-ES_tradnl"/>
        </w:rPr>
        <w:t xml:space="preserve">30 de junio de 2015 como fecha límite </w:t>
      </w:r>
      <w:r w:rsidR="009850EB">
        <w:rPr>
          <w:lang w:val="es-ES_tradnl"/>
        </w:rPr>
        <w:t xml:space="preserve">para la presentación de ofrecimientos. </w:t>
      </w:r>
      <w:r w:rsidR="009850EB" w:rsidRPr="00536EDF">
        <w:rPr>
          <w:lang w:val="es-ES_tradnl"/>
        </w:rPr>
        <w:t>En la reunión celebrada en Moscú del 1 al 2 de agosto de 2015,</w:t>
      </w:r>
      <w:r w:rsidR="007B2615" w:rsidRPr="00536EDF">
        <w:rPr>
          <w:lang w:val="es-ES_tradnl"/>
        </w:rPr>
        <w:t xml:space="preserve"> </w:t>
      </w:r>
      <w:r w:rsidR="00536EDF" w:rsidRPr="00536EDF">
        <w:rPr>
          <w:lang w:val="es-ES_tradnl"/>
        </w:rPr>
        <w:t xml:space="preserve">la Mesa del Comité decidió ampliar el plazo de presentación de ofertas </w:t>
      </w:r>
      <w:r w:rsidR="00536EDF">
        <w:rPr>
          <w:lang w:val="es-ES_tradnl"/>
        </w:rPr>
        <w:t xml:space="preserve">solicitadas por el Comité hasta el 31 de agosto de 2015, y </w:t>
      </w:r>
      <w:r w:rsidR="00CA38F8">
        <w:rPr>
          <w:lang w:val="es-ES_tradnl"/>
        </w:rPr>
        <w:t xml:space="preserve">también </w:t>
      </w:r>
      <w:r w:rsidR="001C619E">
        <w:rPr>
          <w:lang w:val="es-ES_tradnl"/>
        </w:rPr>
        <w:t xml:space="preserve">acordó </w:t>
      </w:r>
      <w:r w:rsidR="00536EDF">
        <w:rPr>
          <w:lang w:val="es-ES_tradnl"/>
        </w:rPr>
        <w:t xml:space="preserve">que la Mesa fomentase la presentación de más ofertas, en particular </w:t>
      </w:r>
      <w:r w:rsidR="00CA38F8">
        <w:rPr>
          <w:lang w:val="es-ES_tradnl"/>
        </w:rPr>
        <w:t xml:space="preserve">procedentes </w:t>
      </w:r>
      <w:r w:rsidR="001C619E">
        <w:rPr>
          <w:lang w:val="es-ES_tradnl"/>
        </w:rPr>
        <w:t>de otras regiones</w:t>
      </w:r>
      <w:r w:rsidR="00536EDF">
        <w:rPr>
          <w:lang w:val="es-ES_tradnl"/>
        </w:rPr>
        <w:t xml:space="preserve">. </w:t>
      </w:r>
      <w:r w:rsidR="00536EDF" w:rsidRPr="00536EDF">
        <w:rPr>
          <w:lang w:val="es-ES_tradnl"/>
        </w:rPr>
        <w:t>Posteriormente, el 10 de julio de 2015</w:t>
      </w:r>
      <w:r w:rsidR="00853E42" w:rsidRPr="00536EDF">
        <w:rPr>
          <w:lang w:val="es-ES_tradnl"/>
        </w:rPr>
        <w:t xml:space="preserve">, </w:t>
      </w:r>
      <w:r w:rsidR="00536EDF" w:rsidRPr="00536EDF">
        <w:rPr>
          <w:lang w:val="es-ES_tradnl"/>
        </w:rPr>
        <w:t xml:space="preserve">la secretaría provisional hizo llegar </w:t>
      </w:r>
      <w:r w:rsidR="00536EDF">
        <w:rPr>
          <w:lang w:val="es-ES_tradnl"/>
        </w:rPr>
        <w:t>un mensaje de correo electrónico a los gobiernos a este propósito</w:t>
      </w:r>
      <w:r w:rsidR="007B2615" w:rsidRPr="00536EDF">
        <w:rPr>
          <w:lang w:val="es-ES_tradnl"/>
        </w:rPr>
        <w:t>.</w:t>
      </w:r>
      <w:r w:rsidR="002E4680" w:rsidRPr="00536EDF">
        <w:rPr>
          <w:lang w:val="es-ES_tradnl"/>
        </w:rPr>
        <w:t xml:space="preserve"> </w:t>
      </w:r>
    </w:p>
    <w:p w:rsidR="007B2615" w:rsidRPr="00536EDF" w:rsidRDefault="00536EDF" w:rsidP="00420E17">
      <w:pPr>
        <w:pStyle w:val="Normalnumber"/>
        <w:rPr>
          <w:lang w:val="es-ES_tradnl"/>
        </w:rPr>
      </w:pPr>
      <w:r w:rsidRPr="00536EDF">
        <w:rPr>
          <w:lang w:val="es-ES_tradnl"/>
        </w:rPr>
        <w:t xml:space="preserve">Dentro del plazo del 30 de junio de 2015 establecido por el Director Ejecutivo del PNUMA se recibió un ofrecimiento para acoger físicamente la </w:t>
      </w:r>
      <w:r>
        <w:rPr>
          <w:lang w:val="es-ES_tradnl"/>
        </w:rPr>
        <w:t xml:space="preserve">secretaría del Convenio de </w:t>
      </w:r>
      <w:proofErr w:type="spellStart"/>
      <w:r>
        <w:rPr>
          <w:lang w:val="es-ES_tradnl"/>
        </w:rPr>
        <w:t>Mina</w:t>
      </w:r>
      <w:r w:rsidRPr="00536EDF">
        <w:rPr>
          <w:lang w:val="es-ES_tradnl"/>
        </w:rPr>
        <w:t>mata</w:t>
      </w:r>
      <w:proofErr w:type="spellEnd"/>
      <w:r w:rsidR="00E624D7">
        <w:rPr>
          <w:lang w:val="es-ES_tradnl"/>
        </w:rPr>
        <w:t>,</w:t>
      </w:r>
      <w:r w:rsidRPr="00536EDF">
        <w:rPr>
          <w:lang w:val="es-ES_tradnl"/>
        </w:rPr>
        <w:t xml:space="preserve"> procedente del gobierno de Suiza.</w:t>
      </w:r>
      <w:r>
        <w:rPr>
          <w:lang w:val="es-ES_tradnl"/>
        </w:rPr>
        <w:t xml:space="preserve"> </w:t>
      </w:r>
      <w:r w:rsidRPr="00536EDF">
        <w:rPr>
          <w:lang w:val="es-ES_tradnl"/>
        </w:rPr>
        <w:t>No se recibieron más ofrecimientos entre el 1 de julio y el 31 de agosto de</w:t>
      </w:r>
      <w:r w:rsidR="00D334CE">
        <w:rPr>
          <w:lang w:val="es-ES_tradnl"/>
        </w:rPr>
        <w:t> </w:t>
      </w:r>
      <w:r w:rsidR="007B2615" w:rsidRPr="00536EDF">
        <w:rPr>
          <w:lang w:val="es-ES_tradnl"/>
        </w:rPr>
        <w:t xml:space="preserve">2015. </w:t>
      </w:r>
    </w:p>
    <w:p w:rsidR="007B2615" w:rsidRPr="00B438AF" w:rsidRDefault="00B438AF" w:rsidP="00923F47">
      <w:pPr>
        <w:pStyle w:val="Normalnumber"/>
        <w:rPr>
          <w:lang w:val="es-ES_tradnl"/>
        </w:rPr>
      </w:pPr>
      <w:r w:rsidRPr="00B438AF">
        <w:rPr>
          <w:lang w:val="es-ES_tradnl"/>
        </w:rPr>
        <w:lastRenderedPageBreak/>
        <w:t>En su nota sobre la oferta presentada por el gobierno de Suiza para acoger en Ginebra la secretaría permanente del Convenio de Minamata sobre el Me</w:t>
      </w:r>
      <w:r w:rsidR="00E624D7">
        <w:rPr>
          <w:lang w:val="es-ES_tradnl"/>
        </w:rPr>
        <w:t>rcurio (</w:t>
      </w:r>
      <w:proofErr w:type="gramStart"/>
      <w:r w:rsidR="00E624D7">
        <w:rPr>
          <w:lang w:val="es-ES_tradnl"/>
        </w:rPr>
        <w:t>UNEP(</w:t>
      </w:r>
      <w:proofErr w:type="gramEnd"/>
      <w:r w:rsidR="00E624D7">
        <w:rPr>
          <w:lang w:val="es-ES_tradnl"/>
        </w:rPr>
        <w:t>DTIE)/Hg/INC.7/INF/</w:t>
      </w:r>
      <w:r w:rsidRPr="00B438AF">
        <w:rPr>
          <w:lang w:val="es-ES_tradnl"/>
        </w:rPr>
        <w:t>5), la Secretaría presenta como recibid</w:t>
      </w:r>
      <w:r w:rsidR="00CA38F8">
        <w:rPr>
          <w:lang w:val="es-ES_tradnl"/>
        </w:rPr>
        <w:t>o</w:t>
      </w:r>
      <w:r w:rsidRPr="00B438AF">
        <w:rPr>
          <w:lang w:val="es-ES_tradnl"/>
        </w:rPr>
        <w:t xml:space="preserve"> </w:t>
      </w:r>
      <w:r w:rsidR="00CA38F8">
        <w:rPr>
          <w:lang w:val="es-ES_tradnl"/>
        </w:rPr>
        <w:t xml:space="preserve">el ofrecimiento </w:t>
      </w:r>
      <w:r w:rsidR="00CA38F8" w:rsidRPr="00B438AF">
        <w:rPr>
          <w:lang w:val="es-ES_tradnl"/>
        </w:rPr>
        <w:t xml:space="preserve">del gobierno de Suiza </w:t>
      </w:r>
      <w:r w:rsidRPr="00B438AF">
        <w:rPr>
          <w:lang w:val="es-ES_tradnl"/>
        </w:rPr>
        <w:t>para su consideración por el Comité</w:t>
      </w:r>
      <w:r w:rsidR="002E4680" w:rsidRPr="00B438AF">
        <w:rPr>
          <w:lang w:val="es-ES_tradnl"/>
        </w:rPr>
        <w:t xml:space="preserve">. </w:t>
      </w:r>
    </w:p>
    <w:p w:rsidR="002E4680" w:rsidRPr="00B438AF" w:rsidRDefault="00B438AF" w:rsidP="00B36F19">
      <w:pPr>
        <w:pStyle w:val="Normalnumber"/>
        <w:rPr>
          <w:lang w:val="es-ES_tradnl"/>
        </w:rPr>
      </w:pPr>
      <w:r w:rsidRPr="00B438AF">
        <w:rPr>
          <w:lang w:val="es-ES_tradnl"/>
        </w:rPr>
        <w:t>Tal y como solicitó el Comité en su sexto período de sesiones, la secretaría provisional también ha analizado la oferta del gobierno de Suiza (anexo)</w:t>
      </w:r>
      <w:r w:rsidR="00E97DC4" w:rsidRPr="00B438AF">
        <w:rPr>
          <w:lang w:val="es-ES_tradnl"/>
        </w:rPr>
        <w:t>.</w:t>
      </w:r>
    </w:p>
    <w:p w:rsidR="002E4680" w:rsidRPr="00B438AF" w:rsidRDefault="00A92430" w:rsidP="00B36F19">
      <w:pPr>
        <w:pStyle w:val="Normalnumber"/>
        <w:rPr>
          <w:lang w:val="es-ES_tradnl"/>
        </w:rPr>
      </w:pPr>
      <w:r w:rsidRPr="00B438AF">
        <w:rPr>
          <w:lang w:val="es-ES_tradnl"/>
        </w:rPr>
        <w:t xml:space="preserve">El Comité quizá quiera </w:t>
      </w:r>
      <w:r w:rsidR="001C619E">
        <w:rPr>
          <w:lang w:val="es-ES_tradnl"/>
        </w:rPr>
        <w:t>considerar el ofrecimiento del G</w:t>
      </w:r>
      <w:r w:rsidRPr="00B438AF">
        <w:rPr>
          <w:lang w:val="es-ES_tradnl"/>
        </w:rPr>
        <w:t>obierno de Suiza y el análisis asociado como parte de sus deliberaciones sobre</w:t>
      </w:r>
      <w:r w:rsidR="00B438AF" w:rsidRPr="00B438AF">
        <w:rPr>
          <w:lang w:val="es-ES_tradnl"/>
        </w:rPr>
        <w:t xml:space="preserve"> el acogimiento físico de la secretaría del convenio de Minamata y remitir los resultados de esta consideración </w:t>
      </w:r>
      <w:r w:rsidR="00B438AF">
        <w:rPr>
          <w:lang w:val="es-ES_tradnl"/>
        </w:rPr>
        <w:t>a la Conferencia de las Partes en el Convenio</w:t>
      </w:r>
      <w:r w:rsidR="00743982" w:rsidRPr="00B438AF">
        <w:rPr>
          <w:lang w:val="es-ES_tradnl"/>
        </w:rPr>
        <w:t xml:space="preserve">. </w:t>
      </w:r>
    </w:p>
    <w:p w:rsidR="002E4680" w:rsidRPr="00B438AF" w:rsidRDefault="002E4680" w:rsidP="002E4680">
      <w:pPr>
        <w:pStyle w:val="Normalnumber"/>
        <w:numPr>
          <w:ilvl w:val="0"/>
          <w:numId w:val="0"/>
        </w:numPr>
        <w:ind w:left="1247"/>
        <w:rPr>
          <w:szCs w:val="28"/>
          <w:lang w:val="es-ES_tradnl"/>
        </w:rPr>
        <w:sectPr w:rsidR="002E4680" w:rsidRPr="00B438A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1C7784" w:rsidRPr="00927EDA" w:rsidRDefault="003919B4" w:rsidP="00927EDA">
      <w:pPr>
        <w:pStyle w:val="ZZAnxheader"/>
        <w:spacing w:after="300"/>
      </w:pPr>
      <w:r>
        <w:t>Anexo</w:t>
      </w:r>
    </w:p>
    <w:tbl>
      <w:tblPr>
        <w:tblW w:w="0" w:type="auto"/>
        <w:tblInd w:w="1248" w:type="dxa"/>
        <w:tblLayout w:type="fixed"/>
        <w:tblLook w:val="04A0" w:firstRow="1" w:lastRow="0" w:firstColumn="1" w:lastColumn="0" w:noHBand="0" w:noVBand="1"/>
      </w:tblPr>
      <w:tblGrid>
        <w:gridCol w:w="6659"/>
        <w:gridCol w:w="6660"/>
      </w:tblGrid>
      <w:tr w:rsidR="00D355A2" w:rsidRPr="00D334CE">
        <w:trPr>
          <w:trHeight w:val="370"/>
          <w:tblHeader/>
        </w:trPr>
        <w:tc>
          <w:tcPr>
            <w:tcW w:w="66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55A2" w:rsidRPr="003919B4" w:rsidRDefault="00C46E37" w:rsidP="00436EE7">
            <w:pPr>
              <w:pStyle w:val="CH2"/>
              <w:keepNext w:val="0"/>
              <w:keepLines w:val="0"/>
              <w:spacing w:before="40" w:after="40"/>
              <w:ind w:left="0" w:firstLine="0"/>
              <w:outlineLvl w:val="0"/>
              <w:rPr>
                <w:b w:val="0"/>
                <w:i/>
                <w:sz w:val="18"/>
                <w:szCs w:val="18"/>
                <w:lang w:val="es-ES_tradnl"/>
              </w:rPr>
            </w:pPr>
            <w:r>
              <w:rPr>
                <w:b w:val="0"/>
                <w:i/>
                <w:sz w:val="18"/>
                <w:szCs w:val="18"/>
                <w:lang w:val="es-ES_tradnl"/>
              </w:rPr>
              <w:t>C</w:t>
            </w:r>
            <w:r w:rsidR="003919B4" w:rsidRPr="003919B4">
              <w:rPr>
                <w:b w:val="0"/>
                <w:i/>
                <w:sz w:val="18"/>
                <w:szCs w:val="18"/>
                <w:lang w:val="es-ES_tradnl"/>
              </w:rPr>
              <w:t>ategoría de la información comunicada</w:t>
            </w:r>
            <w:r w:rsidR="00D355A2" w:rsidRPr="009539EA">
              <w:rPr>
                <w:rStyle w:val="FootnoteReference"/>
                <w:b w:val="0"/>
                <w:i/>
                <w:sz w:val="18"/>
              </w:rPr>
              <w:footnoteReference w:id="3"/>
            </w:r>
            <w:r w:rsidR="00D355A2" w:rsidRPr="003919B4">
              <w:rPr>
                <w:b w:val="0"/>
                <w:i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55A2" w:rsidRPr="003919B4" w:rsidRDefault="003919B4" w:rsidP="003919B4">
            <w:pPr>
              <w:pStyle w:val="CH2"/>
              <w:keepNext w:val="0"/>
              <w:keepLines w:val="0"/>
              <w:spacing w:before="40" w:after="40"/>
              <w:ind w:left="0" w:firstLine="0"/>
              <w:outlineLvl w:val="0"/>
              <w:rPr>
                <w:b w:val="0"/>
                <w:i/>
                <w:sz w:val="18"/>
                <w:szCs w:val="18"/>
                <w:lang w:val="es-ES_tradnl"/>
              </w:rPr>
            </w:pPr>
            <w:r w:rsidRPr="003919B4">
              <w:rPr>
                <w:b w:val="0"/>
                <w:i/>
                <w:sz w:val="18"/>
                <w:szCs w:val="18"/>
                <w:lang w:val="es-ES_tradnl"/>
              </w:rPr>
              <w:t xml:space="preserve">Análisis de la información proporcionada en el ofrecimiento del gobierno de Suiza </w:t>
            </w:r>
          </w:p>
        </w:tc>
      </w:tr>
      <w:tr w:rsidR="00D355A2" w:rsidRPr="00436EE7">
        <w:trPr>
          <w:trHeight w:val="173"/>
        </w:trPr>
        <w:tc>
          <w:tcPr>
            <w:tcW w:w="6659" w:type="dxa"/>
            <w:tcBorders>
              <w:top w:val="single" w:sz="12" w:space="0" w:color="auto"/>
            </w:tcBorders>
            <w:shd w:val="clear" w:color="auto" w:fill="auto"/>
          </w:tcPr>
          <w:p w:rsidR="00D355A2" w:rsidRPr="00D355A2" w:rsidRDefault="003919B4" w:rsidP="00436EE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bCs/>
                <w:i/>
                <w:color w:val="000000"/>
                <w:sz w:val="18"/>
                <w:szCs w:val="18"/>
                <w:lang w:eastAsia="zh-CN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Marco legal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</w:tcPr>
          <w:p w:rsidR="00D355A2" w:rsidRPr="00D355A2" w:rsidRDefault="00D355A2" w:rsidP="00436EE7">
            <w:pPr>
              <w:pStyle w:val="CH2"/>
              <w:keepNext w:val="0"/>
              <w:keepLines w:val="0"/>
              <w:spacing w:before="40" w:after="40"/>
              <w:ind w:left="0" w:firstLine="0"/>
              <w:outlineLvl w:val="0"/>
              <w:rPr>
                <w:b w:val="0"/>
                <w:i/>
                <w:sz w:val="18"/>
                <w:szCs w:val="18"/>
              </w:rPr>
            </w:pPr>
          </w:p>
        </w:tc>
      </w:tr>
      <w:tr w:rsidR="00D355A2" w:rsidRPr="00D334CE">
        <w:trPr>
          <w:trHeight w:val="449"/>
        </w:trPr>
        <w:tc>
          <w:tcPr>
            <w:tcW w:w="6659" w:type="dxa"/>
            <w:shd w:val="clear" w:color="auto" w:fill="auto"/>
          </w:tcPr>
          <w:p w:rsidR="00D355A2" w:rsidRPr="003919B4" w:rsidRDefault="003919B4" w:rsidP="003919B4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3919B4">
              <w:rPr>
                <w:color w:val="000000"/>
                <w:sz w:val="18"/>
                <w:szCs w:val="18"/>
                <w:lang w:val="es-ES_tradnl" w:eastAsia="zh-CN"/>
              </w:rPr>
              <w:t>Prerrogativas e inmunidades que se otorgarán a la secretaría y a sus funcionarios</w:t>
            </w:r>
            <w:r w:rsidR="00D355A2" w:rsidRPr="003919B4">
              <w:rPr>
                <w:color w:val="000000"/>
                <w:sz w:val="18"/>
                <w:szCs w:val="18"/>
                <w:lang w:val="es-ES_tradnl" w:eastAsia="zh-CN"/>
              </w:rPr>
              <w:t xml:space="preserve">, </w:t>
            </w:r>
            <w:r w:rsidRPr="003919B4">
              <w:rPr>
                <w:color w:val="000000"/>
                <w:sz w:val="18"/>
                <w:szCs w:val="18"/>
                <w:lang w:val="es-ES_tradnl" w:eastAsia="zh-CN"/>
              </w:rPr>
              <w:t xml:space="preserve">así como a representantes gubernamentales y otras personas que participen en las actividades oficiales del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Convenio</w:t>
            </w:r>
            <w:r w:rsidR="00D355A2" w:rsidRPr="003919B4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AB1339" w:rsidRDefault="007B0544" w:rsidP="006D2D8F">
            <w:pPr>
              <w:pStyle w:val="Normalnumber"/>
              <w:numPr>
                <w:ilvl w:val="0"/>
                <w:numId w:val="0"/>
              </w:numPr>
              <w:spacing w:before="40" w:after="80"/>
              <w:rPr>
                <w:sz w:val="18"/>
                <w:szCs w:val="18"/>
                <w:lang w:val="es-ES_tradnl"/>
              </w:rPr>
            </w:pPr>
            <w:r w:rsidRPr="00AB1339">
              <w:rPr>
                <w:sz w:val="18"/>
                <w:szCs w:val="18"/>
                <w:lang w:val="es-ES_tradnl"/>
              </w:rPr>
              <w:t xml:space="preserve">Dado que estos acuerdos existen ya en Ginebra, </w:t>
            </w:r>
            <w:r w:rsidR="00AB1339" w:rsidRPr="00AB1339">
              <w:rPr>
                <w:sz w:val="18"/>
                <w:szCs w:val="18"/>
                <w:lang w:val="es-ES_tradnl"/>
              </w:rPr>
              <w:t>ciudad que acoge una de las sedes de las Naciones Unidas, no sería necesari</w:t>
            </w:r>
            <w:r w:rsidR="006D2D8F">
              <w:rPr>
                <w:sz w:val="18"/>
                <w:szCs w:val="18"/>
                <w:lang w:val="es-ES_tradnl"/>
              </w:rPr>
              <w:t>a</w:t>
            </w:r>
            <w:r w:rsidR="00AB1339" w:rsidRPr="00AB1339">
              <w:rPr>
                <w:sz w:val="18"/>
                <w:szCs w:val="18"/>
                <w:lang w:val="es-ES_tradnl"/>
              </w:rPr>
              <w:t xml:space="preserve"> </w:t>
            </w:r>
            <w:r w:rsidR="00AB1339">
              <w:rPr>
                <w:sz w:val="18"/>
                <w:szCs w:val="18"/>
                <w:lang w:val="es-ES_tradnl"/>
              </w:rPr>
              <w:t>una nueva negociación de estas prerrogativas e inmunidades</w:t>
            </w:r>
            <w:r w:rsidR="00D355A2" w:rsidRPr="00AB1339">
              <w:rPr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D334CE">
        <w:trPr>
          <w:trHeight w:val="68"/>
        </w:trPr>
        <w:tc>
          <w:tcPr>
            <w:tcW w:w="6659" w:type="dxa"/>
            <w:shd w:val="clear" w:color="auto" w:fill="auto"/>
          </w:tcPr>
          <w:p w:rsidR="00D355A2" w:rsidRPr="003919B4" w:rsidRDefault="003919B4" w:rsidP="003919B4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sz w:val="18"/>
                <w:szCs w:val="18"/>
                <w:lang w:val="es-ES_tradnl"/>
              </w:rPr>
            </w:pPr>
            <w:r w:rsidRPr="003919B4">
              <w:rPr>
                <w:color w:val="000000"/>
                <w:sz w:val="18"/>
                <w:szCs w:val="18"/>
                <w:lang w:val="es-ES_tradnl" w:eastAsia="zh-CN"/>
              </w:rPr>
              <w:t>Marco legal para garantizar un tratamiento equitativo de las instalaciones y el personal de las Naciones Unidas y sus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 xml:space="preserve"> organismos especializados</w:t>
            </w:r>
            <w:r w:rsidR="00D355A2" w:rsidRPr="003919B4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AB1339" w:rsidRDefault="00AB1339" w:rsidP="00AB1339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AB1339">
              <w:rPr>
                <w:b w:val="0"/>
                <w:bCs/>
                <w:sz w:val="18"/>
                <w:szCs w:val="18"/>
                <w:lang w:val="es-ES_tradnl"/>
              </w:rPr>
              <w:t xml:space="preserve">La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 w:rsidRPr="00AB1339">
              <w:rPr>
                <w:b w:val="0"/>
                <w:bCs/>
                <w:sz w:val="18"/>
                <w:szCs w:val="18"/>
                <w:lang w:val="es-ES_tradnl"/>
              </w:rPr>
              <w:t xml:space="preserve">ecretaría del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C</w:t>
            </w:r>
            <w:r w:rsidRPr="00AB1339">
              <w:rPr>
                <w:b w:val="0"/>
                <w:bCs/>
                <w:sz w:val="18"/>
                <w:szCs w:val="18"/>
                <w:lang w:val="es-ES_tradnl"/>
              </w:rPr>
              <w:t xml:space="preserve">onvenio de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M</w:t>
            </w:r>
            <w:r w:rsidRPr="00AB1339">
              <w:rPr>
                <w:b w:val="0"/>
                <w:bCs/>
                <w:sz w:val="18"/>
                <w:szCs w:val="18"/>
                <w:lang w:val="es-ES_tradnl"/>
              </w:rPr>
              <w:t>inamata no precisaría un nuevo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 xml:space="preserve"> arreglo</w:t>
            </w:r>
            <w:r w:rsidR="00D355A2" w:rsidRPr="00AB1339">
              <w:rPr>
                <w:b w:val="0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D355A2" w:rsidRPr="00D334CE">
        <w:tc>
          <w:tcPr>
            <w:tcW w:w="6659" w:type="dxa"/>
            <w:shd w:val="clear" w:color="auto" w:fill="auto"/>
          </w:tcPr>
          <w:p w:rsidR="00D355A2" w:rsidRPr="003919B4" w:rsidRDefault="003919B4" w:rsidP="003919B4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sz w:val="18"/>
                <w:szCs w:val="18"/>
                <w:lang w:val="es-ES_tradnl"/>
              </w:rPr>
            </w:pPr>
            <w:r w:rsidRPr="003919B4">
              <w:rPr>
                <w:sz w:val="18"/>
                <w:szCs w:val="18"/>
                <w:lang w:val="es-ES_tradnl"/>
              </w:rPr>
              <w:t>Normas, incluida toda restricción, aplicables al empleo de los</w:t>
            </w:r>
            <w:r w:rsidR="00CA4F02">
              <w:rPr>
                <w:sz w:val="18"/>
                <w:szCs w:val="18"/>
                <w:lang w:val="es-ES_tradnl"/>
              </w:rPr>
              <w:t xml:space="preserve"> familiares de los </w:t>
            </w:r>
            <w:r>
              <w:rPr>
                <w:sz w:val="18"/>
                <w:szCs w:val="18"/>
                <w:lang w:val="es-ES_tradnl"/>
              </w:rPr>
              <w:t>funcionarios</w:t>
            </w:r>
            <w:r w:rsidR="00D355A2" w:rsidRPr="003919B4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B04CF0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Disposiciones estánda</w:t>
            </w:r>
            <w:r w:rsidR="001C619E">
              <w:rPr>
                <w:b w:val="0"/>
                <w:bCs/>
                <w:sz w:val="18"/>
                <w:szCs w:val="18"/>
                <w:lang w:val="es-ES_tradnl"/>
              </w:rPr>
              <w:t>r aplicables a las entidades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de las Naciones Unidas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 xml:space="preserve"> radicadas 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en Ginebra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D355A2" w:rsidRPr="00D334CE">
        <w:trPr>
          <w:trHeight w:val="347"/>
        </w:trPr>
        <w:tc>
          <w:tcPr>
            <w:tcW w:w="6659" w:type="dxa"/>
            <w:shd w:val="clear" w:color="auto" w:fill="auto"/>
          </w:tcPr>
          <w:p w:rsidR="00D355A2" w:rsidRPr="00C46E37" w:rsidRDefault="003919B4" w:rsidP="00C46E37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sz w:val="18"/>
                <w:szCs w:val="18"/>
                <w:lang w:val="es-ES_tradnl"/>
              </w:rPr>
            </w:pPr>
            <w:r w:rsidRPr="00C46E37">
              <w:rPr>
                <w:color w:val="000000"/>
                <w:sz w:val="18"/>
                <w:szCs w:val="18"/>
                <w:lang w:val="es-ES_tradnl" w:eastAsia="zh-CN"/>
              </w:rPr>
              <w:t>Naturaleza del acuerdo con el gobierno de acogida (por ejemplo,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 acuerdo </w:t>
            </w:r>
            <w:r w:rsidR="00C46E37">
              <w:rPr>
                <w:color w:val="000000"/>
                <w:sz w:val="18"/>
                <w:szCs w:val="18"/>
                <w:lang w:val="es-ES_tradnl" w:eastAsia="zh-CN"/>
              </w:rPr>
              <w:t>por separado o bien integrado en otro acuerdo ya existente)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B04CF0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La secretaría del Convenio de Minamata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se beneficiaría del acuerdo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g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eneral que existe entre Suiza y las Naciones Unidas en Ginebra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D355A2" w:rsidRPr="00D334CE">
        <w:trPr>
          <w:trHeight w:val="247"/>
        </w:trPr>
        <w:tc>
          <w:tcPr>
            <w:tcW w:w="6659" w:type="dxa"/>
            <w:shd w:val="clear" w:color="auto" w:fill="auto"/>
          </w:tcPr>
          <w:p w:rsidR="00D355A2" w:rsidRPr="00C46E37" w:rsidRDefault="00C46E37" w:rsidP="00C46E3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80"/>
              <w:rPr>
                <w:i/>
                <w:sz w:val="18"/>
                <w:szCs w:val="18"/>
                <w:lang w:val="es-ES_tradnl"/>
              </w:rPr>
            </w:pPr>
            <w:r w:rsidRPr="00C46E37"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  <w:t>Características del emplazamiento y cue</w:t>
            </w:r>
            <w:r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  <w:t>stiones económicas relacionadas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D355A2" w:rsidP="00436EE7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sz w:val="18"/>
                <w:szCs w:val="18"/>
                <w:lang w:val="es-ES_tradnl"/>
              </w:rPr>
            </w:pPr>
          </w:p>
        </w:tc>
      </w:tr>
      <w:tr w:rsidR="00D355A2" w:rsidRPr="00D334CE">
        <w:tc>
          <w:tcPr>
            <w:tcW w:w="6659" w:type="dxa"/>
            <w:shd w:val="clear" w:color="auto" w:fill="auto"/>
          </w:tcPr>
          <w:p w:rsidR="00D355A2" w:rsidRPr="00C46E37" w:rsidRDefault="00C46E37" w:rsidP="00C46E37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sz w:val="18"/>
                <w:szCs w:val="18"/>
                <w:lang w:val="es-ES_tradnl"/>
              </w:rPr>
            </w:pPr>
            <w:r w:rsidRPr="00C46E37">
              <w:rPr>
                <w:color w:val="000000"/>
                <w:sz w:val="18"/>
                <w:szCs w:val="18"/>
                <w:lang w:val="es-ES_tradnl" w:eastAsia="zh-CN"/>
              </w:rPr>
              <w:t>Características principales del edificio que albergará la secretaría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, </w:t>
            </w:r>
            <w:r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incluido el espacio de oficinas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 xml:space="preserve">y perspectivas de expansión, instalaciones para conferencias y disponibilidad de servicios generales (seguridad, mantenimiento, 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etc.).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6D2D8F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La ubicación y la estructura del espacio de oficinas se consideran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 xml:space="preserve"> apropiadas para instituciones de las Naciones Unidas y </w:t>
            </w:r>
            <w:r w:rsidR="006D2D8F"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ecretarías de convenios, y actualmente acogen un amplio número de ellas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D334CE">
        <w:tc>
          <w:tcPr>
            <w:tcW w:w="6659" w:type="dxa"/>
            <w:shd w:val="clear" w:color="auto" w:fill="auto"/>
          </w:tcPr>
          <w:p w:rsidR="00D355A2" w:rsidRPr="00C46E37" w:rsidRDefault="00C46E37" w:rsidP="00436EE7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Fundamento de la propuesta de poner los locales de oficina a disposición de la </w:t>
            </w:r>
            <w:r w:rsidR="00CA38F8">
              <w:rPr>
                <w:color w:val="000000"/>
                <w:sz w:val="18"/>
                <w:szCs w:val="18"/>
                <w:lang w:val="es-ES_tradnl" w:eastAsia="zh-CN"/>
              </w:rPr>
              <w:t>s</w:t>
            </w:r>
            <w:r w:rsidRPr="00C46E37">
              <w:rPr>
                <w:color w:val="000000"/>
                <w:sz w:val="18"/>
                <w:szCs w:val="18"/>
                <w:lang w:val="es-ES_tradnl" w:eastAsia="zh-CN"/>
              </w:rPr>
              <w:t>ecretaría,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 xml:space="preserve"> por ejemplo:</w:t>
            </w:r>
          </w:p>
          <w:p w:rsidR="00D355A2" w:rsidRPr="00C46E37" w:rsidRDefault="00CA38F8" w:rsidP="00436EE7">
            <w:pPr>
              <w:numPr>
                <w:ilvl w:val="1"/>
                <w:numId w:val="1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6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L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a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s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ecretaría es propietaria </w:t>
            </w:r>
            <w:r w:rsidR="00C46E37">
              <w:rPr>
                <w:color w:val="000000"/>
                <w:sz w:val="18"/>
                <w:szCs w:val="18"/>
                <w:lang w:val="es-ES_tradnl" w:eastAsia="zh-CN"/>
              </w:rPr>
              <w:t>(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>por donación o adquisición</w:t>
            </w:r>
            <w:r w:rsidR="00C46E37">
              <w:rPr>
                <w:color w:val="000000"/>
                <w:sz w:val="18"/>
                <w:szCs w:val="18"/>
                <w:lang w:val="es-ES_tradnl" w:eastAsia="zh-CN"/>
              </w:rPr>
              <w:t>)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C46E37" w:rsidRDefault="00CA38F8" w:rsidP="00436EE7">
            <w:pPr>
              <w:numPr>
                <w:ilvl w:val="1"/>
                <w:numId w:val="1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6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E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>l gobierno de acogida es propietario y n</w:t>
            </w:r>
            <w:bookmarkStart w:id="2" w:name="_GoBack"/>
            <w:bookmarkEnd w:id="2"/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>o se le abona alquiler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C46E37" w:rsidRDefault="00891829" w:rsidP="00C46E37">
            <w:pPr>
              <w:numPr>
                <w:ilvl w:val="1"/>
                <w:numId w:val="16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6"/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E</w:t>
            </w:r>
            <w:r w:rsidR="00C46E37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l gobierno de acogida </w:t>
            </w:r>
            <w:r w:rsidR="00C46E37">
              <w:rPr>
                <w:color w:val="000000"/>
                <w:sz w:val="18"/>
                <w:szCs w:val="18"/>
                <w:lang w:val="es-ES_tradnl" w:eastAsia="zh-CN"/>
              </w:rPr>
              <w:t>es propietario y se le abona alquiler, y monto del alquiler</w:t>
            </w:r>
            <w:r w:rsidR="00D355A2" w:rsidRPr="00C46E37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B04CF0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Disposiciones estándar aplicables a las secretarías radicadas en Ginebra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D355A2" w:rsidRPr="00D334CE">
        <w:tc>
          <w:tcPr>
            <w:tcW w:w="6659" w:type="dxa"/>
            <w:shd w:val="clear" w:color="auto" w:fill="auto"/>
          </w:tcPr>
          <w:p w:rsidR="00D355A2" w:rsidRPr="00927EDA" w:rsidRDefault="00C46E37" w:rsidP="00436EE7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Responsabilidad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en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cuanto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a</w:t>
            </w:r>
            <w:r w:rsidR="00D355A2" w:rsidRPr="00927EDA">
              <w:rPr>
                <w:color w:val="000000"/>
                <w:sz w:val="18"/>
                <w:szCs w:val="18"/>
                <w:lang w:eastAsia="zh-CN"/>
              </w:rPr>
              <w:t xml:space="preserve">: </w:t>
            </w:r>
          </w:p>
          <w:p w:rsidR="00D355A2" w:rsidRPr="00AB1339" w:rsidRDefault="00891829" w:rsidP="00CA4F02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B1339">
              <w:rPr>
                <w:color w:val="000000"/>
                <w:sz w:val="18"/>
                <w:szCs w:val="18"/>
                <w:lang w:val="es-ES_tradnl" w:eastAsia="zh-CN"/>
              </w:rPr>
              <w:t>M</w:t>
            </w:r>
            <w:r w:rsidR="00A23425" w:rsidRPr="00AB1339">
              <w:rPr>
                <w:color w:val="000000"/>
                <w:sz w:val="18"/>
                <w:szCs w:val="18"/>
                <w:lang w:val="es-ES_tradnl" w:eastAsia="zh-CN"/>
              </w:rPr>
              <w:t>a</w:t>
            </w:r>
            <w:r w:rsidR="00C46E37" w:rsidRPr="00AB1339">
              <w:rPr>
                <w:color w:val="000000"/>
                <w:sz w:val="18"/>
                <w:szCs w:val="18"/>
                <w:lang w:val="es-ES_tradnl" w:eastAsia="zh-CN"/>
              </w:rPr>
              <w:t xml:space="preserve">ntenimiento y reparaciones </w:t>
            </w:r>
            <w:r w:rsidR="00A23425" w:rsidRPr="00AB1339">
              <w:rPr>
                <w:color w:val="000000"/>
                <w:sz w:val="18"/>
                <w:szCs w:val="18"/>
                <w:lang w:val="es-ES_tradnl" w:eastAsia="zh-CN"/>
              </w:rPr>
              <w:t xml:space="preserve">de </w:t>
            </w:r>
            <w:r w:rsidR="00C46E37" w:rsidRPr="00AB1339">
              <w:rPr>
                <w:color w:val="000000"/>
                <w:sz w:val="18"/>
                <w:szCs w:val="18"/>
                <w:lang w:val="es-ES_tradnl" w:eastAsia="zh-CN"/>
              </w:rPr>
              <w:t>importancia de los locales de oficina</w:t>
            </w:r>
            <w:r w:rsidR="00A23425" w:rsidRPr="00AB1339">
              <w:rPr>
                <w:color w:val="000000"/>
                <w:sz w:val="18"/>
                <w:szCs w:val="18"/>
                <w:lang w:val="es-ES_tradnl" w:eastAsia="zh-CN"/>
              </w:rPr>
              <w:t>s</w:t>
            </w:r>
            <w:r w:rsidR="00D355A2" w:rsidRPr="00AB1339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B1339" w:rsidRDefault="00891829" w:rsidP="00CA4F02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5"/>
              <w:rPr>
                <w:color w:val="000000"/>
                <w:sz w:val="18"/>
                <w:szCs w:val="18"/>
                <w:lang w:eastAsia="zh-CN"/>
              </w:rPr>
            </w:pPr>
            <w:r w:rsidRPr="00AB1339">
              <w:rPr>
                <w:color w:val="000000"/>
                <w:sz w:val="18"/>
                <w:szCs w:val="18"/>
                <w:lang w:eastAsia="zh-CN"/>
              </w:rPr>
              <w:t>Ma</w:t>
            </w:r>
            <w:r w:rsidR="00C46E37" w:rsidRPr="00AB1339">
              <w:rPr>
                <w:color w:val="000000"/>
                <w:sz w:val="18"/>
                <w:szCs w:val="18"/>
                <w:lang w:eastAsia="zh-CN"/>
              </w:rPr>
              <w:t xml:space="preserve">ntenimiento y </w:t>
            </w:r>
            <w:r w:rsidR="00C46E37" w:rsidRPr="00CA4F02">
              <w:rPr>
                <w:color w:val="000000"/>
                <w:sz w:val="18"/>
                <w:szCs w:val="18"/>
                <w:lang w:val="es-ES_tradnl" w:eastAsia="zh-CN"/>
              </w:rPr>
              <w:t>reparaciones</w:t>
            </w:r>
            <w:r w:rsidR="00C46E37" w:rsidRPr="00AB1339">
              <w:rPr>
                <w:color w:val="000000"/>
                <w:sz w:val="18"/>
                <w:szCs w:val="18"/>
                <w:lang w:eastAsia="zh-CN"/>
              </w:rPr>
              <w:t xml:space="preserve"> ordinarias</w:t>
            </w:r>
            <w:r w:rsidR="00D355A2" w:rsidRPr="00AB1339">
              <w:rPr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D355A2" w:rsidRPr="00AB1339" w:rsidRDefault="00891829" w:rsidP="00CA4F02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8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B1339">
              <w:rPr>
                <w:color w:val="000000"/>
                <w:sz w:val="18"/>
                <w:szCs w:val="18"/>
                <w:lang w:val="es-ES_tradnl" w:eastAsia="zh-CN"/>
              </w:rPr>
              <w:t>S</w:t>
            </w:r>
            <w:r w:rsidR="00C46E37" w:rsidRPr="00AB1339">
              <w:rPr>
                <w:color w:val="000000"/>
                <w:sz w:val="18"/>
                <w:szCs w:val="18"/>
                <w:lang w:val="es-ES_tradnl" w:eastAsia="zh-CN"/>
              </w:rPr>
              <w:t>ervicios públicos, incluidos los de comunicaciones</w:t>
            </w:r>
            <w:r w:rsidR="00D355A2" w:rsidRPr="00AB1339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6D2D8F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Las tarifas correspondientes</w:t>
            </w:r>
            <w:r w:rsidR="006D2D8F">
              <w:rPr>
                <w:b w:val="0"/>
                <w:bCs/>
                <w:sz w:val="18"/>
                <w:szCs w:val="18"/>
                <w:lang w:val="es-ES_tradnl"/>
              </w:rPr>
              <w:t xml:space="preserve"> a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mantenimiento y reparaciones, que se calculan por metro cuadrado, serían similares a la</w:t>
            </w:r>
            <w:r w:rsidR="001C619E">
              <w:rPr>
                <w:b w:val="0"/>
                <w:bCs/>
                <w:sz w:val="18"/>
                <w:szCs w:val="18"/>
                <w:lang w:val="es-ES_tradnl"/>
              </w:rPr>
              <w:t>s que abonan otras entidades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de las</w:t>
            </w:r>
            <w:r w:rsidR="00CA4F02">
              <w:rPr>
                <w:b w:val="0"/>
                <w:bCs/>
                <w:sz w:val="18"/>
                <w:szCs w:val="18"/>
                <w:lang w:val="es-ES_tradnl"/>
              </w:rPr>
              <w:t xml:space="preserve"> Naciones 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Unidas </w:t>
            </w:r>
            <w:r w:rsidR="001C619E">
              <w:rPr>
                <w:b w:val="0"/>
                <w:bCs/>
                <w:sz w:val="18"/>
                <w:szCs w:val="18"/>
                <w:lang w:val="es-ES_tradnl"/>
              </w:rPr>
              <w:t>y secretarías de convenios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 xml:space="preserve"> con sede en la Casa Internacional del Medio Ambiente.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D355A2" w:rsidRPr="00D334CE">
        <w:tc>
          <w:tcPr>
            <w:tcW w:w="6659" w:type="dxa"/>
            <w:shd w:val="clear" w:color="auto" w:fill="auto"/>
          </w:tcPr>
          <w:p w:rsidR="00D355A2" w:rsidRPr="006F780F" w:rsidRDefault="006F780F" w:rsidP="006F780F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6F780F">
              <w:rPr>
                <w:color w:val="000000"/>
                <w:sz w:val="18"/>
                <w:szCs w:val="18"/>
                <w:lang w:val="es-ES_tradnl" w:eastAsia="zh-CN"/>
              </w:rPr>
              <w:t>Grado en el que el gobierno de acogida se ocupará de amueblar y equipar los locales de oficina</w:t>
            </w:r>
            <w:r w:rsidR="00D355A2" w:rsidRPr="006F780F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C2DF4" w:rsidRDefault="00B04CF0" w:rsidP="00BC2DF4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>Las disposiciones del ofrecimiento se consideran suficientes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 para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 xml:space="preserve"> establecerse</w:t>
            </w:r>
            <w:r w:rsidR="00D355A2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D334CE">
        <w:trPr>
          <w:trHeight w:val="171"/>
        </w:trPr>
        <w:tc>
          <w:tcPr>
            <w:tcW w:w="6659" w:type="dxa"/>
            <w:shd w:val="clear" w:color="auto" w:fill="auto"/>
          </w:tcPr>
          <w:p w:rsidR="00D355A2" w:rsidRPr="006F780F" w:rsidRDefault="006F780F" w:rsidP="006F780F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624"/>
              </w:tabs>
              <w:autoSpaceDE w:val="0"/>
              <w:autoSpaceDN w:val="0"/>
              <w:adjustRightInd w:val="0"/>
              <w:spacing w:before="40" w:after="80"/>
              <w:ind w:left="0" w:firstLine="0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6F780F">
              <w:rPr>
                <w:color w:val="000000"/>
                <w:sz w:val="18"/>
                <w:szCs w:val="18"/>
                <w:lang w:val="es-ES_tradnl" w:eastAsia="zh-CN"/>
              </w:rPr>
              <w:t xml:space="preserve">Duración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del acuerdo relativo al espacio de oficinas</w:t>
            </w:r>
            <w:r w:rsidR="00D355A2" w:rsidRPr="006F780F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B04CF0" w:rsidRDefault="00B04CF0" w:rsidP="00B04CF0">
            <w:pPr>
              <w:pStyle w:val="CH2"/>
              <w:keepNext w:val="0"/>
              <w:keepLines w:val="0"/>
              <w:spacing w:before="40" w:after="8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>La estabilidad de</w:t>
            </w:r>
            <w:r w:rsidR="006D2D8F">
              <w:rPr>
                <w:b w:val="0"/>
                <w:bCs/>
                <w:sz w:val="18"/>
                <w:szCs w:val="18"/>
                <w:lang w:val="es-ES_tradnl"/>
              </w:rPr>
              <w:t>l</w:t>
            </w:r>
            <w:r w:rsidRPr="00B04CF0">
              <w:rPr>
                <w:b w:val="0"/>
                <w:bCs/>
                <w:sz w:val="18"/>
                <w:szCs w:val="18"/>
                <w:lang w:val="es-ES_tradnl"/>
              </w:rPr>
              <w:t xml:space="preserve"> arreglo permanente es beneficiosa</w:t>
            </w:r>
            <w:r w:rsidR="00D355A2" w:rsidRPr="00B04CF0">
              <w:rPr>
                <w:b w:val="0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D355A2" w:rsidRPr="00927EDA">
        <w:trPr>
          <w:trHeight w:val="110"/>
        </w:trPr>
        <w:tc>
          <w:tcPr>
            <w:tcW w:w="6659" w:type="dxa"/>
            <w:shd w:val="clear" w:color="auto" w:fill="auto"/>
          </w:tcPr>
          <w:p w:rsidR="00D355A2" w:rsidRPr="00927EDA" w:rsidRDefault="006F780F" w:rsidP="00436EE7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80"/>
              <w:rPr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Instalaciones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locales y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condiciones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D355A2" w:rsidRPr="00927EDA" w:rsidRDefault="00D355A2" w:rsidP="00436EE7">
            <w:pPr>
              <w:pStyle w:val="CH2"/>
              <w:spacing w:before="40" w:after="80"/>
              <w:ind w:left="0" w:firstLine="0"/>
              <w:outlineLvl w:val="0"/>
              <w:rPr>
                <w:sz w:val="18"/>
                <w:szCs w:val="18"/>
              </w:rPr>
            </w:pPr>
          </w:p>
        </w:tc>
      </w:tr>
      <w:tr w:rsidR="00D355A2" w:rsidRPr="00D3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A2" w:rsidRPr="006F780F" w:rsidRDefault="006F780F" w:rsidP="00436EE7">
            <w:pPr>
              <w:keepNext/>
              <w:keepLines/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120"/>
              <w:ind w:left="0" w:firstLine="0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6F780F">
              <w:rPr>
                <w:color w:val="000000"/>
                <w:sz w:val="18"/>
                <w:szCs w:val="18"/>
                <w:lang w:val="es-ES_tradnl" w:eastAsia="zh-CN"/>
              </w:rPr>
              <w:t>Descripción de las instalaciones y condiciones siguientes</w:t>
            </w:r>
            <w:r w:rsidR="00D355A2" w:rsidRPr="006F780F">
              <w:rPr>
                <w:color w:val="000000"/>
                <w:sz w:val="18"/>
                <w:szCs w:val="18"/>
                <w:lang w:val="es-ES_tradnl" w:eastAsia="zh-CN"/>
              </w:rPr>
              <w:t xml:space="preserve">: </w:t>
            </w:r>
          </w:p>
          <w:p w:rsidR="00D355A2" w:rsidRPr="006F780F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R</w:t>
            </w:r>
            <w:r w:rsidR="006F780F" w:rsidRPr="006F780F">
              <w:rPr>
                <w:color w:val="000000"/>
                <w:sz w:val="18"/>
                <w:szCs w:val="18"/>
                <w:lang w:val="es-ES_tradnl" w:eastAsia="zh-CN"/>
              </w:rPr>
              <w:t>epresentación diplomática en la ciudad de acogida</w:t>
            </w:r>
            <w:r w:rsidR="00D355A2" w:rsidRPr="006F780F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927EDA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Presencia de organizaciones internacionales</w:t>
            </w:r>
            <w:r w:rsidR="00D355A2" w:rsidRPr="00927EDA">
              <w:rPr>
                <w:color w:val="000000"/>
                <w:sz w:val="18"/>
                <w:szCs w:val="18"/>
                <w:lang w:eastAsia="zh-CN"/>
              </w:rPr>
              <w:t xml:space="preserve">; </w:t>
            </w:r>
          </w:p>
          <w:p w:rsidR="00D355A2" w:rsidRPr="00891829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P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>resencia de determinantes de s</w:t>
            </w:r>
            <w:r w:rsidR="00CA4F02">
              <w:rPr>
                <w:color w:val="000000"/>
                <w:sz w:val="18"/>
                <w:szCs w:val="18"/>
                <w:lang w:val="es-ES_tradnl" w:eastAsia="zh-CN"/>
              </w:rPr>
              <w:t>inergias de acuerdos y agencias ambientales 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multilaterales relacionados con los productos químicos </w:t>
            </w:r>
            <w:r w:rsidR="00CA4F02">
              <w:rPr>
                <w:color w:val="000000"/>
                <w:sz w:val="18"/>
                <w:szCs w:val="18"/>
                <w:lang w:val="es-ES_tradnl" w:eastAsia="zh-CN"/>
              </w:rPr>
              <w:t>en el 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emplazamiento propuesto</w:t>
            </w:r>
            <w:r w:rsidR="00D355A2"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891829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D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isponibilidad de instalaciones para la celebración de conferencias internacionales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y condiciones de uso (por e</w:t>
            </w:r>
            <w:r w:rsidR="00CA4F02">
              <w:rPr>
                <w:color w:val="000000"/>
                <w:sz w:val="18"/>
                <w:szCs w:val="18"/>
                <w:lang w:val="es-ES_tradnl" w:eastAsia="zh-CN"/>
              </w:rPr>
              <w:t>jemplo, uso gratuito, alquiler, 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etc.)</w:t>
            </w:r>
            <w:r w:rsidR="00D355A2"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Acceso a personal calificado de servicios de conferencias (como intérpretes, traductores, editores y coordinadores de reuniones que conozcan el funcionamiento y las prácticas de las conferencias de las Naciones Unidas)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891829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D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>isponibilidad de servicios de transporte internacional</w:t>
            </w:r>
            <w:r w:rsidR="00D355A2"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891829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>
              <w:rPr>
                <w:color w:val="000000"/>
                <w:sz w:val="18"/>
                <w:szCs w:val="18"/>
                <w:lang w:val="es-ES_tradnl" w:eastAsia="zh-CN"/>
              </w:rPr>
              <w:t>D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isponibilidad </w:t>
            </w:r>
            <w:r w:rsidR="00A85539">
              <w:rPr>
                <w:color w:val="000000"/>
                <w:sz w:val="18"/>
                <w:szCs w:val="18"/>
                <w:lang w:val="es-ES_tradnl" w:eastAsia="zh-CN"/>
              </w:rPr>
              <w:t xml:space="preserve">de </w:t>
            </w:r>
            <w:r w:rsidRPr="00891829">
              <w:rPr>
                <w:color w:val="000000"/>
                <w:sz w:val="18"/>
                <w:szCs w:val="18"/>
                <w:lang w:val="es-ES_tradnl" w:eastAsia="zh-CN"/>
              </w:rPr>
              <w:t xml:space="preserve">servicios de transporte local y proximidad de estos a las </w:t>
            </w: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>instalaciones a disposición de la secretaría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Disponibilidad local de personal calificado para su posible empleo en la secretaría, teniendo en cuenta las aptitudes lingüísticas y otras aptitudes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Servicios de salud y posibilidad de acceso por los funcionarios de la secretaría permanente;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Disponibilidad de vivienda adecuada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, </w:t>
            </w: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>inclui</w:t>
            </w:r>
            <w:r w:rsidR="006D2D8F">
              <w:rPr>
                <w:color w:val="000000"/>
                <w:sz w:val="18"/>
                <w:szCs w:val="18"/>
                <w:lang w:val="es-ES_tradnl" w:eastAsia="zh-CN"/>
              </w:rPr>
              <w:t>da</w:t>
            </w: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 información sobre precios y tasa de vacantes y sobre la proximidad de esta vivienda a las instalaciones de oficinas a disposición de la secretaría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Disponibilidad de escuelas en todos los niveles, incluidas las que ofrecen clases en idiomas distintos del idioma local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879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A23425">
              <w:rPr>
                <w:sz w:val="18"/>
                <w:szCs w:val="18"/>
                <w:lang w:val="es-ES_tradnl"/>
              </w:rPr>
              <w:t>Facilidades para la transferencia de fondos de y a países extranjeros para la secretaría y sus funcionarios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; </w:t>
            </w:r>
          </w:p>
          <w:p w:rsidR="00D355A2" w:rsidRPr="00A23425" w:rsidRDefault="00A23425" w:rsidP="00436EE7">
            <w:pPr>
              <w:keepNext/>
              <w:keepLines/>
              <w:numPr>
                <w:ilvl w:val="0"/>
                <w:numId w:val="19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ind w:left="879" w:hanging="425"/>
              <w:rPr>
                <w:sz w:val="18"/>
                <w:szCs w:val="18"/>
                <w:lang w:val="es-ES_tradnl"/>
              </w:rPr>
            </w:pP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Tiempo necesario para tramitar requisitos de entrada y capacidad de garantizar que los participantes en las reuniones organizadas por la </w:t>
            </w:r>
            <w:r w:rsidR="006D2D8F">
              <w:rPr>
                <w:color w:val="000000"/>
                <w:sz w:val="18"/>
                <w:szCs w:val="18"/>
                <w:lang w:val="es-ES_tradnl" w:eastAsia="zh-CN"/>
              </w:rPr>
              <w:t>s</w:t>
            </w: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ecretaría en el territorio del gobierno </w:t>
            </w:r>
            <w:r w:rsidR="007B0544">
              <w:rPr>
                <w:color w:val="000000"/>
                <w:sz w:val="18"/>
                <w:szCs w:val="18"/>
                <w:lang w:val="es-ES_tradnl" w:eastAsia="zh-CN"/>
              </w:rPr>
              <w:t>de acogida</w:t>
            </w:r>
            <w:r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recibirán visados de entrada, en caso necesario de manera expeditiva</w:t>
            </w:r>
            <w:r w:rsidR="00D355A2" w:rsidRPr="00A23425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  <w:p w:rsidR="00051BA0" w:rsidRDefault="00051BA0" w:rsidP="00051BA0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  <w:lang w:val="es-ES_tradnl"/>
              </w:rPr>
            </w:pPr>
          </w:p>
          <w:p w:rsidR="00E624D7" w:rsidRPr="00A23425" w:rsidRDefault="00E624D7" w:rsidP="00051BA0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540"/>
              </w:tabs>
              <w:autoSpaceDE w:val="0"/>
              <w:autoSpaceDN w:val="0"/>
              <w:adjustRightInd w:val="0"/>
              <w:spacing w:before="40" w:after="120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A2" w:rsidRPr="00BC2DF4" w:rsidRDefault="00D355A2" w:rsidP="00436EE7">
            <w:pPr>
              <w:pStyle w:val="CH2"/>
              <w:spacing w:before="4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>a)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 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>L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>as misiones permanente</w:t>
            </w:r>
            <w:r w:rsidR="006D2D8F"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 ante las Naciones Unidas en Ginebra tienen experiencia en cuestiones relacionadas con productos químicos y desechos, incluido el Convenio de Minamata</w:t>
            </w: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, 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 xml:space="preserve">y cuentan con amplia experiencia y conocimientos en </w:t>
            </w:r>
            <w:r w:rsidR="006D2D8F">
              <w:rPr>
                <w:b w:val="0"/>
                <w:bCs/>
                <w:sz w:val="18"/>
                <w:szCs w:val="18"/>
                <w:lang w:val="es-ES_tradnl"/>
              </w:rPr>
              <w:t>la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 xml:space="preserve"> materia</w:t>
            </w: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; </w:t>
            </w:r>
          </w:p>
          <w:p w:rsidR="00D355A2" w:rsidRPr="00BC2DF4" w:rsidRDefault="00D355A2" w:rsidP="00436EE7">
            <w:pPr>
              <w:pStyle w:val="CH2"/>
              <w:spacing w:before="4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>b),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 </w:t>
            </w: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c) 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>La ubicación en Ginebra facilita el establecimiento de estrecha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 w:rsidR="00BC2DF4" w:rsidRPr="00BC2DF4">
              <w:rPr>
                <w:b w:val="0"/>
                <w:bCs/>
                <w:sz w:val="18"/>
                <w:szCs w:val="18"/>
                <w:lang w:val="es-ES_tradnl"/>
              </w:rPr>
              <w:t xml:space="preserve"> relaciones de trabajo con otras organizaciones internacionales </w:t>
            </w:r>
            <w:r w:rsidR="00BC2DF4">
              <w:rPr>
                <w:b w:val="0"/>
                <w:bCs/>
                <w:sz w:val="18"/>
                <w:szCs w:val="18"/>
                <w:lang w:val="es-ES_tradnl"/>
              </w:rPr>
              <w:t xml:space="preserve">y secretarías de convenios igualmente radicadas en Ginebra, </w:t>
            </w:r>
            <w:r w:rsidR="00426E68">
              <w:rPr>
                <w:b w:val="0"/>
                <w:bCs/>
                <w:sz w:val="18"/>
                <w:szCs w:val="18"/>
                <w:lang w:val="es-ES_tradnl"/>
              </w:rPr>
              <w:t>incluidas las que trabajan en el ámbito de los productos químicos y los desechos</w:t>
            </w:r>
            <w:r w:rsidRPr="00BC2DF4">
              <w:rPr>
                <w:b w:val="0"/>
                <w:bCs/>
                <w:sz w:val="18"/>
                <w:szCs w:val="18"/>
                <w:lang w:val="es-ES_tradnl"/>
              </w:rPr>
              <w:t>;</w:t>
            </w:r>
          </w:p>
          <w:p w:rsidR="00D355A2" w:rsidRPr="004E1E1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426E68">
              <w:rPr>
                <w:sz w:val="18"/>
                <w:szCs w:val="18"/>
                <w:lang w:val="es-ES_tradnl"/>
              </w:rPr>
              <w:t xml:space="preserve">d) </w:t>
            </w:r>
            <w:r w:rsidR="00426E68" w:rsidRPr="00426E68">
              <w:rPr>
                <w:sz w:val="18"/>
                <w:szCs w:val="18"/>
                <w:lang w:val="es-ES_tradnl"/>
              </w:rPr>
              <w:t>Las instalaciones para la celebración de conferencias del</w:t>
            </w:r>
            <w:r w:rsidRPr="00426E68">
              <w:rPr>
                <w:sz w:val="18"/>
                <w:szCs w:val="18"/>
                <w:lang w:val="es-ES_tradnl"/>
              </w:rPr>
              <w:t xml:space="preserve"> CICG,</w:t>
            </w:r>
            <w:r w:rsidR="009A2C2A">
              <w:rPr>
                <w:sz w:val="18"/>
                <w:szCs w:val="18"/>
                <w:lang w:val="es-ES_tradnl"/>
              </w:rPr>
              <w:t xml:space="preserve"> que deben ser reservadas con antelación, no precisan el pago de alquiler. </w:t>
            </w:r>
            <w:r w:rsidR="009A2C2A" w:rsidRPr="009A2C2A">
              <w:rPr>
                <w:sz w:val="18"/>
                <w:szCs w:val="18"/>
                <w:lang w:val="es-ES_tradnl"/>
              </w:rPr>
              <w:t xml:space="preserve">Sí se devengan costos por el alquiler de equipamiento, </w:t>
            </w:r>
            <w:r w:rsidR="009A2C2A">
              <w:rPr>
                <w:sz w:val="18"/>
                <w:szCs w:val="18"/>
                <w:lang w:val="es-ES_tradnl"/>
              </w:rPr>
              <w:t xml:space="preserve">servicios de seguridad y horas extra para el personal de las instalaciones, gestionados a través del acuerdo existente en </w:t>
            </w:r>
            <w:r w:rsidR="00DB39B2">
              <w:rPr>
                <w:sz w:val="18"/>
                <w:szCs w:val="18"/>
                <w:lang w:val="es-ES_tradnl"/>
              </w:rPr>
              <w:t xml:space="preserve">el CIGC con un único proveedor de servicios. </w:t>
            </w:r>
            <w:r w:rsidR="00DB39B2" w:rsidRPr="00DB39B2">
              <w:rPr>
                <w:sz w:val="18"/>
                <w:szCs w:val="18"/>
                <w:lang w:val="es-ES_tradnl"/>
              </w:rPr>
              <w:t>Esto hace necesario que la Sede de las Naciones Unidas extienda una exención en cada ocasión con respecto a las normas de las Naciones Unidas sobre adquisiciones</w:t>
            </w:r>
            <w:r w:rsidR="00DB39B2">
              <w:rPr>
                <w:sz w:val="18"/>
                <w:szCs w:val="18"/>
                <w:lang w:val="es-ES_tradnl"/>
              </w:rPr>
              <w:t xml:space="preserve">. </w:t>
            </w:r>
            <w:r w:rsidR="004E1E12" w:rsidRPr="004E1E12">
              <w:rPr>
                <w:sz w:val="18"/>
                <w:szCs w:val="18"/>
                <w:lang w:val="es-ES_tradnl"/>
              </w:rPr>
              <w:t>La realización de reservas en el</w:t>
            </w:r>
            <w:r w:rsidR="004E1E12">
              <w:rPr>
                <w:sz w:val="18"/>
                <w:szCs w:val="18"/>
                <w:lang w:val="es-ES_tradnl"/>
              </w:rPr>
              <w:t xml:space="preserve"> Palacio de las Naciones </w:t>
            </w:r>
            <w:r w:rsidR="004E1E12" w:rsidRPr="004E1E12">
              <w:rPr>
                <w:sz w:val="18"/>
                <w:szCs w:val="18"/>
                <w:lang w:val="es-ES_tradnl"/>
              </w:rPr>
              <w:t>y en las instalaciones de otras organizaciones con sede en Ginebra puede ser gratuita</w:t>
            </w:r>
            <w:r w:rsidR="004E1E12">
              <w:rPr>
                <w:sz w:val="18"/>
                <w:szCs w:val="18"/>
                <w:lang w:val="es-ES_tradnl"/>
              </w:rPr>
              <w:t>,</w:t>
            </w:r>
            <w:r w:rsidR="004E1E12" w:rsidRPr="004E1E12">
              <w:rPr>
                <w:sz w:val="18"/>
                <w:szCs w:val="18"/>
                <w:lang w:val="es-ES_tradnl"/>
              </w:rPr>
              <w:t xml:space="preserve"> y est</w:t>
            </w:r>
            <w:r w:rsidR="004E1E12">
              <w:rPr>
                <w:sz w:val="18"/>
                <w:szCs w:val="18"/>
                <w:lang w:val="es-ES_tradnl"/>
              </w:rPr>
              <w:t>á</w:t>
            </w:r>
            <w:r w:rsidR="004E1E12" w:rsidRPr="004E1E12">
              <w:rPr>
                <w:sz w:val="18"/>
                <w:szCs w:val="18"/>
                <w:lang w:val="es-ES_tradnl"/>
              </w:rPr>
              <w:t xml:space="preserve"> sujeta </w:t>
            </w:r>
            <w:r w:rsidR="004E1E12">
              <w:rPr>
                <w:sz w:val="18"/>
                <w:szCs w:val="18"/>
                <w:lang w:val="es-ES_tradnl"/>
              </w:rPr>
              <w:t>a la disponibilidad y a las prioridades que establezca la Oficina de las Naciones Unidas en Ginebra</w:t>
            </w:r>
            <w:r w:rsidRPr="004E1E12">
              <w:rPr>
                <w:sz w:val="18"/>
                <w:szCs w:val="18"/>
                <w:lang w:val="es-ES_tradnl"/>
              </w:rPr>
              <w:t>;</w:t>
            </w:r>
          </w:p>
          <w:p w:rsidR="00D355A2" w:rsidRPr="004E1E1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4E1E12">
              <w:rPr>
                <w:sz w:val="18"/>
                <w:szCs w:val="18"/>
                <w:lang w:val="es-ES_tradnl"/>
              </w:rPr>
              <w:t>e)</w:t>
            </w:r>
            <w:r w:rsidR="004E1E12" w:rsidRPr="004E1E12">
              <w:rPr>
                <w:sz w:val="18"/>
                <w:szCs w:val="18"/>
                <w:lang w:val="es-ES_tradnl"/>
              </w:rPr>
              <w:t xml:space="preserve"> A propósito del personal calificado de servicios de conferencias, cabe señalar que las Naciones Unidas avanzan hacia el establecimiento de una red</w:t>
            </w:r>
            <w:r w:rsidR="004E1E12">
              <w:rPr>
                <w:sz w:val="18"/>
                <w:szCs w:val="18"/>
                <w:lang w:val="es-ES_tradnl"/>
              </w:rPr>
              <w:t xml:space="preserve"> coordinada de alcance mundial, con el objetivo de ofrecer los servicios más eficaces en función de costos</w:t>
            </w:r>
            <w:r w:rsidRPr="004E1E12">
              <w:rPr>
                <w:sz w:val="18"/>
                <w:szCs w:val="18"/>
                <w:lang w:val="es-ES_tradnl"/>
              </w:rPr>
              <w:t xml:space="preserve">; </w:t>
            </w:r>
          </w:p>
          <w:p w:rsidR="00D355A2" w:rsidRPr="004E1E1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4E1E12">
              <w:rPr>
                <w:sz w:val="18"/>
                <w:szCs w:val="18"/>
                <w:lang w:val="es-ES_tradnl"/>
              </w:rPr>
              <w:t xml:space="preserve">f) </w:t>
            </w:r>
            <w:r w:rsidR="004E1E12" w:rsidRPr="004E1E12">
              <w:rPr>
                <w:sz w:val="18"/>
                <w:szCs w:val="18"/>
                <w:lang w:val="es-ES_tradnl"/>
              </w:rPr>
              <w:t xml:space="preserve">Dado que el ofrecimiento </w:t>
            </w:r>
            <w:r w:rsidR="006D2D8F">
              <w:rPr>
                <w:sz w:val="18"/>
                <w:szCs w:val="18"/>
                <w:lang w:val="es-ES_tradnl"/>
              </w:rPr>
              <w:t>incluye las</w:t>
            </w:r>
            <w:r w:rsidR="004E1E12" w:rsidRPr="004E1E12">
              <w:rPr>
                <w:sz w:val="18"/>
                <w:szCs w:val="18"/>
                <w:lang w:val="es-ES_tradnl"/>
              </w:rPr>
              <w:t xml:space="preserve"> rutas aéreas con escala en Zúrich dentro de la categoría de vuelos directos, no se ha analizado por separado el número </w:t>
            </w:r>
            <w:r w:rsidR="004E1E12">
              <w:rPr>
                <w:sz w:val="18"/>
                <w:szCs w:val="18"/>
                <w:lang w:val="es-ES_tradnl"/>
              </w:rPr>
              <w:t>de vuelos internacionales directos a Ginebra, ya que algunos de los vuelos directos que se mencionan en el ofrecimiento quizá deban hacer escala en Zúrich</w:t>
            </w:r>
            <w:r w:rsidRPr="004E1E12">
              <w:rPr>
                <w:sz w:val="18"/>
                <w:szCs w:val="18"/>
                <w:lang w:val="es-ES_tradnl"/>
              </w:rPr>
              <w:t>;</w:t>
            </w:r>
          </w:p>
          <w:p w:rsidR="00D355A2" w:rsidRPr="004E1E1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4E1E12">
              <w:rPr>
                <w:sz w:val="18"/>
                <w:szCs w:val="18"/>
                <w:lang w:val="es-ES_tradnl"/>
              </w:rPr>
              <w:t xml:space="preserve">g), h), i), j) </w:t>
            </w:r>
            <w:r w:rsidR="004E1E12">
              <w:rPr>
                <w:sz w:val="18"/>
                <w:szCs w:val="18"/>
                <w:lang w:val="es-ES_tradnl"/>
              </w:rPr>
              <w:t>S</w:t>
            </w:r>
            <w:r w:rsidR="004E1E12" w:rsidRPr="004E1E12">
              <w:rPr>
                <w:sz w:val="18"/>
                <w:szCs w:val="18"/>
                <w:lang w:val="es-ES_tradnl"/>
              </w:rPr>
              <w:t>in comentarios</w:t>
            </w:r>
            <w:r w:rsidRPr="004E1E12">
              <w:rPr>
                <w:sz w:val="18"/>
                <w:szCs w:val="18"/>
                <w:lang w:val="es-ES_tradnl"/>
              </w:rPr>
              <w:t>;</w:t>
            </w:r>
          </w:p>
          <w:p w:rsidR="00D355A2" w:rsidRPr="00B7084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B70842">
              <w:rPr>
                <w:sz w:val="18"/>
                <w:szCs w:val="18"/>
                <w:lang w:val="es-ES_tradnl"/>
              </w:rPr>
              <w:t xml:space="preserve">k) </w:t>
            </w:r>
            <w:r w:rsidR="00B70842" w:rsidRPr="00B70842">
              <w:rPr>
                <w:sz w:val="18"/>
                <w:szCs w:val="18"/>
                <w:lang w:val="es-ES_tradnl"/>
              </w:rPr>
              <w:t>Hay disponibles escuelas públicas y privadas de enseñanza primaria, secundaria y terciaria.</w:t>
            </w:r>
            <w:r w:rsidR="00B70842">
              <w:rPr>
                <w:sz w:val="18"/>
                <w:szCs w:val="18"/>
                <w:lang w:val="es-ES_tradnl"/>
              </w:rPr>
              <w:t xml:space="preserve"> </w:t>
            </w:r>
            <w:r w:rsidR="00B70842" w:rsidRPr="00B70842">
              <w:rPr>
                <w:sz w:val="18"/>
                <w:szCs w:val="18"/>
                <w:lang w:val="es-ES_tradnl"/>
              </w:rPr>
              <w:t>No se describe la disponibilidad de plazas en guarder</w:t>
            </w:r>
            <w:r w:rsidR="00B70842">
              <w:rPr>
                <w:sz w:val="18"/>
                <w:szCs w:val="18"/>
                <w:lang w:val="es-ES_tradnl"/>
              </w:rPr>
              <w:t>ías y programas de educación temprana</w:t>
            </w:r>
            <w:r w:rsidRPr="00B70842">
              <w:rPr>
                <w:sz w:val="18"/>
                <w:szCs w:val="18"/>
                <w:lang w:val="es-ES_tradnl"/>
              </w:rPr>
              <w:t>;</w:t>
            </w:r>
          </w:p>
          <w:p w:rsidR="00D355A2" w:rsidRPr="00B70842" w:rsidRDefault="00D355A2" w:rsidP="00436EE7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B70842">
              <w:rPr>
                <w:sz w:val="18"/>
                <w:szCs w:val="18"/>
                <w:lang w:val="es-ES_tradnl"/>
              </w:rPr>
              <w:t xml:space="preserve">l) </w:t>
            </w:r>
            <w:r w:rsidR="004E1E12" w:rsidRPr="00B70842">
              <w:rPr>
                <w:sz w:val="18"/>
                <w:szCs w:val="18"/>
                <w:lang w:val="es-ES_tradnl"/>
              </w:rPr>
              <w:t>Sin comentarios</w:t>
            </w:r>
            <w:r w:rsidRPr="00B70842">
              <w:rPr>
                <w:sz w:val="18"/>
                <w:szCs w:val="18"/>
                <w:lang w:val="es-ES_tradnl"/>
              </w:rPr>
              <w:t>;</w:t>
            </w:r>
          </w:p>
          <w:p w:rsidR="00D355A2" w:rsidRPr="00B70842" w:rsidRDefault="00D355A2" w:rsidP="00B70842">
            <w:pPr>
              <w:pStyle w:val="Normalnumber"/>
              <w:keepNext/>
              <w:keepLines/>
              <w:numPr>
                <w:ilvl w:val="0"/>
                <w:numId w:val="0"/>
              </w:numPr>
              <w:spacing w:before="40"/>
              <w:rPr>
                <w:sz w:val="18"/>
                <w:szCs w:val="18"/>
                <w:lang w:val="es-ES_tradnl"/>
              </w:rPr>
            </w:pPr>
            <w:r w:rsidRPr="00B70842">
              <w:rPr>
                <w:sz w:val="18"/>
                <w:szCs w:val="18"/>
                <w:lang w:val="es-ES_tradnl"/>
              </w:rPr>
              <w:t xml:space="preserve">m) </w:t>
            </w:r>
            <w:r w:rsidR="00B70842" w:rsidRPr="00B70842">
              <w:rPr>
                <w:sz w:val="18"/>
                <w:szCs w:val="18"/>
                <w:lang w:val="es-ES_tradnl"/>
              </w:rPr>
              <w:t>Existen buenos acuerdos para facilitar la entrada en Suiza de los participantes en reuniones, coordinados entre el Ce</w:t>
            </w:r>
            <w:r w:rsidR="00B70842">
              <w:rPr>
                <w:sz w:val="18"/>
                <w:szCs w:val="18"/>
                <w:lang w:val="es-ES_tradnl"/>
              </w:rPr>
              <w:t>ntro Operativo de Servicios del PNUMA y la Misión Permanente de Suiza en Ginebra</w:t>
            </w:r>
            <w:r w:rsidRPr="00B70842">
              <w:rPr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927EDA">
        <w:trPr>
          <w:trHeight w:val="252"/>
        </w:trPr>
        <w:tc>
          <w:tcPr>
            <w:tcW w:w="6659" w:type="dxa"/>
            <w:shd w:val="clear" w:color="auto" w:fill="auto"/>
          </w:tcPr>
          <w:p w:rsidR="00D355A2" w:rsidRPr="00927EDA" w:rsidRDefault="00A23425" w:rsidP="00D355A2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Otra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información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zh-CN"/>
              </w:rPr>
              <w:t>relevante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D355A2" w:rsidRPr="00927EDA" w:rsidRDefault="00D355A2" w:rsidP="00D355A2">
            <w:pPr>
              <w:pStyle w:val="CH2"/>
              <w:spacing w:before="40" w:after="40"/>
              <w:ind w:left="0" w:firstLine="0"/>
              <w:outlineLvl w:val="0"/>
              <w:rPr>
                <w:sz w:val="18"/>
                <w:szCs w:val="18"/>
              </w:rPr>
            </w:pPr>
          </w:p>
        </w:tc>
      </w:tr>
      <w:tr w:rsidR="00D355A2" w:rsidRPr="00D334CE">
        <w:trPr>
          <w:trHeight w:val="4197"/>
        </w:trPr>
        <w:tc>
          <w:tcPr>
            <w:tcW w:w="6659" w:type="dxa"/>
            <w:shd w:val="clear" w:color="auto" w:fill="auto"/>
          </w:tcPr>
          <w:p w:rsidR="00D355A2" w:rsidRPr="007B0544" w:rsidRDefault="007B0544" w:rsidP="00D355A2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40"/>
              <w:ind w:left="0" w:firstLine="0"/>
              <w:rPr>
                <w:sz w:val="18"/>
                <w:szCs w:val="18"/>
                <w:lang w:val="es-ES_tradnl" w:eastAsia="zh-CN"/>
              </w:rPr>
            </w:pPr>
            <w:r w:rsidRPr="007B0544">
              <w:rPr>
                <w:sz w:val="18"/>
                <w:szCs w:val="18"/>
                <w:lang w:val="es-ES_tradnl" w:eastAsia="zh-CN"/>
              </w:rPr>
              <w:t xml:space="preserve">Toda contribución adicional que haga el gobierno </w:t>
            </w:r>
            <w:r>
              <w:rPr>
                <w:sz w:val="18"/>
                <w:szCs w:val="18"/>
                <w:lang w:val="es-ES_tradnl" w:eastAsia="zh-CN"/>
              </w:rPr>
              <w:t>de acogida</w:t>
            </w:r>
            <w:r w:rsidRPr="007B0544">
              <w:rPr>
                <w:sz w:val="18"/>
                <w:szCs w:val="18"/>
                <w:lang w:val="es-ES_tradnl" w:eastAsia="zh-CN"/>
              </w:rPr>
              <w:t xml:space="preserve"> para sufragar los costos de funcionamiento de la secretaría</w:t>
            </w:r>
            <w:r>
              <w:rPr>
                <w:sz w:val="18"/>
                <w:szCs w:val="18"/>
                <w:lang w:val="es-ES_tradnl" w:eastAsia="zh-CN"/>
              </w:rPr>
              <w:t xml:space="preserve"> o los costos de servicios de conferencias</w:t>
            </w:r>
            <w:r w:rsidR="00D355A2" w:rsidRPr="007B0544">
              <w:rPr>
                <w:sz w:val="18"/>
                <w:szCs w:val="18"/>
                <w:lang w:val="es-ES_tradnl" w:eastAsia="zh-CN"/>
              </w:rPr>
              <w:t xml:space="preserve">. </w:t>
            </w:r>
            <w:r w:rsidRPr="007B0544">
              <w:rPr>
                <w:sz w:val="18"/>
                <w:szCs w:val="18"/>
                <w:lang w:val="es-ES_tradnl" w:eastAsia="zh-CN"/>
              </w:rPr>
              <w:t>Esas contribuciones deben dividirse en aportaciones que</w:t>
            </w:r>
            <w:r w:rsidR="00D355A2" w:rsidRPr="007B0544">
              <w:rPr>
                <w:sz w:val="18"/>
                <w:szCs w:val="18"/>
                <w:lang w:val="es-ES_tradnl" w:eastAsia="zh-CN"/>
              </w:rPr>
              <w:t xml:space="preserve">: </w:t>
            </w:r>
          </w:p>
          <w:p w:rsidR="00D355A2" w:rsidRPr="007B0544" w:rsidRDefault="00D355A2" w:rsidP="00D355A2">
            <w:pPr>
              <w:pStyle w:val="Normal-pool"/>
              <w:rPr>
                <w:sz w:val="18"/>
                <w:szCs w:val="18"/>
                <w:lang w:val="es-ES_tradnl" w:eastAsia="zh-CN"/>
              </w:rPr>
            </w:pPr>
            <w:r w:rsidRPr="007B0544">
              <w:rPr>
                <w:sz w:val="18"/>
                <w:szCs w:val="18"/>
                <w:lang w:val="es-ES_tradnl" w:eastAsia="zh-CN"/>
              </w:rPr>
              <w:t xml:space="preserve">a) </w:t>
            </w:r>
            <w:r w:rsidR="007B0544" w:rsidRPr="007B0544">
              <w:rPr>
                <w:sz w:val="18"/>
                <w:szCs w:val="18"/>
                <w:lang w:val="es-ES_tradnl" w:eastAsia="zh-CN"/>
              </w:rPr>
              <w:t>No hayan sido asignadas específicamente</w:t>
            </w:r>
            <w:r w:rsidRPr="007B0544">
              <w:rPr>
                <w:sz w:val="18"/>
                <w:szCs w:val="18"/>
                <w:lang w:val="es-ES_tradnl" w:eastAsia="zh-CN"/>
              </w:rPr>
              <w:t xml:space="preserve"> (</w:t>
            </w:r>
            <w:r w:rsidR="007B0544" w:rsidRPr="007B0544">
              <w:rPr>
                <w:sz w:val="18"/>
                <w:szCs w:val="18"/>
                <w:lang w:val="es-ES_tradnl" w:eastAsia="zh-CN"/>
              </w:rPr>
              <w:t xml:space="preserve">es decir, hayan sido proporcionadas por la Secretaría sin que </w:t>
            </w:r>
            <w:r w:rsidR="007B0544">
              <w:rPr>
                <w:sz w:val="18"/>
                <w:szCs w:val="18"/>
                <w:lang w:val="es-ES_tradnl" w:eastAsia="zh-CN"/>
              </w:rPr>
              <w:t>se imponga al gobierno de acogida restricción alguna para su uso</w:t>
            </w:r>
            <w:r w:rsidRPr="007B0544">
              <w:rPr>
                <w:sz w:val="18"/>
                <w:szCs w:val="18"/>
                <w:lang w:val="es-ES_tradnl" w:eastAsia="zh-CN"/>
              </w:rPr>
              <w:t xml:space="preserve">); </w:t>
            </w:r>
          </w:p>
          <w:p w:rsidR="00D355A2" w:rsidRPr="007B0544" w:rsidRDefault="00D355A2" w:rsidP="007B0544">
            <w:pPr>
              <w:pStyle w:val="Normal-pool"/>
              <w:rPr>
                <w:b/>
                <w:bCs/>
                <w:lang w:val="es-ES_tradnl" w:eastAsia="zh-CN"/>
              </w:rPr>
            </w:pPr>
            <w:r w:rsidRPr="007B0544">
              <w:rPr>
                <w:sz w:val="18"/>
                <w:szCs w:val="18"/>
                <w:lang w:val="es-ES_tradnl" w:eastAsia="zh-CN"/>
              </w:rPr>
              <w:t xml:space="preserve">b) </w:t>
            </w:r>
            <w:r w:rsidR="007B0544" w:rsidRPr="007B0544">
              <w:rPr>
                <w:sz w:val="18"/>
                <w:szCs w:val="18"/>
                <w:lang w:val="es-ES_tradnl" w:eastAsia="zh-CN"/>
              </w:rPr>
              <w:t xml:space="preserve">Hayan sido asignadas a propósitos concretos, junto con una explicación sobre la naturaleza </w:t>
            </w:r>
            <w:r w:rsidR="007B0544">
              <w:rPr>
                <w:sz w:val="18"/>
                <w:szCs w:val="18"/>
                <w:lang w:val="es-ES_tradnl" w:eastAsia="zh-CN"/>
              </w:rPr>
              <w:t>de las restricciones</w:t>
            </w:r>
            <w:r w:rsidRPr="007B0544">
              <w:rPr>
                <w:sz w:val="18"/>
                <w:szCs w:val="18"/>
                <w:lang w:val="es-ES_tradnl" w:eastAsia="zh-CN"/>
              </w:rPr>
              <w:t>.</w:t>
            </w:r>
            <w:r w:rsidRPr="007B0544">
              <w:rPr>
                <w:lang w:val="es-ES_tradnl" w:eastAsia="zh-CN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D355A2" w:rsidRPr="00962487" w:rsidRDefault="00B70842" w:rsidP="00D355A2">
            <w:pPr>
              <w:pStyle w:val="Normal-pool"/>
              <w:spacing w:before="40" w:after="120"/>
              <w:rPr>
                <w:sz w:val="18"/>
                <w:szCs w:val="18"/>
                <w:lang w:val="es-ES_tradnl"/>
              </w:rPr>
            </w:pPr>
            <w:r w:rsidRPr="00B70842">
              <w:rPr>
                <w:sz w:val="18"/>
                <w:szCs w:val="18"/>
                <w:lang w:val="es-ES_tradnl"/>
              </w:rPr>
              <w:t xml:space="preserve">El </w:t>
            </w:r>
            <w:r w:rsidR="00CA4F02">
              <w:rPr>
                <w:sz w:val="18"/>
                <w:szCs w:val="18"/>
                <w:lang w:val="es-ES_tradnl"/>
              </w:rPr>
              <w:t>G</w:t>
            </w:r>
            <w:r w:rsidRPr="00B70842">
              <w:rPr>
                <w:sz w:val="18"/>
                <w:szCs w:val="18"/>
                <w:lang w:val="es-ES_tradnl"/>
              </w:rPr>
              <w:t>obierno de Suiza hará una contribución económica de 2.500.000 francos suizos para una secretaría del Conveni</w:t>
            </w:r>
            <w:r>
              <w:rPr>
                <w:sz w:val="18"/>
                <w:szCs w:val="18"/>
                <w:lang w:val="es-ES_tradnl"/>
              </w:rPr>
              <w:t>o de Minamata integrada con</w:t>
            </w:r>
            <w:r w:rsidR="00A85539">
              <w:rPr>
                <w:sz w:val="18"/>
                <w:szCs w:val="18"/>
                <w:lang w:val="es-ES_tradnl"/>
              </w:rPr>
              <w:t xml:space="preserve"> la Secretaría conjunta de los </w:t>
            </w:r>
            <w:r w:rsidR="00733212">
              <w:rPr>
                <w:sz w:val="18"/>
                <w:szCs w:val="18"/>
                <w:lang w:val="es-ES_tradnl"/>
              </w:rPr>
              <w:t>Convenios de Basilea, Estocolmo y Rotterdam.</w:t>
            </w:r>
            <w:r w:rsidR="006B42F6" w:rsidRPr="00B70842">
              <w:rPr>
                <w:sz w:val="18"/>
                <w:szCs w:val="18"/>
                <w:lang w:val="es-ES_tradnl"/>
              </w:rPr>
              <w:t xml:space="preserve"> </w:t>
            </w:r>
            <w:r w:rsidRPr="00962487">
              <w:rPr>
                <w:sz w:val="18"/>
                <w:szCs w:val="18"/>
                <w:lang w:val="es-ES_tradnl"/>
              </w:rPr>
              <w:t xml:space="preserve">Esta suma incluye la </w:t>
            </w:r>
            <w:r w:rsidR="00962487" w:rsidRPr="00962487">
              <w:rPr>
                <w:sz w:val="18"/>
                <w:szCs w:val="18"/>
                <w:lang w:val="es-ES_tradnl"/>
              </w:rPr>
              <w:t>cuota que Suiza aporta al Convenio de Minamata en su condici</w:t>
            </w:r>
            <w:r w:rsidR="00962487">
              <w:rPr>
                <w:sz w:val="18"/>
                <w:szCs w:val="18"/>
                <w:lang w:val="es-ES_tradnl"/>
              </w:rPr>
              <w:t>ón de Estado miembro.</w:t>
            </w:r>
          </w:p>
          <w:p w:rsidR="00D355A2" w:rsidRPr="008E7C77" w:rsidRDefault="008E7C77" w:rsidP="00D355A2">
            <w:pPr>
              <w:pStyle w:val="Normal-pool"/>
              <w:spacing w:before="40" w:after="120"/>
              <w:rPr>
                <w:sz w:val="18"/>
                <w:szCs w:val="18"/>
                <w:lang w:val="es-ES_tradnl"/>
              </w:rPr>
            </w:pPr>
            <w:r w:rsidRPr="008E7C77">
              <w:rPr>
                <w:sz w:val="18"/>
                <w:szCs w:val="18"/>
                <w:lang w:val="es-ES_tradnl"/>
              </w:rPr>
              <w:t>En caso de que se opte por soluciones diferentes para acoger la secretaría en Ginebra, el Gobierno de Suiza aportar</w:t>
            </w:r>
            <w:r>
              <w:rPr>
                <w:sz w:val="18"/>
                <w:szCs w:val="18"/>
                <w:lang w:val="es-ES_tradnl"/>
              </w:rPr>
              <w:t>á su cuota al Convenio de Minamata</w:t>
            </w:r>
            <w:r w:rsidR="00D355A2" w:rsidRPr="008E7C77">
              <w:rPr>
                <w:sz w:val="18"/>
                <w:szCs w:val="18"/>
                <w:lang w:val="es-ES_tradnl"/>
              </w:rPr>
              <w:t xml:space="preserve">. </w:t>
            </w:r>
          </w:p>
          <w:p w:rsidR="00D355A2" w:rsidRPr="00CA38F8" w:rsidRDefault="008E7C77" w:rsidP="00D355A2">
            <w:pPr>
              <w:pStyle w:val="Normal-pool"/>
              <w:spacing w:before="40" w:after="120"/>
              <w:rPr>
                <w:sz w:val="18"/>
                <w:szCs w:val="18"/>
                <w:lang w:val="es-ES_tradnl"/>
              </w:rPr>
            </w:pPr>
            <w:r w:rsidRPr="008E7C77">
              <w:rPr>
                <w:sz w:val="18"/>
                <w:szCs w:val="18"/>
                <w:lang w:val="es-ES_tradnl"/>
              </w:rPr>
              <w:t xml:space="preserve">De los 2.500.000 </w:t>
            </w:r>
            <w:r w:rsidR="00CA4F02">
              <w:rPr>
                <w:sz w:val="18"/>
                <w:szCs w:val="18"/>
                <w:lang w:val="es-ES_tradnl"/>
              </w:rPr>
              <w:t xml:space="preserve">de </w:t>
            </w:r>
            <w:r w:rsidRPr="008E7C77">
              <w:rPr>
                <w:sz w:val="18"/>
                <w:szCs w:val="18"/>
                <w:lang w:val="es-ES_tradnl"/>
              </w:rPr>
              <w:t>francos suizos mencionados, la oferta describe 2.000.000 como “fondos no asignados</w:t>
            </w:r>
            <w:r w:rsidR="006D2D8F">
              <w:rPr>
                <w:sz w:val="18"/>
                <w:szCs w:val="18"/>
                <w:lang w:val="es-ES_tradnl"/>
              </w:rPr>
              <w:t xml:space="preserve"> específicamente</w:t>
            </w:r>
            <w:r w:rsidRPr="008E7C77">
              <w:rPr>
                <w:sz w:val="18"/>
                <w:szCs w:val="18"/>
                <w:lang w:val="es-ES_tradnl"/>
              </w:rPr>
              <w:t>”, si bien especifica que deben emplearse para apoyar el funcionamiento general de la secretaría, facilitar la aplicaci</w:t>
            </w:r>
            <w:r>
              <w:rPr>
                <w:sz w:val="18"/>
                <w:szCs w:val="18"/>
                <w:lang w:val="es-ES_tradnl"/>
              </w:rPr>
              <w:t xml:space="preserve">ón del convenio y organizar reuniones en Ginebra. </w:t>
            </w:r>
            <w:r w:rsidRPr="008E7C77">
              <w:rPr>
                <w:sz w:val="18"/>
                <w:szCs w:val="18"/>
                <w:lang w:val="es-ES_tradnl"/>
              </w:rPr>
              <w:t>No se especifica si la suma completa de fondos no asignados se abonar</w:t>
            </w:r>
            <w:r>
              <w:rPr>
                <w:sz w:val="18"/>
                <w:szCs w:val="18"/>
                <w:lang w:val="es-ES_tradnl"/>
              </w:rPr>
              <w:t>ía en caso de qu</w:t>
            </w:r>
            <w:r w:rsidR="00CA38F8">
              <w:rPr>
                <w:sz w:val="18"/>
                <w:szCs w:val="18"/>
                <w:lang w:val="es-ES_tradnl"/>
              </w:rPr>
              <w:t>e</w:t>
            </w:r>
            <w:r>
              <w:rPr>
                <w:sz w:val="18"/>
                <w:szCs w:val="18"/>
                <w:lang w:val="es-ES_tradnl"/>
              </w:rPr>
              <w:t xml:space="preserve"> la Mesa o la Conferencia de las Partes decidiese</w:t>
            </w:r>
            <w:r w:rsidR="00CA38F8">
              <w:rPr>
                <w:sz w:val="18"/>
                <w:szCs w:val="18"/>
                <w:lang w:val="es-ES_tradnl"/>
              </w:rPr>
              <w:t>n</w:t>
            </w:r>
            <w:r>
              <w:rPr>
                <w:sz w:val="18"/>
                <w:szCs w:val="18"/>
                <w:lang w:val="es-ES_tradnl"/>
              </w:rPr>
              <w:t xml:space="preserve"> organizar reuniones fuera de Ginebra. </w:t>
            </w:r>
            <w:r w:rsidR="00CA38F8" w:rsidRPr="00CA38F8">
              <w:rPr>
                <w:sz w:val="18"/>
                <w:szCs w:val="18"/>
                <w:lang w:val="es-ES_tradnl"/>
              </w:rPr>
              <w:t>No se especifica qué parte de los “fondos no asignados</w:t>
            </w:r>
            <w:r w:rsidR="006D2D8F">
              <w:rPr>
                <w:sz w:val="18"/>
                <w:szCs w:val="18"/>
                <w:lang w:val="es-ES_tradnl"/>
              </w:rPr>
              <w:t xml:space="preserve"> específicamente</w:t>
            </w:r>
            <w:r w:rsidR="00CA38F8" w:rsidRPr="00CA38F8">
              <w:rPr>
                <w:sz w:val="18"/>
                <w:szCs w:val="18"/>
                <w:lang w:val="es-ES_tradnl"/>
              </w:rPr>
              <w:t xml:space="preserve">” </w:t>
            </w:r>
            <w:r w:rsidR="00CA38F8">
              <w:rPr>
                <w:sz w:val="18"/>
                <w:szCs w:val="18"/>
                <w:lang w:val="es-ES_tradnl"/>
              </w:rPr>
              <w:t xml:space="preserve">se destinarían al </w:t>
            </w:r>
            <w:r w:rsidR="00CA38F8" w:rsidRPr="00CA38F8">
              <w:rPr>
                <w:sz w:val="18"/>
                <w:szCs w:val="18"/>
                <w:lang w:val="es-ES_tradnl"/>
              </w:rPr>
              <w:t>presupuesto básico (compuesto por las cuotas voluntarias)</w:t>
            </w:r>
            <w:r w:rsidR="00CA38F8">
              <w:rPr>
                <w:sz w:val="18"/>
                <w:szCs w:val="18"/>
                <w:lang w:val="es-ES_tradnl"/>
              </w:rPr>
              <w:t>, por comparación con los que se destinarían al fondo fiduciario voluntario anticipado del Convenio</w:t>
            </w:r>
            <w:r w:rsidR="00D355A2" w:rsidRPr="00CA38F8">
              <w:rPr>
                <w:sz w:val="18"/>
                <w:szCs w:val="18"/>
                <w:lang w:val="es-ES_tradnl"/>
              </w:rPr>
              <w:t>.</w:t>
            </w:r>
          </w:p>
          <w:p w:rsidR="00D355A2" w:rsidRPr="00DB39B2" w:rsidRDefault="00DB39B2" w:rsidP="00DB39B2">
            <w:pPr>
              <w:pStyle w:val="Normal-pool"/>
              <w:spacing w:before="40" w:after="120"/>
              <w:rPr>
                <w:lang w:val="es-ES_tradnl"/>
              </w:rPr>
            </w:pPr>
            <w:r w:rsidRPr="00DB39B2">
              <w:rPr>
                <w:bCs/>
                <w:sz w:val="18"/>
                <w:szCs w:val="18"/>
                <w:lang w:val="es-ES_tradnl"/>
              </w:rPr>
              <w:t>Los 500.0</w:t>
            </w:r>
            <w:r w:rsidR="00D355A2" w:rsidRPr="00DB39B2">
              <w:rPr>
                <w:bCs/>
                <w:sz w:val="18"/>
                <w:szCs w:val="18"/>
                <w:lang w:val="es-ES_tradnl"/>
              </w:rPr>
              <w:t xml:space="preserve">00 </w:t>
            </w:r>
            <w:r w:rsidRPr="00DB39B2">
              <w:rPr>
                <w:bCs/>
                <w:sz w:val="18"/>
                <w:szCs w:val="18"/>
                <w:lang w:val="es-ES_tradnl"/>
              </w:rPr>
              <w:t xml:space="preserve">francos suizos restantes son “fondos asignados” para financiar una plaza de personal con la que apoyar la integración de la secretaría y, posteriormente, las actividades conjuntas de los </w:t>
            </w:r>
            <w:r w:rsidR="00611ED8">
              <w:rPr>
                <w:bCs/>
                <w:sz w:val="18"/>
                <w:szCs w:val="18"/>
                <w:lang w:val="es-ES_tradnl"/>
              </w:rPr>
              <w:t>C</w:t>
            </w:r>
            <w:r w:rsidRPr="00DB39B2">
              <w:rPr>
                <w:bCs/>
                <w:sz w:val="18"/>
                <w:szCs w:val="18"/>
                <w:lang w:val="es-ES_tradnl"/>
              </w:rPr>
              <w:t xml:space="preserve">onvenios de </w:t>
            </w:r>
            <w:r>
              <w:rPr>
                <w:bCs/>
                <w:sz w:val="18"/>
                <w:szCs w:val="18"/>
                <w:lang w:val="es-ES_tradnl"/>
              </w:rPr>
              <w:t>Basilea</w:t>
            </w:r>
            <w:r w:rsidR="00611ED8">
              <w:rPr>
                <w:bCs/>
                <w:sz w:val="18"/>
                <w:szCs w:val="18"/>
                <w:lang w:val="es-ES_tradnl"/>
              </w:rPr>
              <w:t xml:space="preserve">, </w:t>
            </w:r>
            <w:r>
              <w:rPr>
                <w:bCs/>
                <w:sz w:val="18"/>
                <w:szCs w:val="18"/>
                <w:lang w:val="es-ES_tradnl"/>
              </w:rPr>
              <w:t>Estocolmo</w:t>
            </w:r>
            <w:r w:rsidR="00611ED8">
              <w:rPr>
                <w:bCs/>
                <w:sz w:val="18"/>
                <w:szCs w:val="18"/>
                <w:lang w:val="es-ES_tradnl"/>
              </w:rPr>
              <w:t>, Rotterdam y Minamata</w:t>
            </w:r>
            <w:r w:rsidR="00D355A2" w:rsidRPr="00DB39B2">
              <w:rPr>
                <w:bCs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D334CE">
        <w:trPr>
          <w:trHeight w:val="353"/>
        </w:trPr>
        <w:tc>
          <w:tcPr>
            <w:tcW w:w="6659" w:type="dxa"/>
            <w:shd w:val="clear" w:color="auto" w:fill="auto"/>
          </w:tcPr>
          <w:p w:rsidR="00D355A2" w:rsidRPr="007B0544" w:rsidRDefault="007B0544" w:rsidP="007B0544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40"/>
              <w:ind w:left="0" w:firstLine="0"/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7B0544">
              <w:rPr>
                <w:color w:val="000000"/>
                <w:sz w:val="18"/>
                <w:szCs w:val="18"/>
                <w:lang w:val="es-ES_tradnl" w:eastAsia="zh-CN"/>
              </w:rPr>
              <w:t>Información sobre posibles sinergias resultantes de la cooperación y coordinación con otras organizaciones internacionales de gestión de productos químicos en las ubicaciones propuestas</w:t>
            </w:r>
            <w:r w:rsidR="00D355A2" w:rsidRPr="007B0544">
              <w:rPr>
                <w:color w:val="000000"/>
                <w:sz w:val="18"/>
                <w:szCs w:val="18"/>
                <w:lang w:val="es-ES_tradnl" w:eastAsia="zh-CN"/>
              </w:rPr>
              <w:t xml:space="preserve">. </w:t>
            </w:r>
          </w:p>
        </w:tc>
        <w:tc>
          <w:tcPr>
            <w:tcW w:w="6660" w:type="dxa"/>
            <w:shd w:val="clear" w:color="auto" w:fill="auto"/>
          </w:tcPr>
          <w:p w:rsidR="00D355A2" w:rsidRPr="00DB39B2" w:rsidRDefault="00DB39B2" w:rsidP="00DB39B2">
            <w:pPr>
              <w:pStyle w:val="CH2"/>
              <w:keepNext w:val="0"/>
              <w:keepLines w:val="0"/>
              <w:spacing w:before="40" w:after="40"/>
              <w:ind w:left="0" w:firstLine="0"/>
              <w:outlineLvl w:val="0"/>
              <w:rPr>
                <w:b w:val="0"/>
                <w:bCs/>
                <w:sz w:val="18"/>
                <w:szCs w:val="18"/>
                <w:lang w:val="es-ES_tradnl"/>
              </w:rPr>
            </w:pPr>
            <w:r w:rsidRPr="00DB39B2">
              <w:rPr>
                <w:b w:val="0"/>
                <w:bCs/>
                <w:sz w:val="18"/>
                <w:szCs w:val="18"/>
                <w:lang w:val="es-ES_tradnl"/>
              </w:rPr>
              <w:t xml:space="preserve">Las oportunidades para la cooperación entre la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 w:rsidRPr="00DB39B2">
              <w:rPr>
                <w:b w:val="0"/>
                <w:bCs/>
                <w:sz w:val="18"/>
                <w:szCs w:val="18"/>
                <w:lang w:val="es-ES_tradnl"/>
              </w:rPr>
              <w:t xml:space="preserve">ecretaría y otras organizaciones 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>aparece</w:t>
            </w:r>
            <w:r w:rsidR="00CA38F8">
              <w:rPr>
                <w:b w:val="0"/>
                <w:bCs/>
                <w:sz w:val="18"/>
                <w:szCs w:val="18"/>
                <w:lang w:val="es-ES_tradnl"/>
              </w:rPr>
              <w:t>n</w:t>
            </w:r>
            <w:r>
              <w:rPr>
                <w:b w:val="0"/>
                <w:bCs/>
                <w:sz w:val="18"/>
                <w:szCs w:val="18"/>
                <w:lang w:val="es-ES_tradnl"/>
              </w:rPr>
              <w:t xml:space="preserve"> bien descrita</w:t>
            </w:r>
            <w:r w:rsidR="00CA38F8">
              <w:rPr>
                <w:b w:val="0"/>
                <w:bCs/>
                <w:sz w:val="18"/>
                <w:szCs w:val="18"/>
                <w:lang w:val="es-ES_tradnl"/>
              </w:rPr>
              <w:t>s</w:t>
            </w:r>
            <w:r w:rsidR="00D355A2" w:rsidRPr="00DB39B2">
              <w:rPr>
                <w:b w:val="0"/>
                <w:bCs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D355A2" w:rsidRPr="00436EE7">
        <w:trPr>
          <w:trHeight w:val="334"/>
        </w:trPr>
        <w:tc>
          <w:tcPr>
            <w:tcW w:w="6659" w:type="dxa"/>
            <w:tcBorders>
              <w:bottom w:val="single" w:sz="12" w:space="0" w:color="auto"/>
            </w:tcBorders>
            <w:shd w:val="clear" w:color="auto" w:fill="auto"/>
          </w:tcPr>
          <w:p w:rsidR="007B0544" w:rsidRPr="007B0544" w:rsidRDefault="007B0544" w:rsidP="007B0544">
            <w:pPr>
              <w:numPr>
                <w:ilvl w:val="0"/>
                <w:numId w:val="1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  <w:tab w:val="left" w:pos="453"/>
              </w:tabs>
              <w:autoSpaceDE w:val="0"/>
              <w:autoSpaceDN w:val="0"/>
              <w:adjustRightInd w:val="0"/>
              <w:spacing w:before="40" w:after="40"/>
              <w:ind w:left="0" w:firstLine="0"/>
              <w:rPr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  <w:r w:rsidRPr="007B0544">
              <w:rPr>
                <w:color w:val="000000"/>
                <w:sz w:val="18"/>
                <w:szCs w:val="18"/>
                <w:lang w:val="es-ES_tradnl" w:eastAsia="zh-CN"/>
              </w:rPr>
              <w:t xml:space="preserve">Cualquier otra información que el posible gobierno </w:t>
            </w:r>
            <w:r>
              <w:rPr>
                <w:color w:val="000000"/>
                <w:sz w:val="18"/>
                <w:szCs w:val="18"/>
                <w:lang w:val="es-ES_tradnl" w:eastAsia="zh-CN"/>
              </w:rPr>
              <w:t>de acogida</w:t>
            </w:r>
            <w:r w:rsidR="00CA4F02">
              <w:rPr>
                <w:color w:val="000000"/>
                <w:sz w:val="18"/>
                <w:szCs w:val="18"/>
                <w:lang w:val="es-ES_tradnl" w:eastAsia="zh-CN"/>
              </w:rPr>
              <w:t xml:space="preserve"> considere </w:t>
            </w:r>
            <w:r w:rsidRPr="007B0544">
              <w:rPr>
                <w:color w:val="000000"/>
                <w:sz w:val="18"/>
                <w:szCs w:val="18"/>
                <w:lang w:val="es-ES_tradnl" w:eastAsia="zh-CN"/>
              </w:rPr>
              <w:t>relevante</w:t>
            </w:r>
            <w:r w:rsidR="00D355A2" w:rsidRPr="007B0544">
              <w:rPr>
                <w:color w:val="000000"/>
                <w:sz w:val="18"/>
                <w:szCs w:val="18"/>
                <w:lang w:val="es-ES_tradnl" w:eastAsia="zh-CN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D355A2" w:rsidRPr="00927EDA" w:rsidRDefault="007B0544" w:rsidP="00D355A2">
            <w:pPr>
              <w:pStyle w:val="CH2"/>
              <w:keepNext w:val="0"/>
              <w:keepLines w:val="0"/>
              <w:spacing w:before="40" w:after="40"/>
              <w:ind w:left="0" w:firstLine="0"/>
              <w:outlineLvl w:val="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Sin comentarios</w:t>
            </w:r>
            <w:r w:rsidR="00D355A2" w:rsidRPr="00927EDA">
              <w:rPr>
                <w:b w:val="0"/>
                <w:bCs/>
                <w:sz w:val="18"/>
                <w:szCs w:val="18"/>
              </w:rPr>
              <w:t>.</w:t>
            </w:r>
          </w:p>
        </w:tc>
      </w:tr>
    </w:tbl>
    <w:p w:rsidR="00032E4E" w:rsidRDefault="00032E4E" w:rsidP="00927EDA">
      <w:pPr>
        <w:pStyle w:val="Normal-pool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2929"/>
        <w:gridCol w:w="2929"/>
        <w:gridCol w:w="2929"/>
        <w:gridCol w:w="2929"/>
      </w:tblGrid>
      <w:tr w:rsidR="00071A5E">
        <w:tc>
          <w:tcPr>
            <w:tcW w:w="2928" w:type="dxa"/>
            <w:shd w:val="clear" w:color="auto" w:fill="auto"/>
          </w:tcPr>
          <w:p w:rsidR="00071A5E" w:rsidRDefault="00071A5E" w:rsidP="00071A5E">
            <w:pPr>
              <w:pStyle w:val="Normal-pool"/>
              <w:spacing w:before="520"/>
            </w:pPr>
          </w:p>
        </w:tc>
        <w:tc>
          <w:tcPr>
            <w:tcW w:w="2929" w:type="dxa"/>
            <w:shd w:val="clear" w:color="auto" w:fill="auto"/>
          </w:tcPr>
          <w:p w:rsidR="00071A5E" w:rsidRDefault="00071A5E" w:rsidP="00071A5E">
            <w:pPr>
              <w:pStyle w:val="Normal-pool"/>
              <w:spacing w:before="520"/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71A5E" w:rsidRDefault="00071A5E" w:rsidP="00071A5E">
            <w:pPr>
              <w:pStyle w:val="Normal-pool"/>
              <w:spacing w:before="520"/>
            </w:pPr>
          </w:p>
        </w:tc>
        <w:tc>
          <w:tcPr>
            <w:tcW w:w="2929" w:type="dxa"/>
            <w:shd w:val="clear" w:color="auto" w:fill="auto"/>
          </w:tcPr>
          <w:p w:rsidR="00071A5E" w:rsidRDefault="00071A5E" w:rsidP="00071A5E">
            <w:pPr>
              <w:pStyle w:val="Normal-pool"/>
              <w:spacing w:before="520"/>
            </w:pPr>
          </w:p>
        </w:tc>
        <w:tc>
          <w:tcPr>
            <w:tcW w:w="2929" w:type="dxa"/>
            <w:shd w:val="clear" w:color="auto" w:fill="auto"/>
          </w:tcPr>
          <w:p w:rsidR="00071A5E" w:rsidRDefault="00071A5E" w:rsidP="00071A5E">
            <w:pPr>
              <w:pStyle w:val="Normal-pool"/>
              <w:spacing w:before="520"/>
            </w:pPr>
          </w:p>
        </w:tc>
      </w:tr>
    </w:tbl>
    <w:p w:rsidR="00071A5E" w:rsidRPr="00E03999" w:rsidRDefault="00071A5E" w:rsidP="00927EDA">
      <w:pPr>
        <w:pStyle w:val="Normal-pool"/>
      </w:pPr>
    </w:p>
    <w:sectPr w:rsidR="00071A5E" w:rsidRPr="00E03999" w:rsidSect="004F0544">
      <w:headerReference w:type="even" r:id="rId19"/>
      <w:headerReference w:type="default" r:id="rId20"/>
      <w:headerReference w:type="first" r:id="rId21"/>
      <w:footerReference w:type="first" r:id="rId22"/>
      <w:pgSz w:w="16838" w:h="11906" w:orient="landscape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CE" w:rsidRDefault="00D334CE">
      <w:r>
        <w:separator/>
      </w:r>
    </w:p>
    <w:p w:rsidR="00D334CE" w:rsidRDefault="00D334CE"/>
  </w:endnote>
  <w:endnote w:type="continuationSeparator" w:id="0">
    <w:p w:rsidR="00D334CE" w:rsidRDefault="00D334CE">
      <w:r>
        <w:continuationSeparator/>
      </w:r>
    </w:p>
    <w:p w:rsidR="00D334CE" w:rsidRDefault="00D334CE"/>
  </w:endnote>
  <w:endnote w:type="continuationNotice" w:id="1">
    <w:p w:rsidR="00D334CE" w:rsidRDefault="00D334CE"/>
    <w:p w:rsidR="00D334CE" w:rsidRDefault="00D33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Default="00D334C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F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Default="00D334C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88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436EE7" w:rsidRDefault="00E624D7" w:rsidP="00436EE7">
    <w:pPr>
      <w:pStyle w:val="Footer"/>
      <w:rPr>
        <w:sz w:val="20"/>
      </w:rPr>
    </w:pPr>
    <w:r>
      <w:rPr>
        <w:sz w:val="20"/>
      </w:rPr>
      <w:t>K1503969</w:t>
    </w:r>
    <w:r w:rsidR="00D334CE">
      <w:rPr>
        <w:sz w:val="20"/>
      </w:rPr>
      <w:tab/>
    </w:r>
    <w:r>
      <w:rPr>
        <w:sz w:val="20"/>
      </w:rPr>
      <w:t>150116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D355A2" w:rsidRDefault="00D334CE" w:rsidP="00D355A2">
    <w:pPr>
      <w:pStyle w:val="Footer"/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CA4F02" w:rsidRPr="00CA4F02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CE" w:rsidRDefault="00D334CE" w:rsidP="00D355A2">
      <w:pPr>
        <w:ind w:left="624"/>
      </w:pPr>
      <w:r>
        <w:separator/>
      </w:r>
    </w:p>
  </w:footnote>
  <w:footnote w:type="continuationSeparator" w:id="0">
    <w:p w:rsidR="00D334CE" w:rsidRDefault="00D334CE">
      <w:r>
        <w:continuationSeparator/>
      </w:r>
    </w:p>
    <w:p w:rsidR="00D334CE" w:rsidRDefault="00D334CE"/>
  </w:footnote>
  <w:footnote w:type="continuationNotice" w:id="1">
    <w:p w:rsidR="00D334CE" w:rsidRDefault="00D334CE"/>
    <w:p w:rsidR="00D334CE" w:rsidRDefault="00D334CE"/>
  </w:footnote>
  <w:footnote w:id="2">
    <w:p w:rsidR="00D334CE" w:rsidRPr="00D334CE" w:rsidRDefault="00D334CE" w:rsidP="006C222B">
      <w:pPr>
        <w:tabs>
          <w:tab w:val="left" w:pos="624"/>
        </w:tabs>
        <w:spacing w:before="60"/>
        <w:ind w:left="1247"/>
        <w:rPr>
          <w:sz w:val="18"/>
          <w:szCs w:val="18"/>
          <w:lang w:val="es-ES"/>
        </w:rPr>
      </w:pPr>
      <w:r w:rsidRPr="00D334CE">
        <w:rPr>
          <w:sz w:val="18"/>
          <w:szCs w:val="18"/>
          <w:lang w:val="es-ES"/>
        </w:rPr>
        <w:t>* UNEP(DTIE)/Hg/INC.</w:t>
      </w:r>
      <w:r w:rsidR="00E624D7">
        <w:rPr>
          <w:sz w:val="18"/>
          <w:szCs w:val="18"/>
          <w:lang w:val="es-ES"/>
        </w:rPr>
        <w:t>7</w:t>
      </w:r>
      <w:r w:rsidRPr="00D334CE">
        <w:rPr>
          <w:sz w:val="18"/>
          <w:szCs w:val="18"/>
          <w:lang w:val="es-ES"/>
        </w:rPr>
        <w:t>/1.</w:t>
      </w:r>
    </w:p>
  </w:footnote>
  <w:footnote w:id="3">
    <w:p w:rsidR="00D334CE" w:rsidRPr="00C46E37" w:rsidRDefault="00D334CE" w:rsidP="0030029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46E37">
        <w:rPr>
          <w:lang w:val="es-ES_tradnl"/>
        </w:rPr>
        <w:t xml:space="preserve"> </w:t>
      </w:r>
      <w:r>
        <w:rPr>
          <w:lang w:val="es-ES_tradnl"/>
        </w:rPr>
        <w:t>L</w:t>
      </w:r>
      <w:r w:rsidRPr="00C46E37">
        <w:rPr>
          <w:lang w:val="es-ES_tradnl"/>
        </w:rPr>
        <w:t>as categorías que se recogen aquí reflejan las presentadas en el documento anexo a la carta remitida por el Director Ejecutivo del PNUMA</w:t>
      </w:r>
      <w:r>
        <w:rPr>
          <w:lang w:val="es-ES_tradnl"/>
        </w:rPr>
        <w:t xml:space="preserve"> con fecha </w:t>
      </w:r>
      <w:r w:rsidRPr="00C46E37">
        <w:rPr>
          <w:lang w:val="es-ES_tradnl"/>
        </w:rPr>
        <w:t xml:space="preserve">5 de diciembre de 2014.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CA5CA9" w:rsidRDefault="00D334CE">
    <w:pPr>
      <w:pStyle w:val="Header"/>
      <w:rPr>
        <w:szCs w:val="18"/>
      </w:rPr>
    </w:pPr>
    <w:proofErr w:type="gramStart"/>
    <w:r w:rsidRPr="00CA5CA9">
      <w:rPr>
        <w:bCs/>
        <w:szCs w:val="18"/>
      </w:rPr>
      <w:t>UNEP</w:t>
    </w:r>
    <w:r w:rsidRPr="00CA5CA9">
      <w:rPr>
        <w:szCs w:val="18"/>
      </w:rPr>
      <w:t>(</w:t>
    </w:r>
    <w:proofErr w:type="gramEnd"/>
    <w:r w:rsidRPr="00CA5CA9">
      <w:rPr>
        <w:szCs w:val="18"/>
      </w:rPr>
      <w:t>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CA5CA9" w:rsidRDefault="00D334CE" w:rsidP="00373ADC">
    <w:pPr>
      <w:pStyle w:val="Header"/>
      <w:jc w:val="right"/>
      <w:rPr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61073" o:spid="_x0000_s2051" type="#_x0000_t136" style="position:absolute;left:0;text-align:left;margin-left:0;margin-top:0;width:525.3pt;height:150.05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  <w:proofErr w:type="gramStart"/>
    <w:r w:rsidRPr="00CA5CA9">
      <w:rPr>
        <w:bCs/>
        <w:szCs w:val="18"/>
      </w:rPr>
      <w:t>UNEP</w:t>
    </w:r>
    <w:r>
      <w:rPr>
        <w:szCs w:val="18"/>
      </w:rPr>
      <w:t>(</w:t>
    </w:r>
    <w:proofErr w:type="gramEnd"/>
    <w:r>
      <w:rPr>
        <w:szCs w:val="18"/>
      </w:rPr>
      <w:t>DTIE)/Hg/INC.7</w:t>
    </w:r>
    <w:r w:rsidRPr="00CA5CA9">
      <w:rPr>
        <w:szCs w:val="18"/>
      </w:rPr>
      <w:t>/</w:t>
    </w:r>
    <w:r>
      <w:rPr>
        <w:szCs w:val="18"/>
      </w:rPr>
      <w:t>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1967E9" w:rsidRDefault="00D334CE" w:rsidP="001967E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Default="00D334CE">
    <w:pPr>
      <w:pStyle w:val="Header"/>
    </w:pPr>
    <w:proofErr w:type="gramStart"/>
    <w:r w:rsidRPr="00CA5CA9">
      <w:rPr>
        <w:bCs/>
        <w:szCs w:val="18"/>
      </w:rPr>
      <w:t>UNEP</w:t>
    </w:r>
    <w:r w:rsidRPr="00CA5CA9">
      <w:rPr>
        <w:szCs w:val="18"/>
      </w:rPr>
      <w:t>(</w:t>
    </w:r>
    <w:proofErr w:type="gramEnd"/>
    <w:r w:rsidRPr="00CA5CA9">
      <w:rPr>
        <w:szCs w:val="18"/>
      </w:rPr>
      <w:t>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16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Default="00E624D7" w:rsidP="009E3210">
    <w:pPr>
      <w:pStyle w:val="Header"/>
      <w:jc w:val="right"/>
    </w:pPr>
    <w:proofErr w:type="gramStart"/>
    <w:r>
      <w:rPr>
        <w:bCs/>
        <w:szCs w:val="18"/>
      </w:rPr>
      <w:t>U</w:t>
    </w:r>
    <w:r w:rsidR="00D334CE" w:rsidRPr="00CA5CA9">
      <w:rPr>
        <w:bCs/>
        <w:szCs w:val="18"/>
      </w:rPr>
      <w:t>NEP</w:t>
    </w:r>
    <w:r w:rsidR="00D334CE" w:rsidRPr="00CA5CA9">
      <w:rPr>
        <w:szCs w:val="18"/>
      </w:rPr>
      <w:t>(</w:t>
    </w:r>
    <w:proofErr w:type="gramEnd"/>
    <w:r w:rsidR="00D334CE" w:rsidRPr="00CA5CA9">
      <w:rPr>
        <w:szCs w:val="18"/>
      </w:rPr>
      <w:t>DTIE)/Hg/INC.</w:t>
    </w:r>
    <w:r w:rsidR="00D334CE">
      <w:rPr>
        <w:szCs w:val="18"/>
      </w:rPr>
      <w:t>7</w:t>
    </w:r>
    <w:r w:rsidR="00D334CE" w:rsidRPr="00CA5CA9">
      <w:rPr>
        <w:szCs w:val="18"/>
      </w:rPr>
      <w:t>/</w:t>
    </w:r>
    <w:r w:rsidR="00D334CE">
      <w:rPr>
        <w:szCs w:val="18"/>
      </w:rPr>
      <w:t>16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E" w:rsidRPr="00D355A2" w:rsidRDefault="00D334CE" w:rsidP="009E3210">
    <w:pPr>
      <w:pStyle w:val="Header"/>
      <w:jc w:val="right"/>
      <w:rPr>
        <w:szCs w:val="18"/>
      </w:rPr>
    </w:pPr>
    <w:proofErr w:type="gramStart"/>
    <w:r w:rsidRPr="00CA5CA9">
      <w:rPr>
        <w:bCs/>
        <w:szCs w:val="18"/>
      </w:rPr>
      <w:t>UNEP</w:t>
    </w:r>
    <w:r w:rsidRPr="00CA5CA9">
      <w:rPr>
        <w:szCs w:val="18"/>
      </w:rPr>
      <w:t>(</w:t>
    </w:r>
    <w:proofErr w:type="gramEnd"/>
    <w:r w:rsidRPr="00CA5CA9">
      <w:rPr>
        <w:szCs w:val="18"/>
      </w:rPr>
      <w:t>DTIE)/Hg/INC.</w:t>
    </w:r>
    <w:r>
      <w:rPr>
        <w:szCs w:val="18"/>
      </w:rPr>
      <w:t>7</w:t>
    </w:r>
    <w:r w:rsidRPr="00CA5CA9">
      <w:rPr>
        <w:szCs w:val="18"/>
      </w:rPr>
      <w:t>/</w:t>
    </w:r>
    <w:r>
      <w:rPr>
        <w:szCs w:val="18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A19"/>
    <w:multiLevelType w:val="hybridMultilevel"/>
    <w:tmpl w:val="AE7A0074"/>
    <w:lvl w:ilvl="0" w:tplc="33D4CB7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A4576"/>
    <w:multiLevelType w:val="hybridMultilevel"/>
    <w:tmpl w:val="581A7646"/>
    <w:lvl w:ilvl="0" w:tplc="275A0F3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0E29FE"/>
    <w:multiLevelType w:val="hybridMultilevel"/>
    <w:tmpl w:val="45D68DE4"/>
    <w:lvl w:ilvl="0" w:tplc="CA7A5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A47982"/>
    <w:multiLevelType w:val="hybridMultilevel"/>
    <w:tmpl w:val="629EA7FE"/>
    <w:lvl w:ilvl="0" w:tplc="33D4CB7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6398"/>
    <w:multiLevelType w:val="hybridMultilevel"/>
    <w:tmpl w:val="581A7646"/>
    <w:lvl w:ilvl="0" w:tplc="275A0F3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E1D56B6"/>
    <w:multiLevelType w:val="hybridMultilevel"/>
    <w:tmpl w:val="581A7646"/>
    <w:lvl w:ilvl="0" w:tplc="275A0F3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260E83"/>
    <w:multiLevelType w:val="hybridMultilevel"/>
    <w:tmpl w:val="723C0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1ADD"/>
    <w:multiLevelType w:val="hybridMultilevel"/>
    <w:tmpl w:val="C60424A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027A5"/>
    <w:multiLevelType w:val="hybridMultilevel"/>
    <w:tmpl w:val="2B329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3">
    <w:nsid w:val="53A76259"/>
    <w:multiLevelType w:val="hybridMultilevel"/>
    <w:tmpl w:val="72AC9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848F3"/>
    <w:multiLevelType w:val="hybridMultilevel"/>
    <w:tmpl w:val="B09E2F92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2291BF8"/>
    <w:multiLevelType w:val="multilevel"/>
    <w:tmpl w:val="D07A6E4C"/>
    <w:numStyleLink w:val="Normallist"/>
  </w:abstractNum>
  <w:abstractNum w:abstractNumId="16">
    <w:nsid w:val="654D74FF"/>
    <w:multiLevelType w:val="multilevel"/>
    <w:tmpl w:val="4D3A0918"/>
    <w:lvl w:ilvl="0">
      <w:start w:val="1"/>
      <w:numFmt w:val="decimal"/>
      <w:lvlText w:val="%1."/>
      <w:lvlJc w:val="left"/>
      <w:pPr>
        <w:tabs>
          <w:tab w:val="num" w:pos="313"/>
        </w:tabs>
        <w:ind w:left="99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7">
    <w:nsid w:val="69873143"/>
    <w:multiLevelType w:val="hybridMultilevel"/>
    <w:tmpl w:val="EE2EF84A"/>
    <w:lvl w:ilvl="0" w:tplc="009A6B68">
      <w:start w:val="1"/>
      <w:numFmt w:val="lowerLetter"/>
      <w:lvlText w:val="%1)"/>
      <w:lvlJc w:val="left"/>
      <w:pPr>
        <w:ind w:left="21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4" w:hanging="360"/>
      </w:pPr>
    </w:lvl>
    <w:lvl w:ilvl="2" w:tplc="1009001B" w:tentative="1">
      <w:start w:val="1"/>
      <w:numFmt w:val="lowerRoman"/>
      <w:lvlText w:val="%3."/>
      <w:lvlJc w:val="right"/>
      <w:pPr>
        <w:ind w:left="3614" w:hanging="180"/>
      </w:pPr>
    </w:lvl>
    <w:lvl w:ilvl="3" w:tplc="1009000F" w:tentative="1">
      <w:start w:val="1"/>
      <w:numFmt w:val="decimal"/>
      <w:lvlText w:val="%4."/>
      <w:lvlJc w:val="left"/>
      <w:pPr>
        <w:ind w:left="4334" w:hanging="360"/>
      </w:pPr>
    </w:lvl>
    <w:lvl w:ilvl="4" w:tplc="10090019" w:tentative="1">
      <w:start w:val="1"/>
      <w:numFmt w:val="lowerLetter"/>
      <w:lvlText w:val="%5."/>
      <w:lvlJc w:val="left"/>
      <w:pPr>
        <w:ind w:left="5054" w:hanging="360"/>
      </w:pPr>
    </w:lvl>
    <w:lvl w:ilvl="5" w:tplc="1009001B" w:tentative="1">
      <w:start w:val="1"/>
      <w:numFmt w:val="lowerRoman"/>
      <w:lvlText w:val="%6."/>
      <w:lvlJc w:val="right"/>
      <w:pPr>
        <w:ind w:left="5774" w:hanging="180"/>
      </w:pPr>
    </w:lvl>
    <w:lvl w:ilvl="6" w:tplc="1009000F" w:tentative="1">
      <w:start w:val="1"/>
      <w:numFmt w:val="decimal"/>
      <w:lvlText w:val="%7."/>
      <w:lvlJc w:val="left"/>
      <w:pPr>
        <w:ind w:left="6494" w:hanging="360"/>
      </w:pPr>
    </w:lvl>
    <w:lvl w:ilvl="7" w:tplc="10090019" w:tentative="1">
      <w:start w:val="1"/>
      <w:numFmt w:val="lowerLetter"/>
      <w:lvlText w:val="%8."/>
      <w:lvlJc w:val="left"/>
      <w:pPr>
        <w:ind w:left="7214" w:hanging="360"/>
      </w:pPr>
    </w:lvl>
    <w:lvl w:ilvl="8" w:tplc="10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8">
    <w:nsid w:val="6CBE0C80"/>
    <w:multiLevelType w:val="hybridMultilevel"/>
    <w:tmpl w:val="731ECA42"/>
    <w:lvl w:ilvl="0" w:tplc="1A382422">
      <w:start w:val="1"/>
      <w:numFmt w:val="lowerLetter"/>
      <w:lvlText w:val="(%1)"/>
      <w:lvlJc w:val="left"/>
      <w:pPr>
        <w:ind w:left="303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6F0C6779"/>
    <w:multiLevelType w:val="hybridMultilevel"/>
    <w:tmpl w:val="84DED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C1779"/>
    <w:multiLevelType w:val="hybridMultilevel"/>
    <w:tmpl w:val="450431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2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  <w:lang w:val="en-CA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8">
    <w:abstractNumId w:val="18"/>
  </w:num>
  <w:num w:numId="9">
    <w:abstractNumId w:val="17"/>
  </w:num>
  <w:num w:numId="10">
    <w:abstractNumId w:val="7"/>
  </w:num>
  <w:num w:numId="11">
    <w:abstractNumId w:val="1"/>
  </w:num>
  <w:num w:numId="12">
    <w:abstractNumId w:val="6"/>
  </w:num>
  <w:num w:numId="13">
    <w:abstractNumId w:val="19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5"/>
  </w:num>
  <w:num w:numId="21">
    <w:abstractNumId w:val="12"/>
    <w:lvlOverride w:ilvl="0">
      <w:lvl w:ilvl="0">
        <w:numFmt w:val="decimal"/>
        <w:pStyle w:val="Normalnumber"/>
        <w:lvlText w:val=""/>
        <w:lvlJc w:val="left"/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300"/>
          </w:tabs>
          <w:ind w:left="1413" w:firstLine="567"/>
        </w:pPr>
        <w:rPr>
          <w:rFonts w:hint="default"/>
          <w:sz w:val="20"/>
          <w:szCs w:val="20"/>
        </w:rPr>
      </w:lvl>
    </w:lvlOverride>
  </w:num>
  <w:num w:numId="22">
    <w:abstractNumId w:val="14"/>
  </w:num>
  <w:num w:numId="23">
    <w:abstractNumId w:val="13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168887-4B32-41CF-B0E7-417F57E2B206}"/>
    <w:docVar w:name="dgnword-eventsink" w:val="65813832"/>
  </w:docVars>
  <w:rsids>
    <w:rsidRoot w:val="00CA5CA9"/>
    <w:rsid w:val="00000E4A"/>
    <w:rsid w:val="00012F87"/>
    <w:rsid w:val="000149E6"/>
    <w:rsid w:val="00021CDC"/>
    <w:rsid w:val="00023DA9"/>
    <w:rsid w:val="000247B0"/>
    <w:rsid w:val="00026997"/>
    <w:rsid w:val="00026A08"/>
    <w:rsid w:val="00026E1E"/>
    <w:rsid w:val="00027B6B"/>
    <w:rsid w:val="00032E4E"/>
    <w:rsid w:val="00033E0B"/>
    <w:rsid w:val="00035EDE"/>
    <w:rsid w:val="00040E03"/>
    <w:rsid w:val="00041979"/>
    <w:rsid w:val="000509B4"/>
    <w:rsid w:val="00051BA0"/>
    <w:rsid w:val="0006035B"/>
    <w:rsid w:val="00071886"/>
    <w:rsid w:val="00071A5E"/>
    <w:rsid w:val="000742BC"/>
    <w:rsid w:val="00076CC6"/>
    <w:rsid w:val="00081E25"/>
    <w:rsid w:val="00082A0C"/>
    <w:rsid w:val="00083504"/>
    <w:rsid w:val="00085A13"/>
    <w:rsid w:val="000862C6"/>
    <w:rsid w:val="00092581"/>
    <w:rsid w:val="000926EF"/>
    <w:rsid w:val="0009640C"/>
    <w:rsid w:val="000A2A5F"/>
    <w:rsid w:val="000A3B52"/>
    <w:rsid w:val="000B22A2"/>
    <w:rsid w:val="000C0504"/>
    <w:rsid w:val="000C2A52"/>
    <w:rsid w:val="000C7F6E"/>
    <w:rsid w:val="000D14DF"/>
    <w:rsid w:val="000D31DD"/>
    <w:rsid w:val="000D33C0"/>
    <w:rsid w:val="000D33CF"/>
    <w:rsid w:val="000D3B51"/>
    <w:rsid w:val="000D6941"/>
    <w:rsid w:val="000F436F"/>
    <w:rsid w:val="000F49AA"/>
    <w:rsid w:val="001004E3"/>
    <w:rsid w:val="00100E9A"/>
    <w:rsid w:val="0011769A"/>
    <w:rsid w:val="001202E3"/>
    <w:rsid w:val="00123699"/>
    <w:rsid w:val="001241FB"/>
    <w:rsid w:val="0013037A"/>
    <w:rsid w:val="0013059D"/>
    <w:rsid w:val="00133F4A"/>
    <w:rsid w:val="00141A55"/>
    <w:rsid w:val="0014397D"/>
    <w:rsid w:val="001446A3"/>
    <w:rsid w:val="00155395"/>
    <w:rsid w:val="00156B6B"/>
    <w:rsid w:val="00160D74"/>
    <w:rsid w:val="00162696"/>
    <w:rsid w:val="00167D02"/>
    <w:rsid w:val="00173258"/>
    <w:rsid w:val="00180C3F"/>
    <w:rsid w:val="00181EC8"/>
    <w:rsid w:val="00184349"/>
    <w:rsid w:val="00184BF3"/>
    <w:rsid w:val="0018793C"/>
    <w:rsid w:val="00190D45"/>
    <w:rsid w:val="00194C50"/>
    <w:rsid w:val="00195DD2"/>
    <w:rsid w:val="00195F33"/>
    <w:rsid w:val="001967E9"/>
    <w:rsid w:val="001B1617"/>
    <w:rsid w:val="001B504B"/>
    <w:rsid w:val="001B7C89"/>
    <w:rsid w:val="001C1D1C"/>
    <w:rsid w:val="001C619E"/>
    <w:rsid w:val="001C7784"/>
    <w:rsid w:val="001D1529"/>
    <w:rsid w:val="001D3874"/>
    <w:rsid w:val="001D7E75"/>
    <w:rsid w:val="001E0006"/>
    <w:rsid w:val="001E0D73"/>
    <w:rsid w:val="001E1740"/>
    <w:rsid w:val="001E2E57"/>
    <w:rsid w:val="001E56D2"/>
    <w:rsid w:val="001E7D56"/>
    <w:rsid w:val="001F75DE"/>
    <w:rsid w:val="00200D58"/>
    <w:rsid w:val="002013BE"/>
    <w:rsid w:val="00201EDC"/>
    <w:rsid w:val="002063A4"/>
    <w:rsid w:val="0021145B"/>
    <w:rsid w:val="00220C23"/>
    <w:rsid w:val="00222822"/>
    <w:rsid w:val="0022389A"/>
    <w:rsid w:val="00237686"/>
    <w:rsid w:val="00241362"/>
    <w:rsid w:val="0024375A"/>
    <w:rsid w:val="00243D36"/>
    <w:rsid w:val="002459CB"/>
    <w:rsid w:val="002465C2"/>
    <w:rsid w:val="00247707"/>
    <w:rsid w:val="0025687F"/>
    <w:rsid w:val="0026018E"/>
    <w:rsid w:val="002739F2"/>
    <w:rsid w:val="00281569"/>
    <w:rsid w:val="00281A23"/>
    <w:rsid w:val="00286740"/>
    <w:rsid w:val="00291D9B"/>
    <w:rsid w:val="002929D8"/>
    <w:rsid w:val="002A1607"/>
    <w:rsid w:val="002A237D"/>
    <w:rsid w:val="002A4C53"/>
    <w:rsid w:val="002A6ABC"/>
    <w:rsid w:val="002A7914"/>
    <w:rsid w:val="002B0672"/>
    <w:rsid w:val="002B247F"/>
    <w:rsid w:val="002B50D4"/>
    <w:rsid w:val="002C145D"/>
    <w:rsid w:val="002C2C3E"/>
    <w:rsid w:val="002C4C98"/>
    <w:rsid w:val="002C533E"/>
    <w:rsid w:val="002D027F"/>
    <w:rsid w:val="002D0AB5"/>
    <w:rsid w:val="002D1121"/>
    <w:rsid w:val="002D2581"/>
    <w:rsid w:val="002D7A85"/>
    <w:rsid w:val="002D7B60"/>
    <w:rsid w:val="002E0381"/>
    <w:rsid w:val="002E2C67"/>
    <w:rsid w:val="002E4207"/>
    <w:rsid w:val="002E4680"/>
    <w:rsid w:val="002F2D0F"/>
    <w:rsid w:val="002F4761"/>
    <w:rsid w:val="002F5C79"/>
    <w:rsid w:val="00300290"/>
    <w:rsid w:val="00301031"/>
    <w:rsid w:val="003019E2"/>
    <w:rsid w:val="00307C04"/>
    <w:rsid w:val="0031413F"/>
    <w:rsid w:val="003148BB"/>
    <w:rsid w:val="00317976"/>
    <w:rsid w:val="00324642"/>
    <w:rsid w:val="00326550"/>
    <w:rsid w:val="00326CC0"/>
    <w:rsid w:val="00331877"/>
    <w:rsid w:val="003341DB"/>
    <w:rsid w:val="00336096"/>
    <w:rsid w:val="003376E8"/>
    <w:rsid w:val="003378AC"/>
    <w:rsid w:val="00337BBC"/>
    <w:rsid w:val="00345448"/>
    <w:rsid w:val="00347676"/>
    <w:rsid w:val="00355D72"/>
    <w:rsid w:val="00355EA9"/>
    <w:rsid w:val="003578DE"/>
    <w:rsid w:val="003612A7"/>
    <w:rsid w:val="00361688"/>
    <w:rsid w:val="00373ADC"/>
    <w:rsid w:val="00373C8B"/>
    <w:rsid w:val="003744EF"/>
    <w:rsid w:val="00376CFA"/>
    <w:rsid w:val="003919B4"/>
    <w:rsid w:val="003929B8"/>
    <w:rsid w:val="00396257"/>
    <w:rsid w:val="00397EB8"/>
    <w:rsid w:val="003A4FD0"/>
    <w:rsid w:val="003A69D1"/>
    <w:rsid w:val="003A7705"/>
    <w:rsid w:val="003A77F1"/>
    <w:rsid w:val="003B01BD"/>
    <w:rsid w:val="003B1545"/>
    <w:rsid w:val="003C409D"/>
    <w:rsid w:val="003C5BA6"/>
    <w:rsid w:val="003C5DCE"/>
    <w:rsid w:val="003D0980"/>
    <w:rsid w:val="003D3752"/>
    <w:rsid w:val="003D79FE"/>
    <w:rsid w:val="003E02EB"/>
    <w:rsid w:val="003E35DA"/>
    <w:rsid w:val="003E59A2"/>
    <w:rsid w:val="003E7D73"/>
    <w:rsid w:val="003F0E85"/>
    <w:rsid w:val="00405C13"/>
    <w:rsid w:val="00410C55"/>
    <w:rsid w:val="004131F6"/>
    <w:rsid w:val="004148ED"/>
    <w:rsid w:val="00415EC2"/>
    <w:rsid w:val="00416854"/>
    <w:rsid w:val="00417725"/>
    <w:rsid w:val="00420E17"/>
    <w:rsid w:val="00421A12"/>
    <w:rsid w:val="00425312"/>
    <w:rsid w:val="00426E68"/>
    <w:rsid w:val="00436EE7"/>
    <w:rsid w:val="0043723E"/>
    <w:rsid w:val="00437F26"/>
    <w:rsid w:val="00444097"/>
    <w:rsid w:val="00445487"/>
    <w:rsid w:val="00445AFA"/>
    <w:rsid w:val="00447E0D"/>
    <w:rsid w:val="00454769"/>
    <w:rsid w:val="0045764F"/>
    <w:rsid w:val="004651CE"/>
    <w:rsid w:val="00466991"/>
    <w:rsid w:val="00467FD9"/>
    <w:rsid w:val="0047064C"/>
    <w:rsid w:val="00490E62"/>
    <w:rsid w:val="0049469E"/>
    <w:rsid w:val="004A1E31"/>
    <w:rsid w:val="004A42E1"/>
    <w:rsid w:val="004B162C"/>
    <w:rsid w:val="004B2ABE"/>
    <w:rsid w:val="004B6328"/>
    <w:rsid w:val="004B7E47"/>
    <w:rsid w:val="004C28C5"/>
    <w:rsid w:val="004C3DBE"/>
    <w:rsid w:val="004C5C96"/>
    <w:rsid w:val="004C5D7B"/>
    <w:rsid w:val="004C77AD"/>
    <w:rsid w:val="004D06A4"/>
    <w:rsid w:val="004D102F"/>
    <w:rsid w:val="004D31FD"/>
    <w:rsid w:val="004E1E12"/>
    <w:rsid w:val="004F0544"/>
    <w:rsid w:val="004F1208"/>
    <w:rsid w:val="004F1A81"/>
    <w:rsid w:val="005031E0"/>
    <w:rsid w:val="00510FCA"/>
    <w:rsid w:val="005218D9"/>
    <w:rsid w:val="005237BC"/>
    <w:rsid w:val="00524369"/>
    <w:rsid w:val="005265AF"/>
    <w:rsid w:val="00532AD2"/>
    <w:rsid w:val="00536186"/>
    <w:rsid w:val="00536EDF"/>
    <w:rsid w:val="0054042F"/>
    <w:rsid w:val="00540E87"/>
    <w:rsid w:val="005419C6"/>
    <w:rsid w:val="00543646"/>
    <w:rsid w:val="00544CBB"/>
    <w:rsid w:val="005579D8"/>
    <w:rsid w:val="0056131C"/>
    <w:rsid w:val="0056193E"/>
    <w:rsid w:val="005656D7"/>
    <w:rsid w:val="00566919"/>
    <w:rsid w:val="0057060E"/>
    <w:rsid w:val="00572135"/>
    <w:rsid w:val="0057315F"/>
    <w:rsid w:val="0057450D"/>
    <w:rsid w:val="00576104"/>
    <w:rsid w:val="0059155E"/>
    <w:rsid w:val="00591666"/>
    <w:rsid w:val="00591A4B"/>
    <w:rsid w:val="005B25DC"/>
    <w:rsid w:val="005B44BF"/>
    <w:rsid w:val="005B57B6"/>
    <w:rsid w:val="005B76DB"/>
    <w:rsid w:val="005C11B4"/>
    <w:rsid w:val="005C3B69"/>
    <w:rsid w:val="005C67C8"/>
    <w:rsid w:val="005C72CB"/>
    <w:rsid w:val="005D0249"/>
    <w:rsid w:val="005D02C8"/>
    <w:rsid w:val="005D18FA"/>
    <w:rsid w:val="005D4575"/>
    <w:rsid w:val="005D4FD4"/>
    <w:rsid w:val="005D6AB1"/>
    <w:rsid w:val="005D6E8C"/>
    <w:rsid w:val="005D7E4A"/>
    <w:rsid w:val="005F100C"/>
    <w:rsid w:val="005F68DA"/>
    <w:rsid w:val="00601D84"/>
    <w:rsid w:val="0060773B"/>
    <w:rsid w:val="006077E5"/>
    <w:rsid w:val="00611ED8"/>
    <w:rsid w:val="006157B5"/>
    <w:rsid w:val="0061666C"/>
    <w:rsid w:val="006174C6"/>
    <w:rsid w:val="006174F5"/>
    <w:rsid w:val="00621CDE"/>
    <w:rsid w:val="006222DB"/>
    <w:rsid w:val="00626FC6"/>
    <w:rsid w:val="006303B4"/>
    <w:rsid w:val="00630ADC"/>
    <w:rsid w:val="00631F5B"/>
    <w:rsid w:val="00632FE7"/>
    <w:rsid w:val="00633D3D"/>
    <w:rsid w:val="006343BA"/>
    <w:rsid w:val="00641703"/>
    <w:rsid w:val="006431A6"/>
    <w:rsid w:val="0064357E"/>
    <w:rsid w:val="006459F6"/>
    <w:rsid w:val="006474ED"/>
    <w:rsid w:val="006501AD"/>
    <w:rsid w:val="0065073C"/>
    <w:rsid w:val="00651BFA"/>
    <w:rsid w:val="00654475"/>
    <w:rsid w:val="00656A9C"/>
    <w:rsid w:val="0066096C"/>
    <w:rsid w:val="00665A4B"/>
    <w:rsid w:val="0066657D"/>
    <w:rsid w:val="006708B8"/>
    <w:rsid w:val="00674C5C"/>
    <w:rsid w:val="006822AF"/>
    <w:rsid w:val="00690C3B"/>
    <w:rsid w:val="00690DD3"/>
    <w:rsid w:val="00692E2A"/>
    <w:rsid w:val="006968E8"/>
    <w:rsid w:val="006A534C"/>
    <w:rsid w:val="006A5E16"/>
    <w:rsid w:val="006A76F2"/>
    <w:rsid w:val="006B06A8"/>
    <w:rsid w:val="006B2369"/>
    <w:rsid w:val="006B359E"/>
    <w:rsid w:val="006B42F6"/>
    <w:rsid w:val="006B7E0B"/>
    <w:rsid w:val="006C00D5"/>
    <w:rsid w:val="006C1184"/>
    <w:rsid w:val="006C1441"/>
    <w:rsid w:val="006C222B"/>
    <w:rsid w:val="006C6268"/>
    <w:rsid w:val="006D19D4"/>
    <w:rsid w:val="006D2D8F"/>
    <w:rsid w:val="006D7EFB"/>
    <w:rsid w:val="006E0552"/>
    <w:rsid w:val="006E2B7F"/>
    <w:rsid w:val="006E6672"/>
    <w:rsid w:val="006E6722"/>
    <w:rsid w:val="006F2578"/>
    <w:rsid w:val="006F60FC"/>
    <w:rsid w:val="006F64D2"/>
    <w:rsid w:val="006F780F"/>
    <w:rsid w:val="007027B9"/>
    <w:rsid w:val="007137AC"/>
    <w:rsid w:val="007145DA"/>
    <w:rsid w:val="00715E88"/>
    <w:rsid w:val="00720CA6"/>
    <w:rsid w:val="0072258C"/>
    <w:rsid w:val="00722EC7"/>
    <w:rsid w:val="00732C8E"/>
    <w:rsid w:val="00733212"/>
    <w:rsid w:val="007334A1"/>
    <w:rsid w:val="00734CAA"/>
    <w:rsid w:val="00740710"/>
    <w:rsid w:val="00741E1F"/>
    <w:rsid w:val="00742680"/>
    <w:rsid w:val="00743982"/>
    <w:rsid w:val="0075533C"/>
    <w:rsid w:val="00757027"/>
    <w:rsid w:val="00757581"/>
    <w:rsid w:val="007602F5"/>
    <w:rsid w:val="00760D36"/>
    <w:rsid w:val="007611A0"/>
    <w:rsid w:val="00765306"/>
    <w:rsid w:val="0078255B"/>
    <w:rsid w:val="00782E85"/>
    <w:rsid w:val="007935E6"/>
    <w:rsid w:val="0079507F"/>
    <w:rsid w:val="00796D3F"/>
    <w:rsid w:val="007A1683"/>
    <w:rsid w:val="007A32FC"/>
    <w:rsid w:val="007A5C12"/>
    <w:rsid w:val="007A7CB0"/>
    <w:rsid w:val="007B0544"/>
    <w:rsid w:val="007B2615"/>
    <w:rsid w:val="007B5B30"/>
    <w:rsid w:val="007B68A3"/>
    <w:rsid w:val="007C1E0B"/>
    <w:rsid w:val="007C2541"/>
    <w:rsid w:val="007C5A54"/>
    <w:rsid w:val="007C7915"/>
    <w:rsid w:val="007D3C14"/>
    <w:rsid w:val="007D58D1"/>
    <w:rsid w:val="007D66A8"/>
    <w:rsid w:val="007E003F"/>
    <w:rsid w:val="007E4D28"/>
    <w:rsid w:val="007E5EF5"/>
    <w:rsid w:val="007F0CF8"/>
    <w:rsid w:val="007F62CB"/>
    <w:rsid w:val="0080448A"/>
    <w:rsid w:val="008142EC"/>
    <w:rsid w:val="008164F2"/>
    <w:rsid w:val="00817E03"/>
    <w:rsid w:val="00821395"/>
    <w:rsid w:val="00830E26"/>
    <w:rsid w:val="00833327"/>
    <w:rsid w:val="0083436D"/>
    <w:rsid w:val="00840521"/>
    <w:rsid w:val="00843576"/>
    <w:rsid w:val="00843B64"/>
    <w:rsid w:val="00845A45"/>
    <w:rsid w:val="008478FC"/>
    <w:rsid w:val="00851C51"/>
    <w:rsid w:val="00853E42"/>
    <w:rsid w:val="00857DEA"/>
    <w:rsid w:val="00861816"/>
    <w:rsid w:val="008630F4"/>
    <w:rsid w:val="00863582"/>
    <w:rsid w:val="00863959"/>
    <w:rsid w:val="00867BFF"/>
    <w:rsid w:val="00870419"/>
    <w:rsid w:val="00871542"/>
    <w:rsid w:val="00872BF6"/>
    <w:rsid w:val="008763E2"/>
    <w:rsid w:val="008836D2"/>
    <w:rsid w:val="0088480A"/>
    <w:rsid w:val="0088757A"/>
    <w:rsid w:val="00890F31"/>
    <w:rsid w:val="00891829"/>
    <w:rsid w:val="0089431B"/>
    <w:rsid w:val="00894AE9"/>
    <w:rsid w:val="0089548E"/>
    <w:rsid w:val="00895668"/>
    <w:rsid w:val="008957DD"/>
    <w:rsid w:val="00895E3C"/>
    <w:rsid w:val="00896707"/>
    <w:rsid w:val="00897D98"/>
    <w:rsid w:val="008A6DF2"/>
    <w:rsid w:val="008A7807"/>
    <w:rsid w:val="008B4CC9"/>
    <w:rsid w:val="008B7F39"/>
    <w:rsid w:val="008D49B9"/>
    <w:rsid w:val="008D4E9F"/>
    <w:rsid w:val="008D7C99"/>
    <w:rsid w:val="008E0FCB"/>
    <w:rsid w:val="008E7C77"/>
    <w:rsid w:val="0090168B"/>
    <w:rsid w:val="00906372"/>
    <w:rsid w:val="0092178C"/>
    <w:rsid w:val="00923F47"/>
    <w:rsid w:val="009275A5"/>
    <w:rsid w:val="00927EDA"/>
    <w:rsid w:val="00930B88"/>
    <w:rsid w:val="00930EB8"/>
    <w:rsid w:val="00936F7E"/>
    <w:rsid w:val="00940DCC"/>
    <w:rsid w:val="0094179A"/>
    <w:rsid w:val="0094459E"/>
    <w:rsid w:val="00944DBC"/>
    <w:rsid w:val="00950977"/>
    <w:rsid w:val="00951A7B"/>
    <w:rsid w:val="009539EA"/>
    <w:rsid w:val="0095461A"/>
    <w:rsid w:val="009564A6"/>
    <w:rsid w:val="00957A5B"/>
    <w:rsid w:val="00960460"/>
    <w:rsid w:val="00962487"/>
    <w:rsid w:val="00962F1A"/>
    <w:rsid w:val="00964524"/>
    <w:rsid w:val="00967621"/>
    <w:rsid w:val="00967E6A"/>
    <w:rsid w:val="009850EB"/>
    <w:rsid w:val="00987EB2"/>
    <w:rsid w:val="009A2C2A"/>
    <w:rsid w:val="009A51B2"/>
    <w:rsid w:val="009B4A0F"/>
    <w:rsid w:val="009B6EC8"/>
    <w:rsid w:val="009C11D2"/>
    <w:rsid w:val="009C6C70"/>
    <w:rsid w:val="009C7B0A"/>
    <w:rsid w:val="009D0B63"/>
    <w:rsid w:val="009D5CB8"/>
    <w:rsid w:val="009D77F1"/>
    <w:rsid w:val="009E0B13"/>
    <w:rsid w:val="009E181D"/>
    <w:rsid w:val="009E307E"/>
    <w:rsid w:val="009E3210"/>
    <w:rsid w:val="009E3EAD"/>
    <w:rsid w:val="009E419B"/>
    <w:rsid w:val="009E4377"/>
    <w:rsid w:val="009F2615"/>
    <w:rsid w:val="009F26E8"/>
    <w:rsid w:val="009F399B"/>
    <w:rsid w:val="009F7886"/>
    <w:rsid w:val="00A07870"/>
    <w:rsid w:val="00A07C54"/>
    <w:rsid w:val="00A07F19"/>
    <w:rsid w:val="00A115C0"/>
    <w:rsid w:val="00A1348D"/>
    <w:rsid w:val="00A212C5"/>
    <w:rsid w:val="00A232EE"/>
    <w:rsid w:val="00A23425"/>
    <w:rsid w:val="00A4175F"/>
    <w:rsid w:val="00A42EC5"/>
    <w:rsid w:val="00A44411"/>
    <w:rsid w:val="00A45C38"/>
    <w:rsid w:val="00A469FA"/>
    <w:rsid w:val="00A50894"/>
    <w:rsid w:val="00A5108F"/>
    <w:rsid w:val="00A53662"/>
    <w:rsid w:val="00A55B01"/>
    <w:rsid w:val="00A56B5B"/>
    <w:rsid w:val="00A603FF"/>
    <w:rsid w:val="00A619B6"/>
    <w:rsid w:val="00A63CAF"/>
    <w:rsid w:val="00A648CA"/>
    <w:rsid w:val="00A64CAF"/>
    <w:rsid w:val="00A657DD"/>
    <w:rsid w:val="00A666A6"/>
    <w:rsid w:val="00A675FD"/>
    <w:rsid w:val="00A72437"/>
    <w:rsid w:val="00A75829"/>
    <w:rsid w:val="00A75E23"/>
    <w:rsid w:val="00A8048B"/>
    <w:rsid w:val="00A80611"/>
    <w:rsid w:val="00A844A8"/>
    <w:rsid w:val="00A85539"/>
    <w:rsid w:val="00A86BBF"/>
    <w:rsid w:val="00A92430"/>
    <w:rsid w:val="00A9717F"/>
    <w:rsid w:val="00AB1339"/>
    <w:rsid w:val="00AB16BB"/>
    <w:rsid w:val="00AB1AEA"/>
    <w:rsid w:val="00AB3C79"/>
    <w:rsid w:val="00AB5340"/>
    <w:rsid w:val="00AB5807"/>
    <w:rsid w:val="00AB6BBA"/>
    <w:rsid w:val="00AB6BE8"/>
    <w:rsid w:val="00AC0A89"/>
    <w:rsid w:val="00AC7C96"/>
    <w:rsid w:val="00AD61CE"/>
    <w:rsid w:val="00AE237D"/>
    <w:rsid w:val="00AE502A"/>
    <w:rsid w:val="00AE5C8B"/>
    <w:rsid w:val="00AF6D46"/>
    <w:rsid w:val="00AF76E5"/>
    <w:rsid w:val="00AF7C07"/>
    <w:rsid w:val="00B0012C"/>
    <w:rsid w:val="00B00CE4"/>
    <w:rsid w:val="00B01DC6"/>
    <w:rsid w:val="00B02216"/>
    <w:rsid w:val="00B04632"/>
    <w:rsid w:val="00B04CF0"/>
    <w:rsid w:val="00B06C64"/>
    <w:rsid w:val="00B10593"/>
    <w:rsid w:val="00B10CD4"/>
    <w:rsid w:val="00B11CAC"/>
    <w:rsid w:val="00B14D01"/>
    <w:rsid w:val="00B163D7"/>
    <w:rsid w:val="00B16CB3"/>
    <w:rsid w:val="00B1765B"/>
    <w:rsid w:val="00B22C93"/>
    <w:rsid w:val="00B27589"/>
    <w:rsid w:val="00B36F19"/>
    <w:rsid w:val="00B405B7"/>
    <w:rsid w:val="00B42C81"/>
    <w:rsid w:val="00B4372E"/>
    <w:rsid w:val="00B438AF"/>
    <w:rsid w:val="00B446BA"/>
    <w:rsid w:val="00B46758"/>
    <w:rsid w:val="00B50AA2"/>
    <w:rsid w:val="00B52222"/>
    <w:rsid w:val="00B531DA"/>
    <w:rsid w:val="00B54895"/>
    <w:rsid w:val="00B54FE7"/>
    <w:rsid w:val="00B55D91"/>
    <w:rsid w:val="00B56D5E"/>
    <w:rsid w:val="00B647C6"/>
    <w:rsid w:val="00B65981"/>
    <w:rsid w:val="00B66901"/>
    <w:rsid w:val="00B66BDB"/>
    <w:rsid w:val="00B70842"/>
    <w:rsid w:val="00B71E6D"/>
    <w:rsid w:val="00B72070"/>
    <w:rsid w:val="00B7585F"/>
    <w:rsid w:val="00B779E1"/>
    <w:rsid w:val="00B815CC"/>
    <w:rsid w:val="00B91EE1"/>
    <w:rsid w:val="00BA0090"/>
    <w:rsid w:val="00BA1A67"/>
    <w:rsid w:val="00BA3692"/>
    <w:rsid w:val="00BC2DF4"/>
    <w:rsid w:val="00BD3647"/>
    <w:rsid w:val="00BE0AE5"/>
    <w:rsid w:val="00BE5B5F"/>
    <w:rsid w:val="00BE7D27"/>
    <w:rsid w:val="00BF4F64"/>
    <w:rsid w:val="00BF5D17"/>
    <w:rsid w:val="00C023EF"/>
    <w:rsid w:val="00C02F09"/>
    <w:rsid w:val="00C0465F"/>
    <w:rsid w:val="00C078AF"/>
    <w:rsid w:val="00C26F55"/>
    <w:rsid w:val="00C30C63"/>
    <w:rsid w:val="00C31269"/>
    <w:rsid w:val="00C32791"/>
    <w:rsid w:val="00C36B8B"/>
    <w:rsid w:val="00C40330"/>
    <w:rsid w:val="00C415C1"/>
    <w:rsid w:val="00C433ED"/>
    <w:rsid w:val="00C46E37"/>
    <w:rsid w:val="00C47DBF"/>
    <w:rsid w:val="00C5040E"/>
    <w:rsid w:val="00C533C0"/>
    <w:rsid w:val="00C552FF"/>
    <w:rsid w:val="00C558DA"/>
    <w:rsid w:val="00C55AF3"/>
    <w:rsid w:val="00C56325"/>
    <w:rsid w:val="00C56E53"/>
    <w:rsid w:val="00C57875"/>
    <w:rsid w:val="00C6586A"/>
    <w:rsid w:val="00C670F4"/>
    <w:rsid w:val="00C72B73"/>
    <w:rsid w:val="00C84759"/>
    <w:rsid w:val="00C930FC"/>
    <w:rsid w:val="00CA38F8"/>
    <w:rsid w:val="00CA49DC"/>
    <w:rsid w:val="00CA4F02"/>
    <w:rsid w:val="00CA5CA9"/>
    <w:rsid w:val="00CA6C7F"/>
    <w:rsid w:val="00CA7C77"/>
    <w:rsid w:val="00CC10A6"/>
    <w:rsid w:val="00CC2483"/>
    <w:rsid w:val="00CC3A86"/>
    <w:rsid w:val="00CD3AFA"/>
    <w:rsid w:val="00CD51F9"/>
    <w:rsid w:val="00CD5EB8"/>
    <w:rsid w:val="00CD7044"/>
    <w:rsid w:val="00CE08B9"/>
    <w:rsid w:val="00CE524C"/>
    <w:rsid w:val="00CF141F"/>
    <w:rsid w:val="00CF17AD"/>
    <w:rsid w:val="00CF4777"/>
    <w:rsid w:val="00D067BB"/>
    <w:rsid w:val="00D1352A"/>
    <w:rsid w:val="00D169AF"/>
    <w:rsid w:val="00D2186E"/>
    <w:rsid w:val="00D22839"/>
    <w:rsid w:val="00D25249"/>
    <w:rsid w:val="00D334CE"/>
    <w:rsid w:val="00D355A2"/>
    <w:rsid w:val="00D44172"/>
    <w:rsid w:val="00D47639"/>
    <w:rsid w:val="00D63B8C"/>
    <w:rsid w:val="00D67AEC"/>
    <w:rsid w:val="00D739CC"/>
    <w:rsid w:val="00D776DD"/>
    <w:rsid w:val="00D8093D"/>
    <w:rsid w:val="00D8108C"/>
    <w:rsid w:val="00D842AE"/>
    <w:rsid w:val="00D86715"/>
    <w:rsid w:val="00D9211C"/>
    <w:rsid w:val="00D92DE0"/>
    <w:rsid w:val="00D92FEF"/>
    <w:rsid w:val="00D93A0F"/>
    <w:rsid w:val="00D958F1"/>
    <w:rsid w:val="00D97F2A"/>
    <w:rsid w:val="00DA1806"/>
    <w:rsid w:val="00DA1BCA"/>
    <w:rsid w:val="00DA7970"/>
    <w:rsid w:val="00DB39B2"/>
    <w:rsid w:val="00DB5CF3"/>
    <w:rsid w:val="00DC46FF"/>
    <w:rsid w:val="00DC5254"/>
    <w:rsid w:val="00DC569D"/>
    <w:rsid w:val="00DC57E3"/>
    <w:rsid w:val="00DD1A4F"/>
    <w:rsid w:val="00DD3107"/>
    <w:rsid w:val="00DD7C2C"/>
    <w:rsid w:val="00DE4D26"/>
    <w:rsid w:val="00DF05C9"/>
    <w:rsid w:val="00E0035A"/>
    <w:rsid w:val="00E01864"/>
    <w:rsid w:val="00E03999"/>
    <w:rsid w:val="00E06797"/>
    <w:rsid w:val="00E1265B"/>
    <w:rsid w:val="00E13B48"/>
    <w:rsid w:val="00E1404F"/>
    <w:rsid w:val="00E21C83"/>
    <w:rsid w:val="00E244C1"/>
    <w:rsid w:val="00E24ADA"/>
    <w:rsid w:val="00E27B95"/>
    <w:rsid w:val="00E32F59"/>
    <w:rsid w:val="00E4294D"/>
    <w:rsid w:val="00E46D9A"/>
    <w:rsid w:val="00E5168E"/>
    <w:rsid w:val="00E565FF"/>
    <w:rsid w:val="00E60AA4"/>
    <w:rsid w:val="00E624D7"/>
    <w:rsid w:val="00E65388"/>
    <w:rsid w:val="00E74E08"/>
    <w:rsid w:val="00E761D8"/>
    <w:rsid w:val="00E76CD8"/>
    <w:rsid w:val="00E85B7D"/>
    <w:rsid w:val="00E9121B"/>
    <w:rsid w:val="00E97DC4"/>
    <w:rsid w:val="00EA0AE2"/>
    <w:rsid w:val="00EA28DB"/>
    <w:rsid w:val="00EA39E5"/>
    <w:rsid w:val="00EB0C74"/>
    <w:rsid w:val="00EB44AC"/>
    <w:rsid w:val="00EC2813"/>
    <w:rsid w:val="00EC5A46"/>
    <w:rsid w:val="00EC63E2"/>
    <w:rsid w:val="00ED1785"/>
    <w:rsid w:val="00ED366A"/>
    <w:rsid w:val="00ED76CF"/>
    <w:rsid w:val="00EE49A2"/>
    <w:rsid w:val="00EE76DF"/>
    <w:rsid w:val="00EF22B3"/>
    <w:rsid w:val="00EF274E"/>
    <w:rsid w:val="00F03B69"/>
    <w:rsid w:val="00F0517D"/>
    <w:rsid w:val="00F07A50"/>
    <w:rsid w:val="00F113DA"/>
    <w:rsid w:val="00F2423C"/>
    <w:rsid w:val="00F275A5"/>
    <w:rsid w:val="00F3465A"/>
    <w:rsid w:val="00F346D7"/>
    <w:rsid w:val="00F37DC8"/>
    <w:rsid w:val="00F439B3"/>
    <w:rsid w:val="00F5014A"/>
    <w:rsid w:val="00F50C44"/>
    <w:rsid w:val="00F650C3"/>
    <w:rsid w:val="00F65D85"/>
    <w:rsid w:val="00F67B10"/>
    <w:rsid w:val="00F74705"/>
    <w:rsid w:val="00F8091E"/>
    <w:rsid w:val="00F82208"/>
    <w:rsid w:val="00F8615C"/>
    <w:rsid w:val="00F90F23"/>
    <w:rsid w:val="00F913B9"/>
    <w:rsid w:val="00F91DC9"/>
    <w:rsid w:val="00F969E5"/>
    <w:rsid w:val="00FA1B3B"/>
    <w:rsid w:val="00FA43BE"/>
    <w:rsid w:val="00FA6BB0"/>
    <w:rsid w:val="00FB0ED5"/>
    <w:rsid w:val="00FB592F"/>
    <w:rsid w:val="00FB7891"/>
    <w:rsid w:val="00FD06AC"/>
    <w:rsid w:val="00FD211D"/>
    <w:rsid w:val="00FD5860"/>
    <w:rsid w:val="00FD5EDB"/>
    <w:rsid w:val="00FE352D"/>
    <w:rsid w:val="00FE40EB"/>
    <w:rsid w:val="00FE4D02"/>
    <w:rsid w:val="00FE4E77"/>
    <w:rsid w:val="00FE7D62"/>
    <w:rsid w:val="00FF3819"/>
    <w:rsid w:val="00FF5AD4"/>
    <w:rsid w:val="00FF690E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Caption">
    <w:name w:val="caption"/>
    <w:basedOn w:val="Normal"/>
    <w:next w:val="Normal"/>
    <w:qFormat/>
    <w:rsid w:val="00DF05C9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</w:rPr>
  </w:style>
  <w:style w:type="character" w:customStyle="1" w:styleId="CH3Char">
    <w:name w:val="CH3 Char"/>
    <w:link w:val="CH3"/>
    <w:rsid w:val="00DF05C9"/>
    <w:rPr>
      <w:b/>
      <w:lang w:eastAsia="en-US"/>
    </w:rPr>
  </w:style>
  <w:style w:type="character" w:customStyle="1" w:styleId="FootnoteTextChar">
    <w:name w:val="Footnote Text Char"/>
    <w:link w:val="FootnoteText"/>
    <w:semiHidden/>
    <w:rsid w:val="00DF05C9"/>
    <w:rPr>
      <w:sz w:val="18"/>
      <w:lang w:val="fr-FR" w:eastAsia="en-US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</w:rPr>
  </w:style>
  <w:style w:type="paragraph" w:styleId="BodyTextIndent">
    <w:name w:val="Body Text Indent"/>
    <w:basedOn w:val="Normal"/>
    <w:link w:val="BodyTextIndentChar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DF05C9"/>
    <w:rPr>
      <w:sz w:val="24"/>
      <w:lang w:eastAsia="en-US"/>
    </w:rPr>
  </w:style>
  <w:style w:type="character" w:customStyle="1" w:styleId="CH2Char">
    <w:name w:val="CH2 Char"/>
    <w:link w:val="CH2"/>
    <w:rsid w:val="00DF05C9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DF05C9"/>
    <w:rPr>
      <w:b/>
      <w:bCs/>
      <w:sz w:val="28"/>
      <w:szCs w:val="26"/>
      <w:lang w:eastAsia="en-US"/>
    </w:rPr>
  </w:style>
  <w:style w:type="paragraph" w:customStyle="1" w:styleId="Default">
    <w:name w:val="Default"/>
    <w:rsid w:val="00960460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rsid w:val="002E4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817E03"/>
    <w:rPr>
      <w:lang w:val="en-GB" w:eastAsia="en-US"/>
    </w:rPr>
  </w:style>
  <w:style w:type="paragraph" w:styleId="ListParagraph">
    <w:name w:val="List Paragraph"/>
    <w:basedOn w:val="Normal"/>
    <w:uiPriority w:val="72"/>
    <w:rsid w:val="00AB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Caption">
    <w:name w:val="caption"/>
    <w:basedOn w:val="Normal"/>
    <w:next w:val="Normal"/>
    <w:qFormat/>
    <w:rsid w:val="00DF05C9"/>
    <w:pPr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napToGrid w:val="0"/>
      <w:sz w:val="24"/>
    </w:rPr>
  </w:style>
  <w:style w:type="character" w:customStyle="1" w:styleId="CH3Char">
    <w:name w:val="CH3 Char"/>
    <w:link w:val="CH3"/>
    <w:rsid w:val="00DF05C9"/>
    <w:rPr>
      <w:b/>
      <w:lang w:eastAsia="en-US"/>
    </w:rPr>
  </w:style>
  <w:style w:type="character" w:customStyle="1" w:styleId="FootnoteTextChar">
    <w:name w:val="Footnote Text Char"/>
    <w:link w:val="FootnoteText"/>
    <w:semiHidden/>
    <w:rsid w:val="00DF05C9"/>
    <w:rPr>
      <w:sz w:val="18"/>
      <w:lang w:val="fr-FR" w:eastAsia="en-US"/>
    </w:rPr>
  </w:style>
  <w:style w:type="paragraph" w:customStyle="1" w:styleId="Style10ptLeft043Firstline043After6pt">
    <w:name w:val="Style 10 pt Left:  0.43&quot; First line:  0.43&quot; After:  6 pt"/>
    <w:basedOn w:val="Normal"/>
    <w:uiPriority w:val="99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60" w:hanging="17"/>
    </w:pPr>
    <w:rPr>
      <w:sz w:val="24"/>
    </w:rPr>
  </w:style>
  <w:style w:type="paragraph" w:styleId="BodyTextIndent">
    <w:name w:val="Body Text Indent"/>
    <w:basedOn w:val="Normal"/>
    <w:link w:val="BodyTextIndentChar"/>
    <w:rsid w:val="00DF05C9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360"/>
    </w:pPr>
    <w:rPr>
      <w:sz w:val="24"/>
    </w:rPr>
  </w:style>
  <w:style w:type="character" w:customStyle="1" w:styleId="BodyTextIndentChar">
    <w:name w:val="Body Text Indent Char"/>
    <w:link w:val="BodyTextIndent"/>
    <w:rsid w:val="00DF05C9"/>
    <w:rPr>
      <w:sz w:val="24"/>
      <w:lang w:eastAsia="en-US"/>
    </w:rPr>
  </w:style>
  <w:style w:type="character" w:customStyle="1" w:styleId="CH2Char">
    <w:name w:val="CH2 Char"/>
    <w:link w:val="CH2"/>
    <w:rsid w:val="00DF05C9"/>
    <w:rPr>
      <w:b/>
      <w:sz w:val="24"/>
      <w:szCs w:val="24"/>
      <w:lang w:eastAsia="en-US"/>
    </w:rPr>
  </w:style>
  <w:style w:type="character" w:customStyle="1" w:styleId="ZZAnxtitleChar">
    <w:name w:val="ZZ_Anx_title Char"/>
    <w:link w:val="ZZAnxtitle"/>
    <w:rsid w:val="00DF05C9"/>
    <w:rPr>
      <w:b/>
      <w:bCs/>
      <w:sz w:val="28"/>
      <w:szCs w:val="26"/>
      <w:lang w:eastAsia="en-US"/>
    </w:rPr>
  </w:style>
  <w:style w:type="paragraph" w:customStyle="1" w:styleId="Default">
    <w:name w:val="Default"/>
    <w:rsid w:val="00960460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table" w:styleId="TableGrid">
    <w:name w:val="Table Grid"/>
    <w:basedOn w:val="TableNormal"/>
    <w:rsid w:val="002E4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817E03"/>
    <w:rPr>
      <w:lang w:val="en-GB" w:eastAsia="en-US"/>
    </w:rPr>
  </w:style>
  <w:style w:type="paragraph" w:styleId="ListParagraph">
    <w:name w:val="List Paragraph"/>
    <w:basedOn w:val="Normal"/>
    <w:uiPriority w:val="72"/>
    <w:rsid w:val="00AB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07CF-8D4D-45B6-BBBE-81A5651E60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DD5D6-433D-43FB-BEF7-92F6D8B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Jimena Vallejo</cp:lastModifiedBy>
  <cp:revision>2</cp:revision>
  <cp:lastPrinted>2016-01-15T09:51:00Z</cp:lastPrinted>
  <dcterms:created xsi:type="dcterms:W3CDTF">2016-01-15T10:45:00Z</dcterms:created>
  <dcterms:modified xsi:type="dcterms:W3CDTF">2016-01-15T10:45:00Z</dcterms:modified>
</cp:coreProperties>
</file>