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61" w:type="pct"/>
        <w:jc w:val="right"/>
        <w:tblLayout w:type="fixed"/>
        <w:tblLook w:val="0000" w:firstRow="0" w:lastRow="0" w:firstColumn="0" w:lastColumn="0" w:noHBand="0" w:noVBand="0"/>
      </w:tblPr>
      <w:tblGrid>
        <w:gridCol w:w="1668"/>
        <w:gridCol w:w="4751"/>
        <w:gridCol w:w="3411"/>
      </w:tblGrid>
      <w:tr w:rsidR="00C81210" w:rsidRPr="006A1074" w:rsidTr="00C81210">
        <w:trPr>
          <w:cantSplit/>
          <w:trHeight w:val="850"/>
          <w:jc w:val="right"/>
        </w:trPr>
        <w:tc>
          <w:tcPr>
            <w:tcW w:w="1668" w:type="dxa"/>
          </w:tcPr>
          <w:p w:rsidR="00C81210" w:rsidRPr="006A1074" w:rsidRDefault="00C81210" w:rsidP="00C81210">
            <w:pPr>
              <w:tabs>
                <w:tab w:val="clear" w:pos="1247"/>
              </w:tabs>
              <w:rPr>
                <w:rFonts w:ascii="Univers" w:hAnsi="Univers"/>
                <w:b/>
                <w:noProof/>
                <w:sz w:val="27"/>
                <w:szCs w:val="27"/>
              </w:rPr>
            </w:pPr>
            <w:bookmarkStart w:id="0" w:name="_GoBack"/>
            <w:bookmarkEnd w:id="0"/>
            <w:r w:rsidRPr="000B709B">
              <w:rPr>
                <w:rFonts w:ascii="Arial" w:hAnsi="Arial" w:cs="Arial"/>
                <w:b/>
                <w:noProof/>
                <w:sz w:val="27"/>
                <w:szCs w:val="27"/>
              </w:rPr>
              <w:t>NACIONES</w:t>
            </w:r>
            <w:r w:rsidRPr="000B709B">
              <w:rPr>
                <w:rFonts w:ascii="Arial" w:hAnsi="Arial" w:cs="Arial"/>
                <w:b/>
                <w:noProof/>
                <w:sz w:val="27"/>
                <w:szCs w:val="27"/>
              </w:rPr>
              <w:br/>
              <w:t>UNIDAS</w:t>
            </w:r>
          </w:p>
        </w:tc>
        <w:tc>
          <w:tcPr>
            <w:tcW w:w="4751" w:type="dxa"/>
          </w:tcPr>
          <w:p w:rsidR="00C81210" w:rsidRPr="006A1074" w:rsidRDefault="00C81210" w:rsidP="00C81210">
            <w:pPr>
              <w:rPr>
                <w:rFonts w:ascii="Univers" w:hAnsi="Univers"/>
                <w:b/>
                <w:sz w:val="27"/>
                <w:szCs w:val="27"/>
              </w:rPr>
            </w:pPr>
          </w:p>
        </w:tc>
        <w:tc>
          <w:tcPr>
            <w:tcW w:w="3411" w:type="dxa"/>
          </w:tcPr>
          <w:p w:rsidR="00C81210" w:rsidRPr="000B709B" w:rsidRDefault="00C81210" w:rsidP="00C81210">
            <w:pPr>
              <w:jc w:val="right"/>
              <w:rPr>
                <w:rFonts w:ascii="Arial" w:hAnsi="Arial" w:cs="Arial"/>
                <w:b/>
              </w:rPr>
            </w:pPr>
            <w:r w:rsidRPr="000B709B">
              <w:rPr>
                <w:rFonts w:ascii="Arial" w:hAnsi="Arial" w:cs="Arial"/>
                <w:b/>
                <w:sz w:val="64"/>
                <w:szCs w:val="64"/>
              </w:rPr>
              <w:t>EP</w:t>
            </w:r>
          </w:p>
        </w:tc>
      </w:tr>
      <w:tr w:rsidR="00C81210" w:rsidRPr="006A1074" w:rsidTr="00C81210">
        <w:trPr>
          <w:cantSplit/>
          <w:trHeight w:val="281"/>
          <w:jc w:val="right"/>
        </w:trPr>
        <w:tc>
          <w:tcPr>
            <w:tcW w:w="1668" w:type="dxa"/>
            <w:tcBorders>
              <w:bottom w:val="single" w:sz="4" w:space="0" w:color="auto"/>
            </w:tcBorders>
          </w:tcPr>
          <w:p w:rsidR="00C81210" w:rsidRPr="006A1074" w:rsidRDefault="00C81210" w:rsidP="00C81210">
            <w:pPr>
              <w:rPr>
                <w:noProof/>
                <w:sz w:val="18"/>
                <w:szCs w:val="18"/>
              </w:rPr>
            </w:pPr>
          </w:p>
        </w:tc>
        <w:tc>
          <w:tcPr>
            <w:tcW w:w="4751" w:type="dxa"/>
            <w:tcBorders>
              <w:bottom w:val="single" w:sz="4" w:space="0" w:color="auto"/>
            </w:tcBorders>
          </w:tcPr>
          <w:p w:rsidR="00C81210" w:rsidRPr="006A1074" w:rsidRDefault="00C81210" w:rsidP="00C81210">
            <w:pPr>
              <w:rPr>
                <w:rFonts w:ascii="Univers" w:hAnsi="Univers"/>
                <w:b/>
                <w:sz w:val="18"/>
                <w:szCs w:val="18"/>
              </w:rPr>
            </w:pPr>
          </w:p>
        </w:tc>
        <w:tc>
          <w:tcPr>
            <w:tcW w:w="3411" w:type="dxa"/>
            <w:tcBorders>
              <w:bottom w:val="single" w:sz="4" w:space="0" w:color="auto"/>
            </w:tcBorders>
          </w:tcPr>
          <w:p w:rsidR="00C81210" w:rsidRPr="006A1074" w:rsidRDefault="00C81210" w:rsidP="00C81210">
            <w:pPr>
              <w:rPr>
                <w:noProof/>
                <w:sz w:val="18"/>
                <w:szCs w:val="18"/>
              </w:rPr>
            </w:pPr>
            <w:r w:rsidRPr="000B709B">
              <w:rPr>
                <w:b/>
                <w:sz w:val="28"/>
                <w:szCs w:val="28"/>
                <w:lang w:val="es-ES"/>
              </w:rPr>
              <w:t>UNEP</w:t>
            </w:r>
            <w:r>
              <w:rPr>
                <w:lang w:val="es-ES"/>
              </w:rPr>
              <w:t>(DTIE)/Hg/INC.7/12</w:t>
            </w:r>
          </w:p>
        </w:tc>
      </w:tr>
      <w:tr w:rsidR="00C81210" w:rsidRPr="006A1074" w:rsidTr="00C81210">
        <w:trPr>
          <w:cantSplit/>
          <w:trHeight w:val="2549"/>
          <w:jc w:val="right"/>
        </w:trPr>
        <w:tc>
          <w:tcPr>
            <w:tcW w:w="1668" w:type="dxa"/>
            <w:tcBorders>
              <w:top w:val="single" w:sz="4" w:space="0" w:color="auto"/>
              <w:bottom w:val="single" w:sz="24" w:space="0" w:color="auto"/>
            </w:tcBorders>
          </w:tcPr>
          <w:p w:rsidR="00C81210" w:rsidRPr="006A1074" w:rsidRDefault="00C81210" w:rsidP="00C81210">
            <w:pPr>
              <w:rPr>
                <w:noProof/>
              </w:rPr>
            </w:pPr>
            <w:r w:rsidRPr="006A1074">
              <w:rPr>
                <w:noProof/>
              </w:rPr>
              <w:object w:dxaOrig="1840" w:dyaOrig="1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60.1pt" o:ole="" fillcolor="window">
                  <v:imagedata r:id="rId10" o:title=""/>
                </v:shape>
                <o:OLEObject Type="Embed" ProgID="Word.Picture.8" ShapeID="_x0000_i1025" DrawAspect="Content" ObjectID="_1515916775" r:id="rId11"/>
              </w:object>
            </w:r>
            <w:r>
              <w:rPr>
                <w:noProof/>
                <w:lang w:eastAsia="zh-CN"/>
              </w:rPr>
              <w:drawing>
                <wp:inline distT="0" distB="0" distL="0" distR="0" wp14:anchorId="03B95685" wp14:editId="7838DE5E">
                  <wp:extent cx="709295" cy="768350"/>
                  <wp:effectExtent l="0" t="0" r="0" b="0"/>
                  <wp:docPr id="1" name="Picture 1" descr="Description: 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E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9295" cy="768350"/>
                          </a:xfrm>
                          <a:prstGeom prst="rect">
                            <a:avLst/>
                          </a:prstGeom>
                          <a:noFill/>
                          <a:ln>
                            <a:noFill/>
                          </a:ln>
                        </pic:spPr>
                      </pic:pic>
                    </a:graphicData>
                  </a:graphic>
                </wp:inline>
              </w:drawing>
            </w:r>
          </w:p>
        </w:tc>
        <w:tc>
          <w:tcPr>
            <w:tcW w:w="4751" w:type="dxa"/>
            <w:tcBorders>
              <w:top w:val="single" w:sz="4" w:space="0" w:color="auto"/>
              <w:bottom w:val="single" w:sz="24" w:space="0" w:color="auto"/>
            </w:tcBorders>
          </w:tcPr>
          <w:p w:rsidR="00C81210" w:rsidRPr="00CB2930" w:rsidRDefault="00C81210" w:rsidP="00C81210">
            <w:pPr>
              <w:spacing w:before="1200"/>
              <w:rPr>
                <w:rFonts w:ascii="Arial" w:hAnsi="Arial" w:cs="Arial"/>
                <w:b/>
                <w:sz w:val="32"/>
                <w:szCs w:val="32"/>
                <w:lang w:val="es-ES"/>
              </w:rPr>
            </w:pPr>
            <w:r w:rsidRPr="00A47DA9">
              <w:rPr>
                <w:rFonts w:ascii="Arial" w:hAnsi="Arial" w:cs="Arial"/>
                <w:b/>
                <w:sz w:val="32"/>
                <w:szCs w:val="32"/>
                <w:lang w:val="es-ES"/>
              </w:rPr>
              <w:t>Programa</w:t>
            </w:r>
            <w:r w:rsidRPr="00A47DA9">
              <w:rPr>
                <w:rFonts w:ascii="Arial" w:hAnsi="Arial" w:cs="Arial"/>
                <w:b/>
                <w:sz w:val="32"/>
                <w:szCs w:val="32"/>
                <w:lang w:val="es-ES"/>
              </w:rPr>
              <w:br/>
              <w:t>de las Naciones Unidas</w:t>
            </w:r>
            <w:r w:rsidRPr="00A47DA9">
              <w:rPr>
                <w:rFonts w:ascii="Arial" w:hAnsi="Arial" w:cs="Arial"/>
                <w:b/>
                <w:sz w:val="32"/>
                <w:szCs w:val="32"/>
                <w:lang w:val="es-ES"/>
              </w:rPr>
              <w:br/>
              <w:t>para el Medio Ambiente</w:t>
            </w:r>
          </w:p>
        </w:tc>
        <w:tc>
          <w:tcPr>
            <w:tcW w:w="3411" w:type="dxa"/>
            <w:tcBorders>
              <w:top w:val="single" w:sz="4" w:space="0" w:color="auto"/>
              <w:bottom w:val="single" w:sz="24" w:space="0" w:color="auto"/>
            </w:tcBorders>
          </w:tcPr>
          <w:p w:rsidR="00C81210" w:rsidRPr="00CB2930" w:rsidRDefault="00C81210" w:rsidP="00C81210">
            <w:pPr>
              <w:spacing w:before="120"/>
              <w:rPr>
                <w:lang w:val="es-ES"/>
              </w:rPr>
            </w:pPr>
            <w:proofErr w:type="spellStart"/>
            <w:r>
              <w:rPr>
                <w:lang w:val="es-ES"/>
              </w:rPr>
              <w:t>Distr</w:t>
            </w:r>
            <w:proofErr w:type="spellEnd"/>
            <w:r>
              <w:rPr>
                <w:lang w:val="es-ES"/>
              </w:rPr>
              <w:t>. general</w:t>
            </w:r>
            <w:r>
              <w:rPr>
                <w:lang w:val="es-ES"/>
              </w:rPr>
              <w:br/>
              <w:t xml:space="preserve">9 de </w:t>
            </w:r>
            <w:r w:rsidR="0047168F">
              <w:rPr>
                <w:lang w:val="es-ES"/>
              </w:rPr>
              <w:t>diciembre</w:t>
            </w:r>
            <w:r>
              <w:rPr>
                <w:lang w:val="es-ES"/>
              </w:rPr>
              <w:t xml:space="preserve"> de 2015</w:t>
            </w:r>
          </w:p>
          <w:p w:rsidR="00C81210" w:rsidRDefault="00C81210" w:rsidP="00C81210">
            <w:pPr>
              <w:spacing w:before="120"/>
              <w:rPr>
                <w:lang w:val="es-ES"/>
              </w:rPr>
            </w:pPr>
            <w:r>
              <w:rPr>
                <w:lang w:val="es-ES"/>
              </w:rPr>
              <w:t>Español</w:t>
            </w:r>
          </w:p>
          <w:p w:rsidR="00C81210" w:rsidRPr="006A1074" w:rsidRDefault="00C81210" w:rsidP="00C81210">
            <w:r>
              <w:rPr>
                <w:lang w:val="es-ES"/>
              </w:rPr>
              <w:t>Original: inglés</w:t>
            </w:r>
          </w:p>
        </w:tc>
      </w:tr>
    </w:tbl>
    <w:p w:rsidR="00C81210" w:rsidRPr="00CB2930" w:rsidRDefault="00497560" w:rsidP="00C81210">
      <w:pPr>
        <w:pStyle w:val="AATitle"/>
        <w:keepNext w:val="0"/>
        <w:keepLines w:val="0"/>
        <w:ind w:right="4763"/>
        <w:rPr>
          <w:lang w:val="es-ES"/>
        </w:rPr>
      </w:pPr>
      <w:r>
        <w:rPr>
          <w:lang w:val="es-ES"/>
        </w:rPr>
        <w:t>Comité Intergubernamental de Negociación</w:t>
      </w:r>
      <w:r w:rsidR="00C81210">
        <w:rPr>
          <w:lang w:val="es-ES"/>
        </w:rPr>
        <w:t xml:space="preserve"> encargado de elaborar un instrumento jurídicamente vinculante a nivel mundial sobre el mercurio</w:t>
      </w:r>
    </w:p>
    <w:p w:rsidR="00C81210" w:rsidRPr="00CB2930" w:rsidRDefault="00C81210" w:rsidP="00C81210">
      <w:pPr>
        <w:pStyle w:val="AATitle"/>
        <w:keepNext w:val="0"/>
        <w:keepLines w:val="0"/>
        <w:outlineLvl w:val="0"/>
        <w:rPr>
          <w:b w:val="0"/>
          <w:lang w:val="es-ES"/>
        </w:rPr>
      </w:pPr>
      <w:r>
        <w:rPr>
          <w:lang w:val="es-ES"/>
        </w:rPr>
        <w:t xml:space="preserve">Séptimo período de sesiones </w:t>
      </w:r>
    </w:p>
    <w:p w:rsidR="00C81210" w:rsidRPr="00CB2930" w:rsidRDefault="00C81210" w:rsidP="00C81210">
      <w:pPr>
        <w:pStyle w:val="AATitle"/>
        <w:keepNext w:val="0"/>
        <w:keepLines w:val="0"/>
        <w:outlineLvl w:val="0"/>
        <w:rPr>
          <w:b w:val="0"/>
          <w:lang w:val="es-ES"/>
        </w:rPr>
      </w:pPr>
      <w:r w:rsidRPr="000B709B">
        <w:rPr>
          <w:b w:val="0"/>
          <w:lang w:val="es-ES"/>
        </w:rPr>
        <w:t xml:space="preserve">Mar Muerto (Jordania), 10 a 15 de marzo de 2016 </w:t>
      </w:r>
    </w:p>
    <w:p w:rsidR="00C81210" w:rsidRPr="00CB2930" w:rsidRDefault="00C81210" w:rsidP="00C81210">
      <w:pPr>
        <w:pStyle w:val="AATitle"/>
        <w:keepNext w:val="0"/>
        <w:keepLines w:val="0"/>
        <w:rPr>
          <w:b w:val="0"/>
          <w:lang w:val="es-ES"/>
        </w:rPr>
      </w:pPr>
      <w:r w:rsidRPr="000B709B">
        <w:rPr>
          <w:b w:val="0"/>
          <w:lang w:val="es-ES"/>
        </w:rPr>
        <w:t xml:space="preserve">Tema </w:t>
      </w:r>
      <w:r w:rsidR="009F111E">
        <w:rPr>
          <w:b w:val="0"/>
          <w:lang w:val="es-ES"/>
        </w:rPr>
        <w:t>3</w:t>
      </w:r>
      <w:r w:rsidRPr="000B709B">
        <w:rPr>
          <w:b w:val="0"/>
          <w:lang w:val="es-ES"/>
        </w:rPr>
        <w:t xml:space="preserve"> </w:t>
      </w:r>
      <w:r w:rsidR="009F111E">
        <w:rPr>
          <w:b w:val="0"/>
          <w:lang w:val="es-ES"/>
        </w:rPr>
        <w:t>b</w:t>
      </w:r>
      <w:r w:rsidRPr="000B709B">
        <w:rPr>
          <w:b w:val="0"/>
          <w:lang w:val="es-ES"/>
        </w:rPr>
        <w:t>) del programa provisional</w:t>
      </w:r>
      <w:r w:rsidRPr="000B709B">
        <w:rPr>
          <w:b w:val="0"/>
          <w:lang w:val="es-ES"/>
        </w:rPr>
        <w:footnoteReference w:customMarkFollows="1" w:id="2"/>
        <w:t>*</w:t>
      </w:r>
    </w:p>
    <w:p w:rsidR="00221F73" w:rsidRPr="00F72F81" w:rsidRDefault="00012F87" w:rsidP="00342F16">
      <w:pPr>
        <w:pStyle w:val="AATitle2"/>
        <w:spacing w:before="60"/>
      </w:pPr>
      <w:r>
        <w:rPr>
          <w:lang w:val="es-ES"/>
        </w:rPr>
        <w:t>Labor de preparación de la entrada en vigor del Convenio de Minamata sobre el Mercurio y de la primera reunión de la Conferencia de las Partes en el Convenio: cuestiones que, en virtud del Convenio, deberá decidir la Conferencia de las Partes en su primera reunión</w:t>
      </w:r>
    </w:p>
    <w:p w:rsidR="00012F87" w:rsidRPr="00040E03" w:rsidRDefault="00221F73" w:rsidP="00F72F81">
      <w:pPr>
        <w:pStyle w:val="BBTitle"/>
        <w:tabs>
          <w:tab w:val="clear" w:pos="1247"/>
          <w:tab w:val="clear" w:pos="1814"/>
          <w:tab w:val="clear" w:pos="2381"/>
          <w:tab w:val="clear" w:pos="2948"/>
          <w:tab w:val="clear" w:pos="3515"/>
          <w:tab w:val="clear" w:pos="4082"/>
        </w:tabs>
      </w:pPr>
      <w:r>
        <w:rPr>
          <w:lang w:val="es-ES"/>
        </w:rPr>
        <w:t xml:space="preserve">Recopilación y análisis de los medios de obtención de datos </w:t>
      </w:r>
      <w:r w:rsidR="005636DE">
        <w:rPr>
          <w:lang w:val="es-ES"/>
        </w:rPr>
        <w:t>monitorizados</w:t>
      </w:r>
      <w:r>
        <w:rPr>
          <w:lang w:val="es-ES"/>
        </w:rPr>
        <w:t xml:space="preserve"> en relación con la evaluación de la eficacia</w:t>
      </w:r>
    </w:p>
    <w:p w:rsidR="00732C8E" w:rsidRPr="00F72F81" w:rsidRDefault="00DF05C9" w:rsidP="00F72F81">
      <w:pPr>
        <w:pStyle w:val="CH2"/>
      </w:pPr>
      <w:r>
        <w:rPr>
          <w:lang w:val="es-ES"/>
        </w:rPr>
        <w:tab/>
      </w:r>
      <w:r>
        <w:rPr>
          <w:lang w:val="es-ES"/>
        </w:rPr>
        <w:tab/>
        <w:t xml:space="preserve">Nota de la </w:t>
      </w:r>
      <w:r w:rsidR="00497560">
        <w:rPr>
          <w:lang w:val="es-ES"/>
        </w:rPr>
        <w:t>s</w:t>
      </w:r>
      <w:r>
        <w:rPr>
          <w:lang w:val="es-ES"/>
        </w:rPr>
        <w:t>ecretaría</w:t>
      </w:r>
    </w:p>
    <w:p w:rsidR="00663F9F" w:rsidRDefault="00663F9F" w:rsidP="00F72F81">
      <w:pPr>
        <w:pStyle w:val="Normalnumber"/>
        <w:tabs>
          <w:tab w:val="clear" w:pos="1134"/>
          <w:tab w:val="clear" w:pos="1247"/>
          <w:tab w:val="clear" w:pos="1814"/>
          <w:tab w:val="clear" w:pos="2381"/>
          <w:tab w:val="clear" w:pos="2948"/>
          <w:tab w:val="clear" w:pos="3515"/>
          <w:tab w:val="clear" w:pos="4082"/>
          <w:tab w:val="num" w:pos="624"/>
        </w:tabs>
      </w:pPr>
      <w:r>
        <w:rPr>
          <w:lang w:val="es-ES"/>
        </w:rPr>
        <w:t>En el párrafo 2 de su artículo 22, el Convenio de Min</w:t>
      </w:r>
      <w:r w:rsidR="009A7FFC">
        <w:rPr>
          <w:lang w:val="es-ES"/>
        </w:rPr>
        <w:t>amata sobre el Mercurio dispone</w:t>
      </w:r>
      <w:r>
        <w:rPr>
          <w:lang w:val="es-ES"/>
        </w:rPr>
        <w:t xml:space="preserve"> que la Conferencia de las Partes, en su primera reunión “dará comienzo al establecimiento de arreglos para </w:t>
      </w:r>
      <w:r w:rsidR="005636DE">
        <w:rPr>
          <w:lang w:val="es-ES"/>
        </w:rPr>
        <w:t>proveerse de datos monitorizados</w:t>
      </w:r>
      <w:r>
        <w:rPr>
          <w:lang w:val="es-ES"/>
        </w:rPr>
        <w:t xml:space="preserve"> comparables sobre la presencia y los movimientos de mercurio y compuestos de mercurio en el medio ambiente, así como sobre las tendencias de los niveles de mercurio y compuestos de mercurio observados en los medios bióticos y las poblaciones vulnerables”. En el párrafo 3 del mismo artículo se señala además que “la evaluación deberá fundamentarse en la información científica, ambiental, técnica, financiera y económica disponible, que incluirá: </w:t>
      </w:r>
    </w:p>
    <w:p w:rsidR="00663F9F" w:rsidRDefault="00663F9F" w:rsidP="00497560">
      <w:pPr>
        <w:pStyle w:val="Normalnumber"/>
        <w:numPr>
          <w:ilvl w:val="1"/>
          <w:numId w:val="4"/>
        </w:numPr>
        <w:tabs>
          <w:tab w:val="clear" w:pos="1247"/>
          <w:tab w:val="clear" w:pos="1814"/>
          <w:tab w:val="clear" w:pos="2381"/>
          <w:tab w:val="clear" w:pos="2948"/>
          <w:tab w:val="clear" w:pos="3515"/>
          <w:tab w:val="clear" w:pos="4082"/>
        </w:tabs>
        <w:ind w:left="1247" w:firstLine="624"/>
      </w:pPr>
      <w:r>
        <w:rPr>
          <w:lang w:val="es-ES"/>
        </w:rPr>
        <w:t>Info</w:t>
      </w:r>
      <w:r w:rsidR="005636DE">
        <w:rPr>
          <w:lang w:val="es-ES"/>
        </w:rPr>
        <w:t>rmes y otros datos monitorizados</w:t>
      </w:r>
      <w:r>
        <w:rPr>
          <w:lang w:val="es-ES"/>
        </w:rPr>
        <w:t xml:space="preserve"> suministrados a la Conferencia de las Partes de conformidad con el párrafo 2;</w:t>
      </w:r>
    </w:p>
    <w:p w:rsidR="00663F9F" w:rsidRDefault="00663F9F" w:rsidP="00497560">
      <w:pPr>
        <w:pStyle w:val="Normalnumber"/>
        <w:numPr>
          <w:ilvl w:val="1"/>
          <w:numId w:val="4"/>
        </w:numPr>
        <w:tabs>
          <w:tab w:val="clear" w:pos="1247"/>
          <w:tab w:val="clear" w:pos="1814"/>
          <w:tab w:val="clear" w:pos="2381"/>
          <w:tab w:val="clear" w:pos="2948"/>
          <w:tab w:val="clear" w:pos="3515"/>
          <w:tab w:val="clear" w:pos="4082"/>
        </w:tabs>
        <w:ind w:left="1247" w:firstLine="624"/>
      </w:pPr>
      <w:r>
        <w:rPr>
          <w:lang w:val="es-ES"/>
        </w:rPr>
        <w:t>Informes presentados con arreglo al artículo 21;</w:t>
      </w:r>
    </w:p>
    <w:p w:rsidR="00663F9F" w:rsidRDefault="00663F9F" w:rsidP="00497560">
      <w:pPr>
        <w:pStyle w:val="Normalnumber"/>
        <w:numPr>
          <w:ilvl w:val="1"/>
          <w:numId w:val="4"/>
        </w:numPr>
        <w:tabs>
          <w:tab w:val="clear" w:pos="1247"/>
          <w:tab w:val="clear" w:pos="1814"/>
          <w:tab w:val="clear" w:pos="2381"/>
          <w:tab w:val="clear" w:pos="2948"/>
          <w:tab w:val="clear" w:pos="3515"/>
          <w:tab w:val="clear" w:pos="4082"/>
        </w:tabs>
        <w:ind w:left="1247" w:firstLine="624"/>
      </w:pPr>
      <w:r>
        <w:rPr>
          <w:lang w:val="es-ES"/>
        </w:rPr>
        <w:t>Información y recomendaciones que se formulen de conformidad con el</w:t>
      </w:r>
      <w:r w:rsidR="00B07820">
        <w:rPr>
          <w:lang w:val="es-ES"/>
        </w:rPr>
        <w:t> </w:t>
      </w:r>
      <w:r>
        <w:rPr>
          <w:lang w:val="es-ES"/>
        </w:rPr>
        <w:t>artículo 15; e</w:t>
      </w:r>
    </w:p>
    <w:p w:rsidR="00663F9F" w:rsidRDefault="00663F9F" w:rsidP="00497560">
      <w:pPr>
        <w:pStyle w:val="Normalnumber"/>
        <w:numPr>
          <w:ilvl w:val="1"/>
          <w:numId w:val="4"/>
        </w:numPr>
        <w:tabs>
          <w:tab w:val="clear" w:pos="1247"/>
          <w:tab w:val="clear" w:pos="1814"/>
          <w:tab w:val="clear" w:pos="2381"/>
          <w:tab w:val="clear" w:pos="2948"/>
          <w:tab w:val="clear" w:pos="3515"/>
          <w:tab w:val="clear" w:pos="4082"/>
        </w:tabs>
        <w:ind w:left="1247" w:firstLine="624"/>
      </w:pPr>
      <w:r>
        <w:rPr>
          <w:lang w:val="es-ES"/>
        </w:rPr>
        <w:t xml:space="preserve">Informes y otra información pertinente sobre el funcionamiento de los arreglos de asistencia financiera, transferencia de tecnología y creación de capacidad establecidos en el marco del presente Convenio”. </w:t>
      </w:r>
    </w:p>
    <w:p w:rsidR="00663F9F" w:rsidRDefault="00663F9F" w:rsidP="00F72F81">
      <w:pPr>
        <w:pStyle w:val="Normalnumber"/>
        <w:tabs>
          <w:tab w:val="clear" w:pos="1134"/>
          <w:tab w:val="clear" w:pos="1247"/>
          <w:tab w:val="clear" w:pos="1814"/>
          <w:tab w:val="clear" w:pos="2381"/>
          <w:tab w:val="clear" w:pos="2948"/>
          <w:tab w:val="clear" w:pos="3515"/>
          <w:tab w:val="clear" w:pos="4082"/>
          <w:tab w:val="num" w:pos="624"/>
        </w:tabs>
      </w:pPr>
      <w:r>
        <w:rPr>
          <w:lang w:val="es-ES"/>
        </w:rPr>
        <w:t xml:space="preserve">En su sexta sesión, el </w:t>
      </w:r>
      <w:r w:rsidR="00497560">
        <w:rPr>
          <w:lang w:val="es-ES"/>
        </w:rPr>
        <w:t>Comité Intergubernamental de Negociación</w:t>
      </w:r>
      <w:r>
        <w:rPr>
          <w:lang w:val="es-ES"/>
        </w:rPr>
        <w:t xml:space="preserve"> examinó un documento preparado por la Secretaría en el que se expone una serie de iniciativas que podrían considerarse pertinentes para reunir información que podría utilizarse en la evaluación de la eficacia del Convenio. Al concluir su debate, el Comité decidió</w:t>
      </w:r>
      <w:r w:rsidR="003D5D1C">
        <w:rPr>
          <w:rStyle w:val="FootnoteReference"/>
          <w:lang w:val="es-ES"/>
        </w:rPr>
        <w:footnoteReference w:id="3"/>
      </w:r>
      <w:r w:rsidR="00D25F9B">
        <w:rPr>
          <w:lang w:val="es-ES"/>
        </w:rPr>
        <w:t xml:space="preserve"> que la Secretaría recabase</w:t>
      </w:r>
      <w:r>
        <w:rPr>
          <w:lang w:val="es-ES"/>
        </w:rPr>
        <w:t xml:space="preserve"> información de todos los gobiernos y de las organizaciones pertinentes acerca de la disponibilidad de</w:t>
      </w:r>
      <w:r w:rsidR="002D70ED">
        <w:rPr>
          <w:lang w:val="es-ES"/>
        </w:rPr>
        <w:t xml:space="preserve"> datos monitorizados</w:t>
      </w:r>
      <w:r w:rsidR="00D25F9B">
        <w:rPr>
          <w:lang w:val="es-ES"/>
        </w:rPr>
        <w:t xml:space="preserve"> y preparase</w:t>
      </w:r>
      <w:r>
        <w:rPr>
          <w:lang w:val="es-ES"/>
        </w:rPr>
        <w:t xml:space="preserve"> una recopilación y análisis de los medios de obtener esos datos para examinarlos en su séptimo período de sesiones. En esa labor, la Secretaría debía hacer hincapié en las necesidades de </w:t>
      </w:r>
      <w:r>
        <w:rPr>
          <w:lang w:val="es-ES"/>
        </w:rPr>
        <w:lastRenderedPageBreak/>
        <w:t xml:space="preserve">creación de capacidad de los países en desarrollo y los países con economías en transición, la función desempeñada por las actividades regionales y el valor de las modalidades de asociación. </w:t>
      </w:r>
    </w:p>
    <w:p w:rsidR="00663F9F" w:rsidRDefault="00663F9F" w:rsidP="00F72F81">
      <w:pPr>
        <w:pStyle w:val="Normalnumber"/>
        <w:tabs>
          <w:tab w:val="clear" w:pos="1134"/>
          <w:tab w:val="clear" w:pos="1247"/>
          <w:tab w:val="clear" w:pos="1814"/>
          <w:tab w:val="clear" w:pos="2381"/>
          <w:tab w:val="clear" w:pos="2948"/>
          <w:tab w:val="clear" w:pos="3515"/>
          <w:tab w:val="clear" w:pos="4082"/>
          <w:tab w:val="num" w:pos="624"/>
        </w:tabs>
      </w:pPr>
      <w:r>
        <w:rPr>
          <w:lang w:val="es-ES"/>
        </w:rPr>
        <w:t>De conformidad con la decisión del Comité, la Secretaría envió a los gobiernos y organizaciones pertinentes una solicitud de información sobre la disponib</w:t>
      </w:r>
      <w:r w:rsidR="00F60A86">
        <w:rPr>
          <w:lang w:val="es-ES"/>
        </w:rPr>
        <w:t xml:space="preserve">ilidad de datos </w:t>
      </w:r>
      <w:r w:rsidR="006217BA">
        <w:rPr>
          <w:lang w:val="es-ES"/>
        </w:rPr>
        <w:t>monitorizados</w:t>
      </w:r>
      <w:r w:rsidR="00F60A86">
        <w:rPr>
          <w:lang w:val="es-ES"/>
        </w:rPr>
        <w:t xml:space="preserve">. </w:t>
      </w:r>
      <w:r w:rsidR="00E955C7">
        <w:rPr>
          <w:lang w:val="es-ES"/>
        </w:rPr>
        <w:t>Durante la fase</w:t>
      </w:r>
      <w:r>
        <w:rPr>
          <w:lang w:val="es-ES"/>
        </w:rPr>
        <w:t xml:space="preserve"> de presentación, que se prorrogó del 30 de junio a 31 de agosto de 2015 en respuesta a una solicitud de la Mesa del Comité, se recibieron presentaciones relacionadas con el artículo 22 de 11 países, una organización regional de integración económica, una organización no gubernamental y una organización intergubernamental. Las presentaciones están disponibles en http://mercuryconvention.org/Negotiations/INC7/INC7subm</w:t>
      </w:r>
      <w:r w:rsidR="00D25F9B">
        <w:rPr>
          <w:lang w:val="es-ES"/>
        </w:rPr>
        <w:t>issions/tabid/4754/Default.aspx;</w:t>
      </w:r>
      <w:r>
        <w:rPr>
          <w:lang w:val="es-ES"/>
        </w:rPr>
        <w:t xml:space="preserve"> y en el anexo de la presenta nota figura un análisis de las presentaciones preparado por la Secretaría.</w:t>
      </w:r>
    </w:p>
    <w:p w:rsidR="00363012" w:rsidRDefault="000D14DF" w:rsidP="00F72F81">
      <w:pPr>
        <w:pStyle w:val="Normalnumber"/>
        <w:tabs>
          <w:tab w:val="clear" w:pos="1134"/>
          <w:tab w:val="clear" w:pos="1247"/>
          <w:tab w:val="clear" w:pos="1814"/>
          <w:tab w:val="clear" w:pos="2381"/>
          <w:tab w:val="clear" w:pos="2948"/>
          <w:tab w:val="clear" w:pos="3515"/>
          <w:tab w:val="clear" w:pos="4082"/>
          <w:tab w:val="num" w:pos="624"/>
        </w:tabs>
      </w:pPr>
      <w:r>
        <w:rPr>
          <w:lang w:val="es-ES"/>
        </w:rPr>
        <w:t>El Comité tal vez desee tomar nota del análisis preparado por la Secretaría, en particular de lo relativ</w:t>
      </w:r>
      <w:r w:rsidR="00D25F9B">
        <w:rPr>
          <w:lang w:val="es-ES"/>
        </w:rPr>
        <w:t xml:space="preserve">o a los tipos de información disponible </w:t>
      </w:r>
      <w:r>
        <w:rPr>
          <w:lang w:val="es-ES"/>
        </w:rPr>
        <w:t xml:space="preserve">según las presentaciones recibidas, y tal vez estime conveniente examinar más a fondo la disponibilidad de datos </w:t>
      </w:r>
      <w:r w:rsidR="006217BA">
        <w:rPr>
          <w:lang w:val="es-ES"/>
        </w:rPr>
        <w:t xml:space="preserve">monitorizados </w:t>
      </w:r>
      <w:r>
        <w:rPr>
          <w:lang w:val="es-ES"/>
        </w:rPr>
        <w:t xml:space="preserve">y el análisis de los medios de obtener esos datos, incluidos los mecanismos para determinar su comparabilidad. El Comité tal vez </w:t>
      </w:r>
      <w:r w:rsidR="00D25F9B">
        <w:rPr>
          <w:lang w:val="es-ES"/>
        </w:rPr>
        <w:t>considere conveniente</w:t>
      </w:r>
      <w:r>
        <w:rPr>
          <w:lang w:val="es-ES"/>
        </w:rPr>
        <w:t xml:space="preserve"> pedir a la Secretaría que colabore con el Programa Mundial de Modalidades de Asociación sobre el Mercurio del PNUMA y otros asociados pertinentes, como la Organización Mundial de la Salud, para determinar la forma en que los diversos mecanismos descritos en las presentaciones podrían contribuir al suministro de datos </w:t>
      </w:r>
      <w:r w:rsidR="003144BB">
        <w:rPr>
          <w:lang w:val="es-ES"/>
        </w:rPr>
        <w:t>monitorizados</w:t>
      </w:r>
      <w:r>
        <w:rPr>
          <w:lang w:val="es-ES"/>
        </w:rPr>
        <w:t xml:space="preserve"> comparables, teniendo en cuenta en particula</w:t>
      </w:r>
      <w:r w:rsidR="00D64909">
        <w:rPr>
          <w:lang w:val="es-ES"/>
        </w:rPr>
        <w:t>r los atributos de la monitorización</w:t>
      </w:r>
      <w:r>
        <w:rPr>
          <w:lang w:val="es-ES"/>
        </w:rPr>
        <w:t xml:space="preserve"> necesaria, las metodologías pertinentes para el mu</w:t>
      </w:r>
      <w:r w:rsidR="009B256A">
        <w:rPr>
          <w:lang w:val="es-ES"/>
        </w:rPr>
        <w:t>estreo y evaluación y los elementos</w:t>
      </w:r>
      <w:r>
        <w:rPr>
          <w:lang w:val="es-ES"/>
        </w:rPr>
        <w:t xml:space="preserve"> básicos</w:t>
      </w:r>
      <w:r w:rsidR="009B256A">
        <w:rPr>
          <w:lang w:val="es-ES"/>
        </w:rPr>
        <w:t xml:space="preserve"> de muestreo</w:t>
      </w:r>
      <w:r>
        <w:rPr>
          <w:lang w:val="es-ES"/>
        </w:rPr>
        <w:t xml:space="preserve">. Si la labor se lleva a cabo a través de asociaciones establecidas podrá aprovecharse la experiencia de diversos expertos en la materia. El Comité tal vez desee </w:t>
      </w:r>
      <w:r w:rsidR="00D25F9B">
        <w:rPr>
          <w:lang w:val="es-ES"/>
        </w:rPr>
        <w:t xml:space="preserve">también </w:t>
      </w:r>
      <w:r>
        <w:rPr>
          <w:lang w:val="es-ES"/>
        </w:rPr>
        <w:t>solicitar a la Secretaría que prepare un informe sobre estas cuestiones para que la Conferencia de las Partes</w:t>
      </w:r>
      <w:r w:rsidR="00D25F9B">
        <w:rPr>
          <w:lang w:val="es-ES"/>
        </w:rPr>
        <w:t xml:space="preserve"> lo examine</w:t>
      </w:r>
      <w:r>
        <w:rPr>
          <w:lang w:val="es-ES"/>
        </w:rPr>
        <w:t xml:space="preserve"> en su primera reunión. </w:t>
      </w:r>
    </w:p>
    <w:p w:rsidR="00305DBD" w:rsidRDefault="00305DBD" w:rsidP="00F72F81">
      <w:pPr>
        <w:pStyle w:val="Normalnumber"/>
        <w:tabs>
          <w:tab w:val="clear" w:pos="1134"/>
          <w:tab w:val="clear" w:pos="1247"/>
          <w:tab w:val="clear" w:pos="1814"/>
          <w:tab w:val="clear" w:pos="2381"/>
          <w:tab w:val="clear" w:pos="2948"/>
          <w:tab w:val="clear" w:pos="3515"/>
          <w:tab w:val="clear" w:pos="4082"/>
          <w:tab w:val="num" w:pos="624"/>
        </w:tabs>
        <w:sectPr w:rsidR="00305DBD">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907" w:right="992" w:bottom="1418" w:left="1418" w:header="539" w:footer="975" w:gutter="0"/>
          <w:cols w:space="539"/>
          <w:titlePg/>
          <w:docGrid w:linePitch="360"/>
        </w:sectPr>
      </w:pPr>
    </w:p>
    <w:p w:rsidR="00305DBD" w:rsidRDefault="001C7784" w:rsidP="002045C3">
      <w:pPr>
        <w:pStyle w:val="ZZAnxheader"/>
      </w:pPr>
      <w:r>
        <w:rPr>
          <w:lang w:val="es-ES"/>
        </w:rPr>
        <w:t>Anexo</w:t>
      </w:r>
    </w:p>
    <w:p w:rsidR="00363012" w:rsidRDefault="00363012" w:rsidP="00D663CA">
      <w:pPr>
        <w:pStyle w:val="ZZAnxtitle"/>
      </w:pPr>
      <w:r>
        <w:rPr>
          <w:lang w:val="es-ES"/>
        </w:rPr>
        <w:t xml:space="preserve">Análisis de las presentaciones relacionadas con los datos </w:t>
      </w:r>
      <w:r w:rsidR="00A92E98">
        <w:rPr>
          <w:lang w:val="es-ES"/>
        </w:rPr>
        <w:t>monitorizados</w:t>
      </w:r>
    </w:p>
    <w:p w:rsidR="00363012" w:rsidRDefault="00305DBD" w:rsidP="00D663CA">
      <w:pPr>
        <w:pStyle w:val="CH2"/>
      </w:pPr>
      <w:r>
        <w:rPr>
          <w:lang w:val="es-ES"/>
        </w:rPr>
        <w:tab/>
        <w:t>A.</w:t>
      </w:r>
      <w:r>
        <w:rPr>
          <w:lang w:val="es-ES"/>
        </w:rPr>
        <w:tab/>
        <w:t>Antecedentes</w:t>
      </w:r>
    </w:p>
    <w:p w:rsidR="00363012" w:rsidRDefault="00363012" w:rsidP="002045C3">
      <w:pPr>
        <w:pStyle w:val="Normalnumber"/>
        <w:numPr>
          <w:ilvl w:val="0"/>
          <w:numId w:val="14"/>
        </w:numPr>
        <w:tabs>
          <w:tab w:val="clear" w:pos="1247"/>
          <w:tab w:val="clear" w:pos="1814"/>
          <w:tab w:val="clear" w:pos="2381"/>
          <w:tab w:val="clear" w:pos="2948"/>
          <w:tab w:val="clear" w:pos="3515"/>
          <w:tab w:val="clear" w:pos="4082"/>
          <w:tab w:val="left" w:pos="624"/>
        </w:tabs>
        <w:ind w:left="1247" w:firstLine="0"/>
      </w:pPr>
      <w:r>
        <w:rPr>
          <w:lang w:val="es-ES"/>
        </w:rPr>
        <w:t xml:space="preserve">En respuesta a una solicitud cursada por el </w:t>
      </w:r>
      <w:r w:rsidR="00497560">
        <w:rPr>
          <w:lang w:val="es-ES"/>
        </w:rPr>
        <w:t>Comité Intergubernamental de Negociación</w:t>
      </w:r>
      <w:r>
        <w:rPr>
          <w:lang w:val="es-ES"/>
        </w:rPr>
        <w:t xml:space="preserve"> en su sexto período de sesiones, la Secretaría envió a los gobiernos y organizaciones pertinentes una solicitud de información sobre la disponibilidad de datos </w:t>
      </w:r>
      <w:r w:rsidR="00031117">
        <w:rPr>
          <w:lang w:val="es-ES"/>
        </w:rPr>
        <w:t>monitorizados</w:t>
      </w:r>
      <w:r>
        <w:rPr>
          <w:lang w:val="es-ES"/>
        </w:rPr>
        <w:t>. Durante la fase de presentación, que se prorrogó del 30 de junio a 31 de agosto de 2015 en atención a una solicitud de la Mesa del Comité, respondieron a esa solicitud 11 países, una organización regional de integración económica, una organización no gubernamental y una organización intergubernamental. La información presentada por esos países y organizaciones pueden consultarse en http://mercuryconvention.org/Negotiations/INC7/INC7submissions/tabid/4754/Default.aspx.</w:t>
      </w:r>
    </w:p>
    <w:p w:rsidR="00363012" w:rsidRPr="00814A69" w:rsidRDefault="00305DBD" w:rsidP="002045C3">
      <w:pPr>
        <w:pStyle w:val="CH2"/>
      </w:pPr>
      <w:r>
        <w:rPr>
          <w:lang w:val="es-ES"/>
        </w:rPr>
        <w:tab/>
        <w:t>B.</w:t>
      </w:r>
      <w:r>
        <w:rPr>
          <w:lang w:val="es-ES"/>
        </w:rPr>
        <w:tab/>
        <w:t>Aspectos pertinentes de la información presentada</w:t>
      </w:r>
    </w:p>
    <w:p w:rsidR="00D41DE0" w:rsidRDefault="00363012" w:rsidP="002045C3">
      <w:pPr>
        <w:pStyle w:val="Normalnumber"/>
        <w:numPr>
          <w:ilvl w:val="0"/>
          <w:numId w:val="14"/>
        </w:numPr>
        <w:tabs>
          <w:tab w:val="clear" w:pos="1247"/>
          <w:tab w:val="clear" w:pos="1814"/>
          <w:tab w:val="clear" w:pos="2381"/>
          <w:tab w:val="clear" w:pos="2948"/>
          <w:tab w:val="clear" w:pos="3515"/>
          <w:tab w:val="clear" w:pos="4082"/>
          <w:tab w:val="left" w:pos="624"/>
        </w:tabs>
        <w:ind w:left="1247" w:firstLine="0"/>
      </w:pPr>
      <w:r>
        <w:rPr>
          <w:lang w:val="es-ES"/>
        </w:rPr>
        <w:t>Un país indicó que carecía de información relacionada con la evaluación de la eficacia por encontrarse aún en una fase temprana de la ejecución.</w:t>
      </w:r>
      <w:r w:rsidR="00B07820">
        <w:rPr>
          <w:lang w:val="es-ES"/>
        </w:rPr>
        <w:t xml:space="preserve"> </w:t>
      </w:r>
    </w:p>
    <w:p w:rsidR="00D41DE0" w:rsidRDefault="00363012" w:rsidP="00342F16">
      <w:pPr>
        <w:pStyle w:val="Normalnumber"/>
        <w:numPr>
          <w:ilvl w:val="0"/>
          <w:numId w:val="14"/>
        </w:numPr>
        <w:tabs>
          <w:tab w:val="clear" w:pos="1247"/>
          <w:tab w:val="clear" w:pos="1814"/>
          <w:tab w:val="clear" w:pos="2381"/>
          <w:tab w:val="clear" w:pos="2948"/>
          <w:tab w:val="clear" w:pos="3515"/>
          <w:tab w:val="clear" w:pos="4082"/>
          <w:tab w:val="left" w:pos="624"/>
        </w:tabs>
        <w:ind w:left="1247" w:firstLine="0"/>
      </w:pPr>
      <w:r>
        <w:rPr>
          <w:lang w:val="es-ES"/>
        </w:rPr>
        <w:t xml:space="preserve">Otro país señaló que </w:t>
      </w:r>
      <w:r w:rsidR="005D49CA">
        <w:rPr>
          <w:lang w:val="es-ES"/>
        </w:rPr>
        <w:t xml:space="preserve">había emprendido actividades </w:t>
      </w:r>
      <w:r>
        <w:rPr>
          <w:lang w:val="es-ES"/>
        </w:rPr>
        <w:t>de vigilancia ambiental mediante organismos de medio ambiente y grupos de investigación. No obstante, esperaba que la lab</w:t>
      </w:r>
      <w:r w:rsidR="005D49CA">
        <w:rPr>
          <w:lang w:val="es-ES"/>
        </w:rPr>
        <w:t>or prevista en relación con la evaluación i</w:t>
      </w:r>
      <w:r>
        <w:rPr>
          <w:lang w:val="es-ES"/>
        </w:rPr>
        <w:t xml:space="preserve">nicial del Convenio de Minamata incluyese un estudio detallado sobre la capacidad existente y la evaluación de la eficacia que señalase las deficiencias y necesidades del país en relación con la supervisión y la eficacia de la evaluación a nivel nacional. </w:t>
      </w:r>
    </w:p>
    <w:p w:rsidR="00363012" w:rsidRDefault="00363012" w:rsidP="002045C3">
      <w:pPr>
        <w:pStyle w:val="Normalnumber"/>
        <w:numPr>
          <w:ilvl w:val="0"/>
          <w:numId w:val="14"/>
        </w:numPr>
        <w:tabs>
          <w:tab w:val="clear" w:pos="1247"/>
          <w:tab w:val="clear" w:pos="1814"/>
          <w:tab w:val="clear" w:pos="2381"/>
          <w:tab w:val="clear" w:pos="2948"/>
          <w:tab w:val="clear" w:pos="3515"/>
          <w:tab w:val="clear" w:pos="4082"/>
          <w:tab w:val="left" w:pos="624"/>
        </w:tabs>
        <w:ind w:left="1247" w:firstLine="0"/>
      </w:pPr>
      <w:r>
        <w:rPr>
          <w:lang w:val="es-ES"/>
        </w:rPr>
        <w:t>Otro país indicó que no había emprendido ningún programa de vigilancia sistemática, pero disponía de datos sobre lugares críticos de contaminación de mercurio; esta contaminación se debía sobre todo al dragado de sedimentos, los cuales se aplicaban</w:t>
      </w:r>
      <w:r w:rsidR="005D49CA">
        <w:rPr>
          <w:lang w:val="es-ES"/>
        </w:rPr>
        <w:t xml:space="preserve"> después a las tierras agrícolas</w:t>
      </w:r>
      <w:r>
        <w:rPr>
          <w:lang w:val="es-ES"/>
        </w:rPr>
        <w:t>.</w:t>
      </w:r>
      <w:r w:rsidR="00B07820">
        <w:rPr>
          <w:lang w:val="es-ES"/>
        </w:rPr>
        <w:t xml:space="preserve"> </w:t>
      </w:r>
    </w:p>
    <w:p w:rsidR="00DB1930" w:rsidRDefault="00A7603E" w:rsidP="002045C3">
      <w:pPr>
        <w:pStyle w:val="Normalnumber"/>
        <w:numPr>
          <w:ilvl w:val="0"/>
          <w:numId w:val="14"/>
        </w:numPr>
        <w:tabs>
          <w:tab w:val="clear" w:pos="1247"/>
          <w:tab w:val="clear" w:pos="1814"/>
          <w:tab w:val="clear" w:pos="2381"/>
          <w:tab w:val="clear" w:pos="2948"/>
          <w:tab w:val="clear" w:pos="3515"/>
          <w:tab w:val="clear" w:pos="4082"/>
          <w:tab w:val="left" w:pos="624"/>
        </w:tabs>
        <w:ind w:left="1247" w:firstLine="0"/>
      </w:pPr>
      <w:r>
        <w:rPr>
          <w:lang w:val="es-ES"/>
        </w:rPr>
        <w:t>Algunos países describieron amplios programas de vigilancia administrados mediante estructuras voluntarias</w:t>
      </w:r>
      <w:r w:rsidR="005D49CA">
        <w:rPr>
          <w:lang w:val="es-ES"/>
        </w:rPr>
        <w:t xml:space="preserve"> u obligatorias. Se habían emprendido</w:t>
      </w:r>
      <w:r>
        <w:rPr>
          <w:lang w:val="es-ES"/>
        </w:rPr>
        <w:t xml:space="preserve"> estudios a nivel nacional, provincial o </w:t>
      </w:r>
      <w:r w:rsidR="005D49CA">
        <w:rPr>
          <w:lang w:val="es-ES"/>
        </w:rPr>
        <w:t>local, en algunos casos destinados</w:t>
      </w:r>
      <w:r>
        <w:rPr>
          <w:lang w:val="es-ES"/>
        </w:rPr>
        <w:t xml:space="preserve"> a las poblaciones vulnerables.</w:t>
      </w:r>
      <w:r w:rsidR="00B07820">
        <w:rPr>
          <w:lang w:val="es-ES"/>
        </w:rPr>
        <w:t xml:space="preserve"> </w:t>
      </w:r>
    </w:p>
    <w:p w:rsidR="00363012" w:rsidRPr="00D663CA" w:rsidRDefault="00A7603E" w:rsidP="002045C3">
      <w:pPr>
        <w:pStyle w:val="Normalnumber"/>
        <w:numPr>
          <w:ilvl w:val="0"/>
          <w:numId w:val="14"/>
        </w:numPr>
        <w:tabs>
          <w:tab w:val="clear" w:pos="1247"/>
          <w:tab w:val="clear" w:pos="1814"/>
          <w:tab w:val="clear" w:pos="2381"/>
          <w:tab w:val="clear" w:pos="2948"/>
          <w:tab w:val="clear" w:pos="3515"/>
          <w:tab w:val="clear" w:pos="4082"/>
          <w:tab w:val="left" w:pos="624"/>
        </w:tabs>
        <w:ind w:left="1247" w:firstLine="0"/>
      </w:pPr>
      <w:r>
        <w:rPr>
          <w:lang w:val="es-ES"/>
        </w:rPr>
        <w:t>Entre las actividades de vigilancia ambiental figuraban el muestreo y análisis del aire, agua y sedimentos y la</w:t>
      </w:r>
      <w:r w:rsidR="005D49CA">
        <w:rPr>
          <w:lang w:val="es-ES"/>
        </w:rPr>
        <w:t xml:space="preserve"> toma de muestras de diversos organismos de la biota, como</w:t>
      </w:r>
      <w:r>
        <w:rPr>
          <w:lang w:val="es-ES"/>
        </w:rPr>
        <w:t xml:space="preserve"> p</w:t>
      </w:r>
      <w:r w:rsidR="005D49CA">
        <w:rPr>
          <w:lang w:val="es-ES"/>
        </w:rPr>
        <w:t>eces (de mar y de agua dulce), moluscos,</w:t>
      </w:r>
      <w:r>
        <w:rPr>
          <w:lang w:val="es-ES"/>
        </w:rPr>
        <w:t xml:space="preserve"> aves (sobre todo el muestreo de huevos) y mamíferos. La vigilancia</w:t>
      </w:r>
      <w:r w:rsidR="005D49CA">
        <w:rPr>
          <w:lang w:val="es-ES"/>
        </w:rPr>
        <w:t xml:space="preserve"> biológica humana comprendía</w:t>
      </w:r>
      <w:r>
        <w:rPr>
          <w:lang w:val="es-ES"/>
        </w:rPr>
        <w:t xml:space="preserve"> la toma de muestras de cabello, sangre, orina y leche materna y, en general, se realizaba de forma cíclica, en ocasiones con actividades de seguimiento prolongadas. En algunos casos, los estudios de vigilancia biológica se ac</w:t>
      </w:r>
      <w:r w:rsidR="005D49CA">
        <w:rPr>
          <w:lang w:val="es-ES"/>
        </w:rPr>
        <w:t>ompañaban de otra</w:t>
      </w:r>
      <w:r>
        <w:rPr>
          <w:lang w:val="es-ES"/>
        </w:rPr>
        <w:t xml:space="preserve">s actividades de recopilación de datos, como el análisis de determinados indicadores de salud, cuestionarios sobre alimentación, </w:t>
      </w:r>
      <w:r w:rsidR="005D49CA">
        <w:rPr>
          <w:lang w:val="es-ES"/>
        </w:rPr>
        <w:t>valoración</w:t>
      </w:r>
      <w:r>
        <w:rPr>
          <w:lang w:val="es-ES"/>
        </w:rPr>
        <w:t xml:space="preserve"> del estado general de salud y condición física y una evaluación de la condición socioeconómica.</w:t>
      </w:r>
    </w:p>
    <w:p w:rsidR="006A2A25" w:rsidRPr="00D663CA" w:rsidRDefault="006A2A25" w:rsidP="00342F16">
      <w:pPr>
        <w:pStyle w:val="Normalnumber"/>
        <w:numPr>
          <w:ilvl w:val="0"/>
          <w:numId w:val="14"/>
        </w:numPr>
        <w:tabs>
          <w:tab w:val="clear" w:pos="1247"/>
          <w:tab w:val="clear" w:pos="1814"/>
          <w:tab w:val="clear" w:pos="2381"/>
          <w:tab w:val="clear" w:pos="2948"/>
          <w:tab w:val="clear" w:pos="3515"/>
          <w:tab w:val="clear" w:pos="4082"/>
          <w:tab w:val="left" w:pos="624"/>
        </w:tabs>
        <w:ind w:left="1247" w:firstLine="0"/>
      </w:pPr>
      <w:r>
        <w:rPr>
          <w:lang w:val="es-ES"/>
        </w:rPr>
        <w:t>La Organización Mund</w:t>
      </w:r>
      <w:r w:rsidR="005D49CA">
        <w:rPr>
          <w:lang w:val="es-ES"/>
        </w:rPr>
        <w:t>ial de la Salud (OMS) presentó información sobre las</w:t>
      </w:r>
      <w:r>
        <w:rPr>
          <w:lang w:val="es-ES"/>
        </w:rPr>
        <w:t xml:space="preserve"> actividades </w:t>
      </w:r>
      <w:r w:rsidR="005D49CA">
        <w:rPr>
          <w:lang w:val="es-ES"/>
        </w:rPr>
        <w:t>que llevaba a cabo en relación con</w:t>
      </w:r>
      <w:r>
        <w:rPr>
          <w:lang w:val="es-ES"/>
        </w:rPr>
        <w:t xml:space="preserve"> la vigilancia biológica humana</w:t>
      </w:r>
      <w:r w:rsidR="005D49CA">
        <w:rPr>
          <w:lang w:val="es-ES"/>
        </w:rPr>
        <w:t xml:space="preserve"> y </w:t>
      </w:r>
      <w:r>
        <w:rPr>
          <w:lang w:val="es-ES"/>
        </w:rPr>
        <w:t xml:space="preserve">sobre la base de datos mundial en línea del Programa de evaluación y vigilancia de la contaminación de los alimentos del Sistema Mundial de Vigilancia del Medio Ambiente de la OMS (SIMUVIMA/Alimentos), que desde 2011 contiene datos </w:t>
      </w:r>
      <w:r w:rsidR="00484C1E">
        <w:rPr>
          <w:lang w:val="es-ES"/>
        </w:rPr>
        <w:t>monitorizados</w:t>
      </w:r>
      <w:r w:rsidR="005D49CA">
        <w:rPr>
          <w:lang w:val="es-ES"/>
        </w:rPr>
        <w:t xml:space="preserve"> sobre peces relativos a</w:t>
      </w:r>
      <w:r>
        <w:rPr>
          <w:lang w:val="es-ES"/>
        </w:rPr>
        <w:t xml:space="preserve">l mercurio y permite acceder a los datos y enviarlos mediante una interfaz pública de Internet. </w:t>
      </w:r>
    </w:p>
    <w:p w:rsidR="003567CB" w:rsidRDefault="003567CB" w:rsidP="002045C3">
      <w:pPr>
        <w:pStyle w:val="Normalnumber"/>
        <w:numPr>
          <w:ilvl w:val="0"/>
          <w:numId w:val="14"/>
        </w:numPr>
        <w:tabs>
          <w:tab w:val="clear" w:pos="1247"/>
          <w:tab w:val="clear" w:pos="1814"/>
          <w:tab w:val="clear" w:pos="2381"/>
          <w:tab w:val="clear" w:pos="2948"/>
          <w:tab w:val="clear" w:pos="3515"/>
          <w:tab w:val="clear" w:pos="4082"/>
          <w:tab w:val="left" w:pos="624"/>
        </w:tabs>
        <w:ind w:left="1247" w:firstLine="0"/>
      </w:pPr>
      <w:r>
        <w:rPr>
          <w:lang w:val="es-ES"/>
        </w:rPr>
        <w:t xml:space="preserve">El Instituto de Investigación de la Contaminación Atmosférica, una de las entidades que codirigen la esfera de asociación sobre la investigación del transporte y el destino del mercurio en la atmósfera del Programa Mundial de Modalidades de Asociación sobre el Mercurio del PNUMA, facilitó información sobre el Sistema de Observación Mundial sobre el Mercurio, que tiene por objeto establecer un sistema mundial de observación para detectar casos de contaminación por esa sustancia. El sistema aspira a integrar estaciones </w:t>
      </w:r>
      <w:r w:rsidR="005D49CA">
        <w:rPr>
          <w:lang w:val="es-ES"/>
        </w:rPr>
        <w:t>terrestres de vigilancia</w:t>
      </w:r>
      <w:r>
        <w:rPr>
          <w:lang w:val="es-ES"/>
        </w:rPr>
        <w:t>, datos sobre los océanos y observaciones de la troposfera y la baja estratosfera. Hasta la fecha, el sistema cuenta con más de 40 estaciones terrestres, de las cuales más de diez están situadas en el hemisferio sur. Se ha</w:t>
      </w:r>
      <w:r w:rsidR="005D49CA">
        <w:rPr>
          <w:lang w:val="es-ES"/>
        </w:rPr>
        <w:t>n</w:t>
      </w:r>
      <w:r>
        <w:rPr>
          <w:lang w:val="es-ES"/>
        </w:rPr>
        <w:t xml:space="preserve"> obtenido algunos datos adicionales sobre la distribución vertical de las especies de mercurio en la tropo</w:t>
      </w:r>
      <w:r w:rsidR="005D49CA">
        <w:rPr>
          <w:lang w:val="es-ES"/>
        </w:rPr>
        <w:t>sfera y la baja estratosfera y se</w:t>
      </w:r>
      <w:r>
        <w:rPr>
          <w:lang w:val="es-ES"/>
        </w:rPr>
        <w:t xml:space="preserve"> ha elaborado una base de datos histórica que recopila información procedente de anteriores programas de vigilancia, campañas de medición e iniciativas individuales de vigilancia y medición.</w:t>
      </w:r>
      <w:r w:rsidR="00B07820">
        <w:rPr>
          <w:lang w:val="es-ES"/>
        </w:rPr>
        <w:t xml:space="preserve"> </w:t>
      </w:r>
    </w:p>
    <w:p w:rsidR="00363012" w:rsidRDefault="00D36B6D" w:rsidP="002045C3">
      <w:pPr>
        <w:pStyle w:val="Normalnumber"/>
        <w:numPr>
          <w:ilvl w:val="0"/>
          <w:numId w:val="14"/>
        </w:numPr>
        <w:tabs>
          <w:tab w:val="clear" w:pos="1247"/>
          <w:tab w:val="clear" w:pos="1814"/>
          <w:tab w:val="clear" w:pos="2381"/>
          <w:tab w:val="clear" w:pos="2948"/>
          <w:tab w:val="clear" w:pos="3515"/>
          <w:tab w:val="clear" w:pos="4082"/>
          <w:tab w:val="left" w:pos="624"/>
        </w:tabs>
        <w:ind w:left="1247" w:firstLine="0"/>
      </w:pPr>
      <w:r>
        <w:rPr>
          <w:lang w:val="es-ES"/>
        </w:rPr>
        <w:t>El Instituto de Investigaciones de la Diversidad Biológica, la otra organización codirectora de la esfera de asociación sobre la investigación del transporte y el destino del mercurio en la atmósfera</w:t>
      </w:r>
      <w:r w:rsidR="005D49CA">
        <w:rPr>
          <w:lang w:val="es-ES"/>
        </w:rPr>
        <w:t>,</w:t>
      </w:r>
      <w:r>
        <w:rPr>
          <w:lang w:val="es-ES"/>
        </w:rPr>
        <w:t xml:space="preserve"> describió los estudios que llevaba cabo sobre el terreno para evaluar la exposición al mercurio presente en el medio ambiente y sus efectos, así como la labor que lo había llevado a convertirse en un importante centro de intercambio de datos bióticos en relación con el mercurio para América del Norte. </w:t>
      </w:r>
      <w:r w:rsidR="005D49CA">
        <w:rPr>
          <w:lang w:val="es-ES"/>
        </w:rPr>
        <w:t xml:space="preserve">En la actualidad, la labor del Instituto va </w:t>
      </w:r>
      <w:r>
        <w:rPr>
          <w:lang w:val="es-ES"/>
        </w:rPr>
        <w:t xml:space="preserve">dirigida a recopilar una base de datos mundial (la Síntesis Mundial de Datos Bióticos sobre el Mercurio) que en principio </w:t>
      </w:r>
      <w:r w:rsidR="00A62A39">
        <w:rPr>
          <w:lang w:val="es-ES"/>
        </w:rPr>
        <w:t>se centrará en</w:t>
      </w:r>
      <w:r>
        <w:rPr>
          <w:lang w:val="es-ES"/>
        </w:rPr>
        <w:t xml:space="preserve"> los crustáceos, peces y mamíferos marinos. La base de datos contiene los resultados de muestreos realizados en más de 72 países a partir de las informaciones publicadas en revistas especializadas.</w:t>
      </w:r>
    </w:p>
    <w:p w:rsidR="002664A1" w:rsidRDefault="00305DBD" w:rsidP="00342F16">
      <w:pPr>
        <w:pStyle w:val="CH2"/>
      </w:pPr>
      <w:r>
        <w:rPr>
          <w:lang w:val="es-ES"/>
        </w:rPr>
        <w:tab/>
        <w:t>C.</w:t>
      </w:r>
      <w:r>
        <w:rPr>
          <w:lang w:val="es-ES"/>
        </w:rPr>
        <w:tab/>
        <w:t>Examen de la información presentada</w:t>
      </w:r>
    </w:p>
    <w:p w:rsidR="00CA2E9E" w:rsidRPr="00B80827" w:rsidRDefault="00E34EF3" w:rsidP="00342F16">
      <w:pPr>
        <w:pStyle w:val="Normalnumber"/>
        <w:numPr>
          <w:ilvl w:val="0"/>
          <w:numId w:val="14"/>
        </w:numPr>
        <w:tabs>
          <w:tab w:val="clear" w:pos="1247"/>
          <w:tab w:val="clear" w:pos="1814"/>
          <w:tab w:val="clear" w:pos="2381"/>
          <w:tab w:val="clear" w:pos="2948"/>
          <w:tab w:val="clear" w:pos="3515"/>
          <w:tab w:val="clear" w:pos="4082"/>
          <w:tab w:val="left" w:pos="624"/>
        </w:tabs>
        <w:ind w:left="1247" w:firstLine="0"/>
      </w:pPr>
      <w:r>
        <w:rPr>
          <w:lang w:val="es-ES"/>
        </w:rPr>
        <w:t xml:space="preserve">En el artículo 22 del Convenio se exhorta a establecer arreglos para proveer a la Conferencia de las Partes de datos </w:t>
      </w:r>
      <w:r w:rsidR="00D1003D">
        <w:rPr>
          <w:lang w:val="es-ES"/>
        </w:rPr>
        <w:t>monitorizados</w:t>
      </w:r>
      <w:r>
        <w:rPr>
          <w:lang w:val="es-ES"/>
        </w:rPr>
        <w:t xml:space="preserve"> comparables sobre la presencia y los movimientos de mercurio y compuestos de mercurio en el medio ambiente y sobre las tendencias de los niveles de mercurio y compuestos de mercurio registrados en los medios bióticos y las poblaciones vulnerables. En el artículo se señala además que la evaluación de la eficacia que realizará la Conferencia de las Partes “deberá fundamentarse en la información científica, ambiental, técnica, financiera y económica disponible, que incluirá:</w:t>
      </w:r>
    </w:p>
    <w:p w:rsidR="00CA2E9E" w:rsidRPr="00B80827" w:rsidRDefault="00CA2E9E" w:rsidP="00342F16">
      <w:pPr>
        <w:pStyle w:val="Listamulticolor-nfasis11"/>
        <w:numPr>
          <w:ilvl w:val="0"/>
          <w:numId w:val="17"/>
        </w:numPr>
        <w:tabs>
          <w:tab w:val="clear" w:pos="1247"/>
          <w:tab w:val="clear" w:pos="1814"/>
          <w:tab w:val="clear" w:pos="2381"/>
          <w:tab w:val="clear" w:pos="2948"/>
          <w:tab w:val="clear" w:pos="3515"/>
          <w:tab w:val="left" w:pos="624"/>
        </w:tabs>
        <w:spacing w:after="120"/>
        <w:ind w:left="1247" w:firstLine="624"/>
        <w:contextualSpacing w:val="0"/>
      </w:pPr>
      <w:r>
        <w:rPr>
          <w:lang w:val="es-ES"/>
        </w:rPr>
        <w:t>Info</w:t>
      </w:r>
      <w:r w:rsidR="00CA2218">
        <w:rPr>
          <w:lang w:val="es-ES"/>
        </w:rPr>
        <w:t>rmes y otros datos monitorizados</w:t>
      </w:r>
      <w:r>
        <w:rPr>
          <w:lang w:val="es-ES"/>
        </w:rPr>
        <w:t xml:space="preserve"> suministrados a la Conferencia de las Partes de conformidad con el párrafo 2;</w:t>
      </w:r>
    </w:p>
    <w:p w:rsidR="00CA2E9E" w:rsidRPr="00B80827" w:rsidRDefault="00CA2E9E" w:rsidP="00342F16">
      <w:pPr>
        <w:pStyle w:val="Listamulticolor-nfasis11"/>
        <w:numPr>
          <w:ilvl w:val="0"/>
          <w:numId w:val="17"/>
        </w:numPr>
        <w:tabs>
          <w:tab w:val="clear" w:pos="1247"/>
          <w:tab w:val="clear" w:pos="1814"/>
          <w:tab w:val="clear" w:pos="2381"/>
          <w:tab w:val="clear" w:pos="2948"/>
          <w:tab w:val="clear" w:pos="3515"/>
          <w:tab w:val="left" w:pos="624"/>
        </w:tabs>
        <w:spacing w:after="120"/>
        <w:ind w:left="1247" w:firstLine="624"/>
        <w:contextualSpacing w:val="0"/>
      </w:pPr>
      <w:r>
        <w:rPr>
          <w:lang w:val="es-ES"/>
        </w:rPr>
        <w:t xml:space="preserve">Informes presentados con arreglo al artículo 21; </w:t>
      </w:r>
    </w:p>
    <w:p w:rsidR="00CA2E9E" w:rsidRPr="00B80827" w:rsidRDefault="00CA2E9E" w:rsidP="00342F16">
      <w:pPr>
        <w:pStyle w:val="Listamulticolor-nfasis11"/>
        <w:numPr>
          <w:ilvl w:val="0"/>
          <w:numId w:val="17"/>
        </w:numPr>
        <w:tabs>
          <w:tab w:val="clear" w:pos="1247"/>
          <w:tab w:val="clear" w:pos="1814"/>
          <w:tab w:val="clear" w:pos="2381"/>
          <w:tab w:val="clear" w:pos="2948"/>
          <w:tab w:val="clear" w:pos="3515"/>
          <w:tab w:val="left" w:pos="624"/>
        </w:tabs>
        <w:spacing w:after="120"/>
        <w:ind w:left="1247" w:firstLine="624"/>
        <w:contextualSpacing w:val="0"/>
      </w:pPr>
      <w:r>
        <w:rPr>
          <w:lang w:val="es-ES"/>
        </w:rPr>
        <w:t>Información y recomendaciones que se formulen de conformidad con el artículo 15; e</w:t>
      </w:r>
    </w:p>
    <w:p w:rsidR="00CA2E9E" w:rsidRPr="00B80827" w:rsidRDefault="00CA2E9E" w:rsidP="00342F16">
      <w:pPr>
        <w:pStyle w:val="Listamulticolor-nfasis11"/>
        <w:numPr>
          <w:ilvl w:val="0"/>
          <w:numId w:val="17"/>
        </w:numPr>
        <w:tabs>
          <w:tab w:val="clear" w:pos="1247"/>
          <w:tab w:val="clear" w:pos="1814"/>
          <w:tab w:val="clear" w:pos="2381"/>
          <w:tab w:val="clear" w:pos="2948"/>
          <w:tab w:val="clear" w:pos="3515"/>
          <w:tab w:val="left" w:pos="624"/>
        </w:tabs>
        <w:spacing w:after="120"/>
        <w:ind w:left="1247" w:firstLine="624"/>
        <w:contextualSpacing w:val="0"/>
      </w:pPr>
      <w:r>
        <w:rPr>
          <w:lang w:val="es-ES"/>
        </w:rPr>
        <w:t>Informes y otra información pertinente sobre el funcionamiento de los arreglos de asistencia financiera, transferencia de tecnología y creación de capacidad establecidos en el marco del presente Convenio”.</w:t>
      </w:r>
    </w:p>
    <w:p w:rsidR="005B2064" w:rsidRDefault="00CA2E9E" w:rsidP="00342F16">
      <w:pPr>
        <w:pStyle w:val="Normalnumber"/>
        <w:numPr>
          <w:ilvl w:val="0"/>
          <w:numId w:val="14"/>
        </w:numPr>
        <w:tabs>
          <w:tab w:val="clear" w:pos="1247"/>
          <w:tab w:val="clear" w:pos="1814"/>
          <w:tab w:val="clear" w:pos="2381"/>
          <w:tab w:val="clear" w:pos="2948"/>
          <w:tab w:val="clear" w:pos="3515"/>
          <w:tab w:val="clear" w:pos="4082"/>
          <w:tab w:val="left" w:pos="624"/>
        </w:tabs>
        <w:ind w:left="1247" w:firstLine="0"/>
      </w:pPr>
      <w:r>
        <w:rPr>
          <w:lang w:val="es-ES"/>
        </w:rPr>
        <w:t>La información presentada por los países y organizac</w:t>
      </w:r>
      <w:r w:rsidR="00A62A39">
        <w:rPr>
          <w:lang w:val="es-ES"/>
        </w:rPr>
        <w:t>iones que se describe en el apartado anterior</w:t>
      </w:r>
      <w:r>
        <w:rPr>
          <w:lang w:val="es-ES"/>
        </w:rPr>
        <w:t xml:space="preserve"> es fundamentalmente de carácter científico, ambiental o técnico. La información suministrada según lo prescrito en los artículos 15 y 21 estará disponible cuando el Convenio entre en vigor y las Partes comiencen a cumplir las obligaciones de presentación de informes y </w:t>
      </w:r>
      <w:r w:rsidR="00A62A39">
        <w:rPr>
          <w:lang w:val="es-ES"/>
        </w:rPr>
        <w:t xml:space="preserve">de </w:t>
      </w:r>
      <w:r>
        <w:rPr>
          <w:lang w:val="es-ES"/>
        </w:rPr>
        <w:t>otra índole dimanantes del Convenio.</w:t>
      </w:r>
    </w:p>
    <w:p w:rsidR="0082500B" w:rsidRDefault="00A62A39" w:rsidP="00342F16">
      <w:pPr>
        <w:pStyle w:val="Normalnumber"/>
        <w:numPr>
          <w:ilvl w:val="0"/>
          <w:numId w:val="14"/>
        </w:numPr>
        <w:tabs>
          <w:tab w:val="clear" w:pos="1247"/>
          <w:tab w:val="clear" w:pos="1814"/>
          <w:tab w:val="clear" w:pos="2381"/>
          <w:tab w:val="clear" w:pos="2948"/>
          <w:tab w:val="clear" w:pos="3515"/>
          <w:tab w:val="clear" w:pos="4082"/>
          <w:tab w:val="left" w:pos="624"/>
        </w:tabs>
        <w:ind w:left="1247" w:firstLine="0"/>
      </w:pPr>
      <w:r>
        <w:rPr>
          <w:lang w:val="es-ES"/>
        </w:rPr>
        <w:t>La información suministrada</w:t>
      </w:r>
      <w:r w:rsidR="0082500B">
        <w:rPr>
          <w:lang w:val="es-ES"/>
        </w:rPr>
        <w:t xml:space="preserve"> que se describe más arriba indica que en algunos países y regiones ya se han emprendido programas para generar datos que serán de ayuda en</w:t>
      </w:r>
      <w:r w:rsidR="00F60A86">
        <w:rPr>
          <w:lang w:val="es-ES"/>
        </w:rPr>
        <w:t xml:space="preserve"> la evaluación de la eficacia. </w:t>
      </w:r>
      <w:r w:rsidR="0082500B">
        <w:rPr>
          <w:lang w:val="es-ES"/>
        </w:rPr>
        <w:t>Con todo, el alc</w:t>
      </w:r>
      <w:r w:rsidR="006658D8">
        <w:rPr>
          <w:lang w:val="es-ES"/>
        </w:rPr>
        <w:t xml:space="preserve">ance de los datos es limitado. </w:t>
      </w:r>
      <w:r w:rsidR="0082500B">
        <w:rPr>
          <w:lang w:val="es-ES"/>
        </w:rPr>
        <w:t>En los párrafos siguientes se examinan alguno</w:t>
      </w:r>
      <w:r>
        <w:rPr>
          <w:lang w:val="es-ES"/>
        </w:rPr>
        <w:t>s hechos que se desprenden del análisis de esa información.</w:t>
      </w:r>
    </w:p>
    <w:p w:rsidR="002664A1" w:rsidRDefault="00DA0657" w:rsidP="00342F16">
      <w:pPr>
        <w:pStyle w:val="Normalnumber"/>
        <w:numPr>
          <w:ilvl w:val="0"/>
          <w:numId w:val="14"/>
        </w:numPr>
        <w:tabs>
          <w:tab w:val="clear" w:pos="1247"/>
          <w:tab w:val="clear" w:pos="1814"/>
          <w:tab w:val="clear" w:pos="2381"/>
          <w:tab w:val="clear" w:pos="2948"/>
          <w:tab w:val="clear" w:pos="3515"/>
          <w:tab w:val="clear" w:pos="4082"/>
          <w:tab w:val="left" w:pos="624"/>
        </w:tabs>
        <w:ind w:left="1247" w:firstLine="0"/>
      </w:pPr>
      <w:r>
        <w:rPr>
          <w:lang w:val="es-ES"/>
        </w:rPr>
        <w:t>Tres de los países qu</w:t>
      </w:r>
      <w:r w:rsidR="00A62A39">
        <w:rPr>
          <w:lang w:val="es-ES"/>
        </w:rPr>
        <w:t>e presentaron información son</w:t>
      </w:r>
      <w:r>
        <w:rPr>
          <w:lang w:val="es-ES"/>
        </w:rPr>
        <w:t xml:space="preserve"> países en desarrollo, dos de los cuales han implantado programas de vigilancia del medio ambiente por medio de sus organismos de medio ambiente o administración ambiental. Uno de esos países destacó que parte de la labor e</w:t>
      </w:r>
      <w:r w:rsidR="00A62A39">
        <w:rPr>
          <w:lang w:val="es-ES"/>
        </w:rPr>
        <w:t>mprendida en el marco de su evaluación i</w:t>
      </w:r>
      <w:r>
        <w:rPr>
          <w:lang w:val="es-ES"/>
        </w:rPr>
        <w:t xml:space="preserve">nicial del Convenio de Minamata a fin de prepararse para la aplicación del Convenio estaba sirviéndole para determinar deficiencias y necesidades en materia de vigilancia a fin de contribuir a la evaluación de la </w:t>
      </w:r>
      <w:r w:rsidR="00691D73">
        <w:rPr>
          <w:lang w:val="es-ES"/>
        </w:rPr>
        <w:t xml:space="preserve">eficacia en el plano nacional. </w:t>
      </w:r>
      <w:r>
        <w:rPr>
          <w:lang w:val="es-ES"/>
        </w:rPr>
        <w:t>Se necesita más información sobre otros programa</w:t>
      </w:r>
      <w:r w:rsidR="008D0DAF">
        <w:rPr>
          <w:lang w:val="es-ES"/>
        </w:rPr>
        <w:t xml:space="preserve">s de vigilancia emprendidos en </w:t>
      </w:r>
      <w:r>
        <w:rPr>
          <w:lang w:val="es-ES"/>
        </w:rPr>
        <w:t xml:space="preserve">países y regiones, incluidos los aplicados en cumplimiento de </w:t>
      </w:r>
      <w:r w:rsidR="00A62A39">
        <w:rPr>
          <w:lang w:val="es-ES"/>
        </w:rPr>
        <w:t>requisitos comerciales, al objeto de</w:t>
      </w:r>
      <w:r>
        <w:rPr>
          <w:lang w:val="es-ES"/>
        </w:rPr>
        <w:t xml:space="preserve"> determinar la necesidad de creación de capacidad para contribuir a una vigilancia eficaz. </w:t>
      </w:r>
    </w:p>
    <w:p w:rsidR="001D3EF0" w:rsidRDefault="001D3EF0" w:rsidP="00342F16">
      <w:pPr>
        <w:pStyle w:val="Normalnumber"/>
        <w:numPr>
          <w:ilvl w:val="0"/>
          <w:numId w:val="14"/>
        </w:numPr>
        <w:tabs>
          <w:tab w:val="clear" w:pos="1247"/>
          <w:tab w:val="clear" w:pos="1814"/>
          <w:tab w:val="clear" w:pos="2381"/>
          <w:tab w:val="clear" w:pos="2948"/>
          <w:tab w:val="clear" w:pos="3515"/>
          <w:tab w:val="clear" w:pos="4082"/>
          <w:tab w:val="left" w:pos="624"/>
        </w:tabs>
        <w:ind w:left="1247" w:firstLine="0"/>
      </w:pPr>
      <w:r>
        <w:rPr>
          <w:lang w:val="es-ES"/>
        </w:rPr>
        <w:t>Dos de</w:t>
      </w:r>
      <w:r w:rsidR="00A62A39">
        <w:rPr>
          <w:lang w:val="es-ES"/>
        </w:rPr>
        <w:t xml:space="preserve"> las organizaciones que suministraron</w:t>
      </w:r>
      <w:r>
        <w:rPr>
          <w:lang w:val="es-ES"/>
        </w:rPr>
        <w:t xml:space="preserve"> información refirieron actividades que se realizaban a nivel mundial. Si bien no se recibieron comunicaciones específicas sobre actividades regionales, en la información presentada por un</w:t>
      </w:r>
      <w:r w:rsidR="004D57F4">
        <w:rPr>
          <w:lang w:val="es-ES"/>
        </w:rPr>
        <w:t>o de los</w:t>
      </w:r>
      <w:r>
        <w:rPr>
          <w:lang w:val="es-ES"/>
        </w:rPr>
        <w:t xml:space="preserve"> país</w:t>
      </w:r>
      <w:r w:rsidR="004D57F4">
        <w:rPr>
          <w:lang w:val="es-ES"/>
        </w:rPr>
        <w:t>es</w:t>
      </w:r>
      <w:r>
        <w:rPr>
          <w:lang w:val="es-ES"/>
        </w:rPr>
        <w:t xml:space="preserve"> se hacía referencia a unos proyectos </w:t>
      </w:r>
      <w:r w:rsidR="004D57F4">
        <w:rPr>
          <w:lang w:val="es-ES"/>
        </w:rPr>
        <w:t>que tenían en cuenta datos</w:t>
      </w:r>
      <w:r>
        <w:rPr>
          <w:lang w:val="es-ES"/>
        </w:rPr>
        <w:t xml:space="preserve"> de carácter regional.</w:t>
      </w:r>
      <w:r w:rsidR="00B07820">
        <w:rPr>
          <w:lang w:val="es-ES"/>
        </w:rPr>
        <w:t xml:space="preserve"> </w:t>
      </w:r>
    </w:p>
    <w:p w:rsidR="001D3EF0" w:rsidRPr="00D663CA" w:rsidRDefault="004D57F4" w:rsidP="00342F16">
      <w:pPr>
        <w:pStyle w:val="Normalnumber"/>
        <w:numPr>
          <w:ilvl w:val="0"/>
          <w:numId w:val="14"/>
        </w:numPr>
        <w:tabs>
          <w:tab w:val="clear" w:pos="1247"/>
          <w:tab w:val="clear" w:pos="1814"/>
          <w:tab w:val="clear" w:pos="2381"/>
          <w:tab w:val="clear" w:pos="2948"/>
          <w:tab w:val="clear" w:pos="3515"/>
          <w:tab w:val="clear" w:pos="4082"/>
          <w:tab w:val="left" w:pos="624"/>
        </w:tabs>
        <w:ind w:left="1247" w:firstLine="0"/>
      </w:pPr>
      <w:r>
        <w:rPr>
          <w:lang w:val="es-ES"/>
        </w:rPr>
        <w:t>La labor relativa a</w:t>
      </w:r>
      <w:r w:rsidR="001D3EF0">
        <w:rPr>
          <w:lang w:val="es-ES"/>
        </w:rPr>
        <w:t xml:space="preserve"> la investigación del transporte y el destino del mercurio en la atmósfera que se </w:t>
      </w:r>
      <w:r>
        <w:rPr>
          <w:lang w:val="es-ES"/>
        </w:rPr>
        <w:t xml:space="preserve">realiza </w:t>
      </w:r>
      <w:r w:rsidR="001D3EF0">
        <w:rPr>
          <w:lang w:val="es-ES"/>
        </w:rPr>
        <w:t xml:space="preserve">en el marco del Programa Mundial de Modalidades de Asociación sobre el Mercurio del PNUMA es un ejemplo </w:t>
      </w:r>
      <w:r>
        <w:rPr>
          <w:lang w:val="es-ES"/>
        </w:rPr>
        <w:t xml:space="preserve">de las actividades que pueden llevarse a cabo mediante </w:t>
      </w:r>
      <w:r w:rsidR="001D3EF0">
        <w:rPr>
          <w:lang w:val="es-ES"/>
        </w:rPr>
        <w:t>asociaciones de colaboración y que comprend</w:t>
      </w:r>
      <w:r>
        <w:rPr>
          <w:lang w:val="es-ES"/>
        </w:rPr>
        <w:t>e, en particular, las iniciativa</w:t>
      </w:r>
      <w:r w:rsidR="001D3EF0">
        <w:rPr>
          <w:lang w:val="es-ES"/>
        </w:rPr>
        <w:t>s que hacen uso de los datos de acceso público. Las asociaciones establecidas para elaborar y mantener la base de datos del SIMUVIMA/Alimentos de la OMS son otro ejemplo de la contribución de las asociaciones a la recopilación y difusión de datos.</w:t>
      </w:r>
      <w:r w:rsidR="00B07820">
        <w:rPr>
          <w:lang w:val="es-ES"/>
        </w:rPr>
        <w:t xml:space="preserve"> </w:t>
      </w:r>
    </w:p>
    <w:p w:rsidR="001D3EF0" w:rsidRDefault="001D3EF0" w:rsidP="00342F16">
      <w:pPr>
        <w:pStyle w:val="Normalnumber"/>
        <w:numPr>
          <w:ilvl w:val="0"/>
          <w:numId w:val="14"/>
        </w:numPr>
        <w:tabs>
          <w:tab w:val="clear" w:pos="1247"/>
          <w:tab w:val="clear" w:pos="1814"/>
          <w:tab w:val="clear" w:pos="2381"/>
          <w:tab w:val="clear" w:pos="2948"/>
          <w:tab w:val="clear" w:pos="3515"/>
          <w:tab w:val="clear" w:pos="4082"/>
          <w:tab w:val="left" w:pos="624"/>
        </w:tabs>
        <w:ind w:left="1247" w:firstLine="0"/>
      </w:pPr>
      <w:r>
        <w:rPr>
          <w:lang w:val="es-ES"/>
        </w:rPr>
        <w:t>A tenor de la detallada información presentada por los países acerca de sus proyectos de vigilancia y recopilación de datos y de las indicaciones sobre los datos disponibles en publicaciones especi</w:t>
      </w:r>
      <w:r w:rsidR="004D57F4">
        <w:rPr>
          <w:lang w:val="es-ES"/>
        </w:rPr>
        <w:t>alizadas, es evidente que se dispone de</w:t>
      </w:r>
      <w:r>
        <w:rPr>
          <w:lang w:val="es-ES"/>
        </w:rPr>
        <w:t xml:space="preserve"> una gra</w:t>
      </w:r>
      <w:r w:rsidR="004D57F4">
        <w:rPr>
          <w:lang w:val="es-ES"/>
        </w:rPr>
        <w:t xml:space="preserve">n cantidad de datos </w:t>
      </w:r>
      <w:r>
        <w:rPr>
          <w:lang w:val="es-ES"/>
        </w:rPr>
        <w:t>a nivel mundial. Una cuestión fundamental es determinar la forma de difundirlos y al mismo tiempo garantizar que sean comparables y se presenten en un formato que permita evaluarlos y examinar los niveles de referencia del mercurio y los compuestos de mercurio en el medio ambiente, así como los cambios q</w:t>
      </w:r>
      <w:r w:rsidR="004D57F4">
        <w:rPr>
          <w:lang w:val="es-ES"/>
        </w:rPr>
        <w:t>ue experimente</w:t>
      </w:r>
      <w:r>
        <w:rPr>
          <w:lang w:val="es-ES"/>
        </w:rPr>
        <w:t>n estos niveles con el tiempo.</w:t>
      </w:r>
    </w:p>
    <w:p w:rsidR="00AC6BE3" w:rsidRPr="00F72F81" w:rsidRDefault="00AC6BE3" w:rsidP="00342F16">
      <w:pPr>
        <w:pStyle w:val="Normalnumber"/>
        <w:numPr>
          <w:ilvl w:val="0"/>
          <w:numId w:val="14"/>
        </w:numPr>
        <w:tabs>
          <w:tab w:val="clear" w:pos="1247"/>
          <w:tab w:val="clear" w:pos="1814"/>
          <w:tab w:val="clear" w:pos="2381"/>
          <w:tab w:val="clear" w:pos="2948"/>
          <w:tab w:val="clear" w:pos="3515"/>
          <w:tab w:val="clear" w:pos="4082"/>
          <w:tab w:val="left" w:pos="624"/>
        </w:tabs>
        <w:ind w:left="1247" w:firstLine="0"/>
      </w:pPr>
      <w:r>
        <w:rPr>
          <w:lang w:val="es-ES"/>
        </w:rPr>
        <w:t>Cabe señ</w:t>
      </w:r>
      <w:r w:rsidR="004D57F4">
        <w:rPr>
          <w:lang w:val="es-ES"/>
        </w:rPr>
        <w:t xml:space="preserve">alar que casi toda la </w:t>
      </w:r>
      <w:r>
        <w:rPr>
          <w:lang w:val="es-ES"/>
        </w:rPr>
        <w:t xml:space="preserve">información presentada procedía del hemisferio norte, aunque parte de ella tenía su origen en el hemisferio sur. </w:t>
      </w:r>
    </w:p>
    <w:p w:rsidR="0014402A" w:rsidRPr="00F72F81" w:rsidRDefault="00305DBD" w:rsidP="00342F16">
      <w:pPr>
        <w:pStyle w:val="CH2"/>
      </w:pPr>
      <w:r>
        <w:rPr>
          <w:lang w:val="es-ES"/>
        </w:rPr>
        <w:tab/>
        <w:t>D.</w:t>
      </w:r>
      <w:r>
        <w:rPr>
          <w:lang w:val="es-ES"/>
        </w:rPr>
        <w:tab/>
        <w:t>Otras consideraciones</w:t>
      </w:r>
    </w:p>
    <w:p w:rsidR="005B2064" w:rsidRDefault="0014402A" w:rsidP="00342F16">
      <w:pPr>
        <w:pStyle w:val="Normalnumber"/>
        <w:numPr>
          <w:ilvl w:val="0"/>
          <w:numId w:val="14"/>
        </w:numPr>
        <w:tabs>
          <w:tab w:val="clear" w:pos="1247"/>
          <w:tab w:val="clear" w:pos="1814"/>
          <w:tab w:val="clear" w:pos="2381"/>
          <w:tab w:val="clear" w:pos="2948"/>
          <w:tab w:val="clear" w:pos="3515"/>
          <w:tab w:val="clear" w:pos="4082"/>
          <w:tab w:val="left" w:pos="624"/>
        </w:tabs>
        <w:ind w:left="1247" w:firstLine="0"/>
      </w:pPr>
      <w:r>
        <w:rPr>
          <w:lang w:val="es-ES"/>
        </w:rPr>
        <w:t>La Conferencia de las Partes necesitará un punto de referencia para evaluar la eficacia del Convenio,</w:t>
      </w:r>
      <w:r w:rsidR="00D859C9">
        <w:rPr>
          <w:lang w:val="es-ES"/>
        </w:rPr>
        <w:t xml:space="preserve"> por ejemplo un nivel de base. </w:t>
      </w:r>
      <w:r>
        <w:rPr>
          <w:lang w:val="es-ES"/>
        </w:rPr>
        <w:t>El Convenio en sí no se ocupa de esta cuestión. No obstante, existen datos sobre las emisiones de mercurio anteriores a la entrada en vigor del Convenio</w:t>
      </w:r>
      <w:r w:rsidR="004D57F4">
        <w:rPr>
          <w:lang w:val="es-ES"/>
        </w:rPr>
        <w:t>,</w:t>
      </w:r>
      <w:r>
        <w:rPr>
          <w:lang w:val="es-ES"/>
        </w:rPr>
        <w:t xml:space="preserve"> gracias, entre otras cosas, a las evaluaciones mundiales del mercurio solicitadas por el Consejo de Administración del PNUMA, de las cuales d</w:t>
      </w:r>
      <w:r w:rsidR="004D57F4">
        <w:rPr>
          <w:lang w:val="es-ES"/>
        </w:rPr>
        <w:t>os se publicaron en 2009 y 2013</w:t>
      </w:r>
      <w:r>
        <w:rPr>
          <w:lang w:val="es-ES"/>
        </w:rPr>
        <w:t xml:space="preserve"> y una tercera se publicará en 2018, así como a las evaluaciones iniciales del Convenio de Minamata emprendidas por muchos países. Esta información podría usarse para contribuir al establec</w:t>
      </w:r>
      <w:r w:rsidR="004D57F4">
        <w:rPr>
          <w:lang w:val="es-ES"/>
        </w:rPr>
        <w:t>imiento de un nivel de base con el que</w:t>
      </w:r>
      <w:r>
        <w:rPr>
          <w:lang w:val="es-ES"/>
        </w:rPr>
        <w:t xml:space="preserve"> evaluar el desempeño futuro del Convenio.</w:t>
      </w:r>
    </w:p>
    <w:p w:rsidR="00AC6BE3" w:rsidRDefault="0014402A" w:rsidP="00342F16">
      <w:pPr>
        <w:pStyle w:val="Normalnumber"/>
        <w:numPr>
          <w:ilvl w:val="0"/>
          <w:numId w:val="14"/>
        </w:numPr>
        <w:tabs>
          <w:tab w:val="clear" w:pos="1247"/>
          <w:tab w:val="clear" w:pos="1814"/>
          <w:tab w:val="clear" w:pos="2381"/>
          <w:tab w:val="clear" w:pos="2948"/>
          <w:tab w:val="clear" w:pos="3515"/>
          <w:tab w:val="clear" w:pos="4082"/>
          <w:tab w:val="left" w:pos="624"/>
        </w:tabs>
        <w:ind w:left="1247" w:firstLine="0"/>
      </w:pPr>
      <w:r>
        <w:rPr>
          <w:lang w:val="es-ES"/>
        </w:rPr>
        <w:t>Por otro lado, la Conferencia de las Partes en el Convenio de Estocolmo sobre Contaminantes Orgánicos Persistentes ha adoptado medidas para posibiltar la evaluación en curso del Convenio de conformidad con su artículo 16. La experiencia pertinente adquirida en la evaluación del Convenio de Estocolmo podrá tenerse en cuenta al evaluar la eficacia del Convenio de Minamata.</w:t>
      </w:r>
    </w:p>
    <w:p w:rsidR="00305DBD" w:rsidRDefault="00305DBD" w:rsidP="00342F16">
      <w:pPr>
        <w:pStyle w:val="Normal-pool"/>
      </w:pPr>
    </w:p>
    <w:tbl>
      <w:tblPr>
        <w:tblW w:w="0" w:type="auto"/>
        <w:tblLayout w:type="fixed"/>
        <w:tblLook w:val="04A0" w:firstRow="1" w:lastRow="0" w:firstColumn="1" w:lastColumn="0" w:noHBand="0" w:noVBand="1"/>
      </w:tblPr>
      <w:tblGrid>
        <w:gridCol w:w="1942"/>
        <w:gridCol w:w="1942"/>
        <w:gridCol w:w="1942"/>
        <w:gridCol w:w="1943"/>
        <w:gridCol w:w="1943"/>
      </w:tblGrid>
      <w:tr w:rsidR="00305DBD">
        <w:trPr>
          <w:trHeight w:val="585"/>
        </w:trPr>
        <w:tc>
          <w:tcPr>
            <w:tcW w:w="1942" w:type="dxa"/>
            <w:shd w:val="clear" w:color="auto" w:fill="auto"/>
          </w:tcPr>
          <w:p w:rsidR="00305DBD" w:rsidRDefault="00305DBD" w:rsidP="00FB4A27">
            <w:pPr>
              <w:pStyle w:val="Normal-pool"/>
            </w:pPr>
          </w:p>
        </w:tc>
        <w:tc>
          <w:tcPr>
            <w:tcW w:w="1942" w:type="dxa"/>
            <w:shd w:val="clear" w:color="auto" w:fill="auto"/>
          </w:tcPr>
          <w:p w:rsidR="00305DBD" w:rsidRDefault="00305DBD" w:rsidP="00FB4A27">
            <w:pPr>
              <w:pStyle w:val="Normal-pool"/>
            </w:pPr>
          </w:p>
        </w:tc>
        <w:tc>
          <w:tcPr>
            <w:tcW w:w="1942" w:type="dxa"/>
            <w:tcBorders>
              <w:bottom w:val="single" w:sz="4" w:space="0" w:color="auto"/>
            </w:tcBorders>
            <w:shd w:val="clear" w:color="auto" w:fill="auto"/>
          </w:tcPr>
          <w:p w:rsidR="00305DBD" w:rsidRDefault="00305DBD" w:rsidP="00FB4A27">
            <w:pPr>
              <w:pStyle w:val="Normal-pool"/>
            </w:pPr>
          </w:p>
        </w:tc>
        <w:tc>
          <w:tcPr>
            <w:tcW w:w="1943" w:type="dxa"/>
            <w:shd w:val="clear" w:color="auto" w:fill="auto"/>
          </w:tcPr>
          <w:p w:rsidR="00305DBD" w:rsidRDefault="00305DBD" w:rsidP="00FB4A27">
            <w:pPr>
              <w:pStyle w:val="Normal-pool"/>
            </w:pPr>
          </w:p>
        </w:tc>
        <w:tc>
          <w:tcPr>
            <w:tcW w:w="1943" w:type="dxa"/>
            <w:shd w:val="clear" w:color="auto" w:fill="auto"/>
          </w:tcPr>
          <w:p w:rsidR="00305DBD" w:rsidRDefault="00305DBD" w:rsidP="00FB4A27">
            <w:pPr>
              <w:pStyle w:val="Normal-pool"/>
            </w:pPr>
          </w:p>
        </w:tc>
      </w:tr>
    </w:tbl>
    <w:p w:rsidR="00305DBD" w:rsidRPr="00AC6BE3" w:rsidRDefault="00305DBD" w:rsidP="00342F16">
      <w:pPr>
        <w:pStyle w:val="Normal-pool"/>
      </w:pPr>
    </w:p>
    <w:sectPr w:rsidR="00305DBD" w:rsidRPr="00AC6BE3" w:rsidSect="00363012">
      <w:headerReference w:type="even" r:id="rId19"/>
      <w:headerReference w:type="default" r:id="rId20"/>
      <w:headerReference w:type="first" r:id="rId21"/>
      <w:footerReference w:type="first" r:id="rId22"/>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709" w:rsidRDefault="009B3709">
      <w:r>
        <w:separator/>
      </w:r>
    </w:p>
  </w:endnote>
  <w:endnote w:type="continuationSeparator" w:id="0">
    <w:p w:rsidR="009B3709" w:rsidRDefault="009B3709">
      <w:r>
        <w:continuationSeparator/>
      </w:r>
    </w:p>
  </w:endnote>
  <w:endnote w:type="continuationNotice" w:id="1">
    <w:p w:rsidR="009B3709" w:rsidRDefault="009B37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560" w:rsidRDefault="00497560">
    <w:pPr>
      <w:pStyle w:val="Footer"/>
    </w:pPr>
    <w:r>
      <w:rPr>
        <w:rStyle w:val="PageNumber"/>
      </w:rPr>
      <w:fldChar w:fldCharType="begin"/>
    </w:r>
    <w:r>
      <w:rPr>
        <w:rStyle w:val="PageNumber"/>
      </w:rPr>
      <w:instrText xml:space="preserve"> PAGE </w:instrText>
    </w:r>
    <w:r>
      <w:rPr>
        <w:rStyle w:val="PageNumber"/>
      </w:rPr>
      <w:fldChar w:fldCharType="separate"/>
    </w:r>
    <w:r w:rsidR="00E73547">
      <w:rPr>
        <w:rStyle w:val="PageNumber"/>
        <w:noProof/>
      </w:rPr>
      <w:t>4</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560" w:rsidRDefault="00497560"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E73547">
      <w:rPr>
        <w:rStyle w:val="PageNumber"/>
        <w:noProof/>
      </w:rPr>
      <w:t>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560" w:rsidRDefault="00497560" w:rsidP="00B1765B">
    <w:pPr>
      <w:pStyle w:val="Footer"/>
      <w:tabs>
        <w:tab w:val="clear" w:pos="1247"/>
        <w:tab w:val="clear" w:pos="1814"/>
        <w:tab w:val="clear" w:pos="2381"/>
        <w:tab w:val="clear" w:pos="2948"/>
        <w:tab w:val="clear" w:pos="3515"/>
        <w:tab w:val="clear" w:pos="4320"/>
        <w:tab w:val="clear" w:pos="8640"/>
        <w:tab w:val="left" w:pos="624"/>
      </w:tabs>
    </w:pPr>
    <w:r>
      <w:rPr>
        <w:lang w:val="es-ES"/>
      </w:rPr>
      <w:t>K1504046</w:t>
    </w:r>
    <w:r>
      <w:rPr>
        <w:lang w:val="es-ES"/>
      </w:rPr>
      <w:tab/>
    </w:r>
    <w:r w:rsidR="0047168F">
      <w:rPr>
        <w:lang w:val="es-ES"/>
      </w:rPr>
      <w:t>02</w:t>
    </w:r>
    <w:r w:rsidR="00FE1280">
      <w:rPr>
        <w:lang w:val="es-ES"/>
      </w:rPr>
      <w:t>0</w:t>
    </w:r>
    <w:r w:rsidR="0047168F">
      <w:rPr>
        <w:lang w:val="es-ES"/>
      </w:rPr>
      <w:t>2</w:t>
    </w:r>
    <w:r w:rsidR="00FE1280">
      <w:rPr>
        <w:lang w:val="es-ES"/>
      </w:rPr>
      <w:t>16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560" w:rsidRPr="00F72F81" w:rsidRDefault="00497560" w:rsidP="00D663CA">
    <w:pPr>
      <w:pStyle w:val="Footer"/>
      <w:jc w:val="right"/>
    </w:pPr>
    <w:r>
      <w:fldChar w:fldCharType="begin"/>
    </w:r>
    <w:r>
      <w:instrText xml:space="preserve"> PAGE   \* MERGEFORMAT </w:instrText>
    </w:r>
    <w:r>
      <w:fldChar w:fldCharType="separate"/>
    </w:r>
    <w:r w:rsidR="00E73547" w:rsidRPr="00E73547">
      <w:rPr>
        <w:b/>
        <w:noProof/>
      </w:rPr>
      <w:t>3</w:t>
    </w:r>
    <w:r>
      <w:rPr>
        <w:b/>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709" w:rsidRDefault="009B3709" w:rsidP="00D92DE0">
      <w:pPr>
        <w:ind w:left="624"/>
      </w:pPr>
      <w:r>
        <w:separator/>
      </w:r>
    </w:p>
  </w:footnote>
  <w:footnote w:type="continuationSeparator" w:id="0">
    <w:p w:rsidR="009B3709" w:rsidRDefault="009B3709">
      <w:r>
        <w:continuationSeparator/>
      </w:r>
    </w:p>
  </w:footnote>
  <w:footnote w:type="continuationNotice" w:id="1">
    <w:p w:rsidR="009B3709" w:rsidRDefault="009B3709"/>
  </w:footnote>
  <w:footnote w:id="2">
    <w:p w:rsidR="00497560" w:rsidRPr="00CB2930" w:rsidRDefault="00497560" w:rsidP="00C81210">
      <w:pPr>
        <w:tabs>
          <w:tab w:val="left" w:pos="624"/>
        </w:tabs>
        <w:spacing w:before="60"/>
        <w:ind w:left="1247"/>
        <w:rPr>
          <w:sz w:val="18"/>
          <w:szCs w:val="18"/>
          <w:lang w:val="es-ES"/>
        </w:rPr>
      </w:pPr>
      <w:r>
        <w:rPr>
          <w:lang w:val="es-ES"/>
        </w:rPr>
        <w:t>* UNEP(DTIE)/Hg/INC.7/1.</w:t>
      </w:r>
    </w:p>
  </w:footnote>
  <w:footnote w:id="3">
    <w:p w:rsidR="00497560" w:rsidRPr="00342F16" w:rsidRDefault="00497560">
      <w:pPr>
        <w:pStyle w:val="FootnoteText"/>
      </w:pPr>
      <w:r w:rsidRPr="00DE1E90">
        <w:rPr>
          <w:rStyle w:val="FootnoteReference"/>
          <w:sz w:val="18"/>
          <w:lang w:val="es-ES"/>
        </w:rPr>
        <w:footnoteRef/>
      </w:r>
      <w:r w:rsidRPr="00DE1E90">
        <w:rPr>
          <w:lang w:val="es-ES"/>
        </w:rPr>
        <w:t xml:space="preserve"> UNEP(DTIE)/Hg/INC.6/24, párr. 123.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560" w:rsidRPr="00CA5CA9" w:rsidRDefault="00497560" w:rsidP="00E1100B">
    <w:pPr>
      <w:pStyle w:val="Header"/>
      <w:rPr>
        <w:szCs w:val="18"/>
      </w:rPr>
    </w:pPr>
    <w:r w:rsidRPr="00CA5CA9">
      <w:rPr>
        <w:bCs/>
        <w:szCs w:val="18"/>
      </w:rPr>
      <w:t>UNEP</w:t>
    </w:r>
    <w:r w:rsidRPr="00CA5CA9">
      <w:rPr>
        <w:szCs w:val="18"/>
      </w:rPr>
      <w:t>(DTIE)/Hg/INC.</w:t>
    </w:r>
    <w:r>
      <w:rPr>
        <w:szCs w:val="18"/>
      </w:rPr>
      <w:t>7</w:t>
    </w:r>
    <w:r w:rsidRPr="00CA5CA9">
      <w:rPr>
        <w:szCs w:val="18"/>
      </w:rPr>
      <w:t>/</w:t>
    </w:r>
    <w:r>
      <w:rPr>
        <w:szCs w:val="18"/>
      </w:rPr>
      <w:t>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560" w:rsidRPr="00CA5CA9" w:rsidRDefault="009B3709" w:rsidP="00E1100B">
    <w:pPr>
      <w:pStyle w:val="Header"/>
      <w:jc w:val="right"/>
      <w:rPr>
        <w:szCs w:val="1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4724" o:spid="_x0000_s2051" type="#_x0000_t136" style="position:absolute;left:0;text-align:left;margin-left:0;margin-top:0;width:520.65pt;height:148.75pt;rotation:315;z-index:-251658752;mso-position-horizontal:center;mso-position-horizontal-relative:margin;mso-position-vertical:center;mso-position-vertical-relative:margin" o:allowincell="f" fillcolor="#7f7f7f" stroked="f">
          <v:fill opacity=".5"/>
          <v:textpath style="font-family:&quot;Times New Roman&quot;;font-size:1pt" string="ADVANCE"/>
          <w10:wrap anchorx="margin" anchory="margin"/>
        </v:shape>
      </w:pict>
    </w:r>
    <w:r w:rsidR="00497560" w:rsidRPr="00CA5CA9">
      <w:rPr>
        <w:bCs/>
        <w:szCs w:val="18"/>
      </w:rPr>
      <w:t>UNEP</w:t>
    </w:r>
    <w:r w:rsidR="00497560">
      <w:rPr>
        <w:szCs w:val="18"/>
      </w:rPr>
      <w:t>(DTIE)/Hg/INC.7</w:t>
    </w:r>
    <w:r w:rsidR="00497560" w:rsidRPr="00CA5CA9">
      <w:rPr>
        <w:szCs w:val="18"/>
      </w:rPr>
      <w:t>/</w:t>
    </w:r>
    <w:r w:rsidR="00497560">
      <w:rPr>
        <w:szCs w:val="18"/>
      </w:rPr>
      <w:t>12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560" w:rsidRDefault="00497560" w:rsidP="00032E4E">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560" w:rsidRDefault="00497560">
    <w:pPr>
      <w:pStyle w:val="Header"/>
    </w:pPr>
    <w:r w:rsidRPr="00CA5CA9">
      <w:rPr>
        <w:bCs/>
        <w:szCs w:val="18"/>
      </w:rPr>
      <w:t>UNEP</w:t>
    </w:r>
    <w:r w:rsidRPr="00CA5CA9">
      <w:rPr>
        <w:szCs w:val="18"/>
      </w:rPr>
      <w:t>(DTIE)/Hg/INC.</w:t>
    </w:r>
    <w:r>
      <w:rPr>
        <w:szCs w:val="18"/>
      </w:rPr>
      <w:t>7</w:t>
    </w:r>
    <w:r w:rsidRPr="00CA5CA9">
      <w:rPr>
        <w:szCs w:val="18"/>
      </w:rPr>
      <w:t>/</w:t>
    </w:r>
    <w:r>
      <w:rPr>
        <w:szCs w:val="18"/>
      </w:rPr>
      <w:t>12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560" w:rsidRDefault="00497560" w:rsidP="00D663CA">
    <w:pPr>
      <w:pStyle w:val="Header"/>
      <w:jc w:val="right"/>
    </w:pPr>
    <w:r w:rsidRPr="00CA5CA9">
      <w:rPr>
        <w:bCs/>
        <w:szCs w:val="18"/>
      </w:rPr>
      <w:t>UNEP</w:t>
    </w:r>
    <w:r w:rsidRPr="00CA5CA9">
      <w:rPr>
        <w:szCs w:val="18"/>
      </w:rPr>
      <w:t>(DTIE)/Hg/INC.</w:t>
    </w:r>
    <w:r>
      <w:rPr>
        <w:szCs w:val="18"/>
      </w:rPr>
      <w:t>7</w:t>
    </w:r>
    <w:r w:rsidRPr="00CA5CA9">
      <w:rPr>
        <w:szCs w:val="18"/>
      </w:rPr>
      <w:t>/</w:t>
    </w:r>
    <w:r>
      <w:rPr>
        <w:szCs w:val="18"/>
      </w:rPr>
      <w:t>12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560" w:rsidRPr="00342F16" w:rsidRDefault="00497560" w:rsidP="00342F16">
    <w:pPr>
      <w:pStyle w:val="Header"/>
      <w:jc w:val="right"/>
      <w:rPr>
        <w:szCs w:val="18"/>
      </w:rPr>
    </w:pPr>
    <w:r w:rsidRPr="00CA5CA9">
      <w:rPr>
        <w:bCs/>
        <w:szCs w:val="18"/>
      </w:rPr>
      <w:t>UNEP</w:t>
    </w:r>
    <w:r w:rsidRPr="00CA5CA9">
      <w:rPr>
        <w:szCs w:val="18"/>
      </w:rPr>
      <w:t>(DTIE)/Hg/INC.</w:t>
    </w:r>
    <w:r>
      <w:rPr>
        <w:szCs w:val="18"/>
      </w:rPr>
      <w:t>7</w:t>
    </w:r>
    <w:r w:rsidRPr="00CA5CA9">
      <w:rPr>
        <w:szCs w:val="18"/>
      </w:rPr>
      <w:t>/</w:t>
    </w:r>
    <w:r>
      <w:rPr>
        <w:szCs w:val="18"/>
      </w:rPr>
      <w:t>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3BF"/>
    <w:multiLevelType w:val="multilevel"/>
    <w:tmpl w:val="2A66FC82"/>
    <w:lvl w:ilvl="0">
      <w:start w:val="1"/>
      <w:numFmt w:val="lowerLetter"/>
      <w:lvlText w:val="(%1)"/>
      <w:lvlJc w:val="left"/>
      <w:pPr>
        <w:ind w:left="1973" w:hanging="360"/>
      </w:pPr>
      <w:rPr>
        <w:rFonts w:hint="default"/>
      </w:rPr>
    </w:lvl>
    <w:lvl w:ilvl="1">
      <w:start w:val="1"/>
      <w:numFmt w:val="lowerLetter"/>
      <w:lvlText w:val="%2."/>
      <w:lvlJc w:val="left"/>
      <w:pPr>
        <w:ind w:left="2693" w:hanging="360"/>
      </w:pPr>
    </w:lvl>
    <w:lvl w:ilvl="2">
      <w:start w:val="1"/>
      <w:numFmt w:val="lowerRoman"/>
      <w:lvlText w:val="%3."/>
      <w:lvlJc w:val="right"/>
      <w:pPr>
        <w:ind w:left="3413" w:hanging="180"/>
      </w:pPr>
    </w:lvl>
    <w:lvl w:ilvl="3">
      <w:start w:val="1"/>
      <w:numFmt w:val="decimal"/>
      <w:lvlText w:val="%4."/>
      <w:lvlJc w:val="left"/>
      <w:pPr>
        <w:ind w:left="4133" w:hanging="360"/>
      </w:pPr>
    </w:lvl>
    <w:lvl w:ilvl="4">
      <w:start w:val="1"/>
      <w:numFmt w:val="lowerLetter"/>
      <w:lvlText w:val="%5."/>
      <w:lvlJc w:val="left"/>
      <w:pPr>
        <w:ind w:left="4853" w:hanging="360"/>
      </w:pPr>
    </w:lvl>
    <w:lvl w:ilvl="5">
      <w:start w:val="1"/>
      <w:numFmt w:val="lowerRoman"/>
      <w:lvlText w:val="%6."/>
      <w:lvlJc w:val="right"/>
      <w:pPr>
        <w:ind w:left="5573" w:hanging="180"/>
      </w:pPr>
    </w:lvl>
    <w:lvl w:ilvl="6">
      <w:start w:val="1"/>
      <w:numFmt w:val="decimal"/>
      <w:lvlText w:val="%7."/>
      <w:lvlJc w:val="left"/>
      <w:pPr>
        <w:ind w:left="6293" w:hanging="360"/>
      </w:pPr>
    </w:lvl>
    <w:lvl w:ilvl="7">
      <w:start w:val="1"/>
      <w:numFmt w:val="lowerLetter"/>
      <w:lvlText w:val="%8."/>
      <w:lvlJc w:val="left"/>
      <w:pPr>
        <w:ind w:left="7013" w:hanging="360"/>
      </w:pPr>
    </w:lvl>
    <w:lvl w:ilvl="8">
      <w:start w:val="1"/>
      <w:numFmt w:val="lowerRoman"/>
      <w:lvlText w:val="%9."/>
      <w:lvlJc w:val="right"/>
      <w:pPr>
        <w:ind w:left="7733" w:hanging="180"/>
      </w:pPr>
    </w:lvl>
  </w:abstractNum>
  <w:abstractNum w:abstractNumId="1">
    <w:nsid w:val="0588556D"/>
    <w:multiLevelType w:val="hybridMultilevel"/>
    <w:tmpl w:val="07083622"/>
    <w:lvl w:ilvl="0" w:tplc="AB0C74B0">
      <w:start w:val="1"/>
      <w:numFmt w:val="lowerLetter"/>
      <w:lvlText w:val="%1)"/>
      <w:lvlJc w:val="left"/>
      <w:pPr>
        <w:ind w:left="1973" w:hanging="360"/>
      </w:pPr>
      <w:rPr>
        <w:rFonts w:hint="default"/>
      </w:rPr>
    </w:lvl>
    <w:lvl w:ilvl="1" w:tplc="08090019" w:tentative="1">
      <w:start w:val="1"/>
      <w:numFmt w:val="lowerLetter"/>
      <w:lvlText w:val="%2."/>
      <w:lvlJc w:val="left"/>
      <w:pPr>
        <w:ind w:left="2693" w:hanging="360"/>
      </w:pPr>
    </w:lvl>
    <w:lvl w:ilvl="2" w:tplc="0809001B" w:tentative="1">
      <w:start w:val="1"/>
      <w:numFmt w:val="lowerRoman"/>
      <w:lvlText w:val="%3."/>
      <w:lvlJc w:val="right"/>
      <w:pPr>
        <w:ind w:left="3413" w:hanging="180"/>
      </w:pPr>
    </w:lvl>
    <w:lvl w:ilvl="3" w:tplc="0809000F" w:tentative="1">
      <w:start w:val="1"/>
      <w:numFmt w:val="decimal"/>
      <w:lvlText w:val="%4."/>
      <w:lvlJc w:val="left"/>
      <w:pPr>
        <w:ind w:left="4133" w:hanging="360"/>
      </w:pPr>
    </w:lvl>
    <w:lvl w:ilvl="4" w:tplc="08090019" w:tentative="1">
      <w:start w:val="1"/>
      <w:numFmt w:val="lowerLetter"/>
      <w:lvlText w:val="%5."/>
      <w:lvlJc w:val="left"/>
      <w:pPr>
        <w:ind w:left="4853" w:hanging="360"/>
      </w:pPr>
    </w:lvl>
    <w:lvl w:ilvl="5" w:tplc="0809001B" w:tentative="1">
      <w:start w:val="1"/>
      <w:numFmt w:val="lowerRoman"/>
      <w:lvlText w:val="%6."/>
      <w:lvlJc w:val="right"/>
      <w:pPr>
        <w:ind w:left="5573" w:hanging="180"/>
      </w:pPr>
    </w:lvl>
    <w:lvl w:ilvl="6" w:tplc="0809000F" w:tentative="1">
      <w:start w:val="1"/>
      <w:numFmt w:val="decimal"/>
      <w:lvlText w:val="%7."/>
      <w:lvlJc w:val="left"/>
      <w:pPr>
        <w:ind w:left="6293" w:hanging="360"/>
      </w:pPr>
    </w:lvl>
    <w:lvl w:ilvl="7" w:tplc="08090019" w:tentative="1">
      <w:start w:val="1"/>
      <w:numFmt w:val="lowerLetter"/>
      <w:lvlText w:val="%8."/>
      <w:lvlJc w:val="left"/>
      <w:pPr>
        <w:ind w:left="7013" w:hanging="360"/>
      </w:pPr>
    </w:lvl>
    <w:lvl w:ilvl="8" w:tplc="0809001B" w:tentative="1">
      <w:start w:val="1"/>
      <w:numFmt w:val="lowerRoman"/>
      <w:lvlText w:val="%9."/>
      <w:lvlJc w:val="right"/>
      <w:pPr>
        <w:ind w:left="7733" w:hanging="180"/>
      </w:pPr>
    </w:lvl>
  </w:abstractNum>
  <w:abstractNum w:abstractNumId="2">
    <w:nsid w:val="0B9A4576"/>
    <w:multiLevelType w:val="hybridMultilevel"/>
    <w:tmpl w:val="581A7646"/>
    <w:lvl w:ilvl="0" w:tplc="275A0F38">
      <w:start w:val="1"/>
      <w:numFmt w:val="lowerLetter"/>
      <w:lvlText w:val="(%1)"/>
      <w:lvlJc w:val="left"/>
      <w:pPr>
        <w:ind w:left="3240" w:hanging="360"/>
      </w:pPr>
      <w:rPr>
        <w:rFonts w:hint="default"/>
      </w:rPr>
    </w:lvl>
    <w:lvl w:ilvl="1" w:tplc="10090019" w:tentative="1">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3">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4">
    <w:nsid w:val="182279FE"/>
    <w:multiLevelType w:val="hybridMultilevel"/>
    <w:tmpl w:val="AFE0C55A"/>
    <w:lvl w:ilvl="0" w:tplc="8314FCDE">
      <w:start w:val="1"/>
      <w:numFmt w:val="upp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6">
    <w:nsid w:val="28A46398"/>
    <w:multiLevelType w:val="hybridMultilevel"/>
    <w:tmpl w:val="581A7646"/>
    <w:lvl w:ilvl="0" w:tplc="275A0F38">
      <w:start w:val="1"/>
      <w:numFmt w:val="lowerLetter"/>
      <w:lvlText w:val="(%1)"/>
      <w:lvlJc w:val="left"/>
      <w:pPr>
        <w:ind w:left="3240" w:hanging="360"/>
      </w:pPr>
      <w:rPr>
        <w:rFonts w:hint="default"/>
      </w:rPr>
    </w:lvl>
    <w:lvl w:ilvl="1" w:tplc="10090019" w:tentative="1">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7">
    <w:nsid w:val="2E1D56B6"/>
    <w:multiLevelType w:val="hybridMultilevel"/>
    <w:tmpl w:val="581A7646"/>
    <w:lvl w:ilvl="0" w:tplc="275A0F38">
      <w:start w:val="1"/>
      <w:numFmt w:val="lowerLetter"/>
      <w:lvlText w:val="(%1)"/>
      <w:lvlJc w:val="left"/>
      <w:pPr>
        <w:ind w:left="3240" w:hanging="360"/>
      </w:pPr>
      <w:rPr>
        <w:rFonts w:hint="default"/>
      </w:rPr>
    </w:lvl>
    <w:lvl w:ilvl="1" w:tplc="10090019" w:tentative="1">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8">
    <w:nsid w:val="2E885314"/>
    <w:multiLevelType w:val="hybridMultilevel"/>
    <w:tmpl w:val="4F22586C"/>
    <w:lvl w:ilvl="0" w:tplc="8314FCDE">
      <w:start w:val="1"/>
      <w:numFmt w:val="upp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9">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0">
    <w:nsid w:val="52A66A9D"/>
    <w:multiLevelType w:val="multilevel"/>
    <w:tmpl w:val="DFC8A0B4"/>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ind w:left="2174" w:hanging="360"/>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1">
    <w:nsid w:val="537C7B7D"/>
    <w:multiLevelType w:val="hybridMultilevel"/>
    <w:tmpl w:val="9C005C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DA0518"/>
    <w:multiLevelType w:val="hybridMultilevel"/>
    <w:tmpl w:val="34341010"/>
    <w:lvl w:ilvl="0" w:tplc="1A382422">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nsid w:val="5CF266EA"/>
    <w:multiLevelType w:val="hybridMultilevel"/>
    <w:tmpl w:val="9666415C"/>
    <w:lvl w:ilvl="0" w:tplc="0809000F">
      <w:start w:val="1"/>
      <w:numFmt w:val="decimal"/>
      <w:lvlText w:val="%1."/>
      <w:lvlJc w:val="left"/>
      <w:pPr>
        <w:ind w:left="1778"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nsid w:val="63C41ADD"/>
    <w:multiLevelType w:val="hybridMultilevel"/>
    <w:tmpl w:val="7196FD48"/>
    <w:lvl w:ilvl="0" w:tplc="8314FCDE">
      <w:start w:val="1"/>
      <w:numFmt w:val="upp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nsid w:val="654D74FF"/>
    <w:multiLevelType w:val="multilevel"/>
    <w:tmpl w:val="4D3A0918"/>
    <w:lvl w:ilvl="0">
      <w:start w:val="1"/>
      <w:numFmt w:val="decimal"/>
      <w:lvlText w:val="%1."/>
      <w:lvlJc w:val="left"/>
      <w:pPr>
        <w:tabs>
          <w:tab w:val="num" w:pos="313"/>
        </w:tabs>
        <w:ind w:left="993"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6">
    <w:nsid w:val="69873143"/>
    <w:multiLevelType w:val="hybridMultilevel"/>
    <w:tmpl w:val="EE2EF84A"/>
    <w:lvl w:ilvl="0" w:tplc="009A6B68">
      <w:start w:val="1"/>
      <w:numFmt w:val="lowerLetter"/>
      <w:lvlText w:val="%1)"/>
      <w:lvlJc w:val="left"/>
      <w:pPr>
        <w:ind w:left="2174" w:hanging="360"/>
      </w:pPr>
      <w:rPr>
        <w:rFonts w:hint="default"/>
      </w:rPr>
    </w:lvl>
    <w:lvl w:ilvl="1" w:tplc="10090019" w:tentative="1">
      <w:start w:val="1"/>
      <w:numFmt w:val="lowerLetter"/>
      <w:lvlText w:val="%2."/>
      <w:lvlJc w:val="left"/>
      <w:pPr>
        <w:ind w:left="2894" w:hanging="360"/>
      </w:pPr>
    </w:lvl>
    <w:lvl w:ilvl="2" w:tplc="1009001B" w:tentative="1">
      <w:start w:val="1"/>
      <w:numFmt w:val="lowerRoman"/>
      <w:lvlText w:val="%3."/>
      <w:lvlJc w:val="right"/>
      <w:pPr>
        <w:ind w:left="3614" w:hanging="180"/>
      </w:pPr>
    </w:lvl>
    <w:lvl w:ilvl="3" w:tplc="1009000F" w:tentative="1">
      <w:start w:val="1"/>
      <w:numFmt w:val="decimal"/>
      <w:lvlText w:val="%4."/>
      <w:lvlJc w:val="left"/>
      <w:pPr>
        <w:ind w:left="4334" w:hanging="360"/>
      </w:pPr>
    </w:lvl>
    <w:lvl w:ilvl="4" w:tplc="10090019" w:tentative="1">
      <w:start w:val="1"/>
      <w:numFmt w:val="lowerLetter"/>
      <w:lvlText w:val="%5."/>
      <w:lvlJc w:val="left"/>
      <w:pPr>
        <w:ind w:left="5054" w:hanging="360"/>
      </w:pPr>
    </w:lvl>
    <w:lvl w:ilvl="5" w:tplc="1009001B" w:tentative="1">
      <w:start w:val="1"/>
      <w:numFmt w:val="lowerRoman"/>
      <w:lvlText w:val="%6."/>
      <w:lvlJc w:val="right"/>
      <w:pPr>
        <w:ind w:left="5774" w:hanging="180"/>
      </w:pPr>
    </w:lvl>
    <w:lvl w:ilvl="6" w:tplc="1009000F" w:tentative="1">
      <w:start w:val="1"/>
      <w:numFmt w:val="decimal"/>
      <w:lvlText w:val="%7."/>
      <w:lvlJc w:val="left"/>
      <w:pPr>
        <w:ind w:left="6494" w:hanging="360"/>
      </w:pPr>
    </w:lvl>
    <w:lvl w:ilvl="7" w:tplc="10090019" w:tentative="1">
      <w:start w:val="1"/>
      <w:numFmt w:val="lowerLetter"/>
      <w:lvlText w:val="%8."/>
      <w:lvlJc w:val="left"/>
      <w:pPr>
        <w:ind w:left="7214" w:hanging="360"/>
      </w:pPr>
    </w:lvl>
    <w:lvl w:ilvl="8" w:tplc="1009001B" w:tentative="1">
      <w:start w:val="1"/>
      <w:numFmt w:val="lowerRoman"/>
      <w:lvlText w:val="%9."/>
      <w:lvlJc w:val="right"/>
      <w:pPr>
        <w:ind w:left="7934" w:hanging="180"/>
      </w:pPr>
    </w:lvl>
  </w:abstractNum>
  <w:abstractNum w:abstractNumId="17">
    <w:nsid w:val="6CBE0C80"/>
    <w:multiLevelType w:val="hybridMultilevel"/>
    <w:tmpl w:val="731ECA42"/>
    <w:lvl w:ilvl="0" w:tplc="1A382422">
      <w:start w:val="1"/>
      <w:numFmt w:val="lowerLetter"/>
      <w:lvlText w:val="(%1)"/>
      <w:lvlJc w:val="left"/>
      <w:pPr>
        <w:ind w:left="3030" w:hanging="620"/>
      </w:pPr>
      <w:rPr>
        <w:rFonts w:hint="default"/>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num w:numId="1">
    <w:abstractNumId w:val="10"/>
  </w:num>
  <w:num w:numId="2">
    <w:abstractNumId w:val="5"/>
  </w:num>
  <w:num w:numId="3">
    <w:abstractNumId w:val="9"/>
  </w:num>
  <w:num w:numId="4">
    <w:abstractNumId w:val="10"/>
  </w:num>
  <w:num w:numId="5">
    <w:abstractNumId w:val="3"/>
  </w:num>
  <w:num w:numId="6">
    <w:abstractNumId w:val="3"/>
    <w:lvlOverride w:ilvl="0">
      <w:lvl w:ilvl="0">
        <w:start w:val="1"/>
        <w:numFmt w:val="decimal"/>
        <w:lvlText w:val="%1."/>
        <w:lvlJc w:val="left"/>
        <w:pPr>
          <w:tabs>
            <w:tab w:val="num" w:pos="597"/>
          </w:tabs>
          <w:ind w:left="1277" w:firstLine="0"/>
        </w:pPr>
        <w:rPr>
          <w:rFonts w:hint="default"/>
          <w:lang w:val="en-CA"/>
        </w:rPr>
      </w:lvl>
    </w:lvlOverride>
  </w:num>
  <w:num w:numId="7">
    <w:abstractNumId w:val="15"/>
    <w:lvlOverride w:ilvl="0">
      <w:lvl w:ilvl="0">
        <w:start w:val="1"/>
        <w:numFmt w:val="decimal"/>
        <w:lvlText w:val="%1."/>
        <w:lvlJc w:val="left"/>
        <w:pPr>
          <w:tabs>
            <w:tab w:val="num" w:pos="597"/>
          </w:tabs>
          <w:ind w:left="127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8">
    <w:abstractNumId w:val="17"/>
  </w:num>
  <w:num w:numId="9">
    <w:abstractNumId w:val="16"/>
  </w:num>
  <w:num w:numId="10">
    <w:abstractNumId w:val="7"/>
  </w:num>
  <w:num w:numId="11">
    <w:abstractNumId w:val="2"/>
  </w:num>
  <w:num w:numId="12">
    <w:abstractNumId w:val="6"/>
  </w:num>
  <w:num w:numId="13">
    <w:abstractNumId w:val="11"/>
  </w:num>
  <w:num w:numId="14">
    <w:abstractNumId w:val="13"/>
  </w:num>
  <w:num w:numId="15">
    <w:abstractNumId w:val="8"/>
  </w:num>
  <w:num w:numId="16">
    <w:abstractNumId w:val="14"/>
  </w:num>
  <w:num w:numId="17">
    <w:abstractNumId w:val="1"/>
  </w:num>
  <w:num w:numId="18">
    <w:abstractNumId w:val="12"/>
  </w:num>
  <w:num w:numId="19">
    <w:abstractNumId w:val="4"/>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proofState w:spelling="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savePreviewPicture/>
  <w:hdrShapeDefaults>
    <o:shapedefaults v:ext="edit" spidmax="2052"/>
    <o:shapelayout v:ext="edit">
      <o:idmap v:ext="edit" data="2"/>
    </o:shapelayout>
  </w:hdrShapeDefaults>
  <w:footnotePr>
    <w:footnote w:id="-1"/>
    <w:footnote w:id="0"/>
    <w:footnote w:id="1"/>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CA9"/>
    <w:rsid w:val="00000E4A"/>
    <w:rsid w:val="00012F87"/>
    <w:rsid w:val="000149E6"/>
    <w:rsid w:val="00021CDC"/>
    <w:rsid w:val="00023DA9"/>
    <w:rsid w:val="000247B0"/>
    <w:rsid w:val="00026997"/>
    <w:rsid w:val="00026A08"/>
    <w:rsid w:val="00031117"/>
    <w:rsid w:val="00032E4E"/>
    <w:rsid w:val="00033E0B"/>
    <w:rsid w:val="00035E21"/>
    <w:rsid w:val="00035EDE"/>
    <w:rsid w:val="00040E03"/>
    <w:rsid w:val="00041979"/>
    <w:rsid w:val="000509B4"/>
    <w:rsid w:val="000576B0"/>
    <w:rsid w:val="0006035B"/>
    <w:rsid w:val="00071886"/>
    <w:rsid w:val="000742BC"/>
    <w:rsid w:val="00076CC6"/>
    <w:rsid w:val="00081E25"/>
    <w:rsid w:val="00082A0C"/>
    <w:rsid w:val="00083504"/>
    <w:rsid w:val="00085A13"/>
    <w:rsid w:val="000862C6"/>
    <w:rsid w:val="00092581"/>
    <w:rsid w:val="000926EF"/>
    <w:rsid w:val="0009640C"/>
    <w:rsid w:val="000A0D4E"/>
    <w:rsid w:val="000A2A5F"/>
    <w:rsid w:val="000A3B52"/>
    <w:rsid w:val="000B22A2"/>
    <w:rsid w:val="000C0504"/>
    <w:rsid w:val="000C2A52"/>
    <w:rsid w:val="000C7E3F"/>
    <w:rsid w:val="000D14DF"/>
    <w:rsid w:val="000D33C0"/>
    <w:rsid w:val="000D6941"/>
    <w:rsid w:val="000F49AA"/>
    <w:rsid w:val="00100E9A"/>
    <w:rsid w:val="001202E3"/>
    <w:rsid w:val="00123699"/>
    <w:rsid w:val="001241FB"/>
    <w:rsid w:val="0013059D"/>
    <w:rsid w:val="00132697"/>
    <w:rsid w:val="00133F4A"/>
    <w:rsid w:val="00141A55"/>
    <w:rsid w:val="0014397D"/>
    <w:rsid w:val="0014402A"/>
    <w:rsid w:val="001446A3"/>
    <w:rsid w:val="00155395"/>
    <w:rsid w:val="00156B6B"/>
    <w:rsid w:val="00160D74"/>
    <w:rsid w:val="00167D02"/>
    <w:rsid w:val="00171901"/>
    <w:rsid w:val="00173258"/>
    <w:rsid w:val="00180C3F"/>
    <w:rsid w:val="00181EC8"/>
    <w:rsid w:val="00184349"/>
    <w:rsid w:val="00195269"/>
    <w:rsid w:val="00195DD2"/>
    <w:rsid w:val="00195F33"/>
    <w:rsid w:val="00196760"/>
    <w:rsid w:val="001B1617"/>
    <w:rsid w:val="001B504B"/>
    <w:rsid w:val="001B7C89"/>
    <w:rsid w:val="001C7784"/>
    <w:rsid w:val="001D1529"/>
    <w:rsid w:val="001D3874"/>
    <w:rsid w:val="001D3EF0"/>
    <w:rsid w:val="001D7E75"/>
    <w:rsid w:val="001E0D73"/>
    <w:rsid w:val="001E1740"/>
    <w:rsid w:val="001E2E57"/>
    <w:rsid w:val="001E36B8"/>
    <w:rsid w:val="001E56D2"/>
    <w:rsid w:val="001E7D56"/>
    <w:rsid w:val="001F75DE"/>
    <w:rsid w:val="00200D58"/>
    <w:rsid w:val="002013BE"/>
    <w:rsid w:val="00201EDC"/>
    <w:rsid w:val="002045C3"/>
    <w:rsid w:val="00205619"/>
    <w:rsid w:val="002063A4"/>
    <w:rsid w:val="0021145B"/>
    <w:rsid w:val="00216227"/>
    <w:rsid w:val="00220C23"/>
    <w:rsid w:val="0022118E"/>
    <w:rsid w:val="00221F73"/>
    <w:rsid w:val="00222822"/>
    <w:rsid w:val="0022389A"/>
    <w:rsid w:val="00241362"/>
    <w:rsid w:val="0024375A"/>
    <w:rsid w:val="00243D36"/>
    <w:rsid w:val="00244E99"/>
    <w:rsid w:val="00247707"/>
    <w:rsid w:val="0026018E"/>
    <w:rsid w:val="002664A1"/>
    <w:rsid w:val="002739F2"/>
    <w:rsid w:val="00281A23"/>
    <w:rsid w:val="00286740"/>
    <w:rsid w:val="00291D9B"/>
    <w:rsid w:val="002929D8"/>
    <w:rsid w:val="002A1607"/>
    <w:rsid w:val="002A237D"/>
    <w:rsid w:val="002A4C53"/>
    <w:rsid w:val="002A6ABC"/>
    <w:rsid w:val="002A7914"/>
    <w:rsid w:val="002B0672"/>
    <w:rsid w:val="002B247F"/>
    <w:rsid w:val="002B50D4"/>
    <w:rsid w:val="002B57FA"/>
    <w:rsid w:val="002C145D"/>
    <w:rsid w:val="002C2C3E"/>
    <w:rsid w:val="002C533E"/>
    <w:rsid w:val="002D027F"/>
    <w:rsid w:val="002D2581"/>
    <w:rsid w:val="002D70ED"/>
    <w:rsid w:val="002D7A85"/>
    <w:rsid w:val="002D7B60"/>
    <w:rsid w:val="002E2ACA"/>
    <w:rsid w:val="002E2C67"/>
    <w:rsid w:val="002E4207"/>
    <w:rsid w:val="002E7C79"/>
    <w:rsid w:val="002E7F3C"/>
    <w:rsid w:val="002F2D0F"/>
    <w:rsid w:val="002F4761"/>
    <w:rsid w:val="002F5C79"/>
    <w:rsid w:val="003019E2"/>
    <w:rsid w:val="00305DBD"/>
    <w:rsid w:val="00307C04"/>
    <w:rsid w:val="0031413F"/>
    <w:rsid w:val="003144BB"/>
    <w:rsid w:val="003148BB"/>
    <w:rsid w:val="00317976"/>
    <w:rsid w:val="00324642"/>
    <w:rsid w:val="00326550"/>
    <w:rsid w:val="00326CC0"/>
    <w:rsid w:val="003341DB"/>
    <w:rsid w:val="00336096"/>
    <w:rsid w:val="003376E8"/>
    <w:rsid w:val="00342F16"/>
    <w:rsid w:val="00345448"/>
    <w:rsid w:val="00347676"/>
    <w:rsid w:val="003518B5"/>
    <w:rsid w:val="00355EA9"/>
    <w:rsid w:val="003567CB"/>
    <w:rsid w:val="003578DE"/>
    <w:rsid w:val="003612A7"/>
    <w:rsid w:val="00361688"/>
    <w:rsid w:val="00363012"/>
    <w:rsid w:val="00370B55"/>
    <w:rsid w:val="00373C8B"/>
    <w:rsid w:val="003744EF"/>
    <w:rsid w:val="003874AF"/>
    <w:rsid w:val="003929B8"/>
    <w:rsid w:val="00396257"/>
    <w:rsid w:val="00397EB8"/>
    <w:rsid w:val="003A1674"/>
    <w:rsid w:val="003A4FD0"/>
    <w:rsid w:val="003A69D1"/>
    <w:rsid w:val="003A7705"/>
    <w:rsid w:val="003A77F1"/>
    <w:rsid w:val="003B1545"/>
    <w:rsid w:val="003B79E3"/>
    <w:rsid w:val="003C409D"/>
    <w:rsid w:val="003C4453"/>
    <w:rsid w:val="003C5BA6"/>
    <w:rsid w:val="003D0980"/>
    <w:rsid w:val="003D3752"/>
    <w:rsid w:val="003D5D1C"/>
    <w:rsid w:val="003D79FE"/>
    <w:rsid w:val="003E02EB"/>
    <w:rsid w:val="003E35DA"/>
    <w:rsid w:val="003E5758"/>
    <w:rsid w:val="003E7D73"/>
    <w:rsid w:val="003F0E85"/>
    <w:rsid w:val="00405C13"/>
    <w:rsid w:val="00410C55"/>
    <w:rsid w:val="004131F6"/>
    <w:rsid w:val="004148ED"/>
    <w:rsid w:val="00415EC2"/>
    <w:rsid w:val="00416854"/>
    <w:rsid w:val="00417725"/>
    <w:rsid w:val="00420B6E"/>
    <w:rsid w:val="00425312"/>
    <w:rsid w:val="0043723E"/>
    <w:rsid w:val="00437F26"/>
    <w:rsid w:val="00444097"/>
    <w:rsid w:val="00445487"/>
    <w:rsid w:val="00447E0D"/>
    <w:rsid w:val="00454769"/>
    <w:rsid w:val="0045764F"/>
    <w:rsid w:val="00465A50"/>
    <w:rsid w:val="00466991"/>
    <w:rsid w:val="00467FD9"/>
    <w:rsid w:val="0047064C"/>
    <w:rsid w:val="0047168F"/>
    <w:rsid w:val="00476716"/>
    <w:rsid w:val="00484C1E"/>
    <w:rsid w:val="004878A6"/>
    <w:rsid w:val="00490E62"/>
    <w:rsid w:val="0049469E"/>
    <w:rsid w:val="00497560"/>
    <w:rsid w:val="004A42E1"/>
    <w:rsid w:val="004B162C"/>
    <w:rsid w:val="004B2ABE"/>
    <w:rsid w:val="004B7E47"/>
    <w:rsid w:val="004C3DBE"/>
    <w:rsid w:val="004C5C96"/>
    <w:rsid w:val="004C77AD"/>
    <w:rsid w:val="004D06A4"/>
    <w:rsid w:val="004D102F"/>
    <w:rsid w:val="004D57F4"/>
    <w:rsid w:val="004F1A81"/>
    <w:rsid w:val="005031E0"/>
    <w:rsid w:val="005218D9"/>
    <w:rsid w:val="005237BC"/>
    <w:rsid w:val="005242B6"/>
    <w:rsid w:val="005265AF"/>
    <w:rsid w:val="00536186"/>
    <w:rsid w:val="0054042F"/>
    <w:rsid w:val="00540E87"/>
    <w:rsid w:val="005419C6"/>
    <w:rsid w:val="00544CBB"/>
    <w:rsid w:val="005530D9"/>
    <w:rsid w:val="0056131C"/>
    <w:rsid w:val="005636DE"/>
    <w:rsid w:val="005656D7"/>
    <w:rsid w:val="00566919"/>
    <w:rsid w:val="0057060E"/>
    <w:rsid w:val="0057315F"/>
    <w:rsid w:val="0057450D"/>
    <w:rsid w:val="00576104"/>
    <w:rsid w:val="0059155E"/>
    <w:rsid w:val="005A4138"/>
    <w:rsid w:val="005B2064"/>
    <w:rsid w:val="005B44BF"/>
    <w:rsid w:val="005B76DB"/>
    <w:rsid w:val="005C11B4"/>
    <w:rsid w:val="005C3B69"/>
    <w:rsid w:val="005C5B71"/>
    <w:rsid w:val="005C67C8"/>
    <w:rsid w:val="005C72CB"/>
    <w:rsid w:val="005D0249"/>
    <w:rsid w:val="005D18FA"/>
    <w:rsid w:val="005D4575"/>
    <w:rsid w:val="005D49CA"/>
    <w:rsid w:val="005D4FD4"/>
    <w:rsid w:val="005D6AB1"/>
    <w:rsid w:val="005D6E8C"/>
    <w:rsid w:val="005F100C"/>
    <w:rsid w:val="005F5FF3"/>
    <w:rsid w:val="005F68DA"/>
    <w:rsid w:val="00601D84"/>
    <w:rsid w:val="0060773B"/>
    <w:rsid w:val="006157B5"/>
    <w:rsid w:val="0061666C"/>
    <w:rsid w:val="006174C6"/>
    <w:rsid w:val="006217BA"/>
    <w:rsid w:val="006222DB"/>
    <w:rsid w:val="00626FC6"/>
    <w:rsid w:val="006303B4"/>
    <w:rsid w:val="00630ADC"/>
    <w:rsid w:val="00633D3D"/>
    <w:rsid w:val="006343BA"/>
    <w:rsid w:val="00641703"/>
    <w:rsid w:val="006431A6"/>
    <w:rsid w:val="0064357E"/>
    <w:rsid w:val="006459F6"/>
    <w:rsid w:val="006501AD"/>
    <w:rsid w:val="00651BFA"/>
    <w:rsid w:val="00654475"/>
    <w:rsid w:val="00663F9F"/>
    <w:rsid w:val="006658D8"/>
    <w:rsid w:val="00665A4B"/>
    <w:rsid w:val="0066657D"/>
    <w:rsid w:val="00666622"/>
    <w:rsid w:val="00674C5C"/>
    <w:rsid w:val="00677A13"/>
    <w:rsid w:val="00690C3B"/>
    <w:rsid w:val="00690DD3"/>
    <w:rsid w:val="00691D73"/>
    <w:rsid w:val="00692E2A"/>
    <w:rsid w:val="006A2A25"/>
    <w:rsid w:val="006A5E16"/>
    <w:rsid w:val="006A76F2"/>
    <w:rsid w:val="006B06A8"/>
    <w:rsid w:val="006B2369"/>
    <w:rsid w:val="006C00D5"/>
    <w:rsid w:val="006C1184"/>
    <w:rsid w:val="006C39FF"/>
    <w:rsid w:val="006C7F4E"/>
    <w:rsid w:val="006D19D4"/>
    <w:rsid w:val="006D7EFB"/>
    <w:rsid w:val="006E0552"/>
    <w:rsid w:val="006E6672"/>
    <w:rsid w:val="006E6722"/>
    <w:rsid w:val="006F2578"/>
    <w:rsid w:val="006F60FC"/>
    <w:rsid w:val="006F64D2"/>
    <w:rsid w:val="007027B9"/>
    <w:rsid w:val="007145DA"/>
    <w:rsid w:val="00715E88"/>
    <w:rsid w:val="007175E6"/>
    <w:rsid w:val="00720CA6"/>
    <w:rsid w:val="0072258C"/>
    <w:rsid w:val="00732C8E"/>
    <w:rsid w:val="00734CAA"/>
    <w:rsid w:val="00740710"/>
    <w:rsid w:val="00742680"/>
    <w:rsid w:val="0075533C"/>
    <w:rsid w:val="00757027"/>
    <w:rsid w:val="00757581"/>
    <w:rsid w:val="007602F5"/>
    <w:rsid w:val="00760D36"/>
    <w:rsid w:val="007611A0"/>
    <w:rsid w:val="00765306"/>
    <w:rsid w:val="00776E63"/>
    <w:rsid w:val="0078694F"/>
    <w:rsid w:val="007935E6"/>
    <w:rsid w:val="00796D3F"/>
    <w:rsid w:val="007A1683"/>
    <w:rsid w:val="007A5C12"/>
    <w:rsid w:val="007A5EF9"/>
    <w:rsid w:val="007A7CB0"/>
    <w:rsid w:val="007B68A3"/>
    <w:rsid w:val="007C1E0B"/>
    <w:rsid w:val="007C2541"/>
    <w:rsid w:val="007C7915"/>
    <w:rsid w:val="007D3C14"/>
    <w:rsid w:val="007D58D1"/>
    <w:rsid w:val="007D66A8"/>
    <w:rsid w:val="007E003F"/>
    <w:rsid w:val="007E4D28"/>
    <w:rsid w:val="007E5EF5"/>
    <w:rsid w:val="007F0CF8"/>
    <w:rsid w:val="007F62CB"/>
    <w:rsid w:val="008005B9"/>
    <w:rsid w:val="00813C45"/>
    <w:rsid w:val="008142EC"/>
    <w:rsid w:val="00814A69"/>
    <w:rsid w:val="008164F2"/>
    <w:rsid w:val="00821395"/>
    <w:rsid w:val="0082500B"/>
    <w:rsid w:val="00830E26"/>
    <w:rsid w:val="00833327"/>
    <w:rsid w:val="0083436D"/>
    <w:rsid w:val="00843576"/>
    <w:rsid w:val="00843B64"/>
    <w:rsid w:val="00845A45"/>
    <w:rsid w:val="008478FC"/>
    <w:rsid w:val="00851C51"/>
    <w:rsid w:val="00857DEA"/>
    <w:rsid w:val="00861816"/>
    <w:rsid w:val="008630F4"/>
    <w:rsid w:val="00863959"/>
    <w:rsid w:val="00864EC0"/>
    <w:rsid w:val="00867BFF"/>
    <w:rsid w:val="00870419"/>
    <w:rsid w:val="00871542"/>
    <w:rsid w:val="00872BF6"/>
    <w:rsid w:val="008763E2"/>
    <w:rsid w:val="0088480A"/>
    <w:rsid w:val="0088757A"/>
    <w:rsid w:val="00890F31"/>
    <w:rsid w:val="0089431B"/>
    <w:rsid w:val="00894AE9"/>
    <w:rsid w:val="00895668"/>
    <w:rsid w:val="008957DD"/>
    <w:rsid w:val="00897D98"/>
    <w:rsid w:val="008A1859"/>
    <w:rsid w:val="008A6DF2"/>
    <w:rsid w:val="008A7807"/>
    <w:rsid w:val="008B4CC9"/>
    <w:rsid w:val="008D0DAF"/>
    <w:rsid w:val="008D49B9"/>
    <w:rsid w:val="008D4E9F"/>
    <w:rsid w:val="008D7C99"/>
    <w:rsid w:val="008E0FCB"/>
    <w:rsid w:val="009011EC"/>
    <w:rsid w:val="0090168B"/>
    <w:rsid w:val="00910D36"/>
    <w:rsid w:val="0092178C"/>
    <w:rsid w:val="00930B88"/>
    <w:rsid w:val="00934688"/>
    <w:rsid w:val="00936F7E"/>
    <w:rsid w:val="00940DCC"/>
    <w:rsid w:val="0094179A"/>
    <w:rsid w:val="0094459E"/>
    <w:rsid w:val="00944DBC"/>
    <w:rsid w:val="00950977"/>
    <w:rsid w:val="00951A7B"/>
    <w:rsid w:val="009564A6"/>
    <w:rsid w:val="00960460"/>
    <w:rsid w:val="0096141E"/>
    <w:rsid w:val="00962F1A"/>
    <w:rsid w:val="00964524"/>
    <w:rsid w:val="009652AA"/>
    <w:rsid w:val="00967621"/>
    <w:rsid w:val="00967E6A"/>
    <w:rsid w:val="009779A4"/>
    <w:rsid w:val="00987EB2"/>
    <w:rsid w:val="00991D6C"/>
    <w:rsid w:val="009A11C6"/>
    <w:rsid w:val="009A7FFC"/>
    <w:rsid w:val="009B256A"/>
    <w:rsid w:val="009B3709"/>
    <w:rsid w:val="009B4A0F"/>
    <w:rsid w:val="009C11D2"/>
    <w:rsid w:val="009C6C70"/>
    <w:rsid w:val="009C7B0A"/>
    <w:rsid w:val="009D0B63"/>
    <w:rsid w:val="009D5CB8"/>
    <w:rsid w:val="009E0B13"/>
    <w:rsid w:val="009E181D"/>
    <w:rsid w:val="009E307E"/>
    <w:rsid w:val="009E3EAD"/>
    <w:rsid w:val="009E419B"/>
    <w:rsid w:val="009E4377"/>
    <w:rsid w:val="009F111E"/>
    <w:rsid w:val="009F2615"/>
    <w:rsid w:val="009F26E8"/>
    <w:rsid w:val="00A04A88"/>
    <w:rsid w:val="00A07870"/>
    <w:rsid w:val="00A07C54"/>
    <w:rsid w:val="00A07F19"/>
    <w:rsid w:val="00A10866"/>
    <w:rsid w:val="00A1348D"/>
    <w:rsid w:val="00A212C5"/>
    <w:rsid w:val="00A232EE"/>
    <w:rsid w:val="00A4175F"/>
    <w:rsid w:val="00A42EC5"/>
    <w:rsid w:val="00A44411"/>
    <w:rsid w:val="00A469FA"/>
    <w:rsid w:val="00A5108F"/>
    <w:rsid w:val="00A53662"/>
    <w:rsid w:val="00A55B01"/>
    <w:rsid w:val="00A56B5B"/>
    <w:rsid w:val="00A603FF"/>
    <w:rsid w:val="00A6105B"/>
    <w:rsid w:val="00A619B6"/>
    <w:rsid w:val="00A62A39"/>
    <w:rsid w:val="00A648CA"/>
    <w:rsid w:val="00A657DD"/>
    <w:rsid w:val="00A666A6"/>
    <w:rsid w:val="00A675FD"/>
    <w:rsid w:val="00A72437"/>
    <w:rsid w:val="00A75829"/>
    <w:rsid w:val="00A7603E"/>
    <w:rsid w:val="00A8048B"/>
    <w:rsid w:val="00A80611"/>
    <w:rsid w:val="00A813FF"/>
    <w:rsid w:val="00A81A5F"/>
    <w:rsid w:val="00A92E98"/>
    <w:rsid w:val="00AA0B62"/>
    <w:rsid w:val="00AB5340"/>
    <w:rsid w:val="00AB5FE1"/>
    <w:rsid w:val="00AB6BE8"/>
    <w:rsid w:val="00AC0A89"/>
    <w:rsid w:val="00AC6BE3"/>
    <w:rsid w:val="00AC7C96"/>
    <w:rsid w:val="00AD61CE"/>
    <w:rsid w:val="00AE237D"/>
    <w:rsid w:val="00AE502A"/>
    <w:rsid w:val="00AE5C8B"/>
    <w:rsid w:val="00AF7C07"/>
    <w:rsid w:val="00B0012C"/>
    <w:rsid w:val="00B01DC6"/>
    <w:rsid w:val="00B04632"/>
    <w:rsid w:val="00B06B83"/>
    <w:rsid w:val="00B06C64"/>
    <w:rsid w:val="00B07820"/>
    <w:rsid w:val="00B10CD4"/>
    <w:rsid w:val="00B11CAC"/>
    <w:rsid w:val="00B14D01"/>
    <w:rsid w:val="00B163D7"/>
    <w:rsid w:val="00B16CB3"/>
    <w:rsid w:val="00B1765B"/>
    <w:rsid w:val="00B22C93"/>
    <w:rsid w:val="00B27589"/>
    <w:rsid w:val="00B405B7"/>
    <w:rsid w:val="00B4372E"/>
    <w:rsid w:val="00B446BA"/>
    <w:rsid w:val="00B46758"/>
    <w:rsid w:val="00B5207C"/>
    <w:rsid w:val="00B52222"/>
    <w:rsid w:val="00B531DA"/>
    <w:rsid w:val="00B54895"/>
    <w:rsid w:val="00B54FE7"/>
    <w:rsid w:val="00B56D5E"/>
    <w:rsid w:val="00B647C6"/>
    <w:rsid w:val="00B65981"/>
    <w:rsid w:val="00B66901"/>
    <w:rsid w:val="00B66BDB"/>
    <w:rsid w:val="00B71E6D"/>
    <w:rsid w:val="00B72070"/>
    <w:rsid w:val="00B779E1"/>
    <w:rsid w:val="00B815CC"/>
    <w:rsid w:val="00B91EE1"/>
    <w:rsid w:val="00B928D6"/>
    <w:rsid w:val="00BA0090"/>
    <w:rsid w:val="00BA1A67"/>
    <w:rsid w:val="00BE0AE5"/>
    <w:rsid w:val="00BE5B5F"/>
    <w:rsid w:val="00C03774"/>
    <w:rsid w:val="00C078AF"/>
    <w:rsid w:val="00C26F55"/>
    <w:rsid w:val="00C30C63"/>
    <w:rsid w:val="00C31269"/>
    <w:rsid w:val="00C36B8B"/>
    <w:rsid w:val="00C40330"/>
    <w:rsid w:val="00C415C1"/>
    <w:rsid w:val="00C4341E"/>
    <w:rsid w:val="00C47DBF"/>
    <w:rsid w:val="00C5040E"/>
    <w:rsid w:val="00C533C0"/>
    <w:rsid w:val="00C552FF"/>
    <w:rsid w:val="00C558DA"/>
    <w:rsid w:val="00C55AF3"/>
    <w:rsid w:val="00C56E53"/>
    <w:rsid w:val="00C57875"/>
    <w:rsid w:val="00C77272"/>
    <w:rsid w:val="00C81210"/>
    <w:rsid w:val="00C84759"/>
    <w:rsid w:val="00C930FC"/>
    <w:rsid w:val="00CA2218"/>
    <w:rsid w:val="00CA2E9E"/>
    <w:rsid w:val="00CA5CA9"/>
    <w:rsid w:val="00CA6C7F"/>
    <w:rsid w:val="00CA7C77"/>
    <w:rsid w:val="00CC10A6"/>
    <w:rsid w:val="00CC2C89"/>
    <w:rsid w:val="00CC3A86"/>
    <w:rsid w:val="00CD1B6C"/>
    <w:rsid w:val="00CD3AFA"/>
    <w:rsid w:val="00CD5EB8"/>
    <w:rsid w:val="00CD7044"/>
    <w:rsid w:val="00CE08B9"/>
    <w:rsid w:val="00CE524C"/>
    <w:rsid w:val="00CF141F"/>
    <w:rsid w:val="00CF17AD"/>
    <w:rsid w:val="00CF4777"/>
    <w:rsid w:val="00D00CDF"/>
    <w:rsid w:val="00D067BB"/>
    <w:rsid w:val="00D1003D"/>
    <w:rsid w:val="00D1352A"/>
    <w:rsid w:val="00D169AF"/>
    <w:rsid w:val="00D2186E"/>
    <w:rsid w:val="00D22839"/>
    <w:rsid w:val="00D231E0"/>
    <w:rsid w:val="00D25249"/>
    <w:rsid w:val="00D25F9B"/>
    <w:rsid w:val="00D366DB"/>
    <w:rsid w:val="00D36B6D"/>
    <w:rsid w:val="00D41DE0"/>
    <w:rsid w:val="00D44172"/>
    <w:rsid w:val="00D63B8C"/>
    <w:rsid w:val="00D64909"/>
    <w:rsid w:val="00D65DDD"/>
    <w:rsid w:val="00D663CA"/>
    <w:rsid w:val="00D67AEC"/>
    <w:rsid w:val="00D67EE2"/>
    <w:rsid w:val="00D739CC"/>
    <w:rsid w:val="00D75FF9"/>
    <w:rsid w:val="00D8093D"/>
    <w:rsid w:val="00D8108C"/>
    <w:rsid w:val="00D842AE"/>
    <w:rsid w:val="00D859C9"/>
    <w:rsid w:val="00D9211C"/>
    <w:rsid w:val="00D92DE0"/>
    <w:rsid w:val="00D92FEF"/>
    <w:rsid w:val="00D93A0F"/>
    <w:rsid w:val="00D958F1"/>
    <w:rsid w:val="00D959FB"/>
    <w:rsid w:val="00DA0657"/>
    <w:rsid w:val="00DA1806"/>
    <w:rsid w:val="00DA1BCA"/>
    <w:rsid w:val="00DB1930"/>
    <w:rsid w:val="00DB5CF3"/>
    <w:rsid w:val="00DC46FF"/>
    <w:rsid w:val="00DC5254"/>
    <w:rsid w:val="00DC569D"/>
    <w:rsid w:val="00DC57E3"/>
    <w:rsid w:val="00DD1A4F"/>
    <w:rsid w:val="00DD3107"/>
    <w:rsid w:val="00DD7C2C"/>
    <w:rsid w:val="00DE1E90"/>
    <w:rsid w:val="00DF05C9"/>
    <w:rsid w:val="00E0035A"/>
    <w:rsid w:val="00E06797"/>
    <w:rsid w:val="00E1100B"/>
    <w:rsid w:val="00E1265B"/>
    <w:rsid w:val="00E13B48"/>
    <w:rsid w:val="00E1404F"/>
    <w:rsid w:val="00E20162"/>
    <w:rsid w:val="00E21C83"/>
    <w:rsid w:val="00E24ADA"/>
    <w:rsid w:val="00E3295C"/>
    <w:rsid w:val="00E32F59"/>
    <w:rsid w:val="00E34EF3"/>
    <w:rsid w:val="00E46D9A"/>
    <w:rsid w:val="00E5168E"/>
    <w:rsid w:val="00E565FF"/>
    <w:rsid w:val="00E60AA4"/>
    <w:rsid w:val="00E65388"/>
    <w:rsid w:val="00E73547"/>
    <w:rsid w:val="00E74E08"/>
    <w:rsid w:val="00E761D8"/>
    <w:rsid w:val="00E76CD8"/>
    <w:rsid w:val="00E83B4B"/>
    <w:rsid w:val="00E85B7D"/>
    <w:rsid w:val="00E9121B"/>
    <w:rsid w:val="00E955C7"/>
    <w:rsid w:val="00EA0AE2"/>
    <w:rsid w:val="00EA39E5"/>
    <w:rsid w:val="00EB02FD"/>
    <w:rsid w:val="00EB44AC"/>
    <w:rsid w:val="00EC2813"/>
    <w:rsid w:val="00EC5A46"/>
    <w:rsid w:val="00EC63E2"/>
    <w:rsid w:val="00ED366A"/>
    <w:rsid w:val="00ED73D0"/>
    <w:rsid w:val="00EE49A2"/>
    <w:rsid w:val="00EE76DF"/>
    <w:rsid w:val="00EF22B3"/>
    <w:rsid w:val="00F02852"/>
    <w:rsid w:val="00F03B69"/>
    <w:rsid w:val="00F0517D"/>
    <w:rsid w:val="00F07A50"/>
    <w:rsid w:val="00F113DA"/>
    <w:rsid w:val="00F275A5"/>
    <w:rsid w:val="00F3465A"/>
    <w:rsid w:val="00F346D7"/>
    <w:rsid w:val="00F37DC8"/>
    <w:rsid w:val="00F439B3"/>
    <w:rsid w:val="00F5014A"/>
    <w:rsid w:val="00F60A86"/>
    <w:rsid w:val="00F650C3"/>
    <w:rsid w:val="00F65D85"/>
    <w:rsid w:val="00F72F81"/>
    <w:rsid w:val="00F74705"/>
    <w:rsid w:val="00F8091E"/>
    <w:rsid w:val="00F8615C"/>
    <w:rsid w:val="00F90F23"/>
    <w:rsid w:val="00F93368"/>
    <w:rsid w:val="00F952F6"/>
    <w:rsid w:val="00F95449"/>
    <w:rsid w:val="00F969E5"/>
    <w:rsid w:val="00FA079C"/>
    <w:rsid w:val="00FA3BBC"/>
    <w:rsid w:val="00FA6BB0"/>
    <w:rsid w:val="00FB0ED5"/>
    <w:rsid w:val="00FB4A27"/>
    <w:rsid w:val="00FB592F"/>
    <w:rsid w:val="00FB7891"/>
    <w:rsid w:val="00FD06AC"/>
    <w:rsid w:val="00FD211D"/>
    <w:rsid w:val="00FD5860"/>
    <w:rsid w:val="00FE1280"/>
    <w:rsid w:val="00FE352D"/>
    <w:rsid w:val="00FE40EB"/>
    <w:rsid w:val="00FE4D02"/>
    <w:rsid w:val="00FE7D62"/>
    <w:rsid w:val="00FF36F6"/>
    <w:rsid w:val="00FF3819"/>
    <w:rsid w:val="00FF5AD4"/>
    <w:rsid w:val="00FF5D54"/>
    <w:rsid w:val="00FF690E"/>
  </w:rsids>
  <m:mathPr>
    <m:mathFont m:val="Cambria Math"/>
    <m:brkBin m:val="before"/>
    <m:brkBinSub m:val="--"/>
    <m:smallFrac/>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2E4E"/>
    <w:pPr>
      <w:tabs>
        <w:tab w:val="left" w:pos="1247"/>
        <w:tab w:val="left" w:pos="1814"/>
        <w:tab w:val="left" w:pos="2381"/>
        <w:tab w:val="left" w:pos="2948"/>
        <w:tab w:val="left" w:pos="3515"/>
      </w:tabs>
    </w:pPr>
    <w:rPr>
      <w:lang w:val="en-GB"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rsid w:val="00160D74"/>
    <w:pPr>
      <w:tabs>
        <w:tab w:val="left" w:pos="1247"/>
        <w:tab w:val="left" w:pos="1814"/>
        <w:tab w:val="left" w:pos="2381"/>
        <w:tab w:val="left" w:pos="2948"/>
        <w:tab w:val="left" w:pos="3515"/>
        <w:tab w:val="left" w:pos="4082"/>
      </w:tabs>
    </w:pPr>
    <w:rPr>
      <w:lang w:val="en-GB" w:eastAsia="en-US"/>
    </w:rPr>
  </w:style>
  <w:style w:type="character" w:styleId="FootnoteReference">
    <w:name w:val="footnote reference"/>
    <w:semiHidden/>
    <w:rsid w:val="000D6941"/>
    <w:rPr>
      <w:rFonts w:ascii="Times New Roman" w:hAnsi="Times New Roman"/>
      <w:color w:val="auto"/>
      <w:sz w:val="20"/>
      <w:szCs w:val="18"/>
      <w:vertAlign w:val="superscript"/>
    </w:rPr>
  </w:style>
  <w:style w:type="paragraph" w:styleId="FootnoteText">
    <w:name w:val="footnote text"/>
    <w:basedOn w:val="Normalpool"/>
    <w:link w:val="FootnoteTextChar"/>
    <w:semiHidden/>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Autospacing="0" w:afterLines="0" w:afterAutospacing="0"/>
        <w:contextualSpacing w:val="0"/>
        <w:jc w:val="left"/>
      </w:pPr>
      <w:rPr>
        <w:rFonts w:ascii="Symbol" w:hAnsi="Symbol"/>
        <w:b/>
        <w:i w:val="0"/>
        <w:caps/>
        <w:smallCaps w:val="0"/>
        <w:color w:val="auto"/>
        <w:sz w:val="27"/>
        <w:szCs w:val="27"/>
      </w:rPr>
    </w:tblStylePr>
    <w:tblStylePr w:type="lastRow">
      <w:pPr>
        <w:wordWrap/>
        <w:spacing w:afterLines="0" w:afterAutospacing="0"/>
        <w:ind w:rightChars="0" w:right="567"/>
      </w:pPr>
      <w:rPr>
        <w:rFonts w:ascii="Symbol" w:hAnsi="Symbo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Symbol" w:hAnsi="Symbol"/>
        <w:b/>
        <w:i w:val="0"/>
        <w:color w:val="auto"/>
        <w:sz w:val="64"/>
        <w:szCs w:val="64"/>
      </w:rPr>
    </w:tblStylePr>
    <w:tblStylePr w:type="nwCell">
      <w:rPr>
        <w:rFonts w:ascii="Symbol" w:hAnsi="Symbo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160D74"/>
    <w:pPr>
      <w:numPr>
        <w:numId w:val="4"/>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Caption">
    <w:name w:val="caption"/>
    <w:basedOn w:val="Normal"/>
    <w:next w:val="Normal"/>
    <w:qFormat/>
    <w:rsid w:val="00DF05C9"/>
    <w:pPr>
      <w:widowControl w:val="0"/>
      <w:tabs>
        <w:tab w:val="clear" w:pos="1247"/>
        <w:tab w:val="clear" w:pos="1814"/>
        <w:tab w:val="clear" w:pos="2381"/>
        <w:tab w:val="clear" w:pos="2948"/>
        <w:tab w:val="clear" w:pos="3515"/>
      </w:tabs>
    </w:pPr>
    <w:rPr>
      <w:snapToGrid w:val="0"/>
      <w:sz w:val="24"/>
    </w:rPr>
  </w:style>
  <w:style w:type="character" w:customStyle="1" w:styleId="CH3Char">
    <w:name w:val="CH3 Char"/>
    <w:link w:val="CH3"/>
    <w:rsid w:val="00DF05C9"/>
    <w:rPr>
      <w:b/>
      <w:lang w:eastAsia="en-US"/>
    </w:rPr>
  </w:style>
  <w:style w:type="character" w:customStyle="1" w:styleId="FootnoteTextChar">
    <w:name w:val="Footnote Text Char"/>
    <w:link w:val="FootnoteText"/>
    <w:semiHidden/>
    <w:rsid w:val="00DF05C9"/>
    <w:rPr>
      <w:sz w:val="18"/>
      <w:lang w:val="fr-FR" w:eastAsia="en-US"/>
    </w:rPr>
  </w:style>
  <w:style w:type="paragraph" w:customStyle="1" w:styleId="Style10ptLeft043Firstline043After6pt">
    <w:name w:val="Style 10 pt Left:  0.43&quot; First line:  0.43&quot; After:  6 pt"/>
    <w:basedOn w:val="Normal"/>
    <w:uiPriority w:val="99"/>
    <w:rsid w:val="00DF05C9"/>
    <w:pPr>
      <w:tabs>
        <w:tab w:val="clear" w:pos="1247"/>
        <w:tab w:val="clear" w:pos="1814"/>
        <w:tab w:val="clear" w:pos="2381"/>
        <w:tab w:val="clear" w:pos="2948"/>
        <w:tab w:val="clear" w:pos="3515"/>
      </w:tabs>
      <w:spacing w:after="120"/>
      <w:ind w:left="1260" w:hanging="17"/>
    </w:pPr>
    <w:rPr>
      <w:sz w:val="24"/>
    </w:rPr>
  </w:style>
  <w:style w:type="paragraph" w:styleId="BodyTextIndent">
    <w:name w:val="Body Text Indent"/>
    <w:basedOn w:val="Normal"/>
    <w:link w:val="BodyTextIndentChar"/>
    <w:rsid w:val="00DF05C9"/>
    <w:pPr>
      <w:tabs>
        <w:tab w:val="clear" w:pos="1247"/>
        <w:tab w:val="clear" w:pos="1814"/>
        <w:tab w:val="clear" w:pos="2381"/>
        <w:tab w:val="clear" w:pos="2948"/>
        <w:tab w:val="clear" w:pos="3515"/>
      </w:tabs>
      <w:spacing w:after="120"/>
      <w:ind w:left="360"/>
    </w:pPr>
    <w:rPr>
      <w:sz w:val="24"/>
    </w:rPr>
  </w:style>
  <w:style w:type="character" w:customStyle="1" w:styleId="BodyTextIndentChar">
    <w:name w:val="Body Text Indent Char"/>
    <w:link w:val="BodyTextIndent"/>
    <w:rsid w:val="00DF05C9"/>
    <w:rPr>
      <w:sz w:val="24"/>
      <w:lang w:eastAsia="en-US"/>
    </w:rPr>
  </w:style>
  <w:style w:type="character" w:customStyle="1" w:styleId="CH2Char">
    <w:name w:val="CH2 Char"/>
    <w:link w:val="CH2"/>
    <w:rsid w:val="00DF05C9"/>
    <w:rPr>
      <w:b/>
      <w:sz w:val="24"/>
      <w:szCs w:val="24"/>
      <w:lang w:eastAsia="en-US"/>
    </w:rPr>
  </w:style>
  <w:style w:type="character" w:customStyle="1" w:styleId="ZZAnxtitleChar">
    <w:name w:val="ZZ_Anx_title Char"/>
    <w:link w:val="ZZAnxtitle"/>
    <w:rsid w:val="00DF05C9"/>
    <w:rPr>
      <w:b/>
      <w:bCs/>
      <w:sz w:val="28"/>
      <w:szCs w:val="26"/>
      <w:lang w:eastAsia="en-US"/>
    </w:rPr>
  </w:style>
  <w:style w:type="paragraph" w:customStyle="1" w:styleId="Default">
    <w:name w:val="Default"/>
    <w:rsid w:val="00960460"/>
    <w:pPr>
      <w:autoSpaceDE w:val="0"/>
      <w:autoSpaceDN w:val="0"/>
      <w:adjustRightInd w:val="0"/>
    </w:pPr>
    <w:rPr>
      <w:color w:val="000000"/>
      <w:sz w:val="24"/>
      <w:szCs w:val="24"/>
      <w:lang w:val="en-GB" w:eastAsia="zh-CN"/>
    </w:rPr>
  </w:style>
  <w:style w:type="paragraph" w:customStyle="1" w:styleId="Listamulticolor-nfasis11">
    <w:name w:val="Lista multicolor - Énfasis 11"/>
    <w:basedOn w:val="Normal"/>
    <w:uiPriority w:val="72"/>
    <w:rsid w:val="00814A69"/>
    <w:pPr>
      <w:ind w:left="720"/>
      <w:contextualSpacing/>
    </w:pPr>
  </w:style>
  <w:style w:type="paragraph" w:customStyle="1" w:styleId="Sombreadomulticolor-nfasis11">
    <w:name w:val="Sombreado multicolor - Énfasis 11"/>
    <w:hidden/>
    <w:uiPriority w:val="71"/>
    <w:rsid w:val="00934688"/>
    <w:rPr>
      <w:lang w:val="en-GB" w:eastAsia="en-US"/>
    </w:rPr>
  </w:style>
  <w:style w:type="character" w:customStyle="1" w:styleId="FooterChar">
    <w:name w:val="Footer Char"/>
    <w:link w:val="Footer"/>
    <w:uiPriority w:val="99"/>
    <w:rsid w:val="00305DBD"/>
    <w:rPr>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2E4E"/>
    <w:pPr>
      <w:tabs>
        <w:tab w:val="left" w:pos="1247"/>
        <w:tab w:val="left" w:pos="1814"/>
        <w:tab w:val="left" w:pos="2381"/>
        <w:tab w:val="left" w:pos="2948"/>
        <w:tab w:val="left" w:pos="3515"/>
      </w:tabs>
    </w:pPr>
    <w:rPr>
      <w:lang w:val="en-GB"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rsid w:val="00160D74"/>
    <w:pPr>
      <w:tabs>
        <w:tab w:val="left" w:pos="1247"/>
        <w:tab w:val="left" w:pos="1814"/>
        <w:tab w:val="left" w:pos="2381"/>
        <w:tab w:val="left" w:pos="2948"/>
        <w:tab w:val="left" w:pos="3515"/>
        <w:tab w:val="left" w:pos="4082"/>
      </w:tabs>
    </w:pPr>
    <w:rPr>
      <w:lang w:val="en-GB" w:eastAsia="en-US"/>
    </w:rPr>
  </w:style>
  <w:style w:type="character" w:styleId="FootnoteReference">
    <w:name w:val="footnote reference"/>
    <w:semiHidden/>
    <w:rsid w:val="000D6941"/>
    <w:rPr>
      <w:rFonts w:ascii="Times New Roman" w:hAnsi="Times New Roman"/>
      <w:color w:val="auto"/>
      <w:sz w:val="20"/>
      <w:szCs w:val="18"/>
      <w:vertAlign w:val="superscript"/>
    </w:rPr>
  </w:style>
  <w:style w:type="paragraph" w:styleId="FootnoteText">
    <w:name w:val="footnote text"/>
    <w:basedOn w:val="Normalpool"/>
    <w:link w:val="FootnoteTextChar"/>
    <w:semiHidden/>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Autospacing="0" w:afterLines="0" w:afterAutospacing="0"/>
        <w:contextualSpacing w:val="0"/>
        <w:jc w:val="left"/>
      </w:pPr>
      <w:rPr>
        <w:rFonts w:ascii="Symbol" w:hAnsi="Symbol"/>
        <w:b/>
        <w:i w:val="0"/>
        <w:caps/>
        <w:smallCaps w:val="0"/>
        <w:color w:val="auto"/>
        <w:sz w:val="27"/>
        <w:szCs w:val="27"/>
      </w:rPr>
    </w:tblStylePr>
    <w:tblStylePr w:type="lastRow">
      <w:pPr>
        <w:wordWrap/>
        <w:spacing w:afterLines="0" w:afterAutospacing="0"/>
        <w:ind w:rightChars="0" w:right="567"/>
      </w:pPr>
      <w:rPr>
        <w:rFonts w:ascii="Symbol" w:hAnsi="Symbo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Symbol" w:hAnsi="Symbol"/>
        <w:b/>
        <w:i w:val="0"/>
        <w:color w:val="auto"/>
        <w:sz w:val="64"/>
        <w:szCs w:val="64"/>
      </w:rPr>
    </w:tblStylePr>
    <w:tblStylePr w:type="nwCell">
      <w:rPr>
        <w:rFonts w:ascii="Symbol" w:hAnsi="Symbo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160D74"/>
    <w:pPr>
      <w:numPr>
        <w:numId w:val="4"/>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Caption">
    <w:name w:val="caption"/>
    <w:basedOn w:val="Normal"/>
    <w:next w:val="Normal"/>
    <w:qFormat/>
    <w:rsid w:val="00DF05C9"/>
    <w:pPr>
      <w:widowControl w:val="0"/>
      <w:tabs>
        <w:tab w:val="clear" w:pos="1247"/>
        <w:tab w:val="clear" w:pos="1814"/>
        <w:tab w:val="clear" w:pos="2381"/>
        <w:tab w:val="clear" w:pos="2948"/>
        <w:tab w:val="clear" w:pos="3515"/>
      </w:tabs>
    </w:pPr>
    <w:rPr>
      <w:snapToGrid w:val="0"/>
      <w:sz w:val="24"/>
    </w:rPr>
  </w:style>
  <w:style w:type="character" w:customStyle="1" w:styleId="CH3Char">
    <w:name w:val="CH3 Char"/>
    <w:link w:val="CH3"/>
    <w:rsid w:val="00DF05C9"/>
    <w:rPr>
      <w:b/>
      <w:lang w:eastAsia="en-US"/>
    </w:rPr>
  </w:style>
  <w:style w:type="character" w:customStyle="1" w:styleId="FootnoteTextChar">
    <w:name w:val="Footnote Text Char"/>
    <w:link w:val="FootnoteText"/>
    <w:semiHidden/>
    <w:rsid w:val="00DF05C9"/>
    <w:rPr>
      <w:sz w:val="18"/>
      <w:lang w:val="fr-FR" w:eastAsia="en-US"/>
    </w:rPr>
  </w:style>
  <w:style w:type="paragraph" w:customStyle="1" w:styleId="Style10ptLeft043Firstline043After6pt">
    <w:name w:val="Style 10 pt Left:  0.43&quot; First line:  0.43&quot; After:  6 pt"/>
    <w:basedOn w:val="Normal"/>
    <w:uiPriority w:val="99"/>
    <w:rsid w:val="00DF05C9"/>
    <w:pPr>
      <w:tabs>
        <w:tab w:val="clear" w:pos="1247"/>
        <w:tab w:val="clear" w:pos="1814"/>
        <w:tab w:val="clear" w:pos="2381"/>
        <w:tab w:val="clear" w:pos="2948"/>
        <w:tab w:val="clear" w:pos="3515"/>
      </w:tabs>
      <w:spacing w:after="120"/>
      <w:ind w:left="1260" w:hanging="17"/>
    </w:pPr>
    <w:rPr>
      <w:sz w:val="24"/>
    </w:rPr>
  </w:style>
  <w:style w:type="paragraph" w:styleId="BodyTextIndent">
    <w:name w:val="Body Text Indent"/>
    <w:basedOn w:val="Normal"/>
    <w:link w:val="BodyTextIndentChar"/>
    <w:rsid w:val="00DF05C9"/>
    <w:pPr>
      <w:tabs>
        <w:tab w:val="clear" w:pos="1247"/>
        <w:tab w:val="clear" w:pos="1814"/>
        <w:tab w:val="clear" w:pos="2381"/>
        <w:tab w:val="clear" w:pos="2948"/>
        <w:tab w:val="clear" w:pos="3515"/>
      </w:tabs>
      <w:spacing w:after="120"/>
      <w:ind w:left="360"/>
    </w:pPr>
    <w:rPr>
      <w:sz w:val="24"/>
    </w:rPr>
  </w:style>
  <w:style w:type="character" w:customStyle="1" w:styleId="BodyTextIndentChar">
    <w:name w:val="Body Text Indent Char"/>
    <w:link w:val="BodyTextIndent"/>
    <w:rsid w:val="00DF05C9"/>
    <w:rPr>
      <w:sz w:val="24"/>
      <w:lang w:eastAsia="en-US"/>
    </w:rPr>
  </w:style>
  <w:style w:type="character" w:customStyle="1" w:styleId="CH2Char">
    <w:name w:val="CH2 Char"/>
    <w:link w:val="CH2"/>
    <w:rsid w:val="00DF05C9"/>
    <w:rPr>
      <w:b/>
      <w:sz w:val="24"/>
      <w:szCs w:val="24"/>
      <w:lang w:eastAsia="en-US"/>
    </w:rPr>
  </w:style>
  <w:style w:type="character" w:customStyle="1" w:styleId="ZZAnxtitleChar">
    <w:name w:val="ZZ_Anx_title Char"/>
    <w:link w:val="ZZAnxtitle"/>
    <w:rsid w:val="00DF05C9"/>
    <w:rPr>
      <w:b/>
      <w:bCs/>
      <w:sz w:val="28"/>
      <w:szCs w:val="26"/>
      <w:lang w:eastAsia="en-US"/>
    </w:rPr>
  </w:style>
  <w:style w:type="paragraph" w:customStyle="1" w:styleId="Default">
    <w:name w:val="Default"/>
    <w:rsid w:val="00960460"/>
    <w:pPr>
      <w:autoSpaceDE w:val="0"/>
      <w:autoSpaceDN w:val="0"/>
      <w:adjustRightInd w:val="0"/>
    </w:pPr>
    <w:rPr>
      <w:color w:val="000000"/>
      <w:sz w:val="24"/>
      <w:szCs w:val="24"/>
      <w:lang w:val="en-GB" w:eastAsia="zh-CN"/>
    </w:rPr>
  </w:style>
  <w:style w:type="paragraph" w:customStyle="1" w:styleId="Listamulticolor-nfasis11">
    <w:name w:val="Lista multicolor - Énfasis 11"/>
    <w:basedOn w:val="Normal"/>
    <w:uiPriority w:val="72"/>
    <w:rsid w:val="00814A69"/>
    <w:pPr>
      <w:ind w:left="720"/>
      <w:contextualSpacing/>
    </w:pPr>
  </w:style>
  <w:style w:type="paragraph" w:customStyle="1" w:styleId="Sombreadomulticolor-nfasis11">
    <w:name w:val="Sombreado multicolor - Énfasis 11"/>
    <w:hidden/>
    <w:uiPriority w:val="71"/>
    <w:rsid w:val="00934688"/>
    <w:rPr>
      <w:lang w:val="en-GB" w:eastAsia="en-US"/>
    </w:rPr>
  </w:style>
  <w:style w:type="character" w:customStyle="1" w:styleId="FooterChar">
    <w:name w:val="Footer Char"/>
    <w:link w:val="Footer"/>
    <w:uiPriority w:val="99"/>
    <w:rsid w:val="00305DBD"/>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FF079-06DD-4B9D-A6A4-3A2A03F9BCA3}">
  <ds:schemaRefs>
    <ds:schemaRef ds:uri="http://schemas.openxmlformats.org/officeDocument/2006/bibliography"/>
  </ds:schemaRefs>
</ds:datastoreItem>
</file>

<file path=customXml/itemProps2.xml><?xml version="1.0" encoding="utf-8"?>
<ds:datastoreItem xmlns:ds="http://schemas.openxmlformats.org/officeDocument/2006/customXml" ds:itemID="{5463868D-AB70-48D9-9970-EC9A80687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2341</Words>
  <Characters>13346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15656</CharactersWithSpaces>
  <SharedDoc>false</SharedDoc>
  <HLinks>
    <vt:vector size="6" baseType="variant">
      <vt:variant>
        <vt:i4>2162815</vt:i4>
      </vt:variant>
      <vt:variant>
        <vt:i4>3</vt:i4>
      </vt:variant>
      <vt:variant>
        <vt:i4>0</vt:i4>
      </vt:variant>
      <vt:variant>
        <vt:i4>5</vt:i4>
      </vt:variant>
      <vt:variant>
        <vt:lpwstr>http://mercuryconvention.org/Negotiations/INC7/INC7submissions/tabid/4754/Default.aspx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mbauj</dc:creator>
  <cp:lastModifiedBy>LOGAN</cp:lastModifiedBy>
  <cp:revision>2</cp:revision>
  <cp:lastPrinted>2015-12-31T07:38:00Z</cp:lastPrinted>
  <dcterms:created xsi:type="dcterms:W3CDTF">2016-02-02T10:13:00Z</dcterms:created>
  <dcterms:modified xsi:type="dcterms:W3CDTF">2016-02-02T10:13:00Z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vicente.ubeda fernandez</vt:lpwstr>
  </property>
  <property fmtid="{D5CDD505-2E9C-101B-9397-08002B2CF9AE}" pid="4" name="GeneratedDate">
    <vt:lpwstr>12/23/2015 10:39:44 AM</vt:lpwstr>
  </property>
  <property fmtid="{D5CDD505-2E9C-101B-9397-08002B2CF9AE}" pid="5" name="OriginalDocID">
    <vt:lpwstr>b710d0d7-9e45-432f-8607-b52b8c129b37</vt:lpwstr>
  </property>
</Properties>
</file>