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860140" w:rsidTr="00860140">
        <w:trPr>
          <w:cantSplit/>
          <w:trHeight w:val="850"/>
          <w:jc w:val="right"/>
        </w:trPr>
        <w:tc>
          <w:tcPr>
            <w:tcW w:w="1550" w:type="dxa"/>
          </w:tcPr>
          <w:p w:rsidR="00032E4E" w:rsidRPr="00860140" w:rsidRDefault="00860140" w:rsidP="00860140">
            <w:pPr>
              <w:rPr>
                <w:rFonts w:ascii="Univers" w:hAnsi="Univers"/>
                <w:b/>
                <w:noProof/>
                <w:sz w:val="27"/>
                <w:szCs w:val="27"/>
                <w:lang w:val="fr-FR"/>
              </w:rPr>
            </w:pPr>
            <w:bookmarkStart w:id="0" w:name="_GoBack"/>
            <w:bookmarkEnd w:id="0"/>
            <w:r>
              <w:rPr>
                <w:rFonts w:ascii="Arial" w:hAnsi="Arial" w:cs="Arial"/>
                <w:b/>
                <w:noProof/>
                <w:sz w:val="27"/>
                <w:szCs w:val="27"/>
                <w:lang w:val="fr-FR"/>
              </w:rPr>
              <w:t>NATIONS</w:t>
            </w:r>
            <w:r w:rsidR="00032E4E" w:rsidRPr="00860140">
              <w:rPr>
                <w:rFonts w:ascii="Arial" w:hAnsi="Arial" w:cs="Arial"/>
                <w:b/>
                <w:noProof/>
                <w:sz w:val="27"/>
                <w:szCs w:val="27"/>
                <w:lang w:val="fr-FR"/>
              </w:rPr>
              <w:br/>
            </w:r>
            <w:r>
              <w:rPr>
                <w:rFonts w:ascii="Arial" w:hAnsi="Arial" w:cs="Arial"/>
                <w:b/>
                <w:noProof/>
                <w:sz w:val="27"/>
                <w:szCs w:val="27"/>
                <w:lang w:val="fr-FR"/>
              </w:rPr>
              <w:t>UNIES</w:t>
            </w:r>
          </w:p>
        </w:tc>
        <w:tc>
          <w:tcPr>
            <w:tcW w:w="4751" w:type="dxa"/>
          </w:tcPr>
          <w:p w:rsidR="00032E4E" w:rsidRPr="00860140" w:rsidRDefault="00032E4E" w:rsidP="00023DA9">
            <w:pPr>
              <w:rPr>
                <w:rFonts w:ascii="Univers" w:hAnsi="Univers"/>
                <w:b/>
                <w:sz w:val="27"/>
                <w:szCs w:val="27"/>
                <w:lang w:val="fr-FR"/>
              </w:rPr>
            </w:pPr>
          </w:p>
        </w:tc>
        <w:tc>
          <w:tcPr>
            <w:tcW w:w="3411" w:type="dxa"/>
          </w:tcPr>
          <w:p w:rsidR="00032E4E" w:rsidRPr="00860140" w:rsidRDefault="00032E4E" w:rsidP="00023DA9">
            <w:pPr>
              <w:jc w:val="right"/>
              <w:rPr>
                <w:rFonts w:ascii="Arial" w:hAnsi="Arial" w:cs="Arial"/>
                <w:b/>
                <w:sz w:val="64"/>
                <w:szCs w:val="64"/>
                <w:lang w:val="fr-FR"/>
              </w:rPr>
            </w:pPr>
            <w:r w:rsidRPr="00860140">
              <w:rPr>
                <w:rFonts w:ascii="Arial" w:hAnsi="Arial" w:cs="Arial"/>
                <w:b/>
                <w:sz w:val="64"/>
                <w:szCs w:val="64"/>
                <w:lang w:val="fr-FR"/>
              </w:rPr>
              <w:t>EP</w:t>
            </w:r>
          </w:p>
        </w:tc>
      </w:tr>
      <w:tr w:rsidR="00032E4E" w:rsidRPr="00860140" w:rsidTr="00860140">
        <w:trPr>
          <w:cantSplit/>
          <w:trHeight w:val="281"/>
          <w:jc w:val="right"/>
        </w:trPr>
        <w:tc>
          <w:tcPr>
            <w:tcW w:w="1550" w:type="dxa"/>
            <w:tcBorders>
              <w:bottom w:val="single" w:sz="4" w:space="0" w:color="auto"/>
            </w:tcBorders>
          </w:tcPr>
          <w:p w:rsidR="00032E4E" w:rsidRPr="00860140" w:rsidRDefault="00032E4E" w:rsidP="00023DA9">
            <w:pPr>
              <w:rPr>
                <w:noProof/>
                <w:sz w:val="18"/>
                <w:szCs w:val="18"/>
                <w:lang w:val="fr-FR"/>
              </w:rPr>
            </w:pPr>
          </w:p>
        </w:tc>
        <w:tc>
          <w:tcPr>
            <w:tcW w:w="4751" w:type="dxa"/>
            <w:tcBorders>
              <w:bottom w:val="single" w:sz="4" w:space="0" w:color="auto"/>
            </w:tcBorders>
          </w:tcPr>
          <w:p w:rsidR="00032E4E" w:rsidRPr="00860140" w:rsidRDefault="00032E4E" w:rsidP="00023DA9">
            <w:pPr>
              <w:rPr>
                <w:rFonts w:ascii="Univers" w:hAnsi="Univers"/>
                <w:b/>
                <w:sz w:val="18"/>
                <w:szCs w:val="18"/>
                <w:lang w:val="fr-FR"/>
              </w:rPr>
            </w:pPr>
          </w:p>
        </w:tc>
        <w:tc>
          <w:tcPr>
            <w:tcW w:w="3411" w:type="dxa"/>
            <w:tcBorders>
              <w:bottom w:val="single" w:sz="4" w:space="0" w:color="auto"/>
            </w:tcBorders>
          </w:tcPr>
          <w:p w:rsidR="00032E4E" w:rsidRPr="00860140" w:rsidRDefault="00032E4E" w:rsidP="00377217">
            <w:pPr>
              <w:rPr>
                <w:noProof/>
                <w:sz w:val="18"/>
                <w:szCs w:val="18"/>
                <w:lang w:val="fr-FR"/>
              </w:rPr>
            </w:pPr>
            <w:r w:rsidRPr="00860140">
              <w:rPr>
                <w:b/>
                <w:bCs/>
                <w:sz w:val="28"/>
                <w:lang w:val="fr-FR"/>
              </w:rPr>
              <w:t>UNEP</w:t>
            </w:r>
            <w:r w:rsidRPr="00860140">
              <w:rPr>
                <w:lang w:val="fr-FR"/>
              </w:rPr>
              <w:t>(DTIE)/</w:t>
            </w:r>
            <w:bookmarkStart w:id="1" w:name="OLE_LINK1"/>
            <w:bookmarkStart w:id="2" w:name="OLE_LINK2"/>
            <w:r w:rsidRPr="00860140">
              <w:rPr>
                <w:lang w:val="fr-FR"/>
              </w:rPr>
              <w:t>Hg/</w:t>
            </w:r>
            <w:bookmarkEnd w:id="1"/>
            <w:bookmarkEnd w:id="2"/>
            <w:r w:rsidRPr="00860140">
              <w:rPr>
                <w:lang w:val="fr-FR"/>
              </w:rPr>
              <w:t>INC.</w:t>
            </w:r>
            <w:r w:rsidR="00E976AB" w:rsidRPr="00860140">
              <w:rPr>
                <w:lang w:val="fr-FR"/>
              </w:rPr>
              <w:t>7</w:t>
            </w:r>
            <w:r w:rsidRPr="00860140">
              <w:rPr>
                <w:lang w:val="fr-FR"/>
              </w:rPr>
              <w:t>/</w:t>
            </w:r>
            <w:r w:rsidR="00377217" w:rsidRPr="00860140">
              <w:rPr>
                <w:lang w:val="fr-FR"/>
              </w:rPr>
              <w:t>9</w:t>
            </w:r>
          </w:p>
        </w:tc>
      </w:tr>
      <w:bookmarkStart w:id="3" w:name="_MON_1021710482"/>
      <w:bookmarkEnd w:id="3"/>
      <w:bookmarkStart w:id="4" w:name="_MON_1021710510"/>
      <w:bookmarkEnd w:id="4"/>
      <w:tr w:rsidR="00032E4E" w:rsidRPr="009F18DF" w:rsidTr="00860140">
        <w:trPr>
          <w:cantSplit/>
          <w:trHeight w:val="2549"/>
          <w:jc w:val="right"/>
        </w:trPr>
        <w:tc>
          <w:tcPr>
            <w:tcW w:w="1550" w:type="dxa"/>
            <w:tcBorders>
              <w:top w:val="single" w:sz="4" w:space="0" w:color="auto"/>
              <w:bottom w:val="single" w:sz="24" w:space="0" w:color="auto"/>
            </w:tcBorders>
          </w:tcPr>
          <w:p w:rsidR="00032E4E" w:rsidRPr="00860140" w:rsidRDefault="00032E4E" w:rsidP="00023DA9">
            <w:pPr>
              <w:rPr>
                <w:noProof/>
                <w:lang w:val="fr-FR"/>
              </w:rPr>
            </w:pPr>
            <w:r w:rsidRPr="00860140">
              <w:rPr>
                <w:noProof/>
                <w:lang w:val="fr-FR"/>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25pt" o:ole="" fillcolor="window">
                  <v:imagedata r:id="rId9" o:title=""/>
                </v:shape>
                <o:OLEObject Type="Embed" ProgID="Word.Picture.8" ShapeID="_x0000_i1025" DrawAspect="Content" ObjectID="_1516023686" r:id="rId10"/>
              </w:object>
            </w:r>
            <w:r w:rsidR="00185E0C">
              <w:rPr>
                <w:noProof/>
                <w:lang w:eastAsia="zh-CN"/>
              </w:rPr>
              <w:drawing>
                <wp:inline distT="0" distB="0" distL="0" distR="0">
                  <wp:extent cx="721360" cy="761365"/>
                  <wp:effectExtent l="0" t="0" r="2540" b="635"/>
                  <wp:docPr id="2" name="Imag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1360" cy="761365"/>
                          </a:xfrm>
                          <a:prstGeom prst="rect">
                            <a:avLst/>
                          </a:prstGeom>
                          <a:noFill/>
                          <a:ln>
                            <a:noFill/>
                          </a:ln>
                        </pic:spPr>
                      </pic:pic>
                    </a:graphicData>
                  </a:graphic>
                </wp:inline>
              </w:drawing>
            </w:r>
          </w:p>
        </w:tc>
        <w:tc>
          <w:tcPr>
            <w:tcW w:w="4751" w:type="dxa"/>
            <w:tcBorders>
              <w:top w:val="single" w:sz="4" w:space="0" w:color="auto"/>
              <w:bottom w:val="single" w:sz="24" w:space="0" w:color="auto"/>
            </w:tcBorders>
          </w:tcPr>
          <w:p w:rsidR="00032E4E" w:rsidRPr="00860140" w:rsidRDefault="00860140" w:rsidP="00023DA9">
            <w:pPr>
              <w:spacing w:before="1200"/>
              <w:rPr>
                <w:rFonts w:ascii="Arial" w:hAnsi="Arial" w:cs="Arial"/>
                <w:b/>
                <w:sz w:val="28"/>
                <w:lang w:val="fr-FR"/>
              </w:rPr>
            </w:pPr>
            <w:r w:rsidRPr="00860140">
              <w:rPr>
                <w:rFonts w:ascii="Arial" w:hAnsi="Arial" w:cs="Arial"/>
                <w:b/>
                <w:sz w:val="32"/>
                <w:szCs w:val="32"/>
                <w:lang w:val="fr-FR"/>
              </w:rPr>
              <w:t>Programme</w:t>
            </w:r>
            <w:r w:rsidRPr="00860140">
              <w:rPr>
                <w:rFonts w:ascii="Arial" w:hAnsi="Arial" w:cs="Arial"/>
                <w:b/>
                <w:sz w:val="32"/>
                <w:szCs w:val="32"/>
                <w:lang w:val="fr-FR"/>
              </w:rPr>
              <w:br/>
            </w:r>
            <w:r>
              <w:rPr>
                <w:rFonts w:ascii="Arial" w:hAnsi="Arial" w:cs="Arial"/>
                <w:b/>
                <w:sz w:val="32"/>
                <w:szCs w:val="32"/>
                <w:lang w:val="fr-FR"/>
              </w:rPr>
              <w:t>des Nations </w:t>
            </w:r>
            <w:r w:rsidRPr="00860140">
              <w:rPr>
                <w:rFonts w:ascii="Arial" w:hAnsi="Arial" w:cs="Arial"/>
                <w:b/>
                <w:sz w:val="32"/>
                <w:szCs w:val="32"/>
                <w:lang w:val="fr-FR"/>
              </w:rPr>
              <w:t>Unies</w:t>
            </w:r>
            <w:r w:rsidRPr="00860140">
              <w:rPr>
                <w:rFonts w:ascii="Arial" w:hAnsi="Arial" w:cs="Arial"/>
                <w:b/>
                <w:sz w:val="32"/>
                <w:szCs w:val="32"/>
                <w:lang w:val="fr-FR"/>
              </w:rPr>
              <w:br/>
              <w:t>pour l’environnement</w:t>
            </w:r>
          </w:p>
        </w:tc>
        <w:tc>
          <w:tcPr>
            <w:tcW w:w="3411" w:type="dxa"/>
            <w:tcBorders>
              <w:top w:val="single" w:sz="4" w:space="0" w:color="auto"/>
              <w:bottom w:val="single" w:sz="24" w:space="0" w:color="auto"/>
            </w:tcBorders>
          </w:tcPr>
          <w:p w:rsidR="00032E4E" w:rsidRPr="00860140" w:rsidRDefault="00032E4E" w:rsidP="00F429F7">
            <w:pPr>
              <w:spacing w:before="120"/>
              <w:rPr>
                <w:lang w:val="fr-FR"/>
              </w:rPr>
            </w:pPr>
            <w:proofErr w:type="spellStart"/>
            <w:r w:rsidRPr="00860140">
              <w:rPr>
                <w:lang w:val="fr-FR"/>
              </w:rPr>
              <w:t>Distr</w:t>
            </w:r>
            <w:proofErr w:type="spellEnd"/>
            <w:r w:rsidRPr="00860140">
              <w:rPr>
                <w:lang w:val="fr-FR"/>
              </w:rPr>
              <w:t>.</w:t>
            </w:r>
            <w:r w:rsidR="00860140">
              <w:rPr>
                <w:lang w:val="fr-FR"/>
              </w:rPr>
              <w:t> générale</w:t>
            </w:r>
            <w:r w:rsidRPr="00860140">
              <w:rPr>
                <w:lang w:val="fr-FR"/>
              </w:rPr>
              <w:br w:type="textWrapping" w:clear="all"/>
            </w:r>
            <w:r w:rsidR="00377217" w:rsidRPr="00860140">
              <w:rPr>
                <w:lang w:val="fr-FR"/>
              </w:rPr>
              <w:t>17</w:t>
            </w:r>
            <w:r w:rsidR="00860140">
              <w:rPr>
                <w:lang w:val="fr-FR"/>
              </w:rPr>
              <w:t> novembre </w:t>
            </w:r>
            <w:r w:rsidR="00E976AB" w:rsidRPr="00860140">
              <w:rPr>
                <w:lang w:val="fr-FR"/>
              </w:rPr>
              <w:t>2015</w:t>
            </w:r>
          </w:p>
          <w:p w:rsidR="00860140" w:rsidRDefault="00860140" w:rsidP="00860140">
            <w:pPr>
              <w:rPr>
                <w:lang w:val="fr-FR"/>
              </w:rPr>
            </w:pPr>
          </w:p>
          <w:p w:rsidR="00860140" w:rsidRDefault="00860140" w:rsidP="00860140">
            <w:pPr>
              <w:rPr>
                <w:lang w:val="fr-FR"/>
              </w:rPr>
            </w:pPr>
            <w:r>
              <w:rPr>
                <w:lang w:val="fr-FR"/>
              </w:rPr>
              <w:t>Français</w:t>
            </w:r>
          </w:p>
          <w:p w:rsidR="00032E4E" w:rsidRPr="00860140" w:rsidRDefault="00032E4E" w:rsidP="00860140">
            <w:pPr>
              <w:rPr>
                <w:lang w:val="fr-FR"/>
              </w:rPr>
            </w:pPr>
            <w:r w:rsidRPr="00860140">
              <w:rPr>
                <w:lang w:val="fr-FR"/>
              </w:rPr>
              <w:t>Original</w:t>
            </w:r>
            <w:r w:rsidR="00860140">
              <w:rPr>
                <w:lang w:val="fr-FR"/>
              </w:rPr>
              <w:t> </w:t>
            </w:r>
            <w:r w:rsidRPr="00860140">
              <w:rPr>
                <w:lang w:val="fr-FR"/>
              </w:rPr>
              <w:t xml:space="preserve">: </w:t>
            </w:r>
            <w:r w:rsidR="00860140">
              <w:rPr>
                <w:lang w:val="fr-FR"/>
              </w:rPr>
              <w:t>anglais</w:t>
            </w:r>
          </w:p>
        </w:tc>
      </w:tr>
    </w:tbl>
    <w:p w:rsidR="00860140" w:rsidRPr="00860140" w:rsidRDefault="00860140" w:rsidP="00860140">
      <w:pPr>
        <w:pStyle w:val="AATitle"/>
        <w:rPr>
          <w:lang w:val="fr-FR"/>
        </w:rPr>
      </w:pPr>
      <w:r w:rsidRPr="00860140">
        <w:rPr>
          <w:lang w:val="fr-FR"/>
        </w:rPr>
        <w:t>Comité de négociation intergouvernemental</w:t>
      </w:r>
    </w:p>
    <w:p w:rsidR="00860140" w:rsidRPr="00860140" w:rsidRDefault="00860140" w:rsidP="00860140">
      <w:pPr>
        <w:pStyle w:val="AATitle"/>
        <w:rPr>
          <w:lang w:val="fr-FR"/>
        </w:rPr>
      </w:pPr>
      <w:r w:rsidRPr="00860140">
        <w:rPr>
          <w:lang w:val="fr-FR"/>
        </w:rPr>
        <w:t>chargé d’élaborer un instrument international</w:t>
      </w:r>
    </w:p>
    <w:p w:rsidR="00E976AB" w:rsidRPr="00860140" w:rsidRDefault="00860140" w:rsidP="00860140">
      <w:pPr>
        <w:pStyle w:val="AATitle"/>
        <w:keepNext w:val="0"/>
        <w:keepLines w:val="0"/>
        <w:rPr>
          <w:lang w:val="fr-FR"/>
        </w:rPr>
      </w:pPr>
      <w:r w:rsidRPr="00860140">
        <w:rPr>
          <w:lang w:val="fr-FR"/>
        </w:rPr>
        <w:t>juridiquement contraignant sur le mercure</w:t>
      </w:r>
    </w:p>
    <w:p w:rsidR="00E976AB" w:rsidRPr="00860140" w:rsidRDefault="00860140" w:rsidP="00E976AB">
      <w:pPr>
        <w:pStyle w:val="AATitle"/>
        <w:keepNext w:val="0"/>
        <w:keepLines w:val="0"/>
        <w:rPr>
          <w:lang w:val="fr-FR"/>
        </w:rPr>
      </w:pPr>
      <w:r>
        <w:rPr>
          <w:lang w:val="fr-FR"/>
        </w:rPr>
        <w:t>Septième </w:t>
      </w:r>
      <w:r w:rsidR="00E976AB" w:rsidRPr="00860140">
        <w:rPr>
          <w:lang w:val="fr-FR"/>
        </w:rPr>
        <w:t>session</w:t>
      </w:r>
    </w:p>
    <w:p w:rsidR="00E976AB" w:rsidRPr="00860140" w:rsidRDefault="00860140" w:rsidP="00E976AB">
      <w:pPr>
        <w:pStyle w:val="AATitle"/>
        <w:rPr>
          <w:b w:val="0"/>
          <w:lang w:val="fr-FR"/>
        </w:rPr>
      </w:pPr>
      <w:r>
        <w:rPr>
          <w:b w:val="0"/>
          <w:lang w:val="fr-FR"/>
        </w:rPr>
        <w:t>Mer Morte (Jordanie), 10-15 mars </w:t>
      </w:r>
      <w:r w:rsidRPr="00860140">
        <w:rPr>
          <w:b w:val="0"/>
          <w:lang w:val="fr-FR"/>
        </w:rPr>
        <w:t>2016</w:t>
      </w:r>
    </w:p>
    <w:p w:rsidR="00377217" w:rsidRPr="00860140" w:rsidRDefault="00860140" w:rsidP="00377217">
      <w:pPr>
        <w:pStyle w:val="AATitle"/>
        <w:keepNext w:val="0"/>
        <w:keepLines w:val="0"/>
        <w:rPr>
          <w:b w:val="0"/>
          <w:lang w:val="fr-FR"/>
        </w:rPr>
      </w:pPr>
      <w:r>
        <w:rPr>
          <w:b w:val="0"/>
          <w:lang w:val="fr-FR"/>
        </w:rPr>
        <w:t>Point 3 </w:t>
      </w:r>
      <w:r w:rsidR="00377217" w:rsidRPr="00860140">
        <w:rPr>
          <w:b w:val="0"/>
          <w:lang w:val="fr-FR"/>
        </w:rPr>
        <w:t xml:space="preserve">b) </w:t>
      </w:r>
      <w:r>
        <w:rPr>
          <w:b w:val="0"/>
          <w:lang w:val="fr-FR"/>
        </w:rPr>
        <w:t>de l’ordre du jour provisoire</w:t>
      </w:r>
      <w:r w:rsidR="00377217" w:rsidRPr="00860140">
        <w:rPr>
          <w:b w:val="0"/>
          <w:lang w:val="fr-FR"/>
        </w:rPr>
        <w:footnoteReference w:customMarkFollows="1" w:id="1"/>
        <w:t>*</w:t>
      </w:r>
    </w:p>
    <w:p w:rsidR="00377217" w:rsidRPr="00860140" w:rsidRDefault="00860140" w:rsidP="00860140">
      <w:pPr>
        <w:pStyle w:val="AATitle2"/>
        <w:spacing w:before="60"/>
        <w:outlineLvl w:val="0"/>
        <w:rPr>
          <w:lang w:val="fr-FR"/>
        </w:rPr>
      </w:pPr>
      <w:r w:rsidRPr="00860140">
        <w:rPr>
          <w:lang w:val="fr-FR"/>
        </w:rPr>
        <w:t xml:space="preserve">Travaux préparatoires en vue de l’entrée en vigueur </w:t>
      </w:r>
      <w:r w:rsidR="0007575E">
        <w:rPr>
          <w:lang w:val="fr-FR"/>
        </w:rPr>
        <w:br/>
      </w:r>
      <w:r w:rsidRPr="00860140">
        <w:rPr>
          <w:lang w:val="fr-FR"/>
        </w:rPr>
        <w:t xml:space="preserve">de la Convention de Minamata sur le mercure et </w:t>
      </w:r>
      <w:r w:rsidR="0007575E">
        <w:rPr>
          <w:lang w:val="fr-FR"/>
        </w:rPr>
        <w:br/>
      </w:r>
      <w:r w:rsidRPr="00860140">
        <w:rPr>
          <w:lang w:val="fr-FR"/>
        </w:rPr>
        <w:t>de la première</w:t>
      </w:r>
      <w:r>
        <w:rPr>
          <w:lang w:val="fr-FR"/>
        </w:rPr>
        <w:t> </w:t>
      </w:r>
      <w:r w:rsidRPr="00860140">
        <w:rPr>
          <w:lang w:val="fr-FR"/>
        </w:rPr>
        <w:t>réunion de la Confére</w:t>
      </w:r>
      <w:r>
        <w:rPr>
          <w:lang w:val="fr-FR"/>
        </w:rPr>
        <w:t xml:space="preserve">nce des Parties </w:t>
      </w:r>
      <w:r w:rsidR="0007575E">
        <w:rPr>
          <w:lang w:val="fr-FR"/>
        </w:rPr>
        <w:br/>
      </w:r>
      <w:r>
        <w:rPr>
          <w:lang w:val="fr-FR"/>
        </w:rPr>
        <w:t>à la Convention </w:t>
      </w:r>
      <w:r w:rsidR="00377217" w:rsidRPr="00860140">
        <w:rPr>
          <w:lang w:val="fr-FR"/>
        </w:rPr>
        <w:t xml:space="preserve">: </w:t>
      </w:r>
      <w:r>
        <w:rPr>
          <w:lang w:val="fr-FR"/>
        </w:rPr>
        <w:t>q</w:t>
      </w:r>
      <w:r w:rsidRPr="00860140">
        <w:rPr>
          <w:lang w:val="fr-FR"/>
        </w:rPr>
        <w:t xml:space="preserve">uestions qui, conformément </w:t>
      </w:r>
      <w:r w:rsidR="0007575E">
        <w:rPr>
          <w:lang w:val="fr-FR"/>
        </w:rPr>
        <w:br/>
      </w:r>
      <w:r w:rsidRPr="00860140">
        <w:rPr>
          <w:lang w:val="fr-FR"/>
        </w:rPr>
        <w:t>à la Convention, doivent faire l’objet d’une décision</w:t>
      </w:r>
      <w:r>
        <w:rPr>
          <w:lang w:val="fr-FR"/>
        </w:rPr>
        <w:t xml:space="preserve"> </w:t>
      </w:r>
      <w:r w:rsidR="0007575E">
        <w:rPr>
          <w:lang w:val="fr-FR"/>
        </w:rPr>
        <w:br/>
      </w:r>
      <w:r w:rsidRPr="00860140">
        <w:rPr>
          <w:lang w:val="fr-FR"/>
        </w:rPr>
        <w:t>de la Confé</w:t>
      </w:r>
      <w:r>
        <w:rPr>
          <w:lang w:val="fr-FR"/>
        </w:rPr>
        <w:t>rence des Parties à sa première </w:t>
      </w:r>
      <w:r w:rsidRPr="00860140">
        <w:rPr>
          <w:lang w:val="fr-FR"/>
        </w:rPr>
        <w:t>réunion</w:t>
      </w:r>
    </w:p>
    <w:p w:rsidR="00377217" w:rsidRPr="00860140" w:rsidRDefault="00733F9F" w:rsidP="002D7E64">
      <w:pPr>
        <w:pStyle w:val="BBTitle"/>
        <w:spacing w:before="0" w:after="120"/>
        <w:rPr>
          <w:lang w:val="fr-FR"/>
        </w:rPr>
      </w:pPr>
      <w:r>
        <w:rPr>
          <w:lang w:val="fr-FR"/>
        </w:rPr>
        <w:t>Rap</w:t>
      </w:r>
      <w:r w:rsidR="00377217" w:rsidRPr="00860140">
        <w:rPr>
          <w:lang w:val="fr-FR"/>
        </w:rPr>
        <w:t xml:space="preserve">port </w:t>
      </w:r>
      <w:r>
        <w:rPr>
          <w:lang w:val="fr-FR"/>
        </w:rPr>
        <w:t>des coprésidents du</w:t>
      </w:r>
      <w:r w:rsidR="00377217" w:rsidRPr="00860140">
        <w:rPr>
          <w:lang w:val="fr-FR"/>
        </w:rPr>
        <w:t xml:space="preserve"> </w:t>
      </w:r>
      <w:r w:rsidRPr="00733F9F">
        <w:rPr>
          <w:lang w:val="fr-FR"/>
        </w:rPr>
        <w:t xml:space="preserve">groupe </w:t>
      </w:r>
      <w:r>
        <w:rPr>
          <w:lang w:val="fr-FR"/>
        </w:rPr>
        <w:t xml:space="preserve">de travail </w:t>
      </w:r>
      <w:r w:rsidRPr="00733F9F">
        <w:rPr>
          <w:lang w:val="fr-FR"/>
        </w:rPr>
        <w:t xml:space="preserve">spécial d’experts </w:t>
      </w:r>
      <w:r w:rsidR="00150265">
        <w:rPr>
          <w:lang w:val="fr-FR"/>
        </w:rPr>
        <w:t>sur le financement créé</w:t>
      </w:r>
      <w:r>
        <w:rPr>
          <w:lang w:val="fr-FR"/>
        </w:rPr>
        <w:t xml:space="preserve"> à la sixième </w:t>
      </w:r>
      <w:r w:rsidR="00377217" w:rsidRPr="00860140">
        <w:rPr>
          <w:lang w:val="fr-FR"/>
        </w:rPr>
        <w:t xml:space="preserve">session </w:t>
      </w:r>
      <w:r>
        <w:rPr>
          <w:lang w:val="fr-FR"/>
        </w:rPr>
        <w:t>du Comité de négociation intergouvernemental</w:t>
      </w:r>
      <w:r w:rsidR="00377217" w:rsidRPr="00860140">
        <w:rPr>
          <w:lang w:val="fr-FR"/>
        </w:rPr>
        <w:t xml:space="preserve">  </w:t>
      </w:r>
    </w:p>
    <w:p w:rsidR="00377217" w:rsidRPr="00860140" w:rsidRDefault="00377217" w:rsidP="002D7E64">
      <w:pPr>
        <w:pStyle w:val="CH2"/>
        <w:spacing w:before="0"/>
        <w:rPr>
          <w:lang w:val="fr-FR"/>
        </w:rPr>
      </w:pPr>
      <w:r w:rsidRPr="00860140">
        <w:rPr>
          <w:lang w:val="fr-FR"/>
        </w:rPr>
        <w:tab/>
      </w:r>
      <w:r w:rsidRPr="00860140">
        <w:rPr>
          <w:lang w:val="fr-FR"/>
        </w:rPr>
        <w:tab/>
        <w:t xml:space="preserve">Note </w:t>
      </w:r>
      <w:r w:rsidR="00733F9F">
        <w:rPr>
          <w:lang w:val="fr-FR"/>
        </w:rPr>
        <w:t>du secrétariat</w:t>
      </w:r>
    </w:p>
    <w:p w:rsidR="00377217" w:rsidRPr="00860140" w:rsidRDefault="0096163B" w:rsidP="002D7E64">
      <w:pPr>
        <w:pStyle w:val="Normalnumber"/>
        <w:ind w:left="1247"/>
        <w:rPr>
          <w:lang w:val="fr-FR"/>
        </w:rPr>
      </w:pPr>
      <w:r>
        <w:rPr>
          <w:lang w:val="fr-FR"/>
        </w:rPr>
        <w:t>1.</w:t>
      </w:r>
      <w:r>
        <w:rPr>
          <w:lang w:val="fr-FR"/>
        </w:rPr>
        <w:tab/>
      </w:r>
      <w:r w:rsidR="00733F9F">
        <w:rPr>
          <w:lang w:val="fr-FR"/>
        </w:rPr>
        <w:t>La Convention de</w:t>
      </w:r>
      <w:r w:rsidR="00377217" w:rsidRPr="00860140">
        <w:rPr>
          <w:lang w:val="fr-FR"/>
        </w:rPr>
        <w:t xml:space="preserve"> Minamata </w:t>
      </w:r>
      <w:r w:rsidR="00733F9F">
        <w:rPr>
          <w:lang w:val="fr-FR"/>
        </w:rPr>
        <w:t>sur le mercure institue, dans son article </w:t>
      </w:r>
      <w:r w:rsidR="00377217" w:rsidRPr="00860140">
        <w:rPr>
          <w:lang w:val="fr-FR"/>
        </w:rPr>
        <w:t xml:space="preserve">13, </w:t>
      </w:r>
      <w:r w:rsidR="00733F9F" w:rsidRPr="00733F9F">
        <w:rPr>
          <w:lang w:val="fr-FR"/>
        </w:rPr>
        <w:t>un mécanisme destiné à fournir en temps voulu des ressources financières adéquates et prévisibles pour aider les Parties qui sont des pays en développement ou en transition dans la mise en œuvre de</w:t>
      </w:r>
      <w:r w:rsidR="0015492E">
        <w:rPr>
          <w:lang w:val="fr-FR"/>
        </w:rPr>
        <w:t>s</w:t>
      </w:r>
      <w:r w:rsidR="00733F9F" w:rsidRPr="00733F9F">
        <w:rPr>
          <w:lang w:val="fr-FR"/>
        </w:rPr>
        <w:t xml:space="preserve"> obligations </w:t>
      </w:r>
      <w:r w:rsidR="0015492E">
        <w:rPr>
          <w:lang w:val="fr-FR"/>
        </w:rPr>
        <w:t xml:space="preserve">que leur fait </w:t>
      </w:r>
      <w:r w:rsidR="00733F9F" w:rsidRPr="00733F9F">
        <w:rPr>
          <w:lang w:val="fr-FR"/>
        </w:rPr>
        <w:t>la Convention</w:t>
      </w:r>
      <w:r w:rsidR="00377217" w:rsidRPr="00860140">
        <w:rPr>
          <w:lang w:val="fr-FR"/>
        </w:rPr>
        <w:t xml:space="preserve">. </w:t>
      </w:r>
      <w:r w:rsidR="00733F9F" w:rsidRPr="00733F9F">
        <w:rPr>
          <w:lang w:val="fr-FR"/>
        </w:rPr>
        <w:t xml:space="preserve">Le mécanisme inclut </w:t>
      </w:r>
      <w:r w:rsidR="00733F9F">
        <w:rPr>
          <w:lang w:val="fr-FR"/>
        </w:rPr>
        <w:t>l</w:t>
      </w:r>
      <w:r w:rsidR="00733F9F" w:rsidRPr="00733F9F">
        <w:rPr>
          <w:lang w:val="fr-FR"/>
        </w:rPr>
        <w:t xml:space="preserve">a Caisse du Fonds pour l’environnement mondial </w:t>
      </w:r>
      <w:r w:rsidR="00733F9F">
        <w:rPr>
          <w:lang w:val="fr-FR"/>
        </w:rPr>
        <w:t>et</w:t>
      </w:r>
      <w:r w:rsidR="00377217" w:rsidRPr="00860140">
        <w:rPr>
          <w:lang w:val="fr-FR"/>
        </w:rPr>
        <w:t xml:space="preserve"> </w:t>
      </w:r>
      <w:r w:rsidR="00733F9F">
        <w:rPr>
          <w:lang w:val="fr-FR"/>
        </w:rPr>
        <w:t>u</w:t>
      </w:r>
      <w:r w:rsidR="00733F9F" w:rsidRPr="00733F9F">
        <w:rPr>
          <w:lang w:val="fr-FR"/>
        </w:rPr>
        <w:t>n programme international spécifique visant à soutenir le renforcement des capacités et l’assistance technique</w:t>
      </w:r>
      <w:r w:rsidR="00377217" w:rsidRPr="00860140">
        <w:rPr>
          <w:lang w:val="fr-FR"/>
        </w:rPr>
        <w:t xml:space="preserve">. </w:t>
      </w:r>
      <w:r w:rsidR="00733F9F">
        <w:rPr>
          <w:lang w:val="fr-FR"/>
        </w:rPr>
        <w:t>S’agissant de ce dernier, la</w:t>
      </w:r>
      <w:r w:rsidR="00377217" w:rsidRPr="00860140">
        <w:rPr>
          <w:lang w:val="fr-FR"/>
        </w:rPr>
        <w:t xml:space="preserve"> Convention </w:t>
      </w:r>
      <w:r w:rsidR="007C288B">
        <w:rPr>
          <w:lang w:val="fr-FR"/>
        </w:rPr>
        <w:t>prévoit qu’il</w:t>
      </w:r>
      <w:r w:rsidR="00377217" w:rsidRPr="00860140">
        <w:rPr>
          <w:lang w:val="fr-FR"/>
        </w:rPr>
        <w:t xml:space="preserve"> </w:t>
      </w:r>
      <w:r w:rsidR="007C288B" w:rsidRPr="007C288B">
        <w:rPr>
          <w:lang w:val="fr-FR"/>
        </w:rPr>
        <w:t>sera placé sous la direction de la Conférence des Parties</w:t>
      </w:r>
      <w:r w:rsidR="0015492E">
        <w:rPr>
          <w:lang w:val="fr-FR"/>
        </w:rPr>
        <w:t>,</w:t>
      </w:r>
      <w:r w:rsidR="007C288B" w:rsidRPr="007C288B">
        <w:rPr>
          <w:lang w:val="fr-FR"/>
        </w:rPr>
        <w:t xml:space="preserve"> à laquelle il rendra compte</w:t>
      </w:r>
      <w:r w:rsidR="007C288B">
        <w:rPr>
          <w:lang w:val="fr-FR"/>
        </w:rPr>
        <w:t>. À sa première réunion, la</w:t>
      </w:r>
      <w:r w:rsidR="008A2ECE">
        <w:rPr>
          <w:lang w:val="fr-FR"/>
        </w:rPr>
        <w:t xml:space="preserve"> Conférence des Parties décide</w:t>
      </w:r>
      <w:r w:rsidR="0015492E">
        <w:rPr>
          <w:lang w:val="fr-FR"/>
        </w:rPr>
        <w:t>ra</w:t>
      </w:r>
      <w:r w:rsidR="007C288B">
        <w:rPr>
          <w:lang w:val="fr-FR"/>
        </w:rPr>
        <w:t xml:space="preserve"> </w:t>
      </w:r>
      <w:r w:rsidR="007C288B" w:rsidRPr="007C288B">
        <w:rPr>
          <w:lang w:val="fr-FR"/>
        </w:rPr>
        <w:t xml:space="preserve">de l’institution d’accueil du programme, qui </w:t>
      </w:r>
      <w:r w:rsidR="0015492E">
        <w:rPr>
          <w:lang w:val="fr-FR"/>
        </w:rPr>
        <w:t>devra</w:t>
      </w:r>
      <w:r w:rsidR="0015492E" w:rsidRPr="007C288B">
        <w:rPr>
          <w:lang w:val="fr-FR"/>
        </w:rPr>
        <w:t xml:space="preserve"> </w:t>
      </w:r>
      <w:r w:rsidR="007C288B" w:rsidRPr="007C288B">
        <w:rPr>
          <w:lang w:val="fr-FR"/>
        </w:rPr>
        <w:t>être une i</w:t>
      </w:r>
      <w:r w:rsidR="008A2ECE">
        <w:rPr>
          <w:lang w:val="fr-FR"/>
        </w:rPr>
        <w:t>nstitution existante, et fourni</w:t>
      </w:r>
      <w:r w:rsidR="0015492E">
        <w:rPr>
          <w:lang w:val="fr-FR"/>
        </w:rPr>
        <w:t>ra</w:t>
      </w:r>
      <w:r w:rsidR="007C288B" w:rsidRPr="007C288B">
        <w:rPr>
          <w:lang w:val="fr-FR"/>
        </w:rPr>
        <w:t xml:space="preserve"> à cette dernière des orientations, y compris sur la durée dudit programme</w:t>
      </w:r>
      <w:r w:rsidR="00377217" w:rsidRPr="00860140">
        <w:rPr>
          <w:lang w:val="fr-FR"/>
        </w:rPr>
        <w:t>.</w:t>
      </w:r>
      <w:r w:rsidR="007C288B">
        <w:rPr>
          <w:lang w:val="fr-FR"/>
        </w:rPr>
        <w:t xml:space="preserve"> Dans le même article, t</w:t>
      </w:r>
      <w:r w:rsidR="007C288B" w:rsidRPr="007C288B">
        <w:rPr>
          <w:lang w:val="fr-FR"/>
        </w:rPr>
        <w:t>outes les Parties et autres parties prenantes concernées sont invitées à fournir, sur une base volontaire, des ressources financières au programme</w:t>
      </w:r>
      <w:r w:rsidR="00377217" w:rsidRPr="00860140">
        <w:rPr>
          <w:lang w:val="fr-FR"/>
        </w:rPr>
        <w:t>.</w:t>
      </w:r>
      <w:r w:rsidR="007C288B">
        <w:rPr>
          <w:lang w:val="fr-FR"/>
        </w:rPr>
        <w:t xml:space="preserve"> L’article prévoit également que l</w:t>
      </w:r>
      <w:r w:rsidR="007C288B" w:rsidRPr="007C288B">
        <w:rPr>
          <w:lang w:val="fr-FR"/>
        </w:rPr>
        <w:t>a Conférence des Parties et les entités constituant le mécanisme conviennent, à la première réunion de la Conférence des Parties, d’arrangements pour donner effet au</w:t>
      </w:r>
      <w:r w:rsidR="0015492E">
        <w:rPr>
          <w:lang w:val="fr-FR"/>
        </w:rPr>
        <w:t>x dispositions régissant le</w:t>
      </w:r>
      <w:r w:rsidR="007C288B" w:rsidRPr="007C288B">
        <w:rPr>
          <w:lang w:val="fr-FR"/>
        </w:rPr>
        <w:t xml:space="preserve"> fonctionnement du mécanisme de financement</w:t>
      </w:r>
      <w:r w:rsidR="00377217" w:rsidRPr="00860140">
        <w:rPr>
          <w:lang w:val="fr-FR"/>
        </w:rPr>
        <w:t>.</w:t>
      </w:r>
    </w:p>
    <w:p w:rsidR="00377217" w:rsidRPr="00860140" w:rsidRDefault="0096163B" w:rsidP="002D7E64">
      <w:pPr>
        <w:pStyle w:val="Normalnumber"/>
        <w:ind w:left="1247"/>
        <w:rPr>
          <w:lang w:val="fr-FR"/>
        </w:rPr>
      </w:pPr>
      <w:r>
        <w:rPr>
          <w:lang w:val="fr-FR"/>
        </w:rPr>
        <w:t>2.</w:t>
      </w:r>
      <w:r>
        <w:rPr>
          <w:lang w:val="fr-FR"/>
        </w:rPr>
        <w:tab/>
      </w:r>
      <w:r w:rsidR="009A157F">
        <w:rPr>
          <w:lang w:val="fr-FR"/>
        </w:rPr>
        <w:t>À sa sixième </w:t>
      </w:r>
      <w:r w:rsidR="00377217" w:rsidRPr="00860140">
        <w:rPr>
          <w:lang w:val="fr-FR"/>
        </w:rPr>
        <w:t>session</w:t>
      </w:r>
      <w:r w:rsidR="00A5754E" w:rsidRPr="00860140">
        <w:rPr>
          <w:lang w:val="fr-FR"/>
        </w:rPr>
        <w:t>,</w:t>
      </w:r>
      <w:r w:rsidR="00377217" w:rsidRPr="00860140">
        <w:rPr>
          <w:lang w:val="fr-FR"/>
        </w:rPr>
        <w:t xml:space="preserve"> </w:t>
      </w:r>
      <w:r w:rsidR="009A157F">
        <w:rPr>
          <w:lang w:val="fr-FR"/>
        </w:rPr>
        <w:t xml:space="preserve">qui s’est tenue à </w:t>
      </w:r>
      <w:r w:rsidR="00A5754E" w:rsidRPr="00860140">
        <w:rPr>
          <w:lang w:val="fr-FR"/>
        </w:rPr>
        <w:t xml:space="preserve">Bangkok </w:t>
      </w:r>
      <w:r w:rsidR="009A157F">
        <w:rPr>
          <w:lang w:val="fr-FR"/>
        </w:rPr>
        <w:t>du</w:t>
      </w:r>
      <w:r w:rsidR="00377217" w:rsidRPr="00860140">
        <w:rPr>
          <w:lang w:val="fr-FR"/>
        </w:rPr>
        <w:t xml:space="preserve"> 3 </w:t>
      </w:r>
      <w:r w:rsidR="009A157F">
        <w:rPr>
          <w:lang w:val="fr-FR"/>
        </w:rPr>
        <w:t>au 7 novembre </w:t>
      </w:r>
      <w:r w:rsidR="00377217" w:rsidRPr="00860140">
        <w:rPr>
          <w:lang w:val="fr-FR"/>
        </w:rPr>
        <w:t>2014</w:t>
      </w:r>
      <w:r w:rsidR="00A5754E" w:rsidRPr="00860140">
        <w:rPr>
          <w:lang w:val="fr-FR"/>
        </w:rPr>
        <w:t>,</w:t>
      </w:r>
      <w:r w:rsidR="00377217" w:rsidRPr="00860140">
        <w:rPr>
          <w:lang w:val="fr-FR"/>
        </w:rPr>
        <w:t xml:space="preserve"> </w:t>
      </w:r>
      <w:r w:rsidR="009A157F">
        <w:rPr>
          <w:lang w:val="fr-FR"/>
        </w:rPr>
        <w:t>le</w:t>
      </w:r>
      <w:r w:rsidR="00377217" w:rsidRPr="00860140">
        <w:rPr>
          <w:lang w:val="fr-FR"/>
        </w:rPr>
        <w:t xml:space="preserve"> </w:t>
      </w:r>
      <w:r w:rsidR="009A157F" w:rsidRPr="009A157F">
        <w:rPr>
          <w:lang w:val="fr-FR"/>
        </w:rPr>
        <w:t xml:space="preserve">Comité de négociation intergouvernemental chargé d’élaborer un instrument international </w:t>
      </w:r>
      <w:r w:rsidR="009A157F" w:rsidRPr="00860140">
        <w:rPr>
          <w:lang w:val="fr-FR"/>
        </w:rPr>
        <w:t xml:space="preserve">juridiquement contraignant sur le mercure </w:t>
      </w:r>
      <w:r w:rsidR="009A157F">
        <w:rPr>
          <w:lang w:val="fr-FR"/>
        </w:rPr>
        <w:t xml:space="preserve">a </w:t>
      </w:r>
      <w:r w:rsidR="0015492E">
        <w:rPr>
          <w:lang w:val="fr-FR"/>
        </w:rPr>
        <w:t>créé</w:t>
      </w:r>
      <w:r w:rsidR="009A157F">
        <w:rPr>
          <w:lang w:val="fr-FR"/>
        </w:rPr>
        <w:t xml:space="preserve"> un groupe de travail spécial d’experts </w:t>
      </w:r>
      <w:r w:rsidR="0015492E">
        <w:rPr>
          <w:lang w:val="fr-FR"/>
        </w:rPr>
        <w:t xml:space="preserve">sur le financement </w:t>
      </w:r>
      <w:r w:rsidR="0080778F">
        <w:rPr>
          <w:lang w:val="fr-FR"/>
        </w:rPr>
        <w:t>chargé de mener des travaux supplémentaires au cours de la période intersessions</w:t>
      </w:r>
      <w:r w:rsidR="00377217" w:rsidRPr="00860140">
        <w:rPr>
          <w:lang w:val="fr-FR"/>
        </w:rPr>
        <w:t xml:space="preserve">. </w:t>
      </w:r>
      <w:r w:rsidR="0080778F">
        <w:rPr>
          <w:lang w:val="fr-FR"/>
        </w:rPr>
        <w:t xml:space="preserve">Le groupe avait pour mandat </w:t>
      </w:r>
      <w:r w:rsidR="00BD4AB0">
        <w:rPr>
          <w:lang w:val="fr-FR"/>
        </w:rPr>
        <w:t xml:space="preserve">de </w:t>
      </w:r>
      <w:r w:rsidR="00B32A76">
        <w:rPr>
          <w:lang w:val="fr-FR"/>
        </w:rPr>
        <w:t>donner</w:t>
      </w:r>
      <w:r w:rsidR="0080778F">
        <w:rPr>
          <w:lang w:val="fr-FR"/>
        </w:rPr>
        <w:t xml:space="preserve"> au Comité, à sa septième session, </w:t>
      </w:r>
      <w:r w:rsidR="00B32A76">
        <w:rPr>
          <w:lang w:val="fr-FR"/>
        </w:rPr>
        <w:t xml:space="preserve">des conseils concernant la suite à donner à </w:t>
      </w:r>
      <w:r w:rsidR="0080778F">
        <w:rPr>
          <w:lang w:val="fr-FR"/>
        </w:rPr>
        <w:t>la décision</w:t>
      </w:r>
      <w:r w:rsidR="009820F8">
        <w:rPr>
          <w:lang w:val="fr-FR"/>
        </w:rPr>
        <w:t xml:space="preserve"> de la </w:t>
      </w:r>
      <w:r w:rsidR="009820F8" w:rsidRPr="009820F8">
        <w:rPr>
          <w:lang w:val="fr-FR"/>
        </w:rPr>
        <w:t xml:space="preserve">Conférence de plénipotentiaires relative à </w:t>
      </w:r>
      <w:r w:rsidR="009820F8">
        <w:rPr>
          <w:lang w:val="fr-FR"/>
        </w:rPr>
        <w:t>la Convention de Minamata</w:t>
      </w:r>
      <w:r w:rsidR="00377217" w:rsidRPr="00860140">
        <w:rPr>
          <w:lang w:val="fr-FR"/>
        </w:rPr>
        <w:t>,</w:t>
      </w:r>
      <w:r w:rsidR="009820F8">
        <w:rPr>
          <w:lang w:val="fr-FR"/>
        </w:rPr>
        <w:t xml:space="preserve"> tenue à</w:t>
      </w:r>
      <w:r w:rsidR="00530AA7" w:rsidRPr="00860140">
        <w:rPr>
          <w:lang w:val="fr-FR"/>
        </w:rPr>
        <w:t xml:space="preserve"> Kumamoto</w:t>
      </w:r>
      <w:r w:rsidR="009820F8">
        <w:rPr>
          <w:lang w:val="fr-FR"/>
        </w:rPr>
        <w:t xml:space="preserve"> (Japon) les </w:t>
      </w:r>
      <w:r w:rsidR="00377217" w:rsidRPr="00860140">
        <w:rPr>
          <w:lang w:val="fr-FR"/>
        </w:rPr>
        <w:t xml:space="preserve">10 </w:t>
      </w:r>
      <w:r w:rsidR="009820F8">
        <w:rPr>
          <w:lang w:val="fr-FR"/>
        </w:rPr>
        <w:t>et 11 octobre </w:t>
      </w:r>
      <w:r w:rsidR="00377217" w:rsidRPr="00860140">
        <w:rPr>
          <w:lang w:val="fr-FR"/>
        </w:rPr>
        <w:t>2013</w:t>
      </w:r>
      <w:r w:rsidR="00B32A76">
        <w:rPr>
          <w:lang w:val="fr-FR"/>
        </w:rPr>
        <w:t xml:space="preserve">, qui, </w:t>
      </w:r>
      <w:r w:rsidR="009820F8">
        <w:rPr>
          <w:color w:val="000000"/>
          <w:lang w:val="fr-FR" w:eastAsia="zh-CN"/>
        </w:rPr>
        <w:t>au paragraphe </w:t>
      </w:r>
      <w:r w:rsidR="00377217" w:rsidRPr="00860140">
        <w:rPr>
          <w:color w:val="000000"/>
          <w:lang w:val="fr-FR" w:eastAsia="zh-CN"/>
        </w:rPr>
        <w:t xml:space="preserve">6 </w:t>
      </w:r>
      <w:r w:rsidR="009820F8">
        <w:rPr>
          <w:color w:val="000000"/>
          <w:lang w:val="fr-FR" w:eastAsia="zh-CN"/>
        </w:rPr>
        <w:t>de la résolution </w:t>
      </w:r>
      <w:r w:rsidR="004E5952">
        <w:rPr>
          <w:color w:val="000000"/>
          <w:lang w:val="fr-FR" w:eastAsia="zh-CN"/>
        </w:rPr>
        <w:t xml:space="preserve">de l’Acte final </w:t>
      </w:r>
      <w:r w:rsidR="009820F8" w:rsidRPr="009820F8">
        <w:rPr>
          <w:color w:val="000000"/>
          <w:lang w:val="fr-FR" w:eastAsia="zh-CN"/>
        </w:rPr>
        <w:t xml:space="preserve">relative aux dispositions financières </w:t>
      </w:r>
      <w:r w:rsidR="009820F8">
        <w:rPr>
          <w:color w:val="000000"/>
          <w:lang w:val="fr-FR" w:eastAsia="zh-CN"/>
        </w:rPr>
        <w:t>(UNEP(DTIE)/Hg/CONF/4, annexe </w:t>
      </w:r>
      <w:r w:rsidR="00C35A2C" w:rsidRPr="00860140">
        <w:rPr>
          <w:color w:val="000000"/>
          <w:lang w:val="fr-FR" w:eastAsia="zh-CN"/>
        </w:rPr>
        <w:t>I)</w:t>
      </w:r>
      <w:r w:rsidR="00377217" w:rsidRPr="00860140">
        <w:rPr>
          <w:color w:val="000000"/>
          <w:lang w:val="fr-FR" w:eastAsia="zh-CN"/>
        </w:rPr>
        <w:t xml:space="preserve">, </w:t>
      </w:r>
      <w:r w:rsidR="004E5952">
        <w:rPr>
          <w:color w:val="000000"/>
          <w:lang w:val="fr-FR" w:eastAsia="zh-CN"/>
        </w:rPr>
        <w:t xml:space="preserve">a </w:t>
      </w:r>
      <w:r w:rsidR="0015492E">
        <w:rPr>
          <w:color w:val="000000"/>
          <w:lang w:val="fr-FR" w:eastAsia="zh-CN"/>
        </w:rPr>
        <w:t xml:space="preserve">prié le </w:t>
      </w:r>
      <w:r w:rsidR="009820F8">
        <w:rPr>
          <w:color w:val="000000"/>
          <w:lang w:val="fr-FR" w:eastAsia="zh-CN"/>
        </w:rPr>
        <w:t xml:space="preserve">Comité </w:t>
      </w:r>
      <w:r w:rsidR="009820F8" w:rsidRPr="009820F8">
        <w:rPr>
          <w:color w:val="000000"/>
          <w:lang w:val="fr-FR" w:eastAsia="zh-CN"/>
        </w:rPr>
        <w:t xml:space="preserve">d’élaborer, pour que la Conférence des </w:t>
      </w:r>
      <w:r w:rsidR="009820F8">
        <w:rPr>
          <w:color w:val="000000"/>
          <w:lang w:val="fr-FR" w:eastAsia="zh-CN"/>
        </w:rPr>
        <w:t>Parties l’examine à sa première </w:t>
      </w:r>
      <w:r w:rsidR="009820F8" w:rsidRPr="009820F8">
        <w:rPr>
          <w:color w:val="000000"/>
          <w:lang w:val="fr-FR" w:eastAsia="zh-CN"/>
        </w:rPr>
        <w:t xml:space="preserve">réunion, une proposition concernant l’institution qui accueillera le </w:t>
      </w:r>
      <w:r w:rsidR="009820F8" w:rsidRPr="009820F8">
        <w:rPr>
          <w:color w:val="000000"/>
          <w:lang w:val="fr-FR" w:eastAsia="zh-CN"/>
        </w:rPr>
        <w:lastRenderedPageBreak/>
        <w:t>programme international spécifique, y compris tous les arrangements nécessaires avec cette institution, ainsi que des orientations sur le fonctionnement et la durée de ce programme</w:t>
      </w:r>
      <w:r w:rsidR="00377217" w:rsidRPr="00860140">
        <w:rPr>
          <w:color w:val="000000"/>
          <w:lang w:val="fr-FR" w:eastAsia="zh-CN"/>
        </w:rPr>
        <w:t>.</w:t>
      </w:r>
    </w:p>
    <w:p w:rsidR="00377217" w:rsidRPr="00860140" w:rsidRDefault="0096163B" w:rsidP="002D7E64">
      <w:pPr>
        <w:pStyle w:val="Normalnumber"/>
        <w:keepNext/>
        <w:keepLines/>
        <w:ind w:left="1247"/>
        <w:rPr>
          <w:lang w:val="fr-FR"/>
        </w:rPr>
      </w:pPr>
      <w:r>
        <w:rPr>
          <w:iCs/>
          <w:lang w:val="fr-FR"/>
        </w:rPr>
        <w:t>3.</w:t>
      </w:r>
      <w:r>
        <w:rPr>
          <w:iCs/>
          <w:lang w:val="fr-FR"/>
        </w:rPr>
        <w:tab/>
      </w:r>
      <w:r w:rsidR="00924C2F">
        <w:rPr>
          <w:iCs/>
          <w:lang w:val="fr-FR"/>
        </w:rPr>
        <w:t>Le Comité a élu</w:t>
      </w:r>
      <w:r w:rsidR="00377217" w:rsidRPr="00860140">
        <w:rPr>
          <w:iCs/>
          <w:lang w:val="fr-FR"/>
        </w:rPr>
        <w:t xml:space="preserve"> </w:t>
      </w:r>
      <w:r w:rsidR="00924C2F">
        <w:rPr>
          <w:lang w:val="fr-FR"/>
        </w:rPr>
        <w:t>Mme Gillian </w:t>
      </w:r>
      <w:proofErr w:type="spellStart"/>
      <w:r w:rsidR="00377217" w:rsidRPr="00860140">
        <w:rPr>
          <w:lang w:val="fr-FR"/>
        </w:rPr>
        <w:t>Guthrie</w:t>
      </w:r>
      <w:proofErr w:type="spellEnd"/>
      <w:r w:rsidR="00377217" w:rsidRPr="00860140">
        <w:rPr>
          <w:lang w:val="fr-FR"/>
        </w:rPr>
        <w:t xml:space="preserve"> (Jama</w:t>
      </w:r>
      <w:r w:rsidR="00924C2F">
        <w:rPr>
          <w:lang w:val="fr-FR"/>
        </w:rPr>
        <w:t>ïque</w:t>
      </w:r>
      <w:r w:rsidR="00377217" w:rsidRPr="00860140">
        <w:rPr>
          <w:lang w:val="fr-FR"/>
        </w:rPr>
        <w:t xml:space="preserve">) </w:t>
      </w:r>
      <w:r w:rsidR="00924C2F">
        <w:rPr>
          <w:lang w:val="fr-FR"/>
        </w:rPr>
        <w:t>et M. Greg Filyk (Canada)</w:t>
      </w:r>
      <w:r w:rsidR="00377217" w:rsidRPr="00860140">
        <w:rPr>
          <w:lang w:val="fr-FR"/>
        </w:rPr>
        <w:t xml:space="preserve"> </w:t>
      </w:r>
      <w:r w:rsidR="00924C2F" w:rsidRPr="00924C2F">
        <w:rPr>
          <w:lang w:val="fr-FR"/>
        </w:rPr>
        <w:t>coprésidents du groupe de travail spécial d’experts</w:t>
      </w:r>
      <w:r w:rsidR="00377217" w:rsidRPr="00860140">
        <w:rPr>
          <w:lang w:val="fr-FR"/>
        </w:rPr>
        <w:t xml:space="preserve"> </w:t>
      </w:r>
      <w:r w:rsidR="00BD4AB0">
        <w:rPr>
          <w:lang w:val="fr-FR"/>
        </w:rPr>
        <w:t>et les a prié</w:t>
      </w:r>
      <w:r w:rsidR="00937F9A">
        <w:rPr>
          <w:lang w:val="fr-FR"/>
        </w:rPr>
        <w:t>s</w:t>
      </w:r>
      <w:r w:rsidR="00BD4AB0">
        <w:rPr>
          <w:lang w:val="fr-FR"/>
        </w:rPr>
        <w:t xml:space="preserve"> </w:t>
      </w:r>
      <w:r w:rsidR="00BD4AB0" w:rsidRPr="00BD4AB0">
        <w:rPr>
          <w:lang w:val="fr-FR"/>
        </w:rPr>
        <w:t>de lui présenter</w:t>
      </w:r>
      <w:r w:rsidR="00BD4AB0">
        <w:rPr>
          <w:lang w:val="fr-FR"/>
        </w:rPr>
        <w:t>, à sa septième session,</w:t>
      </w:r>
      <w:r w:rsidR="00BD4AB0" w:rsidRPr="00BD4AB0">
        <w:rPr>
          <w:lang w:val="fr-FR"/>
        </w:rPr>
        <w:t xml:space="preserve"> les informations requises</w:t>
      </w:r>
      <w:r w:rsidR="00377217" w:rsidRPr="00860140">
        <w:rPr>
          <w:lang w:val="fr-FR"/>
        </w:rPr>
        <w:t xml:space="preserve"> </w:t>
      </w:r>
      <w:r w:rsidR="00BD4AB0" w:rsidRPr="00BD4AB0">
        <w:rPr>
          <w:iCs/>
          <w:lang w:val="fr-FR"/>
        </w:rPr>
        <w:t>sous la forme d’un rapport des coprésidents sur les travaux du groupe</w:t>
      </w:r>
      <w:r w:rsidR="00377217" w:rsidRPr="00860140">
        <w:rPr>
          <w:iCs/>
          <w:lang w:val="fr-FR"/>
        </w:rPr>
        <w:t>.</w:t>
      </w:r>
      <w:r w:rsidR="00377217" w:rsidRPr="00860140">
        <w:rPr>
          <w:sz w:val="19"/>
          <w:szCs w:val="19"/>
          <w:lang w:val="fr-FR" w:eastAsia="zh-CN"/>
        </w:rPr>
        <w:t xml:space="preserve"> </w:t>
      </w:r>
      <w:r w:rsidR="00B32A76">
        <w:rPr>
          <w:lang w:val="fr-FR"/>
        </w:rPr>
        <w:t>Il</w:t>
      </w:r>
      <w:r w:rsidR="00BD4AB0">
        <w:rPr>
          <w:lang w:val="fr-FR"/>
        </w:rPr>
        <w:t xml:space="preserve"> a en outre prié</w:t>
      </w:r>
      <w:r w:rsidR="00377217" w:rsidRPr="00860140">
        <w:rPr>
          <w:lang w:val="fr-FR"/>
        </w:rPr>
        <w:t xml:space="preserve"> </w:t>
      </w:r>
      <w:r w:rsidR="00BD4AB0" w:rsidRPr="00BD4AB0">
        <w:rPr>
          <w:lang w:val="fr-FR"/>
        </w:rPr>
        <w:t xml:space="preserve">le secrétariat provisoire de solliciter et de compiler les observations </w:t>
      </w:r>
      <w:r w:rsidR="00BD4AB0" w:rsidRPr="00BD4AB0">
        <w:rPr>
          <w:iCs/>
          <w:lang w:val="fr-FR"/>
        </w:rPr>
        <w:t xml:space="preserve">des parties </w:t>
      </w:r>
      <w:r w:rsidR="004E5952">
        <w:rPr>
          <w:iCs/>
          <w:lang w:val="fr-FR"/>
        </w:rPr>
        <w:t>qui le composent</w:t>
      </w:r>
      <w:r w:rsidR="00BD4AB0" w:rsidRPr="00BD4AB0">
        <w:rPr>
          <w:iCs/>
          <w:lang w:val="fr-FR"/>
        </w:rPr>
        <w:t xml:space="preserve"> </w:t>
      </w:r>
      <w:r w:rsidR="00BD4AB0">
        <w:rPr>
          <w:iCs/>
          <w:lang w:val="fr-FR"/>
        </w:rPr>
        <w:t xml:space="preserve">sur le mandat du </w:t>
      </w:r>
      <w:r w:rsidR="00BD4AB0" w:rsidRPr="00924C2F">
        <w:rPr>
          <w:lang w:val="fr-FR"/>
        </w:rPr>
        <w:t>groupe de travail spécial d’experts</w:t>
      </w:r>
      <w:r w:rsidR="00BD4AB0" w:rsidRPr="00860140">
        <w:rPr>
          <w:iCs/>
          <w:lang w:val="fr-FR"/>
        </w:rPr>
        <w:t xml:space="preserve"> </w:t>
      </w:r>
      <w:r w:rsidR="00BD4AB0" w:rsidRPr="00BD4AB0">
        <w:rPr>
          <w:iCs/>
          <w:lang w:val="fr-FR"/>
        </w:rPr>
        <w:t>et d’établir ensuite un document indiquant les différentes solutions concernant les institutions susceptibles d’accueillir le programme international spécifique et tous les arrangements nécessaires avec ces institutions, afin d’éclairer les travaux que mènera</w:t>
      </w:r>
      <w:r w:rsidR="001A427F">
        <w:rPr>
          <w:iCs/>
          <w:lang w:val="fr-FR"/>
        </w:rPr>
        <w:t>it</w:t>
      </w:r>
      <w:r w:rsidR="00BD4AB0" w:rsidRPr="00BD4AB0">
        <w:rPr>
          <w:iCs/>
          <w:lang w:val="fr-FR"/>
        </w:rPr>
        <w:t xml:space="preserve"> le groupe de travail spécial d’experts avant sa réunion</w:t>
      </w:r>
      <w:r w:rsidR="00377217" w:rsidRPr="00860140">
        <w:rPr>
          <w:lang w:val="fr-FR"/>
        </w:rPr>
        <w:t>.</w:t>
      </w:r>
    </w:p>
    <w:p w:rsidR="00377217" w:rsidRPr="00860140" w:rsidRDefault="0096163B" w:rsidP="002D7E64">
      <w:pPr>
        <w:pStyle w:val="Normalnumber"/>
        <w:ind w:left="1247"/>
        <w:rPr>
          <w:lang w:val="fr-FR"/>
        </w:rPr>
      </w:pPr>
      <w:r>
        <w:rPr>
          <w:lang w:val="fr-FR"/>
        </w:rPr>
        <w:t>4.</w:t>
      </w:r>
      <w:r>
        <w:rPr>
          <w:lang w:val="fr-FR"/>
        </w:rPr>
        <w:tab/>
      </w:r>
      <w:r w:rsidR="00BB2294">
        <w:rPr>
          <w:lang w:val="fr-FR"/>
        </w:rPr>
        <w:t>Le</w:t>
      </w:r>
      <w:r w:rsidR="00377217" w:rsidRPr="00860140">
        <w:rPr>
          <w:lang w:val="fr-FR"/>
        </w:rPr>
        <w:t xml:space="preserve"> </w:t>
      </w:r>
      <w:r w:rsidR="00BB2294" w:rsidRPr="00924C2F">
        <w:rPr>
          <w:lang w:val="fr-FR"/>
        </w:rPr>
        <w:t>groupe de travail spécial d’experts</w:t>
      </w:r>
      <w:r w:rsidR="00BB2294" w:rsidRPr="00860140">
        <w:rPr>
          <w:lang w:val="fr-FR"/>
        </w:rPr>
        <w:t xml:space="preserve"> </w:t>
      </w:r>
      <w:r w:rsidR="00BB2294">
        <w:rPr>
          <w:lang w:val="fr-FR"/>
        </w:rPr>
        <w:t xml:space="preserve">s’est réuni </w:t>
      </w:r>
      <w:r w:rsidR="00BB2294" w:rsidRPr="00BB2294">
        <w:rPr>
          <w:lang w:val="fr-FR"/>
        </w:rPr>
        <w:t>une fois entre la sixième et la septième</w:t>
      </w:r>
      <w:r w:rsidR="00BB2294">
        <w:rPr>
          <w:lang w:val="fr-FR"/>
        </w:rPr>
        <w:t> </w:t>
      </w:r>
      <w:r w:rsidR="00BB2294" w:rsidRPr="00BB2294">
        <w:rPr>
          <w:lang w:val="fr-FR"/>
        </w:rPr>
        <w:t>session du Comité</w:t>
      </w:r>
      <w:r w:rsidR="00377217" w:rsidRPr="00860140">
        <w:rPr>
          <w:lang w:val="fr-FR"/>
        </w:rPr>
        <w:t xml:space="preserve">, </w:t>
      </w:r>
      <w:r w:rsidR="00BB2294">
        <w:rPr>
          <w:lang w:val="fr-FR"/>
        </w:rPr>
        <w:t>à Sao </w:t>
      </w:r>
      <w:r w:rsidR="00C35A2C" w:rsidRPr="00860140">
        <w:rPr>
          <w:lang w:val="fr-FR"/>
        </w:rPr>
        <w:t>Paulo</w:t>
      </w:r>
      <w:r w:rsidR="00BB2294">
        <w:rPr>
          <w:lang w:val="fr-FR"/>
        </w:rPr>
        <w:t xml:space="preserve"> (Brésil)</w:t>
      </w:r>
      <w:r w:rsidR="00C35A2C" w:rsidRPr="00860140">
        <w:rPr>
          <w:lang w:val="fr-FR"/>
        </w:rPr>
        <w:t xml:space="preserve"> </w:t>
      </w:r>
      <w:r w:rsidR="00BB2294">
        <w:rPr>
          <w:lang w:val="fr-FR"/>
        </w:rPr>
        <w:t>du</w:t>
      </w:r>
      <w:r w:rsidR="00377217" w:rsidRPr="00860140">
        <w:rPr>
          <w:lang w:val="fr-FR"/>
        </w:rPr>
        <w:t xml:space="preserve"> 26 </w:t>
      </w:r>
      <w:r w:rsidR="00BB2294">
        <w:rPr>
          <w:lang w:val="fr-FR"/>
        </w:rPr>
        <w:t>au 29 octobre </w:t>
      </w:r>
      <w:r w:rsidR="00377217" w:rsidRPr="00860140">
        <w:rPr>
          <w:lang w:val="fr-FR"/>
        </w:rPr>
        <w:t xml:space="preserve">2015, </w:t>
      </w:r>
      <w:r w:rsidR="00F41B4D">
        <w:rPr>
          <w:lang w:val="fr-FR"/>
        </w:rPr>
        <w:t>à</w:t>
      </w:r>
      <w:r w:rsidR="00BB2294" w:rsidRPr="00BB2294">
        <w:rPr>
          <w:lang w:val="fr-FR"/>
        </w:rPr>
        <w:t xml:space="preserve"> l’invitation du Gouvernement </w:t>
      </w:r>
      <w:r w:rsidR="00BB2294">
        <w:rPr>
          <w:lang w:val="fr-FR"/>
        </w:rPr>
        <w:t xml:space="preserve">brésilien et avec </w:t>
      </w:r>
      <w:r w:rsidR="004E5952">
        <w:rPr>
          <w:lang w:val="fr-FR"/>
        </w:rPr>
        <w:t>le concours</w:t>
      </w:r>
      <w:r w:rsidR="00BB2294">
        <w:rPr>
          <w:lang w:val="fr-FR"/>
        </w:rPr>
        <w:t xml:space="preserve"> financier du Gouvernement allemand</w:t>
      </w:r>
      <w:r w:rsidR="00377217" w:rsidRPr="00860140">
        <w:rPr>
          <w:lang w:val="fr-FR"/>
        </w:rPr>
        <w:t xml:space="preserve">. </w:t>
      </w:r>
      <w:r w:rsidR="00BB2294">
        <w:rPr>
          <w:lang w:val="fr-FR"/>
        </w:rPr>
        <w:t>Dix-huit </w:t>
      </w:r>
      <w:r w:rsidR="00377217" w:rsidRPr="00860140">
        <w:rPr>
          <w:lang w:val="fr-FR"/>
        </w:rPr>
        <w:t xml:space="preserve">experts </w:t>
      </w:r>
      <w:r w:rsidR="00BB2294">
        <w:rPr>
          <w:lang w:val="fr-FR"/>
        </w:rPr>
        <w:t>désignés par les cinq groupes régionaux des Nations Unies</w:t>
      </w:r>
      <w:r w:rsidR="00377217" w:rsidRPr="00860140">
        <w:rPr>
          <w:lang w:val="fr-FR"/>
        </w:rPr>
        <w:t xml:space="preserve"> </w:t>
      </w:r>
      <w:r w:rsidR="00BB2294">
        <w:rPr>
          <w:lang w:val="fr-FR"/>
        </w:rPr>
        <w:t>ont participé à la réunion</w:t>
      </w:r>
      <w:r w:rsidR="00BD2782" w:rsidRPr="00860140">
        <w:rPr>
          <w:lang w:val="fr-FR"/>
        </w:rPr>
        <w:t xml:space="preserve">, </w:t>
      </w:r>
      <w:r w:rsidR="00BB2294">
        <w:rPr>
          <w:lang w:val="fr-FR"/>
        </w:rPr>
        <w:t>avec l’appui du Président du</w:t>
      </w:r>
      <w:r w:rsidR="00BD2782" w:rsidRPr="00860140">
        <w:rPr>
          <w:lang w:val="fr-FR"/>
        </w:rPr>
        <w:t xml:space="preserve"> </w:t>
      </w:r>
      <w:r w:rsidR="00BB2294" w:rsidRPr="009A157F">
        <w:rPr>
          <w:lang w:val="fr-FR"/>
        </w:rPr>
        <w:t>Comité de négociation intergouvernemental</w:t>
      </w:r>
      <w:r w:rsidR="00BB2294" w:rsidRPr="00860140">
        <w:rPr>
          <w:lang w:val="fr-FR"/>
        </w:rPr>
        <w:t xml:space="preserve"> </w:t>
      </w:r>
      <w:r w:rsidR="00BB2294">
        <w:rPr>
          <w:lang w:val="fr-FR"/>
        </w:rPr>
        <w:t>et du secrétariat</w:t>
      </w:r>
      <w:r w:rsidR="00377217" w:rsidRPr="00860140">
        <w:rPr>
          <w:lang w:val="fr-FR"/>
        </w:rPr>
        <w:t xml:space="preserve">. </w:t>
      </w:r>
      <w:r w:rsidR="00BB2294">
        <w:rPr>
          <w:lang w:val="fr-FR"/>
        </w:rPr>
        <w:t>Le secrétariat du</w:t>
      </w:r>
      <w:r w:rsidR="00377217" w:rsidRPr="00860140">
        <w:rPr>
          <w:lang w:val="fr-FR"/>
        </w:rPr>
        <w:t xml:space="preserve"> </w:t>
      </w:r>
      <w:r w:rsidR="00BB2294">
        <w:rPr>
          <w:lang w:val="fr-FR"/>
        </w:rPr>
        <w:t>Fonds pour l’</w:t>
      </w:r>
      <w:r w:rsidR="00BB2294" w:rsidRPr="00BB2294">
        <w:rPr>
          <w:lang w:val="fr-FR"/>
        </w:rPr>
        <w:t xml:space="preserve">environnement mondial </w:t>
      </w:r>
      <w:r w:rsidR="00BD2782" w:rsidRPr="00860140">
        <w:rPr>
          <w:lang w:val="fr-FR"/>
        </w:rPr>
        <w:t>(</w:t>
      </w:r>
      <w:r w:rsidR="00BB2294">
        <w:rPr>
          <w:lang w:val="fr-FR"/>
        </w:rPr>
        <w:t>FEM</w:t>
      </w:r>
      <w:r w:rsidR="00BD2782" w:rsidRPr="00860140">
        <w:rPr>
          <w:lang w:val="fr-FR"/>
        </w:rPr>
        <w:t>)</w:t>
      </w:r>
      <w:r w:rsidR="00377217" w:rsidRPr="00860140">
        <w:rPr>
          <w:lang w:val="fr-FR"/>
        </w:rPr>
        <w:t xml:space="preserve"> </w:t>
      </w:r>
      <w:r w:rsidR="00BB2294">
        <w:rPr>
          <w:lang w:val="fr-FR"/>
        </w:rPr>
        <w:t xml:space="preserve">a participé en </w:t>
      </w:r>
      <w:r w:rsidR="00FC103C">
        <w:rPr>
          <w:lang w:val="fr-FR"/>
        </w:rPr>
        <w:t>qualité d</w:t>
      </w:r>
      <w:r w:rsidR="00BB2294">
        <w:rPr>
          <w:lang w:val="fr-FR"/>
        </w:rPr>
        <w:t>’observateur</w:t>
      </w:r>
      <w:r w:rsidR="00377217" w:rsidRPr="00860140">
        <w:rPr>
          <w:lang w:val="fr-FR"/>
        </w:rPr>
        <w:t xml:space="preserve">. </w:t>
      </w:r>
      <w:r w:rsidR="00AD1AC0">
        <w:rPr>
          <w:lang w:val="fr-FR"/>
        </w:rPr>
        <w:t>La liste des experts désignés figure dans l’</w:t>
      </w:r>
      <w:r w:rsidR="00AD1AC0" w:rsidRPr="00860140">
        <w:rPr>
          <w:lang w:val="fr-FR"/>
        </w:rPr>
        <w:t>annex</w:t>
      </w:r>
      <w:r w:rsidR="00AD1AC0">
        <w:rPr>
          <w:lang w:val="fr-FR"/>
        </w:rPr>
        <w:t>e </w:t>
      </w:r>
      <w:r w:rsidR="00AD1AC0" w:rsidRPr="00860140">
        <w:rPr>
          <w:lang w:val="fr-FR"/>
        </w:rPr>
        <w:t xml:space="preserve">II </w:t>
      </w:r>
      <w:r w:rsidR="00AD1AC0">
        <w:rPr>
          <w:lang w:val="fr-FR"/>
        </w:rPr>
        <w:t>de la présente note.</w:t>
      </w:r>
    </w:p>
    <w:p w:rsidR="00377217" w:rsidRPr="00860140" w:rsidRDefault="0096163B" w:rsidP="002D7E64">
      <w:pPr>
        <w:pStyle w:val="Normalnumber"/>
        <w:ind w:left="1247"/>
        <w:rPr>
          <w:lang w:val="fr-FR"/>
        </w:rPr>
      </w:pPr>
      <w:r>
        <w:rPr>
          <w:lang w:val="fr-FR"/>
        </w:rPr>
        <w:t>5.</w:t>
      </w:r>
      <w:r>
        <w:rPr>
          <w:lang w:val="fr-FR"/>
        </w:rPr>
        <w:tab/>
      </w:r>
      <w:r w:rsidR="005B01AC">
        <w:rPr>
          <w:lang w:val="fr-FR"/>
        </w:rPr>
        <w:t xml:space="preserve">Le document final de la réunion est reproduit </w:t>
      </w:r>
      <w:r w:rsidR="00D163ED">
        <w:rPr>
          <w:lang w:val="fr-FR"/>
        </w:rPr>
        <w:t>dans l’</w:t>
      </w:r>
      <w:r w:rsidR="005B01AC">
        <w:rPr>
          <w:lang w:val="fr-FR"/>
        </w:rPr>
        <w:t>annexe </w:t>
      </w:r>
      <w:r w:rsidR="00377217" w:rsidRPr="00860140">
        <w:rPr>
          <w:lang w:val="fr-FR"/>
        </w:rPr>
        <w:t xml:space="preserve">I </w:t>
      </w:r>
      <w:r w:rsidR="00D163ED">
        <w:rPr>
          <w:lang w:val="fr-FR"/>
        </w:rPr>
        <w:t>de</w:t>
      </w:r>
      <w:r w:rsidR="005B01AC">
        <w:rPr>
          <w:lang w:val="fr-FR"/>
        </w:rPr>
        <w:t xml:space="preserve"> la présente note sous la forme d’un rapport des coprésidents</w:t>
      </w:r>
      <w:r w:rsidR="00D163ED">
        <w:rPr>
          <w:lang w:val="fr-FR"/>
        </w:rPr>
        <w:t xml:space="preserve">, lequel </w:t>
      </w:r>
      <w:r w:rsidR="005B01AC" w:rsidRPr="005B01AC">
        <w:rPr>
          <w:lang w:val="fr-FR"/>
        </w:rPr>
        <w:t xml:space="preserve">rend compte des débats </w:t>
      </w:r>
      <w:r w:rsidR="00D163ED">
        <w:rPr>
          <w:lang w:val="fr-FR"/>
        </w:rPr>
        <w:t xml:space="preserve">tenus </w:t>
      </w:r>
      <w:r w:rsidR="005B01AC">
        <w:rPr>
          <w:lang w:val="fr-FR"/>
        </w:rPr>
        <w:t>et expose les vues exprimées concernant</w:t>
      </w:r>
      <w:r w:rsidR="005B01AC" w:rsidRPr="005B01AC">
        <w:rPr>
          <w:lang w:val="fr-FR"/>
        </w:rPr>
        <w:t xml:space="preserve"> </w:t>
      </w:r>
      <w:r w:rsidR="005B01AC" w:rsidRPr="009820F8">
        <w:rPr>
          <w:color w:val="000000"/>
          <w:lang w:val="fr-FR" w:eastAsia="zh-CN"/>
        </w:rPr>
        <w:t>l’institution qui accueillera le programme international spécifique, y compris tous les arrangements nécessaires ave</w:t>
      </w:r>
      <w:r w:rsidR="002C4104">
        <w:rPr>
          <w:color w:val="000000"/>
          <w:lang w:val="fr-FR" w:eastAsia="zh-CN"/>
        </w:rPr>
        <w:t xml:space="preserve">c cette institution, ainsi que </w:t>
      </w:r>
      <w:r w:rsidR="00D163ED">
        <w:rPr>
          <w:color w:val="000000"/>
          <w:lang w:val="fr-FR" w:eastAsia="zh-CN"/>
        </w:rPr>
        <w:t>d</w:t>
      </w:r>
      <w:r w:rsidR="005B01AC" w:rsidRPr="009820F8">
        <w:rPr>
          <w:color w:val="000000"/>
          <w:lang w:val="fr-FR" w:eastAsia="zh-CN"/>
        </w:rPr>
        <w:t>es orientations sur le fonctionnement et la durée de ce programme</w:t>
      </w:r>
      <w:r w:rsidR="00377217" w:rsidRPr="00860140">
        <w:rPr>
          <w:lang w:val="fr-FR"/>
        </w:rPr>
        <w:t xml:space="preserve">. </w:t>
      </w:r>
      <w:r w:rsidR="005B01AC">
        <w:rPr>
          <w:lang w:val="fr-FR"/>
        </w:rPr>
        <w:t>Le rapport des coprésidents</w:t>
      </w:r>
      <w:r w:rsidR="00377217" w:rsidRPr="00860140">
        <w:rPr>
          <w:lang w:val="fr-FR"/>
        </w:rPr>
        <w:t xml:space="preserve"> </w:t>
      </w:r>
      <w:r w:rsidR="005B01AC">
        <w:rPr>
          <w:lang w:val="fr-FR"/>
        </w:rPr>
        <w:t>n’est pas un document négocié</w:t>
      </w:r>
      <w:r w:rsidR="00D163ED">
        <w:rPr>
          <w:lang w:val="fr-FR"/>
        </w:rPr>
        <w:t>;</w:t>
      </w:r>
      <w:r w:rsidR="005B01AC">
        <w:rPr>
          <w:lang w:val="fr-FR"/>
        </w:rPr>
        <w:t xml:space="preserve"> </w:t>
      </w:r>
      <w:r w:rsidR="00D163ED">
        <w:rPr>
          <w:lang w:val="fr-FR"/>
        </w:rPr>
        <w:t>i</w:t>
      </w:r>
      <w:r w:rsidR="005B01AC">
        <w:rPr>
          <w:lang w:val="fr-FR"/>
        </w:rPr>
        <w:t xml:space="preserve">l </w:t>
      </w:r>
      <w:r w:rsidR="00D163ED">
        <w:rPr>
          <w:lang w:val="fr-FR"/>
        </w:rPr>
        <w:t xml:space="preserve">vise </w:t>
      </w:r>
      <w:r w:rsidR="005B01AC">
        <w:rPr>
          <w:lang w:val="fr-FR"/>
        </w:rPr>
        <w:t>à</w:t>
      </w:r>
      <w:r w:rsidR="00BD2782" w:rsidRPr="00860140">
        <w:rPr>
          <w:lang w:val="fr-FR"/>
        </w:rPr>
        <w:t xml:space="preserve"> </w:t>
      </w:r>
      <w:r w:rsidR="005B01AC">
        <w:rPr>
          <w:lang w:val="fr-FR"/>
        </w:rPr>
        <w:t>mettre en évidence certains éléments</w:t>
      </w:r>
      <w:r w:rsidR="00431681">
        <w:rPr>
          <w:lang w:val="fr-FR"/>
        </w:rPr>
        <w:t xml:space="preserve"> des débats menés pendant la réunion, notamment les domaines </w:t>
      </w:r>
      <w:r w:rsidR="00D163ED">
        <w:rPr>
          <w:lang w:val="fr-FR"/>
        </w:rPr>
        <w:t>consensuels</w:t>
      </w:r>
      <w:r w:rsidR="00377217" w:rsidRPr="00860140">
        <w:rPr>
          <w:lang w:val="fr-FR"/>
        </w:rPr>
        <w:t>.</w:t>
      </w:r>
    </w:p>
    <w:p w:rsidR="00377217" w:rsidRPr="00860140" w:rsidRDefault="0096163B" w:rsidP="002D7E64">
      <w:pPr>
        <w:pStyle w:val="Normalnumber"/>
        <w:ind w:left="1247"/>
        <w:rPr>
          <w:lang w:val="fr-FR" w:eastAsia="zh-CN"/>
        </w:rPr>
      </w:pPr>
      <w:r>
        <w:rPr>
          <w:lang w:val="fr-FR"/>
        </w:rPr>
        <w:t>6.</w:t>
      </w:r>
      <w:r>
        <w:rPr>
          <w:lang w:val="fr-FR"/>
        </w:rPr>
        <w:tab/>
      </w:r>
      <w:r w:rsidR="00431681">
        <w:rPr>
          <w:lang w:val="fr-FR"/>
        </w:rPr>
        <w:t>Le Comité souhaitera peut-être examiner le rapport des coprésidents et</w:t>
      </w:r>
      <w:r w:rsidR="00377217" w:rsidRPr="00860140">
        <w:rPr>
          <w:lang w:val="fr-FR"/>
        </w:rPr>
        <w:t xml:space="preserve"> </w:t>
      </w:r>
      <w:r w:rsidR="00850DE5">
        <w:rPr>
          <w:lang w:val="fr-FR"/>
        </w:rPr>
        <w:t>s’en inspirer</w:t>
      </w:r>
      <w:r w:rsidR="00431681">
        <w:rPr>
          <w:lang w:val="fr-FR"/>
        </w:rPr>
        <w:t xml:space="preserve"> pour élaborer une proposition concernant</w:t>
      </w:r>
      <w:r w:rsidR="00377217" w:rsidRPr="00860140">
        <w:rPr>
          <w:lang w:val="fr-FR"/>
        </w:rPr>
        <w:t xml:space="preserve"> </w:t>
      </w:r>
      <w:r w:rsidR="00431681" w:rsidRPr="009820F8">
        <w:rPr>
          <w:color w:val="000000"/>
          <w:lang w:val="fr-FR" w:eastAsia="zh-CN"/>
        </w:rPr>
        <w:t>l’institution qui accueillera le programme international spécifique</w:t>
      </w:r>
      <w:r w:rsidR="00431681" w:rsidRPr="00860140">
        <w:rPr>
          <w:lang w:val="fr-FR"/>
        </w:rPr>
        <w:t xml:space="preserve"> </w:t>
      </w:r>
      <w:r w:rsidR="00431681">
        <w:rPr>
          <w:lang w:val="fr-FR"/>
        </w:rPr>
        <w:t xml:space="preserve">et </w:t>
      </w:r>
      <w:r w:rsidR="00850DE5">
        <w:rPr>
          <w:lang w:val="fr-FR"/>
        </w:rPr>
        <w:t xml:space="preserve">un </w:t>
      </w:r>
      <w:r w:rsidR="00431681">
        <w:rPr>
          <w:lang w:val="fr-FR"/>
        </w:rPr>
        <w:t xml:space="preserve">projet d’orientations </w:t>
      </w:r>
      <w:r w:rsidR="00850DE5">
        <w:rPr>
          <w:lang w:val="fr-FR"/>
        </w:rPr>
        <w:t>sur le programme</w:t>
      </w:r>
      <w:r w:rsidR="00431681">
        <w:rPr>
          <w:lang w:val="fr-FR"/>
        </w:rPr>
        <w:t xml:space="preserve">, </w:t>
      </w:r>
      <w:r w:rsidR="00850DE5">
        <w:rPr>
          <w:lang w:val="fr-FR"/>
        </w:rPr>
        <w:t xml:space="preserve">qu’il </w:t>
      </w:r>
      <w:r w:rsidR="00431681">
        <w:rPr>
          <w:lang w:val="fr-FR"/>
        </w:rPr>
        <w:t>transmettr</w:t>
      </w:r>
      <w:r w:rsidR="00850DE5">
        <w:rPr>
          <w:lang w:val="fr-FR"/>
        </w:rPr>
        <w:t>a</w:t>
      </w:r>
      <w:r w:rsidR="00431681">
        <w:rPr>
          <w:lang w:val="fr-FR"/>
        </w:rPr>
        <w:t xml:space="preserve"> à la Conférence des Parties à sa première réunion, </w:t>
      </w:r>
      <w:r w:rsidR="00850DE5">
        <w:rPr>
          <w:lang w:val="fr-FR"/>
        </w:rPr>
        <w:t>afin que celle-ci les examine et les adopte</w:t>
      </w:r>
      <w:r w:rsidR="00431681">
        <w:rPr>
          <w:lang w:val="fr-FR"/>
        </w:rPr>
        <w:t xml:space="preserve"> éventuelle</w:t>
      </w:r>
      <w:r w:rsidR="00850DE5">
        <w:rPr>
          <w:lang w:val="fr-FR"/>
        </w:rPr>
        <w:t>ment</w:t>
      </w:r>
      <w:r w:rsidR="00377217" w:rsidRPr="00860140">
        <w:rPr>
          <w:lang w:val="fr-FR"/>
        </w:rPr>
        <w:t xml:space="preserve">. </w:t>
      </w:r>
    </w:p>
    <w:p w:rsidR="00377217" w:rsidRPr="00075DDD" w:rsidRDefault="00377217" w:rsidP="002D7E64">
      <w:pPr>
        <w:pStyle w:val="ZZAnxheader"/>
        <w:spacing w:after="120"/>
        <w:rPr>
          <w:lang w:val="fr-FR"/>
        </w:rPr>
      </w:pPr>
      <w:r w:rsidRPr="00860140">
        <w:rPr>
          <w:lang w:val="fr-FR"/>
        </w:rPr>
        <w:br w:type="page"/>
      </w:r>
      <w:r w:rsidRPr="00075DDD">
        <w:rPr>
          <w:lang w:val="fr-FR"/>
        </w:rPr>
        <w:t>Annex</w:t>
      </w:r>
      <w:r w:rsidR="00F41B4D">
        <w:rPr>
          <w:lang w:val="fr-FR"/>
        </w:rPr>
        <w:t>e </w:t>
      </w:r>
      <w:r w:rsidRPr="00075DDD">
        <w:rPr>
          <w:lang w:val="fr-FR"/>
        </w:rPr>
        <w:t>I</w:t>
      </w:r>
    </w:p>
    <w:p w:rsidR="00377217" w:rsidRPr="00075DDD" w:rsidRDefault="00F41B4D" w:rsidP="002D7E64">
      <w:pPr>
        <w:pStyle w:val="ZZAnxtitle"/>
        <w:spacing w:before="0"/>
        <w:rPr>
          <w:lang w:val="fr-FR"/>
        </w:rPr>
      </w:pPr>
      <w:r>
        <w:rPr>
          <w:lang w:val="fr-FR"/>
        </w:rPr>
        <w:t>Rap</w:t>
      </w:r>
      <w:r w:rsidR="00377217" w:rsidRPr="00075DDD">
        <w:rPr>
          <w:lang w:val="fr-FR"/>
        </w:rPr>
        <w:t xml:space="preserve">port </w:t>
      </w:r>
      <w:r>
        <w:rPr>
          <w:lang w:val="fr-FR"/>
        </w:rPr>
        <w:t>des coprésidents du</w:t>
      </w:r>
      <w:r w:rsidRPr="00860140">
        <w:rPr>
          <w:lang w:val="fr-FR"/>
        </w:rPr>
        <w:t xml:space="preserve"> </w:t>
      </w:r>
      <w:r w:rsidRPr="00733F9F">
        <w:rPr>
          <w:lang w:val="fr-FR"/>
        </w:rPr>
        <w:t xml:space="preserve">groupe </w:t>
      </w:r>
      <w:r>
        <w:rPr>
          <w:lang w:val="fr-FR"/>
        </w:rPr>
        <w:t xml:space="preserve">de travail </w:t>
      </w:r>
      <w:r w:rsidRPr="00733F9F">
        <w:rPr>
          <w:lang w:val="fr-FR"/>
        </w:rPr>
        <w:t xml:space="preserve">spécial d’experts </w:t>
      </w:r>
      <w:r w:rsidR="00850DE5">
        <w:rPr>
          <w:lang w:val="fr-FR"/>
        </w:rPr>
        <w:t xml:space="preserve">sur le financement créé </w:t>
      </w:r>
      <w:r>
        <w:rPr>
          <w:lang w:val="fr-FR"/>
        </w:rPr>
        <w:t>par le Comité de négociation intergouvernemental</w:t>
      </w:r>
      <w:r w:rsidRPr="00075DDD">
        <w:rPr>
          <w:lang w:val="fr-FR"/>
        </w:rPr>
        <w:t xml:space="preserve"> </w:t>
      </w:r>
      <w:r>
        <w:rPr>
          <w:lang w:val="fr-FR"/>
        </w:rPr>
        <w:t>à sa sixième session</w:t>
      </w:r>
    </w:p>
    <w:p w:rsidR="00377217" w:rsidRPr="00075DDD" w:rsidRDefault="0093282D" w:rsidP="002D7E64">
      <w:pPr>
        <w:pStyle w:val="CH1"/>
        <w:spacing w:before="0"/>
        <w:rPr>
          <w:lang w:val="fr-FR" w:eastAsia="zh-CN"/>
        </w:rPr>
      </w:pPr>
      <w:r w:rsidRPr="00075DDD">
        <w:rPr>
          <w:lang w:val="fr-FR" w:eastAsia="zh-CN"/>
        </w:rPr>
        <w:tab/>
      </w:r>
      <w:r w:rsidRPr="00075DDD">
        <w:rPr>
          <w:lang w:val="fr-FR" w:eastAsia="zh-CN"/>
        </w:rPr>
        <w:tab/>
      </w:r>
      <w:r w:rsidR="00377217" w:rsidRPr="00075DDD">
        <w:rPr>
          <w:lang w:val="fr-FR" w:eastAsia="zh-CN"/>
        </w:rPr>
        <w:t>Context</w:t>
      </w:r>
      <w:r w:rsidR="00F41B4D">
        <w:rPr>
          <w:lang w:val="fr-FR" w:eastAsia="zh-CN"/>
        </w:rPr>
        <w:t>e</w:t>
      </w:r>
    </w:p>
    <w:p w:rsidR="00377217" w:rsidRPr="00075DDD" w:rsidRDefault="00F41B4D" w:rsidP="002D7E64">
      <w:pPr>
        <w:pStyle w:val="Normalnumber"/>
        <w:numPr>
          <w:ilvl w:val="0"/>
          <w:numId w:val="61"/>
        </w:numPr>
        <w:tabs>
          <w:tab w:val="clear" w:pos="1758"/>
        </w:tabs>
        <w:ind w:left="1247"/>
        <w:rPr>
          <w:lang w:val="fr-FR" w:eastAsia="zh-CN"/>
        </w:rPr>
      </w:pPr>
      <w:r>
        <w:rPr>
          <w:lang w:val="fr-FR" w:eastAsia="zh-CN"/>
        </w:rPr>
        <w:t>Le</w:t>
      </w:r>
      <w:r w:rsidR="00377217" w:rsidRPr="00075DDD">
        <w:rPr>
          <w:lang w:val="fr-FR" w:eastAsia="zh-CN"/>
        </w:rPr>
        <w:t xml:space="preserve"> </w:t>
      </w:r>
      <w:r w:rsidRPr="00733F9F">
        <w:rPr>
          <w:lang w:val="fr-FR"/>
        </w:rPr>
        <w:t xml:space="preserve">groupe </w:t>
      </w:r>
      <w:r>
        <w:rPr>
          <w:lang w:val="fr-FR"/>
        </w:rPr>
        <w:t xml:space="preserve">de travail </w:t>
      </w:r>
      <w:r w:rsidRPr="00733F9F">
        <w:rPr>
          <w:lang w:val="fr-FR"/>
        </w:rPr>
        <w:t xml:space="preserve">spécial d’experts </w:t>
      </w:r>
      <w:r w:rsidR="00687707">
        <w:rPr>
          <w:lang w:val="fr-FR"/>
        </w:rPr>
        <w:t>sur le financement</w:t>
      </w:r>
      <w:r w:rsidR="00687707" w:rsidRPr="00075DDD">
        <w:rPr>
          <w:lang w:val="fr-FR" w:eastAsia="zh-CN"/>
        </w:rPr>
        <w:t xml:space="preserve"> </w:t>
      </w:r>
      <w:r>
        <w:rPr>
          <w:lang w:val="fr-FR" w:eastAsia="zh-CN"/>
        </w:rPr>
        <w:t xml:space="preserve">s’est réuni à </w:t>
      </w:r>
      <w:r w:rsidR="00377217" w:rsidRPr="00075DDD">
        <w:rPr>
          <w:lang w:val="fr-FR" w:eastAsia="zh-CN"/>
        </w:rPr>
        <w:t>Sao Paulo</w:t>
      </w:r>
      <w:r>
        <w:rPr>
          <w:lang w:val="fr-FR" w:eastAsia="zh-CN"/>
        </w:rPr>
        <w:t xml:space="preserve"> (Brésil) </w:t>
      </w:r>
      <w:r w:rsidR="00CB45CA">
        <w:rPr>
          <w:lang w:val="fr-FR" w:eastAsia="zh-CN"/>
        </w:rPr>
        <w:br/>
      </w:r>
      <w:r>
        <w:rPr>
          <w:lang w:val="fr-FR" w:eastAsia="zh-CN"/>
        </w:rPr>
        <w:t>du</w:t>
      </w:r>
      <w:r w:rsidR="00377217" w:rsidRPr="00075DDD">
        <w:rPr>
          <w:lang w:val="fr-FR" w:eastAsia="zh-CN"/>
        </w:rPr>
        <w:t xml:space="preserve"> 26 </w:t>
      </w:r>
      <w:r>
        <w:rPr>
          <w:lang w:val="fr-FR" w:eastAsia="zh-CN"/>
        </w:rPr>
        <w:t>au</w:t>
      </w:r>
      <w:r w:rsidR="00377217" w:rsidRPr="00075DDD">
        <w:rPr>
          <w:lang w:val="fr-FR" w:eastAsia="zh-CN"/>
        </w:rPr>
        <w:t xml:space="preserve"> 29</w:t>
      </w:r>
      <w:r>
        <w:rPr>
          <w:lang w:val="fr-FR" w:eastAsia="zh-CN"/>
        </w:rPr>
        <w:t> octobre </w:t>
      </w:r>
      <w:r w:rsidR="00377217" w:rsidRPr="00075DDD">
        <w:rPr>
          <w:lang w:val="fr-FR" w:eastAsia="zh-CN"/>
        </w:rPr>
        <w:t xml:space="preserve">2015 </w:t>
      </w:r>
      <w:r>
        <w:rPr>
          <w:lang w:val="fr-FR"/>
        </w:rPr>
        <w:t>à l’invitation du Gouvernement brésilien</w:t>
      </w:r>
      <w:r w:rsidR="00AD1AC0">
        <w:rPr>
          <w:lang w:val="fr-FR"/>
        </w:rPr>
        <w:t>;</w:t>
      </w:r>
      <w:r w:rsidR="00687707">
        <w:rPr>
          <w:lang w:val="fr-FR"/>
        </w:rPr>
        <w:t xml:space="preserve"> cette réunion a été organisée avec l’appui du</w:t>
      </w:r>
      <w:r w:rsidR="00687707">
        <w:rPr>
          <w:lang w:val="fr-FR" w:eastAsia="zh-CN"/>
        </w:rPr>
        <w:t xml:space="preserve"> </w:t>
      </w:r>
      <w:r>
        <w:rPr>
          <w:lang w:val="fr-FR" w:eastAsia="zh-CN"/>
        </w:rPr>
        <w:t>Centre régional</w:t>
      </w:r>
      <w:r w:rsidR="009E37E4">
        <w:rPr>
          <w:lang w:val="fr-FR" w:eastAsia="zh-CN"/>
        </w:rPr>
        <w:t xml:space="preserve"> de la Convention de Stockholm pour l’assistance technique et le transfert </w:t>
      </w:r>
      <w:r w:rsidR="00687707">
        <w:rPr>
          <w:lang w:val="fr-FR" w:eastAsia="zh-CN"/>
        </w:rPr>
        <w:t xml:space="preserve">de </w:t>
      </w:r>
      <w:r w:rsidR="009E37E4">
        <w:rPr>
          <w:lang w:val="fr-FR" w:eastAsia="zh-CN"/>
        </w:rPr>
        <w:t>technologie pour la région de l’</w:t>
      </w:r>
      <w:r w:rsidR="009E37E4" w:rsidRPr="009E37E4">
        <w:rPr>
          <w:lang w:val="fr-FR" w:eastAsia="zh-CN"/>
        </w:rPr>
        <w:t>Amérique latine et des Caraïbes</w:t>
      </w:r>
      <w:r w:rsidR="00377217" w:rsidRPr="00075DDD">
        <w:rPr>
          <w:lang w:val="fr-FR" w:eastAsia="zh-CN"/>
        </w:rPr>
        <w:t>.</w:t>
      </w:r>
    </w:p>
    <w:p w:rsidR="00377217" w:rsidRPr="00075DDD" w:rsidRDefault="009E37E4" w:rsidP="002D7E64">
      <w:pPr>
        <w:pStyle w:val="Normalnumber"/>
        <w:numPr>
          <w:ilvl w:val="0"/>
          <w:numId w:val="61"/>
        </w:numPr>
        <w:tabs>
          <w:tab w:val="clear" w:pos="1758"/>
        </w:tabs>
        <w:ind w:left="1247"/>
        <w:rPr>
          <w:lang w:val="fr-FR" w:eastAsia="zh-CN"/>
        </w:rPr>
      </w:pPr>
      <w:r>
        <w:rPr>
          <w:lang w:val="fr-FR" w:eastAsia="zh-CN"/>
        </w:rPr>
        <w:t>Le mandat du</w:t>
      </w:r>
      <w:r w:rsidR="00377217" w:rsidRPr="00075DDD">
        <w:rPr>
          <w:lang w:val="fr-FR" w:eastAsia="zh-CN"/>
        </w:rPr>
        <w:t xml:space="preserve"> </w:t>
      </w:r>
      <w:r w:rsidRPr="00733F9F">
        <w:rPr>
          <w:lang w:val="fr-FR"/>
        </w:rPr>
        <w:t xml:space="preserve">groupe </w:t>
      </w:r>
      <w:r>
        <w:rPr>
          <w:lang w:val="fr-FR"/>
        </w:rPr>
        <w:t xml:space="preserve">de travail </w:t>
      </w:r>
      <w:r w:rsidRPr="00733F9F">
        <w:rPr>
          <w:lang w:val="fr-FR"/>
        </w:rPr>
        <w:t xml:space="preserve">spécial d’experts </w:t>
      </w:r>
      <w:r w:rsidR="00687707">
        <w:rPr>
          <w:lang w:val="fr-FR"/>
        </w:rPr>
        <w:t>sur le financement créé</w:t>
      </w:r>
      <w:r w:rsidRPr="00075DDD">
        <w:rPr>
          <w:lang w:val="fr-FR" w:eastAsia="zh-CN"/>
        </w:rPr>
        <w:t xml:space="preserve"> </w:t>
      </w:r>
      <w:r w:rsidRPr="009E37E4">
        <w:rPr>
          <w:lang w:val="fr-FR" w:eastAsia="zh-CN"/>
        </w:rPr>
        <w:t>par le Comité de négociation i</w:t>
      </w:r>
      <w:r>
        <w:rPr>
          <w:lang w:val="fr-FR" w:eastAsia="zh-CN"/>
        </w:rPr>
        <w:t xml:space="preserve">ntergouvernemental à sa sixième session était </w:t>
      </w:r>
      <w:r>
        <w:rPr>
          <w:lang w:val="fr-FR"/>
        </w:rPr>
        <w:t xml:space="preserve">de </w:t>
      </w:r>
      <w:r w:rsidR="00687707">
        <w:rPr>
          <w:lang w:val="fr-FR"/>
        </w:rPr>
        <w:t>donner à ce dernier</w:t>
      </w:r>
      <w:r>
        <w:rPr>
          <w:lang w:val="fr-FR"/>
        </w:rPr>
        <w:t xml:space="preserve">, à sa septième session, </w:t>
      </w:r>
      <w:r w:rsidR="00687707">
        <w:rPr>
          <w:lang w:val="fr-FR"/>
        </w:rPr>
        <w:t xml:space="preserve">des conseils sur la suite à donner à </w:t>
      </w:r>
      <w:r>
        <w:rPr>
          <w:lang w:val="fr-FR"/>
        </w:rPr>
        <w:t xml:space="preserve">la décision de la </w:t>
      </w:r>
      <w:r w:rsidRPr="009820F8">
        <w:rPr>
          <w:lang w:val="fr-FR"/>
        </w:rPr>
        <w:t>Conférence de plénipotentiaires</w:t>
      </w:r>
      <w:r w:rsidR="00687707">
        <w:rPr>
          <w:lang w:val="fr-FR"/>
        </w:rPr>
        <w:t xml:space="preserve"> qui</w:t>
      </w:r>
      <w:r w:rsidR="00377217" w:rsidRPr="00075DDD">
        <w:rPr>
          <w:lang w:val="fr-FR" w:eastAsia="zh-CN"/>
        </w:rPr>
        <w:t xml:space="preserve">, </w:t>
      </w:r>
      <w:r>
        <w:rPr>
          <w:color w:val="000000"/>
          <w:lang w:val="fr-FR" w:eastAsia="zh-CN"/>
        </w:rPr>
        <w:t>au paragraphe </w:t>
      </w:r>
      <w:r w:rsidRPr="00860140">
        <w:rPr>
          <w:color w:val="000000"/>
          <w:lang w:val="fr-FR" w:eastAsia="zh-CN"/>
        </w:rPr>
        <w:t xml:space="preserve">6 </w:t>
      </w:r>
      <w:r>
        <w:rPr>
          <w:color w:val="000000"/>
          <w:lang w:val="fr-FR" w:eastAsia="zh-CN"/>
        </w:rPr>
        <w:t>de la résolution </w:t>
      </w:r>
      <w:r w:rsidR="00687707">
        <w:rPr>
          <w:color w:val="000000"/>
          <w:lang w:val="fr-FR" w:eastAsia="zh-CN"/>
        </w:rPr>
        <w:t xml:space="preserve">de l’Acte final </w:t>
      </w:r>
      <w:r w:rsidRPr="009820F8">
        <w:rPr>
          <w:color w:val="000000"/>
          <w:lang w:val="fr-FR" w:eastAsia="zh-CN"/>
        </w:rPr>
        <w:t>relative aux dispositions financières</w:t>
      </w:r>
      <w:r w:rsidR="00377217" w:rsidRPr="00075DDD">
        <w:rPr>
          <w:lang w:val="fr-FR" w:eastAsia="zh-CN"/>
        </w:rPr>
        <w:t xml:space="preserve">, </w:t>
      </w:r>
      <w:r w:rsidR="00687707">
        <w:rPr>
          <w:lang w:val="fr-FR" w:eastAsia="zh-CN"/>
        </w:rPr>
        <w:t xml:space="preserve">avait prié le Comité </w:t>
      </w:r>
      <w:r>
        <w:rPr>
          <w:lang w:val="fr-FR" w:eastAsia="zh-CN"/>
        </w:rPr>
        <w:t>« </w:t>
      </w:r>
      <w:r w:rsidR="004F0E9E">
        <w:rPr>
          <w:lang w:val="fr-FR" w:eastAsia="zh-CN"/>
        </w:rPr>
        <w:t>d’</w:t>
      </w:r>
      <w:r w:rsidRPr="009E37E4">
        <w:rPr>
          <w:lang w:val="fr-FR" w:eastAsia="zh-CN"/>
        </w:rPr>
        <w:t xml:space="preserve">élaborer, pour que la Conférence des </w:t>
      </w:r>
      <w:r w:rsidR="004F0E9E">
        <w:rPr>
          <w:lang w:val="fr-FR" w:eastAsia="zh-CN"/>
        </w:rPr>
        <w:t>Parties l’examine à sa première </w:t>
      </w:r>
      <w:r w:rsidRPr="009E37E4">
        <w:rPr>
          <w:lang w:val="fr-FR" w:eastAsia="zh-CN"/>
        </w:rPr>
        <w:t>réunion, une proposition concernant l’institution qui accueillera le programme international spécifique, y compris tous les arrangements nécessaires avec cette institution, ainsi que des orientations sur le fonctionnement et la durée de ce programme</w:t>
      </w:r>
      <w:r w:rsidR="001B3456" w:rsidRPr="00075DDD">
        <w:rPr>
          <w:lang w:val="fr-FR" w:eastAsia="zh-CN"/>
        </w:rPr>
        <w:t>.</w:t>
      </w:r>
      <w:r w:rsidR="00CB45CA">
        <w:rPr>
          <w:lang w:val="fr-FR" w:eastAsia="zh-CN"/>
        </w:rPr>
        <w:t xml:space="preserve"> </w:t>
      </w:r>
      <w:r w:rsidR="004F0E9E">
        <w:rPr>
          <w:lang w:val="fr-FR" w:eastAsia="zh-CN"/>
        </w:rPr>
        <w:t>»</w:t>
      </w:r>
    </w:p>
    <w:p w:rsidR="00377217" w:rsidRPr="00075DDD" w:rsidRDefault="004F0E9E" w:rsidP="002D7E64">
      <w:pPr>
        <w:pStyle w:val="Normalnumber"/>
        <w:numPr>
          <w:ilvl w:val="0"/>
          <w:numId w:val="61"/>
        </w:numPr>
        <w:tabs>
          <w:tab w:val="clear" w:pos="1758"/>
        </w:tabs>
        <w:ind w:left="1247"/>
        <w:rPr>
          <w:lang w:val="fr-FR" w:eastAsia="zh-CN"/>
        </w:rPr>
      </w:pPr>
      <w:r>
        <w:rPr>
          <w:lang w:val="fr-FR" w:eastAsia="zh-CN"/>
        </w:rPr>
        <w:t>Le présent rapport des coprésidents</w:t>
      </w:r>
      <w:r w:rsidR="001B3456" w:rsidRPr="00075DDD">
        <w:rPr>
          <w:lang w:val="fr-FR" w:eastAsia="zh-CN"/>
        </w:rPr>
        <w:t xml:space="preserve"> </w:t>
      </w:r>
      <w:r w:rsidRPr="005B01AC">
        <w:rPr>
          <w:lang w:val="fr-FR"/>
        </w:rPr>
        <w:t xml:space="preserve">rend compte des débats </w:t>
      </w:r>
      <w:r w:rsidR="000D6B69">
        <w:rPr>
          <w:lang w:val="fr-FR"/>
        </w:rPr>
        <w:t xml:space="preserve">tenus </w:t>
      </w:r>
      <w:r>
        <w:rPr>
          <w:lang w:val="fr-FR"/>
        </w:rPr>
        <w:t>et expose les vues exprimées concernant</w:t>
      </w:r>
      <w:r w:rsidRPr="005B01AC">
        <w:rPr>
          <w:lang w:val="fr-FR"/>
        </w:rPr>
        <w:t xml:space="preserve"> </w:t>
      </w:r>
      <w:r w:rsidRPr="009820F8">
        <w:rPr>
          <w:color w:val="000000"/>
          <w:lang w:val="fr-FR" w:eastAsia="zh-CN"/>
        </w:rPr>
        <w:t>l’institution qui accueillera le programme international spécifique, y compris tous les arrangements nécessaires ave</w:t>
      </w:r>
      <w:r w:rsidR="002C4104">
        <w:rPr>
          <w:color w:val="000000"/>
          <w:lang w:val="fr-FR" w:eastAsia="zh-CN"/>
        </w:rPr>
        <w:t xml:space="preserve">c cette institution, ainsi que </w:t>
      </w:r>
      <w:r w:rsidR="000D6B69">
        <w:rPr>
          <w:color w:val="000000"/>
          <w:lang w:val="fr-FR" w:eastAsia="zh-CN"/>
        </w:rPr>
        <w:t>d</w:t>
      </w:r>
      <w:r w:rsidRPr="009820F8">
        <w:rPr>
          <w:color w:val="000000"/>
          <w:lang w:val="fr-FR" w:eastAsia="zh-CN"/>
        </w:rPr>
        <w:t>es orientations sur le fonctionnement et la durée de ce programme</w:t>
      </w:r>
      <w:r w:rsidR="00377217" w:rsidRPr="00075DDD">
        <w:rPr>
          <w:lang w:val="fr-FR" w:eastAsia="zh-CN"/>
        </w:rPr>
        <w:t xml:space="preserve">. </w:t>
      </w:r>
      <w:r>
        <w:rPr>
          <w:lang w:val="fr-FR"/>
        </w:rPr>
        <w:t>Le rapport des coprésidents</w:t>
      </w:r>
      <w:r w:rsidRPr="00860140">
        <w:rPr>
          <w:lang w:val="fr-FR"/>
        </w:rPr>
        <w:t xml:space="preserve"> </w:t>
      </w:r>
      <w:r>
        <w:rPr>
          <w:lang w:val="fr-FR"/>
        </w:rPr>
        <w:t xml:space="preserve">n’a pas été négocié. Il </w:t>
      </w:r>
      <w:r w:rsidR="000D6B69">
        <w:rPr>
          <w:lang w:val="fr-FR"/>
        </w:rPr>
        <w:t xml:space="preserve">vise </w:t>
      </w:r>
      <w:r>
        <w:rPr>
          <w:lang w:val="fr-FR"/>
        </w:rPr>
        <w:t>à</w:t>
      </w:r>
      <w:r w:rsidRPr="00860140">
        <w:rPr>
          <w:lang w:val="fr-FR"/>
        </w:rPr>
        <w:t xml:space="preserve"> </w:t>
      </w:r>
      <w:r>
        <w:rPr>
          <w:lang w:val="fr-FR"/>
        </w:rPr>
        <w:t xml:space="preserve">mettre en évidence certains éléments des débats menés pendant la réunion, notamment les domaines </w:t>
      </w:r>
      <w:r w:rsidR="000D6B69">
        <w:rPr>
          <w:lang w:val="fr-FR"/>
        </w:rPr>
        <w:t>consensuels</w:t>
      </w:r>
      <w:r w:rsidR="00377217" w:rsidRPr="00075DDD">
        <w:rPr>
          <w:lang w:val="fr-FR" w:eastAsia="zh-CN"/>
        </w:rPr>
        <w:t>.</w:t>
      </w:r>
    </w:p>
    <w:p w:rsidR="00377217" w:rsidRPr="00075DDD" w:rsidRDefault="00DB651A" w:rsidP="002D7E64">
      <w:pPr>
        <w:pStyle w:val="CH2"/>
        <w:spacing w:before="0"/>
        <w:rPr>
          <w:lang w:val="fr-FR" w:eastAsia="zh-CN"/>
        </w:rPr>
      </w:pPr>
      <w:r w:rsidRPr="00075DDD">
        <w:rPr>
          <w:lang w:val="fr-FR"/>
        </w:rPr>
        <w:tab/>
        <w:t>A.</w:t>
      </w:r>
      <w:r w:rsidRPr="00075DDD">
        <w:rPr>
          <w:lang w:val="fr-FR"/>
        </w:rPr>
        <w:tab/>
      </w:r>
      <w:r w:rsidR="004F0E9E">
        <w:rPr>
          <w:lang w:val="fr-FR"/>
        </w:rPr>
        <w:t>I</w:t>
      </w:r>
      <w:r w:rsidR="00377217" w:rsidRPr="00075DDD">
        <w:rPr>
          <w:lang w:val="fr-FR" w:eastAsia="zh-CN"/>
        </w:rPr>
        <w:t>nstitution</w:t>
      </w:r>
      <w:r w:rsidR="004F0E9E">
        <w:rPr>
          <w:lang w:val="fr-FR" w:eastAsia="zh-CN"/>
        </w:rPr>
        <w:t xml:space="preserve"> d’accueil</w:t>
      </w:r>
      <w:r w:rsidR="00377217" w:rsidRPr="00075DDD">
        <w:rPr>
          <w:lang w:val="fr-FR" w:eastAsia="zh-CN"/>
        </w:rPr>
        <w:t xml:space="preserve">, </w:t>
      </w:r>
      <w:r w:rsidR="004F0E9E" w:rsidRPr="004F0E9E">
        <w:rPr>
          <w:lang w:val="fr-FR" w:eastAsia="zh-CN"/>
        </w:rPr>
        <w:t>y compris les arrangements nécessaires avec cette institution</w:t>
      </w:r>
    </w:p>
    <w:p w:rsidR="00377217" w:rsidRPr="00075DDD" w:rsidRDefault="00881AD4" w:rsidP="002D7E64">
      <w:pPr>
        <w:pStyle w:val="Normalnumber"/>
        <w:numPr>
          <w:ilvl w:val="0"/>
          <w:numId w:val="61"/>
        </w:numPr>
        <w:tabs>
          <w:tab w:val="clear" w:pos="1758"/>
        </w:tabs>
        <w:ind w:left="1247"/>
        <w:rPr>
          <w:lang w:val="fr-FR" w:eastAsia="zh-CN"/>
        </w:rPr>
      </w:pPr>
      <w:r>
        <w:rPr>
          <w:lang w:val="fr-FR" w:eastAsia="zh-CN"/>
        </w:rPr>
        <w:t>À sa sixième </w:t>
      </w:r>
      <w:r w:rsidR="001B3456" w:rsidRPr="00075DDD">
        <w:rPr>
          <w:lang w:val="fr-FR" w:eastAsia="zh-CN"/>
        </w:rPr>
        <w:t xml:space="preserve">session, </w:t>
      </w:r>
      <w:r>
        <w:rPr>
          <w:lang w:val="fr-FR" w:eastAsia="zh-CN"/>
        </w:rPr>
        <w:t>le Comité</w:t>
      </w:r>
      <w:r w:rsidR="001B3456" w:rsidRPr="00075DDD">
        <w:rPr>
          <w:lang w:val="fr-FR" w:eastAsia="zh-CN"/>
        </w:rPr>
        <w:t xml:space="preserve"> </w:t>
      </w:r>
      <w:r>
        <w:rPr>
          <w:lang w:val="fr-FR" w:eastAsia="zh-CN"/>
        </w:rPr>
        <w:t>a prié le secrétariat provisoire</w:t>
      </w:r>
      <w:r w:rsidR="00377217" w:rsidRPr="00075DDD">
        <w:rPr>
          <w:lang w:val="fr-FR" w:eastAsia="zh-CN"/>
        </w:rPr>
        <w:t xml:space="preserve"> </w:t>
      </w:r>
      <w:r w:rsidRPr="00881AD4">
        <w:rPr>
          <w:lang w:val="fr-FR" w:eastAsia="zh-CN"/>
        </w:rPr>
        <w:t xml:space="preserve">d’établir un document indiquant les différentes solutions concernant les institutions susceptibles d’accueillir le programme international spécifique et </w:t>
      </w:r>
      <w:r w:rsidR="00937F9A">
        <w:rPr>
          <w:lang w:val="fr-FR" w:eastAsia="zh-CN"/>
        </w:rPr>
        <w:t>tous</w:t>
      </w:r>
      <w:r w:rsidRPr="00881AD4">
        <w:rPr>
          <w:lang w:val="fr-FR" w:eastAsia="zh-CN"/>
        </w:rPr>
        <w:t xml:space="preserve"> les arrangements nécessaires avec ces institutions, afin d’éclairer les travaux que mèner</w:t>
      </w:r>
      <w:r>
        <w:rPr>
          <w:lang w:val="fr-FR" w:eastAsia="zh-CN"/>
        </w:rPr>
        <w:t>ait</w:t>
      </w:r>
      <w:r w:rsidRPr="00881AD4">
        <w:rPr>
          <w:lang w:val="fr-FR" w:eastAsia="zh-CN"/>
        </w:rPr>
        <w:t xml:space="preserve"> le groupe de travail spé</w:t>
      </w:r>
      <w:r w:rsidR="008526A7">
        <w:rPr>
          <w:lang w:val="fr-FR" w:eastAsia="zh-CN"/>
        </w:rPr>
        <w:t>cial d’experts avant sa réunion</w:t>
      </w:r>
      <w:r w:rsidR="00377217" w:rsidRPr="00075DDD">
        <w:rPr>
          <w:lang w:val="fr-FR" w:eastAsia="zh-CN"/>
        </w:rPr>
        <w:t>.</w:t>
      </w:r>
      <w:r w:rsidR="008526A7">
        <w:rPr>
          <w:lang w:val="fr-FR" w:eastAsia="zh-CN"/>
        </w:rPr>
        <w:t xml:space="preserve"> Le</w:t>
      </w:r>
      <w:r w:rsidR="00377217" w:rsidRPr="00075DDD">
        <w:rPr>
          <w:lang w:val="fr-FR" w:eastAsia="zh-CN"/>
        </w:rPr>
        <w:t xml:space="preserve"> document </w:t>
      </w:r>
      <w:r w:rsidR="008526A7">
        <w:rPr>
          <w:lang w:val="fr-FR" w:eastAsia="zh-CN"/>
        </w:rPr>
        <w:t xml:space="preserve">établi par le secrétariat provisoire contenait des informations </w:t>
      </w:r>
      <w:r w:rsidR="000D6B69">
        <w:rPr>
          <w:lang w:val="fr-FR" w:eastAsia="zh-CN"/>
        </w:rPr>
        <w:t xml:space="preserve">concernant les institutions </w:t>
      </w:r>
      <w:r w:rsidR="000D6B69" w:rsidRPr="00881AD4">
        <w:rPr>
          <w:lang w:val="fr-FR" w:eastAsia="zh-CN"/>
        </w:rPr>
        <w:t>susceptibles d’accueillir le programme international spécifique</w:t>
      </w:r>
      <w:r w:rsidR="000D6B69">
        <w:rPr>
          <w:lang w:val="fr-FR" w:eastAsia="zh-CN"/>
        </w:rPr>
        <w:t xml:space="preserve"> visées dans </w:t>
      </w:r>
      <w:r w:rsidR="008526A7">
        <w:rPr>
          <w:lang w:val="fr-FR" w:eastAsia="zh-CN"/>
        </w:rPr>
        <w:t xml:space="preserve">une liste non exhaustive, à savoir </w:t>
      </w:r>
      <w:r w:rsidR="000D6B69">
        <w:rPr>
          <w:lang w:val="fr-FR" w:eastAsia="zh-CN"/>
        </w:rPr>
        <w:t xml:space="preserve">la Banque mondiale, </w:t>
      </w:r>
      <w:r w:rsidR="008526A7">
        <w:rPr>
          <w:lang w:val="fr-FR" w:eastAsia="zh-CN"/>
        </w:rPr>
        <w:t>le FEM, le Programme des Nations Unies pour le développement (PNUD)</w:t>
      </w:r>
      <w:r w:rsidR="000D6B69">
        <w:rPr>
          <w:lang w:val="fr-FR" w:eastAsia="zh-CN"/>
        </w:rPr>
        <w:t xml:space="preserve"> et</w:t>
      </w:r>
      <w:r w:rsidR="008526A7">
        <w:rPr>
          <w:lang w:val="fr-FR" w:eastAsia="zh-CN"/>
        </w:rPr>
        <w:t xml:space="preserve"> le Programme des Nations Unies pour l’environnement (PNUE), y compris leurs mandat, fonctions et expériences présentant un intérêt pour l’accueil du</w:t>
      </w:r>
      <w:r w:rsidR="008526A7" w:rsidRPr="00075DDD">
        <w:rPr>
          <w:lang w:val="fr-FR" w:eastAsia="zh-CN"/>
        </w:rPr>
        <w:t xml:space="preserve"> </w:t>
      </w:r>
      <w:r w:rsidR="008526A7" w:rsidRPr="00881AD4">
        <w:rPr>
          <w:lang w:val="fr-FR" w:eastAsia="zh-CN"/>
        </w:rPr>
        <w:t>pro</w:t>
      </w:r>
      <w:r w:rsidR="008526A7">
        <w:rPr>
          <w:lang w:val="fr-FR" w:eastAsia="zh-CN"/>
        </w:rPr>
        <w:t>gramme international spécifique</w:t>
      </w:r>
      <w:r w:rsidR="00377217" w:rsidRPr="00075DDD">
        <w:rPr>
          <w:lang w:val="fr-FR" w:eastAsia="zh-CN"/>
        </w:rPr>
        <w:t>.</w:t>
      </w:r>
    </w:p>
    <w:p w:rsidR="00377217" w:rsidRPr="00075DDD" w:rsidRDefault="008526A7" w:rsidP="002D7E64">
      <w:pPr>
        <w:pStyle w:val="Normalnumber"/>
        <w:numPr>
          <w:ilvl w:val="0"/>
          <w:numId w:val="61"/>
        </w:numPr>
        <w:tabs>
          <w:tab w:val="clear" w:pos="1758"/>
        </w:tabs>
        <w:ind w:left="1247"/>
        <w:rPr>
          <w:lang w:val="fr-FR" w:eastAsia="zh-CN"/>
        </w:rPr>
      </w:pPr>
      <w:r>
        <w:rPr>
          <w:lang w:val="fr-FR" w:eastAsia="zh-CN"/>
        </w:rPr>
        <w:t>Les</w:t>
      </w:r>
      <w:r w:rsidR="00377217" w:rsidRPr="00075DDD">
        <w:rPr>
          <w:lang w:val="fr-FR" w:eastAsia="zh-CN"/>
        </w:rPr>
        <w:t xml:space="preserve"> experts</w:t>
      </w:r>
      <w:r>
        <w:rPr>
          <w:lang w:val="fr-FR" w:eastAsia="zh-CN"/>
        </w:rPr>
        <w:t xml:space="preserve"> ont </w:t>
      </w:r>
      <w:r w:rsidR="000D6B69">
        <w:rPr>
          <w:lang w:val="fr-FR" w:eastAsia="zh-CN"/>
        </w:rPr>
        <w:t xml:space="preserve">recensé </w:t>
      </w:r>
      <w:r>
        <w:rPr>
          <w:lang w:val="fr-FR" w:eastAsia="zh-CN"/>
        </w:rPr>
        <w:t xml:space="preserve">et examiné un certain nombre de principes et </w:t>
      </w:r>
      <w:r w:rsidR="000D6B69">
        <w:rPr>
          <w:lang w:val="fr-FR" w:eastAsia="zh-CN"/>
        </w:rPr>
        <w:t xml:space="preserve">qualités essentiels </w:t>
      </w:r>
      <w:r>
        <w:rPr>
          <w:lang w:val="fr-FR" w:eastAsia="zh-CN"/>
        </w:rPr>
        <w:t>pour la sélection d’une institution d’accueil </w:t>
      </w:r>
      <w:r w:rsidR="00377217" w:rsidRPr="00075DDD">
        <w:rPr>
          <w:lang w:val="fr-FR" w:eastAsia="zh-CN"/>
        </w:rPr>
        <w:t>:</w:t>
      </w:r>
    </w:p>
    <w:p w:rsidR="00377217" w:rsidRPr="00075DDD" w:rsidRDefault="00944AC7" w:rsidP="0007575E">
      <w:pPr>
        <w:pStyle w:val="Normalnumber"/>
        <w:numPr>
          <w:ilvl w:val="1"/>
          <w:numId w:val="42"/>
        </w:numPr>
        <w:tabs>
          <w:tab w:val="clear" w:pos="6970"/>
          <w:tab w:val="num" w:pos="1276"/>
        </w:tabs>
        <w:ind w:left="1276" w:firstLine="614"/>
        <w:rPr>
          <w:rFonts w:eastAsia="MS Gothic"/>
          <w:lang w:val="fr-FR" w:eastAsia="zh-CN"/>
        </w:rPr>
      </w:pPr>
      <w:r>
        <w:rPr>
          <w:rFonts w:eastAsia="MS Gothic"/>
          <w:lang w:val="fr-FR" w:eastAsia="zh-CN"/>
        </w:rPr>
        <w:t xml:space="preserve">Relation </w:t>
      </w:r>
      <w:r w:rsidR="000D6B69">
        <w:rPr>
          <w:rFonts w:eastAsia="MS Gothic"/>
          <w:lang w:val="fr-FR" w:eastAsia="zh-CN"/>
        </w:rPr>
        <w:t xml:space="preserve">étroite </w:t>
      </w:r>
      <w:r>
        <w:rPr>
          <w:rFonts w:eastAsia="MS Gothic"/>
          <w:lang w:val="fr-FR" w:eastAsia="zh-CN"/>
        </w:rPr>
        <w:t>ou lien</w:t>
      </w:r>
      <w:r w:rsidR="00696D9B">
        <w:rPr>
          <w:rFonts w:eastAsia="MS Gothic"/>
          <w:lang w:val="fr-FR" w:eastAsia="zh-CN"/>
        </w:rPr>
        <w:t xml:space="preserve"> </w:t>
      </w:r>
      <w:r>
        <w:rPr>
          <w:rFonts w:eastAsia="MS Gothic"/>
          <w:lang w:val="fr-FR" w:eastAsia="zh-CN"/>
        </w:rPr>
        <w:t xml:space="preserve">avec la Convention de </w:t>
      </w:r>
      <w:r w:rsidR="00377217" w:rsidRPr="00075DDD">
        <w:rPr>
          <w:rFonts w:eastAsia="MS Gothic"/>
          <w:lang w:val="fr-FR" w:eastAsia="zh-CN"/>
        </w:rPr>
        <w:t>Minamata;</w:t>
      </w:r>
    </w:p>
    <w:p w:rsidR="00377217" w:rsidRPr="00075DDD" w:rsidRDefault="00944AC7" w:rsidP="002D7E64">
      <w:pPr>
        <w:pStyle w:val="Normalnumber"/>
        <w:numPr>
          <w:ilvl w:val="1"/>
          <w:numId w:val="42"/>
        </w:numPr>
        <w:tabs>
          <w:tab w:val="clear" w:pos="6970"/>
          <w:tab w:val="num" w:pos="1276"/>
        </w:tabs>
        <w:ind w:left="1276" w:firstLine="624"/>
        <w:rPr>
          <w:rFonts w:eastAsia="MS Gothic"/>
          <w:lang w:val="fr-FR" w:eastAsia="zh-CN"/>
        </w:rPr>
      </w:pPr>
      <w:r>
        <w:rPr>
          <w:rFonts w:eastAsia="MS Gothic"/>
          <w:lang w:val="fr-FR" w:eastAsia="zh-CN"/>
        </w:rPr>
        <w:t>I</w:t>
      </w:r>
      <w:r w:rsidR="002C4104">
        <w:rPr>
          <w:rFonts w:eastAsia="MS Gothic"/>
          <w:lang w:val="fr-FR" w:eastAsia="zh-CN"/>
        </w:rPr>
        <w:t>ntérêt manifesté</w:t>
      </w:r>
      <w:r>
        <w:rPr>
          <w:rFonts w:eastAsia="MS Gothic"/>
          <w:lang w:val="fr-FR" w:eastAsia="zh-CN"/>
        </w:rPr>
        <w:t xml:space="preserve"> pour l’accueil du</w:t>
      </w:r>
      <w:r w:rsidR="00377217" w:rsidRPr="00075DDD">
        <w:rPr>
          <w:rFonts w:eastAsia="MS Gothic"/>
          <w:lang w:val="fr-FR" w:eastAsia="zh-CN"/>
        </w:rPr>
        <w:t xml:space="preserve"> </w:t>
      </w:r>
      <w:r w:rsidRPr="00881AD4">
        <w:rPr>
          <w:lang w:val="fr-FR" w:eastAsia="zh-CN"/>
        </w:rPr>
        <w:t>pro</w:t>
      </w:r>
      <w:r>
        <w:rPr>
          <w:lang w:val="fr-FR" w:eastAsia="zh-CN"/>
        </w:rPr>
        <w:t>gramme international spécifique</w:t>
      </w:r>
      <w:r w:rsidR="00377217" w:rsidRPr="00075DDD">
        <w:rPr>
          <w:rFonts w:eastAsia="MS Gothic"/>
          <w:lang w:val="fr-FR" w:eastAsia="zh-CN"/>
        </w:rPr>
        <w:t>;</w:t>
      </w:r>
    </w:p>
    <w:p w:rsidR="00377217" w:rsidRPr="00075DDD" w:rsidRDefault="00944AC7" w:rsidP="002D7E64">
      <w:pPr>
        <w:pStyle w:val="Normalnumber"/>
        <w:numPr>
          <w:ilvl w:val="1"/>
          <w:numId w:val="42"/>
        </w:numPr>
        <w:tabs>
          <w:tab w:val="clear" w:pos="6970"/>
          <w:tab w:val="num" w:pos="1276"/>
        </w:tabs>
        <w:ind w:left="1276" w:firstLine="624"/>
        <w:rPr>
          <w:rFonts w:eastAsia="MS Gothic"/>
          <w:lang w:val="fr-FR" w:eastAsia="zh-CN"/>
        </w:rPr>
      </w:pPr>
      <w:r>
        <w:rPr>
          <w:rFonts w:eastAsia="MS Gothic"/>
          <w:lang w:val="fr-FR" w:eastAsia="zh-CN"/>
        </w:rPr>
        <w:t>Complé</w:t>
      </w:r>
      <w:r w:rsidR="00377217" w:rsidRPr="00075DDD">
        <w:rPr>
          <w:rFonts w:eastAsia="MS Gothic"/>
          <w:lang w:val="fr-FR" w:eastAsia="zh-CN"/>
        </w:rPr>
        <w:t>mentarit</w:t>
      </w:r>
      <w:r>
        <w:rPr>
          <w:rFonts w:eastAsia="MS Gothic"/>
          <w:lang w:val="fr-FR" w:eastAsia="zh-CN"/>
        </w:rPr>
        <w:t>é avec</w:t>
      </w:r>
      <w:r w:rsidR="001B3456" w:rsidRPr="00075DDD">
        <w:rPr>
          <w:rFonts w:eastAsia="MS Gothic"/>
          <w:lang w:val="fr-FR" w:eastAsia="zh-CN"/>
        </w:rPr>
        <w:t xml:space="preserve"> </w:t>
      </w:r>
      <w:r w:rsidRPr="00944AC7">
        <w:rPr>
          <w:rFonts w:eastAsia="MS Gothic"/>
          <w:lang w:val="fr-FR" w:eastAsia="zh-CN"/>
        </w:rPr>
        <w:t>la Caisse du FEM</w:t>
      </w:r>
      <w:r>
        <w:rPr>
          <w:rFonts w:eastAsia="MS Gothic"/>
          <w:lang w:val="fr-FR" w:eastAsia="zh-CN"/>
        </w:rPr>
        <w:t xml:space="preserve">, qui constitue l’autre élément du mécanisme de financement de la Convention de </w:t>
      </w:r>
      <w:r w:rsidR="00377217" w:rsidRPr="00075DDD">
        <w:rPr>
          <w:rFonts w:eastAsia="MS Gothic"/>
          <w:lang w:val="fr-FR" w:eastAsia="zh-CN"/>
        </w:rPr>
        <w:t>Minamata;</w:t>
      </w:r>
    </w:p>
    <w:p w:rsidR="00377217" w:rsidRPr="00075DDD" w:rsidRDefault="00944AC7" w:rsidP="002D7E64">
      <w:pPr>
        <w:pStyle w:val="Normalnumber"/>
        <w:numPr>
          <w:ilvl w:val="1"/>
          <w:numId w:val="42"/>
        </w:numPr>
        <w:tabs>
          <w:tab w:val="clear" w:pos="6970"/>
          <w:tab w:val="num" w:pos="1276"/>
        </w:tabs>
        <w:ind w:left="1276" w:firstLine="624"/>
        <w:rPr>
          <w:rFonts w:eastAsia="MS Gothic"/>
          <w:lang w:val="fr-FR" w:eastAsia="zh-CN"/>
        </w:rPr>
      </w:pPr>
      <w:r>
        <w:rPr>
          <w:rFonts w:eastAsia="MS Gothic"/>
          <w:lang w:val="fr-FR" w:eastAsia="zh-CN"/>
        </w:rPr>
        <w:t>Utilisation efficace des ressources</w:t>
      </w:r>
      <w:r w:rsidR="00377217" w:rsidRPr="00075DDD">
        <w:rPr>
          <w:rFonts w:eastAsia="MS Gothic"/>
          <w:lang w:val="fr-FR" w:eastAsia="zh-CN"/>
        </w:rPr>
        <w:t xml:space="preserve"> </w:t>
      </w:r>
      <w:r w:rsidR="000D6B69">
        <w:rPr>
          <w:rFonts w:eastAsia="MS Gothic"/>
          <w:lang w:val="fr-FR" w:eastAsia="zh-CN"/>
        </w:rPr>
        <w:t xml:space="preserve"> en tirant partie des avantages </w:t>
      </w:r>
      <w:r w:rsidR="00E824A8">
        <w:rPr>
          <w:rFonts w:eastAsia="MS Gothic"/>
          <w:lang w:val="fr-FR" w:eastAsia="zh-CN"/>
        </w:rPr>
        <w:t xml:space="preserve"> structurels et programmatiques </w:t>
      </w:r>
      <w:r w:rsidR="000D6B69">
        <w:rPr>
          <w:rFonts w:eastAsia="MS Gothic"/>
          <w:lang w:val="fr-FR" w:eastAsia="zh-CN"/>
        </w:rPr>
        <w:t xml:space="preserve">communs </w:t>
      </w:r>
      <w:r w:rsidR="00E824A8">
        <w:rPr>
          <w:rFonts w:eastAsia="MS Gothic"/>
          <w:lang w:val="fr-FR" w:eastAsia="zh-CN"/>
        </w:rPr>
        <w:t>avec des structures et programmes existants pertinents</w:t>
      </w:r>
      <w:r w:rsidR="00377217" w:rsidRPr="00075DDD">
        <w:rPr>
          <w:rFonts w:eastAsia="MS Gothic"/>
          <w:lang w:val="fr-FR" w:eastAsia="zh-CN"/>
        </w:rPr>
        <w:t>;</w:t>
      </w:r>
    </w:p>
    <w:p w:rsidR="00377217" w:rsidRPr="00075DDD" w:rsidRDefault="00E824A8" w:rsidP="002D7E64">
      <w:pPr>
        <w:pStyle w:val="Normalnumber"/>
        <w:numPr>
          <w:ilvl w:val="1"/>
          <w:numId w:val="42"/>
        </w:numPr>
        <w:tabs>
          <w:tab w:val="clear" w:pos="6970"/>
          <w:tab w:val="num" w:pos="1276"/>
        </w:tabs>
        <w:ind w:left="1276" w:firstLine="624"/>
        <w:rPr>
          <w:rFonts w:eastAsia="MS Gothic"/>
          <w:lang w:val="fr-FR" w:eastAsia="zh-CN"/>
        </w:rPr>
      </w:pPr>
      <w:r>
        <w:rPr>
          <w:rFonts w:eastAsia="MS Gothic"/>
          <w:lang w:val="fr-FR" w:eastAsia="zh-CN"/>
        </w:rPr>
        <w:t xml:space="preserve">Bons résultats en tant qu’institution d’accueil de programmes de renforcement des capacités et d’assistance technique, </w:t>
      </w:r>
      <w:r w:rsidR="007E65EC">
        <w:rPr>
          <w:rFonts w:eastAsia="MS Gothic"/>
          <w:lang w:val="fr-FR" w:eastAsia="zh-CN"/>
        </w:rPr>
        <w:t xml:space="preserve">qui démontrent la capacité de l’institution d’accueillir le </w:t>
      </w:r>
      <w:r>
        <w:rPr>
          <w:rFonts w:eastAsia="MS Gothic"/>
          <w:lang w:val="fr-FR" w:eastAsia="zh-CN"/>
        </w:rPr>
        <w:t>programme</w:t>
      </w:r>
      <w:r w:rsidR="00377217" w:rsidRPr="00075DDD">
        <w:rPr>
          <w:rFonts w:eastAsia="MS Gothic"/>
          <w:lang w:val="fr-FR" w:eastAsia="zh-CN"/>
        </w:rPr>
        <w:t>;</w:t>
      </w:r>
    </w:p>
    <w:p w:rsidR="00377217" w:rsidRPr="00075DDD" w:rsidRDefault="00E824A8" w:rsidP="002D7E64">
      <w:pPr>
        <w:pStyle w:val="Normalnumber"/>
        <w:numPr>
          <w:ilvl w:val="1"/>
          <w:numId w:val="42"/>
        </w:numPr>
        <w:tabs>
          <w:tab w:val="clear" w:pos="6970"/>
          <w:tab w:val="num" w:pos="1276"/>
        </w:tabs>
        <w:ind w:left="1276" w:firstLine="624"/>
        <w:rPr>
          <w:rFonts w:eastAsia="MS Gothic"/>
          <w:lang w:val="fr-FR" w:eastAsia="zh-CN"/>
        </w:rPr>
      </w:pPr>
      <w:r>
        <w:rPr>
          <w:rFonts w:eastAsia="MS Gothic"/>
          <w:lang w:val="fr-FR" w:eastAsia="zh-CN"/>
        </w:rPr>
        <w:t>Indé</w:t>
      </w:r>
      <w:r w:rsidR="00377217" w:rsidRPr="00075DDD">
        <w:rPr>
          <w:rFonts w:eastAsia="MS Gothic"/>
          <w:lang w:val="fr-FR" w:eastAsia="zh-CN"/>
        </w:rPr>
        <w:t>pend</w:t>
      </w:r>
      <w:r>
        <w:rPr>
          <w:rFonts w:eastAsia="MS Gothic"/>
          <w:lang w:val="fr-FR" w:eastAsia="zh-CN"/>
        </w:rPr>
        <w:t xml:space="preserve">ance et capacité </w:t>
      </w:r>
      <w:r w:rsidR="007E65EC">
        <w:rPr>
          <w:rFonts w:eastAsia="MS Gothic"/>
          <w:lang w:val="fr-FR" w:eastAsia="zh-CN"/>
        </w:rPr>
        <w:t>d’</w:t>
      </w:r>
      <w:r>
        <w:rPr>
          <w:rFonts w:eastAsia="MS Gothic"/>
          <w:lang w:val="fr-FR" w:eastAsia="zh-CN"/>
        </w:rPr>
        <w:t xml:space="preserve">atteindre l’objectif de la Convention de </w:t>
      </w:r>
      <w:r w:rsidR="00377217" w:rsidRPr="00075DDD">
        <w:rPr>
          <w:rFonts w:eastAsia="MS Gothic"/>
          <w:lang w:val="fr-FR" w:eastAsia="zh-CN"/>
        </w:rPr>
        <w:t>Minamata;</w:t>
      </w:r>
    </w:p>
    <w:p w:rsidR="00377217" w:rsidRPr="00075DDD" w:rsidRDefault="007E65EC" w:rsidP="002D7E64">
      <w:pPr>
        <w:pStyle w:val="Normalnumber"/>
        <w:numPr>
          <w:ilvl w:val="1"/>
          <w:numId w:val="42"/>
        </w:numPr>
        <w:tabs>
          <w:tab w:val="clear" w:pos="6970"/>
          <w:tab w:val="num" w:pos="1276"/>
        </w:tabs>
        <w:ind w:left="1276" w:firstLine="624"/>
        <w:rPr>
          <w:rFonts w:eastAsia="MS Gothic"/>
          <w:lang w:val="fr-FR" w:eastAsia="zh-CN"/>
        </w:rPr>
      </w:pPr>
      <w:r>
        <w:rPr>
          <w:rFonts w:eastAsia="MS Gothic"/>
          <w:lang w:val="fr-FR" w:eastAsia="zh-CN"/>
        </w:rPr>
        <w:t xml:space="preserve">Absence </w:t>
      </w:r>
      <w:r w:rsidR="00E824A8">
        <w:rPr>
          <w:rFonts w:eastAsia="MS Gothic"/>
          <w:lang w:val="fr-FR" w:eastAsia="zh-CN"/>
        </w:rPr>
        <w:t>de conflit d’intérêt</w:t>
      </w:r>
      <w:r>
        <w:rPr>
          <w:rFonts w:eastAsia="MS Gothic"/>
          <w:lang w:val="fr-FR" w:eastAsia="zh-CN"/>
        </w:rPr>
        <w:t>s</w:t>
      </w:r>
      <w:r w:rsidR="00377217" w:rsidRPr="00075DDD">
        <w:rPr>
          <w:rFonts w:eastAsia="MS Gothic"/>
          <w:lang w:val="fr-FR" w:eastAsia="zh-CN"/>
        </w:rPr>
        <w:t>;</w:t>
      </w:r>
    </w:p>
    <w:p w:rsidR="00377217" w:rsidRPr="00075DDD" w:rsidRDefault="008D7774" w:rsidP="002D7E64">
      <w:pPr>
        <w:pStyle w:val="Normalnumber"/>
        <w:numPr>
          <w:ilvl w:val="1"/>
          <w:numId w:val="42"/>
        </w:numPr>
        <w:tabs>
          <w:tab w:val="clear" w:pos="6970"/>
          <w:tab w:val="num" w:pos="1276"/>
        </w:tabs>
        <w:ind w:left="1276" w:firstLine="624"/>
        <w:rPr>
          <w:rFonts w:eastAsia="MS Gothic"/>
          <w:lang w:val="fr-FR" w:eastAsia="zh-CN"/>
        </w:rPr>
      </w:pPr>
      <w:r>
        <w:rPr>
          <w:rFonts w:eastAsia="MS Gothic"/>
          <w:lang w:val="fr-FR" w:eastAsia="zh-CN"/>
        </w:rPr>
        <w:t>Souplesse</w:t>
      </w:r>
      <w:r w:rsidR="00377217" w:rsidRPr="00075DDD">
        <w:rPr>
          <w:rFonts w:eastAsia="MS Gothic"/>
          <w:lang w:val="fr-FR" w:eastAsia="zh-CN"/>
        </w:rPr>
        <w:t xml:space="preserve"> </w:t>
      </w:r>
      <w:r w:rsidR="00E824A8">
        <w:rPr>
          <w:rFonts w:eastAsia="MS Gothic"/>
          <w:lang w:val="fr-FR" w:eastAsia="zh-CN"/>
        </w:rPr>
        <w:t xml:space="preserve">et facilité </w:t>
      </w:r>
      <w:r w:rsidR="007E65EC">
        <w:rPr>
          <w:rFonts w:eastAsia="MS Gothic"/>
          <w:lang w:val="fr-FR" w:eastAsia="zh-CN"/>
        </w:rPr>
        <w:t>à obtenir un appui</w:t>
      </w:r>
      <w:r w:rsidR="00377217" w:rsidRPr="00075DDD">
        <w:rPr>
          <w:rFonts w:eastAsia="MS Gothic"/>
          <w:lang w:val="fr-FR" w:eastAsia="zh-CN"/>
        </w:rPr>
        <w:t>;</w:t>
      </w:r>
    </w:p>
    <w:p w:rsidR="00377217" w:rsidRPr="00075DDD" w:rsidRDefault="00F74FEF" w:rsidP="002D7E64">
      <w:pPr>
        <w:pStyle w:val="Normalnumber"/>
        <w:numPr>
          <w:ilvl w:val="1"/>
          <w:numId w:val="42"/>
        </w:numPr>
        <w:tabs>
          <w:tab w:val="clear" w:pos="6970"/>
          <w:tab w:val="num" w:pos="1276"/>
        </w:tabs>
        <w:ind w:left="1276" w:firstLine="624"/>
        <w:rPr>
          <w:rFonts w:eastAsia="MS Gothic"/>
          <w:lang w:val="fr-FR" w:eastAsia="zh-CN"/>
        </w:rPr>
      </w:pPr>
      <w:r>
        <w:rPr>
          <w:rFonts w:eastAsia="MS Gothic"/>
          <w:lang w:val="fr-FR" w:eastAsia="zh-CN"/>
        </w:rPr>
        <w:t>S</w:t>
      </w:r>
      <w:r w:rsidR="00377217" w:rsidRPr="00075DDD">
        <w:rPr>
          <w:rFonts w:eastAsia="MS Gothic"/>
          <w:lang w:val="fr-FR" w:eastAsia="zh-CN"/>
        </w:rPr>
        <w:t>tructure</w:t>
      </w:r>
      <w:r>
        <w:rPr>
          <w:rFonts w:eastAsia="MS Gothic"/>
          <w:lang w:val="fr-FR" w:eastAsia="zh-CN"/>
        </w:rPr>
        <w:t xml:space="preserve"> institutionnelle qui peut </w:t>
      </w:r>
      <w:r w:rsidR="007E65EC">
        <w:rPr>
          <w:rFonts w:eastAsia="MS Gothic"/>
          <w:lang w:val="fr-FR" w:eastAsia="zh-CN"/>
        </w:rPr>
        <w:t xml:space="preserve">atteindre </w:t>
      </w:r>
      <w:r>
        <w:rPr>
          <w:rFonts w:eastAsia="MS Gothic"/>
          <w:lang w:val="fr-FR" w:eastAsia="zh-CN"/>
        </w:rPr>
        <w:t>efficacement l’objectif du programme et répondre aux besoins de ses partie</w:t>
      </w:r>
      <w:r w:rsidR="004C747F">
        <w:rPr>
          <w:rFonts w:eastAsia="MS Gothic"/>
          <w:lang w:val="fr-FR" w:eastAsia="zh-CN"/>
        </w:rPr>
        <w:t>s</w:t>
      </w:r>
      <w:r>
        <w:rPr>
          <w:rFonts w:eastAsia="MS Gothic"/>
          <w:lang w:val="fr-FR" w:eastAsia="zh-CN"/>
        </w:rPr>
        <w:t xml:space="preserve"> prenantes</w:t>
      </w:r>
      <w:r w:rsidR="00377217" w:rsidRPr="00075DDD">
        <w:rPr>
          <w:rFonts w:eastAsia="MS Gothic"/>
          <w:lang w:val="fr-FR" w:eastAsia="zh-CN"/>
        </w:rPr>
        <w:t>;</w:t>
      </w:r>
    </w:p>
    <w:p w:rsidR="00377217" w:rsidRPr="00075DDD" w:rsidRDefault="00FF57B6" w:rsidP="002D7E64">
      <w:pPr>
        <w:pStyle w:val="Normalnumber"/>
        <w:numPr>
          <w:ilvl w:val="1"/>
          <w:numId w:val="42"/>
        </w:numPr>
        <w:tabs>
          <w:tab w:val="clear" w:pos="6970"/>
          <w:tab w:val="num" w:pos="1276"/>
        </w:tabs>
        <w:ind w:left="1276" w:firstLine="624"/>
        <w:rPr>
          <w:rFonts w:eastAsia="MS Gothic"/>
          <w:lang w:val="fr-FR" w:eastAsia="zh-CN"/>
        </w:rPr>
      </w:pPr>
      <w:r>
        <w:rPr>
          <w:rFonts w:eastAsia="MS Gothic"/>
          <w:lang w:val="fr-FR" w:eastAsia="zh-CN"/>
        </w:rPr>
        <w:t>Capacité, expertise, expérience et responsabilité techniques, financières et administratives;</w:t>
      </w:r>
      <w:r w:rsidR="00377217" w:rsidRPr="00075DDD">
        <w:rPr>
          <w:rFonts w:eastAsia="MS Gothic"/>
          <w:lang w:val="fr-FR" w:eastAsia="zh-CN"/>
        </w:rPr>
        <w:t xml:space="preserve"> </w:t>
      </w:r>
      <w:r>
        <w:rPr>
          <w:rFonts w:eastAsia="MS Gothic"/>
          <w:lang w:val="fr-FR" w:eastAsia="zh-CN"/>
        </w:rPr>
        <w:t>et</w:t>
      </w:r>
    </w:p>
    <w:p w:rsidR="00377217" w:rsidRPr="00075DDD" w:rsidRDefault="00377217" w:rsidP="002D7E64">
      <w:pPr>
        <w:pStyle w:val="Normalnumber"/>
        <w:numPr>
          <w:ilvl w:val="1"/>
          <w:numId w:val="42"/>
        </w:numPr>
        <w:tabs>
          <w:tab w:val="clear" w:pos="6970"/>
          <w:tab w:val="num" w:pos="1276"/>
        </w:tabs>
        <w:ind w:left="1276" w:firstLine="624"/>
        <w:rPr>
          <w:rFonts w:eastAsia="MS Gothic"/>
          <w:lang w:val="fr-FR" w:eastAsia="zh-CN"/>
        </w:rPr>
      </w:pPr>
      <w:r w:rsidRPr="00075DDD">
        <w:rPr>
          <w:rFonts w:eastAsia="MS Gothic"/>
          <w:lang w:val="fr-FR" w:eastAsia="zh-CN"/>
        </w:rPr>
        <w:t>Capacit</w:t>
      </w:r>
      <w:r w:rsidR="00FF57B6">
        <w:rPr>
          <w:rFonts w:eastAsia="MS Gothic"/>
          <w:lang w:val="fr-FR" w:eastAsia="zh-CN"/>
        </w:rPr>
        <w:t>é de mobiliser des ressources</w:t>
      </w:r>
      <w:r w:rsidRPr="00075DDD">
        <w:rPr>
          <w:rFonts w:eastAsia="MS Gothic"/>
          <w:lang w:val="fr-FR" w:eastAsia="zh-CN"/>
        </w:rPr>
        <w:t xml:space="preserve">. </w:t>
      </w:r>
    </w:p>
    <w:p w:rsidR="00377217" w:rsidRPr="00075DDD" w:rsidRDefault="007779BB" w:rsidP="002D7E64">
      <w:pPr>
        <w:pStyle w:val="Normalnumber"/>
        <w:numPr>
          <w:ilvl w:val="0"/>
          <w:numId w:val="61"/>
        </w:numPr>
        <w:tabs>
          <w:tab w:val="clear" w:pos="1758"/>
        </w:tabs>
        <w:ind w:left="1247"/>
        <w:rPr>
          <w:lang w:val="fr-FR" w:eastAsia="zh-CN"/>
        </w:rPr>
      </w:pPr>
      <w:r>
        <w:rPr>
          <w:lang w:val="fr-FR" w:eastAsia="zh-CN"/>
        </w:rPr>
        <w:t xml:space="preserve">Sur la base de ces principes et </w:t>
      </w:r>
      <w:r w:rsidR="007E65EC">
        <w:rPr>
          <w:lang w:val="fr-FR" w:eastAsia="zh-CN"/>
        </w:rPr>
        <w:t>qualités</w:t>
      </w:r>
      <w:r>
        <w:rPr>
          <w:lang w:val="fr-FR" w:eastAsia="zh-CN"/>
        </w:rPr>
        <w:t xml:space="preserve"> et </w:t>
      </w:r>
      <w:r w:rsidR="007E65EC">
        <w:rPr>
          <w:lang w:val="fr-FR" w:eastAsia="zh-CN"/>
        </w:rPr>
        <w:t>au terme d’</w:t>
      </w:r>
      <w:r>
        <w:rPr>
          <w:lang w:val="fr-FR" w:eastAsia="zh-CN"/>
        </w:rPr>
        <w:t xml:space="preserve">un débat approfondi concernant la portée, les activités, </w:t>
      </w:r>
      <w:r w:rsidR="007D2742">
        <w:rPr>
          <w:lang w:val="fr-FR" w:eastAsia="zh-CN"/>
        </w:rPr>
        <w:t xml:space="preserve">les conditions </w:t>
      </w:r>
      <w:r w:rsidR="00F96C3F">
        <w:rPr>
          <w:lang w:val="fr-FR" w:eastAsia="zh-CN"/>
        </w:rPr>
        <w:t>d’octroi des ressources</w:t>
      </w:r>
      <w:r w:rsidR="007D2742">
        <w:rPr>
          <w:lang w:val="fr-FR" w:eastAsia="zh-CN"/>
        </w:rPr>
        <w:t xml:space="preserve"> </w:t>
      </w:r>
      <w:r>
        <w:rPr>
          <w:lang w:val="fr-FR" w:eastAsia="zh-CN"/>
        </w:rPr>
        <w:t>et les arrangements institutionnels</w:t>
      </w:r>
      <w:r w:rsidR="00CC3E37" w:rsidRPr="00CC3E37">
        <w:rPr>
          <w:lang w:val="fr-FR" w:eastAsia="zh-CN"/>
        </w:rPr>
        <w:t xml:space="preserve"> </w:t>
      </w:r>
      <w:r w:rsidR="00CC3E37">
        <w:rPr>
          <w:lang w:val="fr-FR" w:eastAsia="zh-CN"/>
        </w:rPr>
        <w:t>du programme</w:t>
      </w:r>
      <w:r>
        <w:rPr>
          <w:lang w:val="fr-FR" w:eastAsia="zh-CN"/>
        </w:rPr>
        <w:t xml:space="preserve">, le groupe d’experts </w:t>
      </w:r>
      <w:r w:rsidR="007D2742">
        <w:rPr>
          <w:lang w:val="fr-FR" w:eastAsia="zh-CN"/>
        </w:rPr>
        <w:t xml:space="preserve">s’est accordé sur le fait que </w:t>
      </w:r>
      <w:r>
        <w:rPr>
          <w:lang w:val="fr-FR" w:eastAsia="zh-CN"/>
        </w:rPr>
        <w:t xml:space="preserve">le PNUE serait l’institution d’accueil la </w:t>
      </w:r>
      <w:r w:rsidR="007D2742">
        <w:rPr>
          <w:lang w:val="fr-FR" w:eastAsia="zh-CN"/>
        </w:rPr>
        <w:t xml:space="preserve">mieux à même d’accueillir </w:t>
      </w:r>
      <w:r>
        <w:rPr>
          <w:lang w:val="fr-FR" w:eastAsia="zh-CN"/>
        </w:rPr>
        <w:t>le</w:t>
      </w:r>
      <w:r w:rsidR="00377217" w:rsidRPr="00075DDD">
        <w:rPr>
          <w:rFonts w:eastAsia="MS Gothic"/>
          <w:lang w:val="fr-FR" w:eastAsia="zh-CN"/>
        </w:rPr>
        <w:t xml:space="preserve"> </w:t>
      </w:r>
      <w:r w:rsidRPr="00881AD4">
        <w:rPr>
          <w:lang w:val="fr-FR" w:eastAsia="zh-CN"/>
        </w:rPr>
        <w:t>pro</w:t>
      </w:r>
      <w:r>
        <w:rPr>
          <w:lang w:val="fr-FR" w:eastAsia="zh-CN"/>
        </w:rPr>
        <w:t>gramme international spécifique</w:t>
      </w:r>
      <w:r w:rsidR="00377217" w:rsidRPr="00075DDD">
        <w:rPr>
          <w:lang w:val="fr-FR" w:eastAsia="zh-CN"/>
        </w:rPr>
        <w:t>.</w:t>
      </w:r>
      <w:r>
        <w:rPr>
          <w:lang w:val="fr-FR" w:eastAsia="zh-CN"/>
        </w:rPr>
        <w:t xml:space="preserve"> </w:t>
      </w:r>
      <w:r w:rsidR="00562552">
        <w:rPr>
          <w:lang w:val="fr-FR" w:eastAsia="zh-CN"/>
        </w:rPr>
        <w:t>Aussi</w:t>
      </w:r>
      <w:r>
        <w:rPr>
          <w:lang w:val="fr-FR" w:eastAsia="zh-CN"/>
        </w:rPr>
        <w:t xml:space="preserve"> les experts ont</w:t>
      </w:r>
      <w:r w:rsidR="00562552">
        <w:rPr>
          <w:lang w:val="fr-FR" w:eastAsia="zh-CN"/>
        </w:rPr>
        <w:t>-ils</w:t>
      </w:r>
      <w:r>
        <w:rPr>
          <w:lang w:val="fr-FR" w:eastAsia="zh-CN"/>
        </w:rPr>
        <w:t xml:space="preserve"> examiné un certain nombre d’arrangements</w:t>
      </w:r>
      <w:r w:rsidR="007D1D33">
        <w:rPr>
          <w:lang w:val="fr-FR" w:eastAsia="zh-CN"/>
        </w:rPr>
        <w:t xml:space="preserve"> possibles en matière d’accueil sous les auspices du PNUE</w:t>
      </w:r>
      <w:r w:rsidR="00377217" w:rsidRPr="00075DDD">
        <w:rPr>
          <w:lang w:val="fr-FR" w:eastAsia="zh-CN"/>
        </w:rPr>
        <w:t>.</w:t>
      </w:r>
    </w:p>
    <w:p w:rsidR="00377217" w:rsidRPr="00075DDD" w:rsidRDefault="007D1D33" w:rsidP="002D7E64">
      <w:pPr>
        <w:pStyle w:val="Normalnumber"/>
        <w:numPr>
          <w:ilvl w:val="0"/>
          <w:numId w:val="61"/>
        </w:numPr>
        <w:tabs>
          <w:tab w:val="clear" w:pos="1758"/>
        </w:tabs>
        <w:ind w:left="1247"/>
        <w:rPr>
          <w:lang w:val="fr-FR" w:eastAsia="zh-CN"/>
        </w:rPr>
      </w:pPr>
      <w:r>
        <w:rPr>
          <w:lang w:val="fr-FR" w:eastAsia="zh-CN"/>
        </w:rPr>
        <w:t>Compte tenu de ce qui précède et afin d’éclairer davantage les débats</w:t>
      </w:r>
      <w:r w:rsidR="00562552">
        <w:rPr>
          <w:lang w:val="fr-FR" w:eastAsia="zh-CN"/>
        </w:rPr>
        <w:t xml:space="preserve"> qui se tiendront</w:t>
      </w:r>
      <w:r>
        <w:rPr>
          <w:lang w:val="fr-FR" w:eastAsia="zh-CN"/>
        </w:rPr>
        <w:t xml:space="preserve"> à la septième session du Comité, le groupe d’experts a invité le Directeur exécutif du PNUE à élaborer un document d’information</w:t>
      </w:r>
      <w:r w:rsidR="00377217" w:rsidRPr="00075DDD">
        <w:rPr>
          <w:lang w:val="fr-FR" w:eastAsia="zh-CN"/>
        </w:rPr>
        <w:t xml:space="preserve"> </w:t>
      </w:r>
      <w:r w:rsidR="00562552">
        <w:rPr>
          <w:lang w:val="fr-FR" w:eastAsia="zh-CN"/>
        </w:rPr>
        <w:t xml:space="preserve">présentant </w:t>
      </w:r>
      <w:r>
        <w:rPr>
          <w:lang w:val="fr-FR" w:eastAsia="zh-CN"/>
        </w:rPr>
        <w:t xml:space="preserve">les </w:t>
      </w:r>
      <w:r w:rsidR="00562552">
        <w:rPr>
          <w:lang w:val="fr-FR" w:eastAsia="zh-CN"/>
        </w:rPr>
        <w:t>différentes solutions</w:t>
      </w:r>
      <w:r w:rsidR="00377217" w:rsidRPr="00075DDD">
        <w:rPr>
          <w:lang w:val="fr-FR" w:eastAsia="zh-CN"/>
        </w:rPr>
        <w:t xml:space="preserve">, </w:t>
      </w:r>
      <w:r w:rsidR="00502DF4">
        <w:rPr>
          <w:lang w:val="fr-FR" w:eastAsia="zh-CN"/>
        </w:rPr>
        <w:t>tel que mentionné dans le document concernant</w:t>
      </w:r>
      <w:r w:rsidR="00377217" w:rsidRPr="00075DDD">
        <w:rPr>
          <w:lang w:val="fr-FR" w:eastAsia="zh-CN"/>
        </w:rPr>
        <w:t xml:space="preserve"> </w:t>
      </w:r>
      <w:r w:rsidR="00502DF4" w:rsidRPr="00502DF4">
        <w:rPr>
          <w:lang w:val="fr-FR" w:eastAsia="zh-CN"/>
        </w:rPr>
        <w:t xml:space="preserve">les institutions susceptibles d’accueillir le programme international spécifique </w:t>
      </w:r>
      <w:r w:rsidR="00562552">
        <w:rPr>
          <w:lang w:val="fr-FR" w:eastAsia="zh-CN"/>
        </w:rPr>
        <w:t xml:space="preserve">établi </w:t>
      </w:r>
      <w:r w:rsidR="00502DF4">
        <w:rPr>
          <w:lang w:val="fr-FR" w:eastAsia="zh-CN"/>
        </w:rPr>
        <w:t>par le secrétariat provisoire, et les arrangements connexes en matière de gouvernance sous les auspices du PNUE</w:t>
      </w:r>
      <w:r w:rsidR="00562552">
        <w:rPr>
          <w:lang w:val="fr-FR" w:eastAsia="zh-CN"/>
        </w:rPr>
        <w:t>, qui est l</w:t>
      </w:r>
      <w:r w:rsidR="00502DF4">
        <w:rPr>
          <w:lang w:val="fr-FR" w:eastAsia="zh-CN"/>
        </w:rPr>
        <w:t>’institution d’accueil qui serait l</w:t>
      </w:r>
      <w:r w:rsidR="00562552">
        <w:rPr>
          <w:lang w:val="fr-FR" w:eastAsia="zh-CN"/>
        </w:rPr>
        <w:t>a mieux</w:t>
      </w:r>
      <w:r w:rsidR="00502DF4">
        <w:rPr>
          <w:lang w:val="fr-FR" w:eastAsia="zh-CN"/>
        </w:rPr>
        <w:t xml:space="preserve"> à même d</w:t>
      </w:r>
      <w:r w:rsidR="00562552">
        <w:rPr>
          <w:lang w:val="fr-FR" w:eastAsia="zh-CN"/>
        </w:rPr>
        <w:t>’accueillir</w:t>
      </w:r>
      <w:r w:rsidR="00502DF4">
        <w:rPr>
          <w:lang w:val="fr-FR" w:eastAsia="zh-CN"/>
        </w:rPr>
        <w:t xml:space="preserve"> le</w:t>
      </w:r>
      <w:r w:rsidR="00A402C9" w:rsidRPr="00075DDD">
        <w:rPr>
          <w:lang w:val="fr-FR" w:eastAsia="zh-CN"/>
        </w:rPr>
        <w:t xml:space="preserve"> </w:t>
      </w:r>
      <w:r w:rsidR="00502DF4" w:rsidRPr="00502DF4">
        <w:rPr>
          <w:lang w:val="fr-FR" w:eastAsia="zh-CN"/>
        </w:rPr>
        <w:t>programme international spécifique</w:t>
      </w:r>
      <w:r w:rsidR="00502DF4">
        <w:rPr>
          <w:lang w:val="fr-FR" w:eastAsia="zh-CN"/>
        </w:rPr>
        <w:t xml:space="preserve"> sur la base des principes et </w:t>
      </w:r>
      <w:r w:rsidR="00562552">
        <w:rPr>
          <w:lang w:val="fr-FR" w:eastAsia="zh-CN"/>
        </w:rPr>
        <w:t>qualités essentiels énoncés</w:t>
      </w:r>
      <w:r w:rsidR="00502DF4">
        <w:rPr>
          <w:lang w:val="fr-FR" w:eastAsia="zh-CN"/>
        </w:rPr>
        <w:t xml:space="preserve"> ci-dessus</w:t>
      </w:r>
      <w:r w:rsidR="00377217" w:rsidRPr="00075DDD">
        <w:rPr>
          <w:lang w:val="fr-FR" w:eastAsia="zh-CN"/>
        </w:rPr>
        <w:t xml:space="preserve">. </w:t>
      </w:r>
      <w:r w:rsidR="00502DF4">
        <w:rPr>
          <w:lang w:val="fr-FR" w:eastAsia="zh-CN"/>
        </w:rPr>
        <w:t xml:space="preserve">Le groupe d’experts a également invité le Directeur exécutif du PNUE à </w:t>
      </w:r>
      <w:r w:rsidR="00562552">
        <w:rPr>
          <w:lang w:val="fr-FR" w:eastAsia="zh-CN"/>
        </w:rPr>
        <w:t>tenir</w:t>
      </w:r>
      <w:r w:rsidR="00502DF4">
        <w:rPr>
          <w:lang w:val="fr-FR" w:eastAsia="zh-CN"/>
        </w:rPr>
        <w:t xml:space="preserve"> compte </w:t>
      </w:r>
      <w:r w:rsidR="00562552">
        <w:rPr>
          <w:lang w:val="fr-FR" w:eastAsia="zh-CN"/>
        </w:rPr>
        <w:t xml:space="preserve">des éléments sur lesquels les </w:t>
      </w:r>
      <w:r w:rsidR="00502DF4">
        <w:rPr>
          <w:lang w:val="fr-FR" w:eastAsia="zh-CN"/>
        </w:rPr>
        <w:t xml:space="preserve">experts </w:t>
      </w:r>
      <w:r w:rsidR="00562552">
        <w:rPr>
          <w:lang w:val="fr-FR" w:eastAsia="zh-CN"/>
        </w:rPr>
        <w:t xml:space="preserve">se sont accordés </w:t>
      </w:r>
      <w:r w:rsidR="00502DF4">
        <w:rPr>
          <w:lang w:val="fr-FR" w:eastAsia="zh-CN"/>
        </w:rPr>
        <w:t xml:space="preserve">concernant les orientations relatives au fonctionnement du programme et à </w:t>
      </w:r>
      <w:r w:rsidR="00562552">
        <w:rPr>
          <w:lang w:val="fr-FR" w:eastAsia="zh-CN"/>
        </w:rPr>
        <w:t xml:space="preserve">faire figurer </w:t>
      </w:r>
      <w:r w:rsidR="00D40A0E">
        <w:rPr>
          <w:lang w:val="fr-FR" w:eastAsia="zh-CN"/>
        </w:rPr>
        <w:t xml:space="preserve">dans le document des informations concernant la manière dont chaque arrangement contribuerait à </w:t>
      </w:r>
      <w:r w:rsidR="00562552">
        <w:rPr>
          <w:lang w:val="fr-FR" w:eastAsia="zh-CN"/>
        </w:rPr>
        <w:t xml:space="preserve">atteindre </w:t>
      </w:r>
      <w:r w:rsidR="00D40A0E">
        <w:rPr>
          <w:lang w:val="fr-FR" w:eastAsia="zh-CN"/>
        </w:rPr>
        <w:t>l’objectif du</w:t>
      </w:r>
      <w:r w:rsidR="00377217" w:rsidRPr="00075DDD">
        <w:rPr>
          <w:lang w:val="fr-FR" w:eastAsia="zh-CN"/>
        </w:rPr>
        <w:t xml:space="preserve"> </w:t>
      </w:r>
      <w:r w:rsidR="00D40A0E" w:rsidRPr="00502DF4">
        <w:rPr>
          <w:lang w:val="fr-FR" w:eastAsia="zh-CN"/>
        </w:rPr>
        <w:t>programme international spécifique</w:t>
      </w:r>
      <w:r w:rsidR="00377217" w:rsidRPr="00075DDD">
        <w:rPr>
          <w:lang w:val="fr-FR" w:eastAsia="zh-CN"/>
        </w:rPr>
        <w:t>.</w:t>
      </w:r>
    </w:p>
    <w:p w:rsidR="00377217" w:rsidRPr="00075DDD" w:rsidRDefault="00E242ED" w:rsidP="002D7E64">
      <w:pPr>
        <w:pStyle w:val="Normalnumber"/>
        <w:numPr>
          <w:ilvl w:val="0"/>
          <w:numId w:val="61"/>
        </w:numPr>
        <w:tabs>
          <w:tab w:val="clear" w:pos="1758"/>
        </w:tabs>
        <w:ind w:left="1247"/>
        <w:rPr>
          <w:rFonts w:eastAsia="MS Gothic"/>
          <w:lang w:val="fr-FR" w:eastAsia="zh-CN"/>
        </w:rPr>
      </w:pPr>
      <w:r>
        <w:rPr>
          <w:lang w:val="fr-FR" w:eastAsia="zh-CN"/>
        </w:rPr>
        <w:t>Le groupe d’experts a également convenu que</w:t>
      </w:r>
      <w:r w:rsidR="00D40A0E">
        <w:rPr>
          <w:lang w:val="fr-FR" w:eastAsia="zh-CN"/>
        </w:rPr>
        <w:t xml:space="preserve"> les autres </w:t>
      </w:r>
      <w:r>
        <w:rPr>
          <w:lang w:val="fr-FR" w:eastAsia="zh-CN"/>
        </w:rPr>
        <w:t>institutions proposées</w:t>
      </w:r>
      <w:r w:rsidR="00D40A0E">
        <w:rPr>
          <w:lang w:val="fr-FR" w:eastAsia="zh-CN"/>
        </w:rPr>
        <w:t xml:space="preserve"> dans le document </w:t>
      </w:r>
      <w:r>
        <w:rPr>
          <w:lang w:val="fr-FR" w:eastAsia="zh-CN"/>
        </w:rPr>
        <w:t xml:space="preserve">établi </w:t>
      </w:r>
      <w:r w:rsidR="00D40A0E">
        <w:rPr>
          <w:lang w:val="fr-FR" w:eastAsia="zh-CN"/>
        </w:rPr>
        <w:t xml:space="preserve">par le secrétariat provisoire, à savoir </w:t>
      </w:r>
      <w:r>
        <w:rPr>
          <w:lang w:val="fr-FR" w:eastAsia="zh-CN"/>
        </w:rPr>
        <w:t xml:space="preserve">la Banque mondiale, </w:t>
      </w:r>
      <w:r w:rsidR="00D40A0E">
        <w:rPr>
          <w:lang w:val="fr-FR" w:eastAsia="zh-CN"/>
        </w:rPr>
        <w:t>le FEM</w:t>
      </w:r>
      <w:r>
        <w:rPr>
          <w:lang w:val="fr-FR" w:eastAsia="zh-CN"/>
        </w:rPr>
        <w:t xml:space="preserve"> et</w:t>
      </w:r>
      <w:r w:rsidR="00D40A0E">
        <w:rPr>
          <w:lang w:val="fr-FR" w:eastAsia="zh-CN"/>
        </w:rPr>
        <w:t xml:space="preserve"> le PNUD, ne </w:t>
      </w:r>
      <w:r w:rsidR="00391E21">
        <w:rPr>
          <w:lang w:val="fr-FR" w:eastAsia="zh-CN"/>
        </w:rPr>
        <w:t xml:space="preserve">respectaient pas aussi clairement les </w:t>
      </w:r>
      <w:r w:rsidR="00D40A0E">
        <w:rPr>
          <w:lang w:val="fr-FR" w:eastAsia="zh-CN"/>
        </w:rPr>
        <w:t xml:space="preserve">principes </w:t>
      </w:r>
      <w:r w:rsidR="00391E21">
        <w:rPr>
          <w:lang w:val="fr-FR" w:eastAsia="zh-CN"/>
        </w:rPr>
        <w:t>et qualités</w:t>
      </w:r>
      <w:r w:rsidR="00D40A0E">
        <w:rPr>
          <w:lang w:val="fr-FR" w:eastAsia="zh-CN"/>
        </w:rPr>
        <w:t xml:space="preserve"> </w:t>
      </w:r>
      <w:r w:rsidR="00391E21">
        <w:rPr>
          <w:lang w:val="fr-FR" w:eastAsia="zh-CN"/>
        </w:rPr>
        <w:t xml:space="preserve">recensés </w:t>
      </w:r>
      <w:r w:rsidR="00D40A0E">
        <w:rPr>
          <w:lang w:val="fr-FR" w:eastAsia="zh-CN"/>
        </w:rPr>
        <w:t>par les experts</w:t>
      </w:r>
      <w:r w:rsidR="00377217" w:rsidRPr="00075DDD">
        <w:rPr>
          <w:rFonts w:eastAsia="MS Gothic"/>
          <w:lang w:val="fr-FR" w:eastAsia="zh-CN"/>
        </w:rPr>
        <w:t>.</w:t>
      </w:r>
      <w:r w:rsidR="00696D9B">
        <w:rPr>
          <w:rFonts w:eastAsia="MS Gothic"/>
          <w:lang w:val="fr-FR" w:eastAsia="zh-CN"/>
        </w:rPr>
        <w:t xml:space="preserve"> </w:t>
      </w:r>
      <w:r w:rsidR="00391E21">
        <w:rPr>
          <w:rFonts w:eastAsia="MS Gothic"/>
          <w:lang w:val="fr-FR" w:eastAsia="zh-CN"/>
        </w:rPr>
        <w:t>Parvenant à cette conclusion</w:t>
      </w:r>
      <w:r w:rsidR="00696D9B">
        <w:rPr>
          <w:rFonts w:eastAsia="MS Gothic"/>
          <w:lang w:val="fr-FR" w:eastAsia="zh-CN"/>
        </w:rPr>
        <w:t xml:space="preserve">, les experts ont indiqué, en particulier, que le FEM </w:t>
      </w:r>
      <w:r w:rsidR="00391E21">
        <w:rPr>
          <w:rFonts w:eastAsia="MS Gothic"/>
          <w:lang w:val="fr-FR" w:eastAsia="zh-CN"/>
        </w:rPr>
        <w:t xml:space="preserve">appuyait </w:t>
      </w:r>
      <w:r w:rsidR="00696D9B">
        <w:rPr>
          <w:rFonts w:eastAsia="MS Gothic"/>
          <w:lang w:val="fr-FR" w:eastAsia="zh-CN"/>
        </w:rPr>
        <w:t xml:space="preserve">déjà efficacement la Convention </w:t>
      </w:r>
      <w:r w:rsidR="00391E21">
        <w:rPr>
          <w:rFonts w:eastAsia="MS Gothic"/>
          <w:lang w:val="fr-FR" w:eastAsia="zh-CN"/>
        </w:rPr>
        <w:t xml:space="preserve">en ce qu’il constituait le deuxième élément </w:t>
      </w:r>
      <w:r w:rsidR="00696D9B">
        <w:rPr>
          <w:rFonts w:eastAsia="MS Gothic"/>
          <w:lang w:val="fr-FR" w:eastAsia="zh-CN"/>
        </w:rPr>
        <w:t>de son mécanisme de financement</w:t>
      </w:r>
      <w:r w:rsidR="00377217" w:rsidRPr="00075DDD">
        <w:rPr>
          <w:rFonts w:eastAsia="MS Gothic"/>
          <w:lang w:val="fr-FR" w:eastAsia="zh-CN"/>
        </w:rPr>
        <w:t xml:space="preserve">; </w:t>
      </w:r>
      <w:r w:rsidR="00696D9B">
        <w:rPr>
          <w:rFonts w:eastAsia="MS Gothic"/>
          <w:lang w:val="fr-FR" w:eastAsia="zh-CN"/>
        </w:rPr>
        <w:t xml:space="preserve">et que </w:t>
      </w:r>
      <w:r w:rsidR="00391E21">
        <w:rPr>
          <w:rFonts w:eastAsia="MS Gothic"/>
          <w:lang w:val="fr-FR" w:eastAsia="zh-CN"/>
        </w:rPr>
        <w:t xml:space="preserve">la Banque mondiale et </w:t>
      </w:r>
      <w:r w:rsidR="00696D9B">
        <w:rPr>
          <w:rFonts w:eastAsia="MS Gothic"/>
          <w:lang w:val="fr-FR" w:eastAsia="zh-CN"/>
        </w:rPr>
        <w:t>le PNUD n’avai</w:t>
      </w:r>
      <w:r w:rsidR="00F25D9A">
        <w:rPr>
          <w:rFonts w:eastAsia="MS Gothic"/>
          <w:lang w:val="fr-FR" w:eastAsia="zh-CN"/>
        </w:rPr>
        <w:t>en</w:t>
      </w:r>
      <w:r w:rsidR="00696D9B">
        <w:rPr>
          <w:rFonts w:eastAsia="MS Gothic"/>
          <w:lang w:val="fr-FR" w:eastAsia="zh-CN"/>
        </w:rPr>
        <w:t xml:space="preserve">t pas </w:t>
      </w:r>
      <w:r w:rsidR="00391E21">
        <w:rPr>
          <w:rFonts w:eastAsia="MS Gothic"/>
          <w:lang w:val="fr-FR" w:eastAsia="zh-CN"/>
        </w:rPr>
        <w:t xml:space="preserve">une </w:t>
      </w:r>
      <w:r w:rsidR="00696D9B">
        <w:rPr>
          <w:rFonts w:eastAsia="MS Gothic"/>
          <w:lang w:val="fr-FR" w:eastAsia="zh-CN"/>
        </w:rPr>
        <w:t>relation</w:t>
      </w:r>
      <w:r w:rsidR="00F25D9A">
        <w:rPr>
          <w:rFonts w:eastAsia="MS Gothic"/>
          <w:lang w:val="fr-FR" w:eastAsia="zh-CN"/>
        </w:rPr>
        <w:t xml:space="preserve"> </w:t>
      </w:r>
      <w:r w:rsidR="00696D9B">
        <w:rPr>
          <w:rFonts w:eastAsia="MS Gothic"/>
          <w:lang w:val="fr-FR" w:eastAsia="zh-CN"/>
        </w:rPr>
        <w:t xml:space="preserve">ni </w:t>
      </w:r>
      <w:r w:rsidR="00391E21">
        <w:rPr>
          <w:rFonts w:eastAsia="MS Gothic"/>
          <w:lang w:val="fr-FR" w:eastAsia="zh-CN"/>
        </w:rPr>
        <w:t xml:space="preserve">un </w:t>
      </w:r>
      <w:r w:rsidR="00696D9B">
        <w:rPr>
          <w:rFonts w:eastAsia="MS Gothic"/>
          <w:lang w:val="fr-FR" w:eastAsia="zh-CN"/>
        </w:rPr>
        <w:t>lien suffisamment étroit avec la Convention</w:t>
      </w:r>
      <w:r w:rsidR="00377217" w:rsidRPr="00075DDD">
        <w:rPr>
          <w:rFonts w:eastAsia="MS Gothic"/>
          <w:lang w:val="fr-FR" w:eastAsia="zh-CN"/>
        </w:rPr>
        <w:t>.</w:t>
      </w:r>
      <w:r w:rsidR="00F25D9A">
        <w:rPr>
          <w:rFonts w:eastAsia="MS Gothic"/>
          <w:lang w:val="fr-FR" w:eastAsia="zh-CN"/>
        </w:rPr>
        <w:t xml:space="preserve"> Les experts ont également établi une distinction entre la sélection d’une institution d’accueil et un éventuel rôle futur dans </w:t>
      </w:r>
      <w:r w:rsidR="00391E21">
        <w:rPr>
          <w:rFonts w:eastAsia="MS Gothic"/>
          <w:lang w:val="fr-FR" w:eastAsia="zh-CN"/>
        </w:rPr>
        <w:t>l’appui à</w:t>
      </w:r>
      <w:r w:rsidR="00F25D9A">
        <w:rPr>
          <w:rFonts w:eastAsia="MS Gothic"/>
          <w:lang w:val="fr-FR" w:eastAsia="zh-CN"/>
        </w:rPr>
        <w:t xml:space="preserve"> la mise en œuvre de la Convention de Minamata</w:t>
      </w:r>
      <w:r w:rsidR="00391E21">
        <w:rPr>
          <w:rFonts w:eastAsia="MS Gothic"/>
          <w:lang w:val="fr-FR" w:eastAsia="zh-CN"/>
        </w:rPr>
        <w:t xml:space="preserve">. Ils ont </w:t>
      </w:r>
      <w:r w:rsidR="00F25D9A">
        <w:rPr>
          <w:rFonts w:eastAsia="MS Gothic"/>
          <w:lang w:val="fr-FR" w:eastAsia="zh-CN"/>
        </w:rPr>
        <w:t>en particulier</w:t>
      </w:r>
      <w:r w:rsidR="00391E21">
        <w:rPr>
          <w:rFonts w:eastAsia="MS Gothic"/>
          <w:lang w:val="fr-FR" w:eastAsia="zh-CN"/>
        </w:rPr>
        <w:t xml:space="preserve"> fait remarquer </w:t>
      </w:r>
      <w:r w:rsidR="00F25D9A">
        <w:rPr>
          <w:rFonts w:eastAsia="MS Gothic"/>
          <w:lang w:val="fr-FR" w:eastAsia="zh-CN"/>
        </w:rPr>
        <w:t>que le PNUD pourrait jouer un rôle important dans la facilitation de la mise en œuvre de la Convention en sa qualité</w:t>
      </w:r>
      <w:r w:rsidR="003C4180">
        <w:rPr>
          <w:rFonts w:eastAsia="MS Gothic"/>
          <w:lang w:val="fr-FR" w:eastAsia="zh-CN"/>
        </w:rPr>
        <w:t xml:space="preserve"> </w:t>
      </w:r>
      <w:r w:rsidR="00A30C76">
        <w:rPr>
          <w:rFonts w:eastAsia="MS Gothic"/>
          <w:lang w:val="fr-FR" w:eastAsia="zh-CN"/>
        </w:rPr>
        <w:t xml:space="preserve">d’organisme </w:t>
      </w:r>
      <w:r w:rsidR="003C4180">
        <w:rPr>
          <w:rFonts w:eastAsia="MS Gothic"/>
          <w:lang w:val="fr-FR" w:eastAsia="zh-CN"/>
        </w:rPr>
        <w:t>d’exécution</w:t>
      </w:r>
      <w:r w:rsidR="00377217" w:rsidRPr="00075DDD">
        <w:rPr>
          <w:rFonts w:eastAsia="MS Gothic"/>
          <w:lang w:val="fr-FR" w:eastAsia="zh-CN"/>
        </w:rPr>
        <w:t>.</w:t>
      </w:r>
    </w:p>
    <w:p w:rsidR="00377217" w:rsidRPr="00075DDD" w:rsidRDefault="003C4180" w:rsidP="002D7E64">
      <w:pPr>
        <w:pStyle w:val="Normalnumber"/>
        <w:numPr>
          <w:ilvl w:val="0"/>
          <w:numId w:val="61"/>
        </w:numPr>
        <w:tabs>
          <w:tab w:val="clear" w:pos="1758"/>
        </w:tabs>
        <w:ind w:left="1247"/>
        <w:rPr>
          <w:rFonts w:eastAsia="MS Gothic"/>
          <w:lang w:val="fr-FR" w:eastAsia="zh-CN"/>
        </w:rPr>
      </w:pPr>
      <w:r>
        <w:rPr>
          <w:rFonts w:eastAsia="MS Gothic"/>
          <w:lang w:val="fr-FR" w:eastAsia="zh-CN"/>
        </w:rPr>
        <w:t>Concernant les arrangements nécessaires avec l’institution d’accueil, le groupe d’experts</w:t>
      </w:r>
      <w:r w:rsidR="00377217" w:rsidRPr="00075DDD">
        <w:rPr>
          <w:rFonts w:eastAsia="MS Gothic"/>
          <w:lang w:val="fr-FR" w:eastAsia="zh-CN"/>
        </w:rPr>
        <w:t xml:space="preserve"> </w:t>
      </w:r>
      <w:r>
        <w:rPr>
          <w:rFonts w:eastAsia="MS Gothic"/>
          <w:lang w:val="fr-FR" w:eastAsia="zh-CN"/>
        </w:rPr>
        <w:t xml:space="preserve">a estimé qu’un arrangement contraignant, comme un mémorandum d’accord, devrait être établi entre la Convention et l’institution d’accueil, </w:t>
      </w:r>
      <w:r w:rsidR="00391E21">
        <w:rPr>
          <w:rFonts w:eastAsia="MS Gothic"/>
          <w:lang w:val="fr-FR" w:eastAsia="zh-CN"/>
        </w:rPr>
        <w:t xml:space="preserve">qui définirait </w:t>
      </w:r>
      <w:r>
        <w:rPr>
          <w:rFonts w:eastAsia="MS Gothic"/>
          <w:lang w:val="fr-FR" w:eastAsia="zh-CN"/>
        </w:rPr>
        <w:t>clairement, entre autres, les rôles et responsabilités</w:t>
      </w:r>
      <w:r w:rsidR="0009187C">
        <w:rPr>
          <w:rFonts w:eastAsia="MS Gothic"/>
          <w:lang w:val="fr-FR" w:eastAsia="zh-CN"/>
        </w:rPr>
        <w:t>, l</w:t>
      </w:r>
      <w:r w:rsidR="00AD1AC0">
        <w:rPr>
          <w:rFonts w:eastAsia="MS Gothic"/>
          <w:lang w:val="fr-FR" w:eastAsia="zh-CN"/>
        </w:rPr>
        <w:t>a rentabilité des dépenses</w:t>
      </w:r>
      <w:r w:rsidR="0009187C">
        <w:rPr>
          <w:rFonts w:eastAsia="MS Gothic"/>
          <w:lang w:val="fr-FR" w:eastAsia="zh-CN"/>
        </w:rPr>
        <w:t xml:space="preserve"> </w:t>
      </w:r>
      <w:r w:rsidR="00377217" w:rsidRPr="00075DDD">
        <w:rPr>
          <w:rFonts w:eastAsia="MS Gothic"/>
          <w:lang w:val="fr-FR" w:eastAsia="zh-CN"/>
        </w:rPr>
        <w:t>(</w:t>
      </w:r>
      <w:r w:rsidR="0009187C">
        <w:rPr>
          <w:rFonts w:eastAsia="MS Gothic"/>
          <w:lang w:val="fr-FR" w:eastAsia="zh-CN"/>
        </w:rPr>
        <w:t>charges administrative</w:t>
      </w:r>
      <w:r w:rsidR="00377217" w:rsidRPr="00075DDD">
        <w:rPr>
          <w:rFonts w:eastAsia="MS Gothic"/>
          <w:lang w:val="fr-FR" w:eastAsia="zh-CN"/>
        </w:rPr>
        <w:t xml:space="preserve">s), </w:t>
      </w:r>
      <w:r w:rsidR="0009187C">
        <w:rPr>
          <w:rFonts w:eastAsia="MS Gothic"/>
          <w:lang w:val="fr-FR" w:eastAsia="zh-CN"/>
        </w:rPr>
        <w:t xml:space="preserve">le </w:t>
      </w:r>
      <w:r w:rsidR="00391E21">
        <w:rPr>
          <w:rFonts w:eastAsia="MS Gothic"/>
          <w:lang w:val="fr-FR" w:eastAsia="zh-CN"/>
        </w:rPr>
        <w:t>dispositif d’application du principe de responsabilité</w:t>
      </w:r>
      <w:r w:rsidR="0009187C">
        <w:rPr>
          <w:rFonts w:eastAsia="MS Gothic"/>
          <w:lang w:val="fr-FR" w:eastAsia="zh-CN"/>
        </w:rPr>
        <w:t xml:space="preserve"> et</w:t>
      </w:r>
      <w:r w:rsidR="00377217" w:rsidRPr="00075DDD">
        <w:rPr>
          <w:rFonts w:eastAsia="MS Gothic"/>
          <w:lang w:val="fr-FR" w:eastAsia="zh-CN"/>
        </w:rPr>
        <w:t xml:space="preserve"> </w:t>
      </w:r>
      <w:r w:rsidR="0009187C">
        <w:rPr>
          <w:rFonts w:eastAsia="MS Gothic"/>
          <w:lang w:val="fr-FR" w:eastAsia="zh-CN"/>
        </w:rPr>
        <w:t>les</w:t>
      </w:r>
      <w:r w:rsidR="00377217" w:rsidRPr="00075DDD">
        <w:rPr>
          <w:rFonts w:eastAsia="MS Gothic"/>
          <w:lang w:val="fr-FR" w:eastAsia="zh-CN"/>
        </w:rPr>
        <w:t xml:space="preserve"> </w:t>
      </w:r>
      <w:r w:rsidR="00391E21">
        <w:rPr>
          <w:rFonts w:eastAsia="MS Gothic"/>
          <w:lang w:val="fr-FR" w:eastAsia="zh-CN"/>
        </w:rPr>
        <w:t xml:space="preserve">obligations </w:t>
      </w:r>
      <w:r w:rsidR="0009187C" w:rsidRPr="0009187C">
        <w:rPr>
          <w:rFonts w:eastAsia="MS Gothic"/>
          <w:lang w:val="fr-FR" w:eastAsia="zh-CN"/>
        </w:rPr>
        <w:t>de communication</w:t>
      </w:r>
      <w:r w:rsidR="00377217" w:rsidRPr="00075DDD">
        <w:rPr>
          <w:rFonts w:eastAsia="MS Gothic"/>
          <w:lang w:val="fr-FR" w:eastAsia="zh-CN"/>
        </w:rPr>
        <w:t>.</w:t>
      </w:r>
    </w:p>
    <w:p w:rsidR="00377217" w:rsidRPr="00075DDD" w:rsidRDefault="00DB651A" w:rsidP="002D7E64">
      <w:pPr>
        <w:pStyle w:val="CH2"/>
        <w:spacing w:before="0"/>
        <w:rPr>
          <w:lang w:val="fr-FR"/>
        </w:rPr>
      </w:pPr>
      <w:r w:rsidRPr="00075DDD">
        <w:rPr>
          <w:lang w:val="fr-FR"/>
        </w:rPr>
        <w:tab/>
      </w:r>
      <w:r w:rsidR="00997AD6" w:rsidRPr="00075DDD">
        <w:rPr>
          <w:lang w:val="fr-FR"/>
        </w:rPr>
        <w:t>B</w:t>
      </w:r>
      <w:r w:rsidRPr="00075DDD">
        <w:rPr>
          <w:lang w:val="fr-FR"/>
        </w:rPr>
        <w:t>.</w:t>
      </w:r>
      <w:r w:rsidRPr="00075DDD">
        <w:rPr>
          <w:lang w:val="fr-FR"/>
        </w:rPr>
        <w:tab/>
      </w:r>
      <w:r w:rsidR="0009187C">
        <w:rPr>
          <w:lang w:val="fr-FR"/>
        </w:rPr>
        <w:t xml:space="preserve">Orientations </w:t>
      </w:r>
      <w:r w:rsidR="00F96C3F">
        <w:rPr>
          <w:lang w:val="fr-FR"/>
        </w:rPr>
        <w:t xml:space="preserve">concernant </w:t>
      </w:r>
      <w:r w:rsidR="0009187C">
        <w:rPr>
          <w:lang w:val="fr-FR"/>
        </w:rPr>
        <w:t>le fonctionnement du programme international spécifique</w:t>
      </w:r>
    </w:p>
    <w:p w:rsidR="00377217" w:rsidRPr="00075DDD" w:rsidRDefault="009F18DF" w:rsidP="002D7E64">
      <w:pPr>
        <w:pStyle w:val="CH3"/>
        <w:rPr>
          <w:lang w:val="fr-FR"/>
        </w:rPr>
      </w:pPr>
      <w:r>
        <w:rPr>
          <w:lang w:val="fr-FR"/>
        </w:rPr>
        <w:tab/>
      </w:r>
      <w:r w:rsidR="00B56D0E">
        <w:rPr>
          <w:lang w:val="fr-FR"/>
        </w:rPr>
        <w:t>1.</w:t>
      </w:r>
      <w:r w:rsidR="00B56D0E">
        <w:rPr>
          <w:lang w:val="fr-FR"/>
        </w:rPr>
        <w:tab/>
      </w:r>
      <w:r w:rsidR="0009187C">
        <w:rPr>
          <w:lang w:val="fr-FR"/>
        </w:rPr>
        <w:t xml:space="preserve">Portée et </w:t>
      </w:r>
      <w:r w:rsidR="00F96C3F">
        <w:rPr>
          <w:lang w:val="fr-FR"/>
        </w:rPr>
        <w:t>conditions d’octroi des ressources</w:t>
      </w:r>
    </w:p>
    <w:p w:rsidR="00377217" w:rsidRPr="00075DDD" w:rsidRDefault="00D534B3" w:rsidP="002D7E64">
      <w:pPr>
        <w:pStyle w:val="Normalnumber"/>
        <w:numPr>
          <w:ilvl w:val="0"/>
          <w:numId w:val="61"/>
        </w:numPr>
        <w:tabs>
          <w:tab w:val="clear" w:pos="1758"/>
        </w:tabs>
        <w:ind w:left="1247"/>
        <w:rPr>
          <w:lang w:val="fr-FR" w:eastAsia="zh-CN"/>
        </w:rPr>
      </w:pPr>
      <w:r>
        <w:rPr>
          <w:lang w:val="fr-FR"/>
        </w:rPr>
        <w:t>Aux termes de l’alinéa b)</w:t>
      </w:r>
      <w:r w:rsidR="0009187C">
        <w:rPr>
          <w:lang w:val="fr-FR"/>
        </w:rPr>
        <w:t xml:space="preserve"> du</w:t>
      </w:r>
      <w:r w:rsidR="00377217" w:rsidRPr="00075DDD">
        <w:rPr>
          <w:lang w:val="fr-FR" w:eastAsia="zh-CN"/>
        </w:rPr>
        <w:t xml:space="preserve"> paragraph</w:t>
      </w:r>
      <w:r w:rsidR="0009187C">
        <w:rPr>
          <w:lang w:val="fr-FR" w:eastAsia="zh-CN"/>
        </w:rPr>
        <w:t>e </w:t>
      </w:r>
      <w:r w:rsidR="00377217" w:rsidRPr="00075DDD">
        <w:rPr>
          <w:lang w:val="fr-FR" w:eastAsia="zh-CN"/>
        </w:rPr>
        <w:t>6</w:t>
      </w:r>
      <w:r>
        <w:rPr>
          <w:lang w:val="fr-FR" w:eastAsia="zh-CN"/>
        </w:rPr>
        <w:t xml:space="preserve"> </w:t>
      </w:r>
      <w:r w:rsidR="0009187C">
        <w:rPr>
          <w:lang w:val="fr-FR" w:eastAsia="zh-CN"/>
        </w:rPr>
        <w:t>de l’</w:t>
      </w:r>
      <w:r w:rsidR="00DE1DC9" w:rsidRPr="00075DDD">
        <w:rPr>
          <w:lang w:val="fr-FR" w:eastAsia="zh-CN"/>
        </w:rPr>
        <w:t>a</w:t>
      </w:r>
      <w:r w:rsidR="0009187C">
        <w:rPr>
          <w:lang w:val="fr-FR" w:eastAsia="zh-CN"/>
        </w:rPr>
        <w:t>rticle </w:t>
      </w:r>
      <w:r w:rsidR="00377217" w:rsidRPr="00075DDD">
        <w:rPr>
          <w:lang w:val="fr-FR" w:eastAsia="zh-CN"/>
        </w:rPr>
        <w:t>13</w:t>
      </w:r>
      <w:r>
        <w:rPr>
          <w:lang w:val="fr-FR" w:eastAsia="zh-CN"/>
        </w:rPr>
        <w:t xml:space="preserve"> de la Convention</w:t>
      </w:r>
      <w:r w:rsidR="00377217" w:rsidRPr="00075DDD">
        <w:rPr>
          <w:lang w:val="fr-FR" w:eastAsia="zh-CN"/>
        </w:rPr>
        <w:t xml:space="preserve">, </w:t>
      </w:r>
      <w:r w:rsidR="00CB6B23">
        <w:rPr>
          <w:lang w:val="fr-FR" w:eastAsia="zh-CN"/>
        </w:rPr>
        <w:t>le</w:t>
      </w:r>
      <w:r w:rsidR="00377217" w:rsidRPr="00075DDD">
        <w:rPr>
          <w:lang w:val="fr-FR" w:eastAsia="zh-CN"/>
        </w:rPr>
        <w:t xml:space="preserve"> </w:t>
      </w:r>
      <w:r w:rsidR="00CB6B23" w:rsidRPr="00502DF4">
        <w:rPr>
          <w:lang w:val="fr-FR" w:eastAsia="zh-CN"/>
        </w:rPr>
        <w:t>programme international spécifique</w:t>
      </w:r>
      <w:r w:rsidR="00CB6B23" w:rsidRPr="00CB6B23">
        <w:rPr>
          <w:lang w:val="fr-FR" w:eastAsia="zh-CN"/>
        </w:rPr>
        <w:t xml:space="preserve"> </w:t>
      </w:r>
      <w:r w:rsidR="00CB6B23">
        <w:rPr>
          <w:lang w:val="fr-FR" w:eastAsia="zh-CN"/>
        </w:rPr>
        <w:t xml:space="preserve">vise </w:t>
      </w:r>
      <w:r w:rsidR="00CB6B23" w:rsidRPr="00CB6B23">
        <w:rPr>
          <w:lang w:val="fr-FR" w:eastAsia="zh-CN"/>
        </w:rPr>
        <w:t>à soutenir le renforcement des capacités et l’assistance technique</w:t>
      </w:r>
      <w:r w:rsidR="00A402C9" w:rsidRPr="00075DDD">
        <w:rPr>
          <w:lang w:val="fr-FR" w:eastAsia="zh-CN"/>
        </w:rPr>
        <w:t>.</w:t>
      </w:r>
    </w:p>
    <w:p w:rsidR="00377217" w:rsidRPr="00075DDD" w:rsidRDefault="00CB6B23" w:rsidP="002D7E64">
      <w:pPr>
        <w:pStyle w:val="Normalnumber"/>
        <w:numPr>
          <w:ilvl w:val="0"/>
          <w:numId w:val="61"/>
        </w:numPr>
        <w:tabs>
          <w:tab w:val="clear" w:pos="1758"/>
        </w:tabs>
        <w:ind w:left="1247"/>
        <w:rPr>
          <w:lang w:val="fr-FR" w:eastAsia="zh-CN"/>
        </w:rPr>
      </w:pPr>
      <w:r>
        <w:rPr>
          <w:lang w:val="fr-FR" w:eastAsia="zh-CN"/>
        </w:rPr>
        <w:t>Le paragraphe </w:t>
      </w:r>
      <w:r w:rsidR="00377217" w:rsidRPr="00075DDD">
        <w:rPr>
          <w:lang w:val="fr-FR" w:eastAsia="zh-CN"/>
        </w:rPr>
        <w:t xml:space="preserve">5 </w:t>
      </w:r>
      <w:r>
        <w:rPr>
          <w:lang w:val="fr-FR" w:eastAsia="zh-CN"/>
        </w:rPr>
        <w:t>de l’</w:t>
      </w:r>
      <w:r w:rsidR="00DE1DC9" w:rsidRPr="00075DDD">
        <w:rPr>
          <w:lang w:val="fr-FR" w:eastAsia="zh-CN"/>
        </w:rPr>
        <w:t>a</w:t>
      </w:r>
      <w:r>
        <w:rPr>
          <w:lang w:val="fr-FR" w:eastAsia="zh-CN"/>
        </w:rPr>
        <w:t>rticle </w:t>
      </w:r>
      <w:r w:rsidR="00377217" w:rsidRPr="00075DDD">
        <w:rPr>
          <w:lang w:val="fr-FR" w:eastAsia="zh-CN"/>
        </w:rPr>
        <w:t xml:space="preserve">13 </w:t>
      </w:r>
      <w:r>
        <w:rPr>
          <w:lang w:val="fr-FR" w:eastAsia="zh-CN"/>
        </w:rPr>
        <w:t xml:space="preserve">indique quelles sont les Parties qui peuvent </w:t>
      </w:r>
      <w:r w:rsidR="00D534B3">
        <w:rPr>
          <w:lang w:val="fr-FR" w:eastAsia="zh-CN"/>
        </w:rPr>
        <w:t xml:space="preserve">obtenir </w:t>
      </w:r>
      <w:r>
        <w:rPr>
          <w:lang w:val="fr-FR" w:eastAsia="zh-CN"/>
        </w:rPr>
        <w:t>de</w:t>
      </w:r>
      <w:r w:rsidR="00D534B3">
        <w:rPr>
          <w:lang w:val="fr-FR" w:eastAsia="zh-CN"/>
        </w:rPr>
        <w:t>s</w:t>
      </w:r>
      <w:r>
        <w:rPr>
          <w:lang w:val="fr-FR" w:eastAsia="zh-CN"/>
        </w:rPr>
        <w:t xml:space="preserve"> ressources au titre du mécanisme de financement, à savoir les </w:t>
      </w:r>
      <w:r w:rsidRPr="00CB6B23">
        <w:rPr>
          <w:lang w:val="fr-FR" w:eastAsia="zh-CN"/>
        </w:rPr>
        <w:t>Parties qui sont des pays en développement ou en transition</w:t>
      </w:r>
      <w:r w:rsidR="00377217" w:rsidRPr="00075DDD">
        <w:rPr>
          <w:lang w:val="fr-FR" w:eastAsia="zh-CN"/>
        </w:rPr>
        <w:t xml:space="preserve">. </w:t>
      </w:r>
      <w:r w:rsidR="00D534B3">
        <w:rPr>
          <w:lang w:val="fr-FR" w:eastAsia="zh-CN"/>
        </w:rPr>
        <w:t>En application d</w:t>
      </w:r>
      <w:r w:rsidR="002C4104">
        <w:rPr>
          <w:lang w:val="fr-FR" w:eastAsia="zh-CN"/>
        </w:rPr>
        <w:t>u paragraphe </w:t>
      </w:r>
      <w:r w:rsidR="002C4104" w:rsidRPr="00075DDD">
        <w:rPr>
          <w:lang w:val="fr-FR" w:eastAsia="zh-CN"/>
        </w:rPr>
        <w:t xml:space="preserve">4 </w:t>
      </w:r>
      <w:r w:rsidR="002C4104">
        <w:rPr>
          <w:lang w:val="fr-FR" w:eastAsia="zh-CN"/>
        </w:rPr>
        <w:t>de l’</w:t>
      </w:r>
      <w:r w:rsidR="002C4104" w:rsidRPr="00075DDD">
        <w:rPr>
          <w:lang w:val="fr-FR" w:eastAsia="zh-CN"/>
        </w:rPr>
        <w:t>a</w:t>
      </w:r>
      <w:r w:rsidR="002C4104">
        <w:rPr>
          <w:lang w:val="fr-FR" w:eastAsia="zh-CN"/>
        </w:rPr>
        <w:t>rticle </w:t>
      </w:r>
      <w:r w:rsidR="002C4104" w:rsidRPr="00075DDD">
        <w:rPr>
          <w:lang w:val="fr-FR" w:eastAsia="zh-CN"/>
        </w:rPr>
        <w:t>13</w:t>
      </w:r>
      <w:r w:rsidR="002C4104">
        <w:rPr>
          <w:lang w:val="fr-FR" w:eastAsia="zh-CN"/>
        </w:rPr>
        <w:t>, l</w:t>
      </w:r>
      <w:r>
        <w:rPr>
          <w:lang w:val="fr-FR" w:eastAsia="zh-CN"/>
        </w:rPr>
        <w:t>e</w:t>
      </w:r>
      <w:r w:rsidR="00377217" w:rsidRPr="00075DDD">
        <w:rPr>
          <w:lang w:val="fr-FR" w:eastAsia="zh-CN"/>
        </w:rPr>
        <w:t xml:space="preserve"> </w:t>
      </w:r>
      <w:r w:rsidRPr="00502DF4">
        <w:rPr>
          <w:lang w:val="fr-FR" w:eastAsia="zh-CN"/>
        </w:rPr>
        <w:t>programme international spécifique</w:t>
      </w:r>
      <w:r>
        <w:rPr>
          <w:lang w:val="fr-FR" w:eastAsia="zh-CN"/>
        </w:rPr>
        <w:t xml:space="preserve"> </w:t>
      </w:r>
      <w:r w:rsidR="00D534B3">
        <w:rPr>
          <w:lang w:val="fr-FR" w:eastAsia="zh-CN"/>
        </w:rPr>
        <w:t xml:space="preserve">doit </w:t>
      </w:r>
      <w:r>
        <w:rPr>
          <w:lang w:val="fr-FR" w:eastAsia="zh-CN"/>
        </w:rPr>
        <w:t xml:space="preserve">également tenir pleinement compte </w:t>
      </w:r>
      <w:r w:rsidRPr="00CB6B23">
        <w:rPr>
          <w:lang w:val="fr-FR" w:eastAsia="zh-CN"/>
        </w:rPr>
        <w:t>des besoins spécifiques et de la situation particulière des Parties comptant parmi les petits États insulaires en développement ou les pays les moins avancés</w:t>
      </w:r>
      <w:r w:rsidR="00377217" w:rsidRPr="00075DDD">
        <w:rPr>
          <w:lang w:val="fr-FR" w:eastAsia="zh-CN"/>
        </w:rPr>
        <w:t>.</w:t>
      </w:r>
    </w:p>
    <w:p w:rsidR="00377217" w:rsidRPr="00075DDD" w:rsidRDefault="00FF1F3C" w:rsidP="002D7E64">
      <w:pPr>
        <w:pStyle w:val="Normalnumber"/>
        <w:numPr>
          <w:ilvl w:val="0"/>
          <w:numId w:val="61"/>
        </w:numPr>
        <w:tabs>
          <w:tab w:val="clear" w:pos="1758"/>
        </w:tabs>
        <w:ind w:left="1247"/>
        <w:rPr>
          <w:lang w:val="fr-FR" w:eastAsia="zh-CN"/>
        </w:rPr>
      </w:pPr>
      <w:r>
        <w:rPr>
          <w:lang w:val="fr-FR" w:eastAsia="zh-CN"/>
        </w:rPr>
        <w:t xml:space="preserve">Le groupe d’experts a étudié et établi une liste non exhaustive d’activités </w:t>
      </w:r>
      <w:r w:rsidR="00D534B3">
        <w:rPr>
          <w:lang w:val="fr-FR" w:eastAsia="zh-CN"/>
        </w:rPr>
        <w:t xml:space="preserve">dont on peut considérer qu’elles ouvrent droit à </w:t>
      </w:r>
      <w:r>
        <w:rPr>
          <w:lang w:val="fr-FR" w:eastAsia="zh-CN"/>
        </w:rPr>
        <w:t>de</w:t>
      </w:r>
      <w:r w:rsidR="00D534B3">
        <w:rPr>
          <w:lang w:val="fr-FR" w:eastAsia="zh-CN"/>
        </w:rPr>
        <w:t>s</w:t>
      </w:r>
      <w:r>
        <w:rPr>
          <w:lang w:val="fr-FR" w:eastAsia="zh-CN"/>
        </w:rPr>
        <w:t xml:space="preserve"> ressources conformément </w:t>
      </w:r>
      <w:r w:rsidR="00D534B3">
        <w:rPr>
          <w:lang w:val="fr-FR" w:eastAsia="zh-CN"/>
        </w:rPr>
        <w:t xml:space="preserve">à </w:t>
      </w:r>
      <w:r>
        <w:rPr>
          <w:lang w:val="fr-FR" w:eastAsia="zh-CN"/>
        </w:rPr>
        <w:t>la Convention</w:t>
      </w:r>
      <w:r w:rsidR="00377217" w:rsidRPr="00075DDD">
        <w:rPr>
          <w:lang w:val="fr-FR" w:eastAsia="zh-CN"/>
        </w:rPr>
        <w:t>.</w:t>
      </w:r>
      <w:r>
        <w:rPr>
          <w:lang w:val="fr-FR" w:eastAsia="zh-CN"/>
        </w:rPr>
        <w:t xml:space="preserve"> La liste s’est </w:t>
      </w:r>
      <w:r w:rsidR="00D534B3">
        <w:rPr>
          <w:lang w:val="fr-FR" w:eastAsia="zh-CN"/>
        </w:rPr>
        <w:t xml:space="preserve">révélée </w:t>
      </w:r>
      <w:r>
        <w:rPr>
          <w:lang w:val="fr-FR" w:eastAsia="zh-CN"/>
        </w:rPr>
        <w:t xml:space="preserve">utile pour comprendre collectivement </w:t>
      </w:r>
      <w:r w:rsidR="00D534B3">
        <w:rPr>
          <w:lang w:val="fr-FR" w:eastAsia="zh-CN"/>
        </w:rPr>
        <w:t xml:space="preserve">en quoi </w:t>
      </w:r>
      <w:r>
        <w:rPr>
          <w:lang w:val="fr-FR" w:eastAsia="zh-CN"/>
        </w:rPr>
        <w:t>le</w:t>
      </w:r>
      <w:r w:rsidR="00377217" w:rsidRPr="00075DDD">
        <w:rPr>
          <w:lang w:val="fr-FR" w:eastAsia="zh-CN"/>
        </w:rPr>
        <w:t xml:space="preserve"> </w:t>
      </w:r>
      <w:r w:rsidRPr="00502DF4">
        <w:rPr>
          <w:lang w:val="fr-FR" w:eastAsia="zh-CN"/>
        </w:rPr>
        <w:t>programme international spécifique</w:t>
      </w:r>
      <w:r w:rsidRPr="00075DDD">
        <w:rPr>
          <w:lang w:val="fr-FR" w:eastAsia="zh-CN"/>
        </w:rPr>
        <w:t xml:space="preserve"> </w:t>
      </w:r>
      <w:r w:rsidR="00D534B3">
        <w:rPr>
          <w:lang w:val="fr-FR" w:eastAsia="zh-CN"/>
        </w:rPr>
        <w:t xml:space="preserve">complèterait le </w:t>
      </w:r>
      <w:r>
        <w:rPr>
          <w:lang w:val="fr-FR" w:eastAsia="zh-CN"/>
        </w:rPr>
        <w:t>FEM</w:t>
      </w:r>
      <w:r w:rsidR="006214D2">
        <w:rPr>
          <w:lang w:val="fr-FR" w:eastAsia="zh-CN"/>
        </w:rPr>
        <w:t xml:space="preserve"> et pour éclairer les débats concernant le</w:t>
      </w:r>
      <w:r w:rsidR="00D534B3">
        <w:rPr>
          <w:lang w:val="fr-FR" w:eastAsia="zh-CN"/>
        </w:rPr>
        <w:t xml:space="preserve"> choix de l’</w:t>
      </w:r>
      <w:r w:rsidR="006214D2">
        <w:rPr>
          <w:lang w:val="fr-FR" w:eastAsia="zh-CN"/>
        </w:rPr>
        <w:t>institution d’accueil</w:t>
      </w:r>
      <w:r w:rsidR="00377217" w:rsidRPr="00075DDD">
        <w:rPr>
          <w:lang w:val="fr-FR" w:eastAsia="zh-CN"/>
        </w:rPr>
        <w:t>.</w:t>
      </w:r>
      <w:r w:rsidR="006214D2">
        <w:rPr>
          <w:lang w:val="fr-FR" w:eastAsia="zh-CN"/>
        </w:rPr>
        <w:t xml:space="preserve"> Le groupe d’experts a décidé de ne pas présenter la liste dans le rapport de synthèse final des coprésidents</w:t>
      </w:r>
      <w:r w:rsidR="0089131A">
        <w:rPr>
          <w:lang w:val="fr-FR" w:eastAsia="zh-CN"/>
        </w:rPr>
        <w:t>,</w:t>
      </w:r>
      <w:r w:rsidR="006214D2">
        <w:rPr>
          <w:lang w:val="fr-FR" w:eastAsia="zh-CN"/>
        </w:rPr>
        <w:t xml:space="preserve"> car même une liste non exhaustive pourrait être restrictive</w:t>
      </w:r>
      <w:r w:rsidR="00377217" w:rsidRPr="00075DDD">
        <w:rPr>
          <w:lang w:val="fr-FR" w:eastAsia="zh-CN"/>
        </w:rPr>
        <w:t>.</w:t>
      </w:r>
    </w:p>
    <w:p w:rsidR="00377217" w:rsidRPr="00075DDD" w:rsidRDefault="006214D2" w:rsidP="002D7E64">
      <w:pPr>
        <w:pStyle w:val="Normalnumber"/>
        <w:numPr>
          <w:ilvl w:val="0"/>
          <w:numId w:val="61"/>
        </w:numPr>
        <w:tabs>
          <w:tab w:val="clear" w:pos="1758"/>
        </w:tabs>
        <w:ind w:left="1247"/>
        <w:rPr>
          <w:lang w:val="fr-FR"/>
        </w:rPr>
      </w:pPr>
      <w:r>
        <w:rPr>
          <w:lang w:val="fr-FR" w:eastAsia="zh-CN"/>
        </w:rPr>
        <w:t xml:space="preserve">Le groupe </w:t>
      </w:r>
      <w:r w:rsidR="003F1EB7">
        <w:rPr>
          <w:lang w:val="fr-FR" w:eastAsia="zh-CN"/>
        </w:rPr>
        <w:t>s’est entendu sur</w:t>
      </w:r>
      <w:r>
        <w:rPr>
          <w:lang w:val="fr-FR" w:eastAsia="zh-CN"/>
        </w:rPr>
        <w:t xml:space="preserve"> les points ci-après </w:t>
      </w:r>
      <w:r w:rsidR="00377217" w:rsidRPr="00075DDD">
        <w:rPr>
          <w:lang w:val="fr-FR"/>
        </w:rPr>
        <w:t>:</w:t>
      </w:r>
    </w:p>
    <w:p w:rsidR="00377217" w:rsidRPr="00075DDD" w:rsidRDefault="006214D2" w:rsidP="002D7E64">
      <w:pPr>
        <w:pStyle w:val="Normalnumber"/>
        <w:numPr>
          <w:ilvl w:val="1"/>
          <w:numId w:val="42"/>
        </w:numPr>
        <w:ind w:left="1247" w:firstLine="643"/>
        <w:rPr>
          <w:lang w:val="fr-FR"/>
        </w:rPr>
      </w:pPr>
      <w:r>
        <w:rPr>
          <w:lang w:val="fr-FR"/>
        </w:rPr>
        <w:t xml:space="preserve">La Conférence des Parties devrait envisager d’adopter un programme </w:t>
      </w:r>
      <w:r w:rsidR="003F1EB7">
        <w:rPr>
          <w:lang w:val="fr-FR"/>
        </w:rPr>
        <w:t xml:space="preserve">de </w:t>
      </w:r>
      <w:r>
        <w:rPr>
          <w:lang w:val="fr-FR"/>
        </w:rPr>
        <w:t xml:space="preserve">mise en œuvre du </w:t>
      </w:r>
      <w:r w:rsidRPr="00502DF4">
        <w:rPr>
          <w:lang w:val="fr-FR" w:eastAsia="zh-CN"/>
        </w:rPr>
        <w:t>programme international spécifique</w:t>
      </w:r>
      <w:r w:rsidR="00377217" w:rsidRPr="00075DDD">
        <w:rPr>
          <w:lang w:val="fr-FR"/>
        </w:rPr>
        <w:t>,</w:t>
      </w:r>
      <w:r>
        <w:rPr>
          <w:lang w:val="fr-FR"/>
        </w:rPr>
        <w:t xml:space="preserve"> qui pourrait être révisé si nécessaire</w:t>
      </w:r>
      <w:r w:rsidR="00377217" w:rsidRPr="00075DDD">
        <w:rPr>
          <w:lang w:val="fr-FR"/>
        </w:rPr>
        <w:t xml:space="preserve">. </w:t>
      </w:r>
      <w:r>
        <w:rPr>
          <w:lang w:val="fr-FR"/>
        </w:rPr>
        <w:t>Le</w:t>
      </w:r>
      <w:r w:rsidR="00377217" w:rsidRPr="00075DDD">
        <w:rPr>
          <w:lang w:val="fr-FR"/>
        </w:rPr>
        <w:t xml:space="preserve"> programme</w:t>
      </w:r>
      <w:r>
        <w:rPr>
          <w:lang w:val="fr-FR"/>
        </w:rPr>
        <w:t xml:space="preserve"> indiquerait les domaines de la Convention auxquels </w:t>
      </w:r>
      <w:r w:rsidR="007B31D2">
        <w:rPr>
          <w:lang w:val="fr-FR"/>
        </w:rPr>
        <w:t>il conviendrait d’accorder une attention particulière pendant une période donnée</w:t>
      </w:r>
      <w:r w:rsidR="00377217" w:rsidRPr="00075DDD">
        <w:rPr>
          <w:lang w:val="fr-FR"/>
        </w:rPr>
        <w:t>.</w:t>
      </w:r>
      <w:r w:rsidR="007B31D2">
        <w:rPr>
          <w:lang w:val="fr-FR"/>
        </w:rPr>
        <w:t xml:space="preserve"> Cette </w:t>
      </w:r>
      <w:r w:rsidR="003F1EB7">
        <w:rPr>
          <w:lang w:val="fr-FR"/>
        </w:rPr>
        <w:t xml:space="preserve">démarche </w:t>
      </w:r>
      <w:r w:rsidR="007B31D2">
        <w:rPr>
          <w:lang w:val="fr-FR"/>
        </w:rPr>
        <w:t xml:space="preserve">programmatique serait mise en œuvre </w:t>
      </w:r>
      <w:r w:rsidR="003F1EB7">
        <w:rPr>
          <w:lang w:val="fr-FR"/>
        </w:rPr>
        <w:t>dans le cadre</w:t>
      </w:r>
      <w:r w:rsidR="007B31D2">
        <w:rPr>
          <w:lang w:val="fr-FR"/>
        </w:rPr>
        <w:t xml:space="preserve"> de projets individuels proposés par des Parties remplissant les conditions requises</w:t>
      </w:r>
      <w:r w:rsidR="00377217" w:rsidRPr="00075DDD">
        <w:rPr>
          <w:lang w:val="fr-FR"/>
        </w:rPr>
        <w:t>,</w:t>
      </w:r>
      <w:r w:rsidR="007B31D2">
        <w:rPr>
          <w:lang w:val="fr-FR"/>
        </w:rPr>
        <w:t xml:space="preserve"> chaque projet </w:t>
      </w:r>
      <w:r w:rsidR="003F1EB7">
        <w:rPr>
          <w:lang w:val="fr-FR"/>
        </w:rPr>
        <w:t xml:space="preserve">proposant </w:t>
      </w:r>
      <w:r w:rsidR="007B31D2">
        <w:rPr>
          <w:lang w:val="fr-FR"/>
        </w:rPr>
        <w:t xml:space="preserve">des activités </w:t>
      </w:r>
      <w:r w:rsidR="003F1EB7">
        <w:rPr>
          <w:lang w:val="fr-FR"/>
        </w:rPr>
        <w:t xml:space="preserve">visant à </w:t>
      </w:r>
      <w:r w:rsidR="00E0110A">
        <w:rPr>
          <w:lang w:val="fr-FR"/>
        </w:rPr>
        <w:t>mettre en œuvre le</w:t>
      </w:r>
      <w:r w:rsidR="00377217" w:rsidRPr="00075DDD">
        <w:rPr>
          <w:lang w:val="fr-FR"/>
        </w:rPr>
        <w:t xml:space="preserve"> </w:t>
      </w:r>
      <w:r w:rsidR="00E0110A" w:rsidRPr="00502DF4">
        <w:rPr>
          <w:lang w:val="fr-FR" w:eastAsia="zh-CN"/>
        </w:rPr>
        <w:t>programme international spécifique</w:t>
      </w:r>
      <w:r w:rsidR="00377217" w:rsidRPr="00075DDD">
        <w:rPr>
          <w:lang w:val="fr-FR"/>
        </w:rPr>
        <w:t>;</w:t>
      </w:r>
    </w:p>
    <w:p w:rsidR="00377217" w:rsidRPr="00075DDD" w:rsidRDefault="00E0110A" w:rsidP="002D7E64">
      <w:pPr>
        <w:pStyle w:val="Normalnumber"/>
        <w:numPr>
          <w:ilvl w:val="1"/>
          <w:numId w:val="42"/>
        </w:numPr>
        <w:ind w:left="1247" w:firstLine="657"/>
        <w:rPr>
          <w:lang w:val="fr-FR"/>
        </w:rPr>
      </w:pPr>
      <w:r>
        <w:rPr>
          <w:lang w:val="fr-FR"/>
        </w:rPr>
        <w:t>Le</w:t>
      </w:r>
      <w:r w:rsidR="00377217" w:rsidRPr="00075DDD">
        <w:rPr>
          <w:lang w:val="fr-FR"/>
        </w:rPr>
        <w:t xml:space="preserve"> </w:t>
      </w:r>
      <w:r w:rsidRPr="00502DF4">
        <w:rPr>
          <w:lang w:val="fr-FR" w:eastAsia="zh-CN"/>
        </w:rPr>
        <w:t>programme international spécifique</w:t>
      </w:r>
      <w:r w:rsidRPr="00075DDD">
        <w:rPr>
          <w:lang w:val="fr-FR"/>
        </w:rPr>
        <w:t xml:space="preserve"> </w:t>
      </w:r>
      <w:r>
        <w:rPr>
          <w:lang w:val="fr-FR"/>
        </w:rPr>
        <w:t xml:space="preserve">devrait </w:t>
      </w:r>
      <w:r w:rsidRPr="00E0110A">
        <w:rPr>
          <w:lang w:val="fr-FR"/>
        </w:rPr>
        <w:t xml:space="preserve">assurer une certaine complémentarité et éviter les </w:t>
      </w:r>
      <w:r>
        <w:rPr>
          <w:lang w:val="fr-FR"/>
        </w:rPr>
        <w:t>doubles emplois avec d’autres arrangements existants dans le cadre des activités de renforcement des capacités et d’appui technique</w:t>
      </w:r>
      <w:r w:rsidR="00377217" w:rsidRPr="00075DDD">
        <w:rPr>
          <w:lang w:val="fr-FR"/>
        </w:rPr>
        <w:t xml:space="preserve">, </w:t>
      </w:r>
      <w:r>
        <w:rPr>
          <w:lang w:val="fr-FR"/>
        </w:rPr>
        <w:t>en particulier le FEM et</w:t>
      </w:r>
      <w:r w:rsidR="00377217" w:rsidRPr="00075DDD">
        <w:rPr>
          <w:lang w:val="fr-FR"/>
        </w:rPr>
        <w:t xml:space="preserve"> </w:t>
      </w:r>
      <w:r w:rsidRPr="00E0110A">
        <w:rPr>
          <w:lang w:val="fr-FR"/>
        </w:rPr>
        <w:t>Programme spécial d’appui au renforcement des institutions nationales au</w:t>
      </w:r>
      <w:r w:rsidR="002C0041">
        <w:rPr>
          <w:lang w:val="fr-FR"/>
        </w:rPr>
        <w:t>x fins de la mise en œuvre des C</w:t>
      </w:r>
      <w:r w:rsidRPr="00E0110A">
        <w:rPr>
          <w:lang w:val="fr-FR"/>
        </w:rPr>
        <w:t>onventions de Bâle, de Rotterdam et de Stockholm, de la Convention de Minamata et de l’Approche stratégique de la gestion internationale des produits chimiques</w:t>
      </w:r>
      <w:r w:rsidR="00377217" w:rsidRPr="00075DDD">
        <w:rPr>
          <w:lang w:val="fr-FR"/>
        </w:rPr>
        <w:t>,</w:t>
      </w:r>
      <w:r>
        <w:rPr>
          <w:lang w:val="fr-FR"/>
        </w:rPr>
        <w:t xml:space="preserve"> ainsi que d’autres</w:t>
      </w:r>
      <w:r w:rsidR="00377217" w:rsidRPr="00075DDD">
        <w:rPr>
          <w:lang w:val="fr-FR"/>
        </w:rPr>
        <w:t xml:space="preserve"> </w:t>
      </w:r>
      <w:r w:rsidR="0057072F">
        <w:rPr>
          <w:lang w:val="fr-FR"/>
        </w:rPr>
        <w:t xml:space="preserve">programmes </w:t>
      </w:r>
      <w:r>
        <w:rPr>
          <w:lang w:val="fr-FR"/>
        </w:rPr>
        <w:t>d’assistance existants</w:t>
      </w:r>
      <w:r w:rsidR="00377217" w:rsidRPr="00075DDD">
        <w:rPr>
          <w:lang w:val="fr-FR"/>
        </w:rPr>
        <w:t>;</w:t>
      </w:r>
    </w:p>
    <w:p w:rsidR="00377217" w:rsidRPr="00D8044C" w:rsidRDefault="009E4D9D" w:rsidP="002D7E64">
      <w:pPr>
        <w:pStyle w:val="Normalnumber"/>
        <w:numPr>
          <w:ilvl w:val="1"/>
          <w:numId w:val="42"/>
        </w:numPr>
        <w:ind w:left="1247" w:firstLine="671"/>
        <w:rPr>
          <w:lang w:val="fr-FR"/>
        </w:rPr>
      </w:pPr>
      <w:r>
        <w:rPr>
          <w:lang w:val="fr-FR"/>
        </w:rPr>
        <w:t>Le</w:t>
      </w:r>
      <w:r w:rsidRPr="00075DDD">
        <w:rPr>
          <w:lang w:val="fr-FR"/>
        </w:rPr>
        <w:t xml:space="preserve"> </w:t>
      </w:r>
      <w:r w:rsidRPr="00502DF4">
        <w:rPr>
          <w:lang w:val="fr-FR" w:eastAsia="zh-CN"/>
        </w:rPr>
        <w:t>programme international spécifique</w:t>
      </w:r>
      <w:r w:rsidRPr="00075DDD">
        <w:rPr>
          <w:lang w:val="fr-FR"/>
        </w:rPr>
        <w:t xml:space="preserve"> </w:t>
      </w:r>
      <w:r>
        <w:rPr>
          <w:lang w:val="fr-FR"/>
        </w:rPr>
        <w:t xml:space="preserve">devrait mettre à profit les enseignements </w:t>
      </w:r>
      <w:r w:rsidR="0057072F">
        <w:rPr>
          <w:lang w:val="fr-FR"/>
        </w:rPr>
        <w:t xml:space="preserve">tirés </w:t>
      </w:r>
      <w:r>
        <w:rPr>
          <w:lang w:val="fr-FR"/>
        </w:rPr>
        <w:t xml:space="preserve">et </w:t>
      </w:r>
      <w:r w:rsidR="00A97D6E">
        <w:rPr>
          <w:lang w:val="fr-FR"/>
        </w:rPr>
        <w:t xml:space="preserve">s’investir </w:t>
      </w:r>
      <w:r>
        <w:rPr>
          <w:lang w:val="fr-FR"/>
        </w:rPr>
        <w:t xml:space="preserve">aux niveaux national et régional, notamment en encourageant la coopération </w:t>
      </w:r>
      <w:r w:rsidR="00A97D6E">
        <w:rPr>
          <w:lang w:val="fr-FR"/>
        </w:rPr>
        <w:t>S</w:t>
      </w:r>
      <w:r>
        <w:rPr>
          <w:lang w:val="fr-FR"/>
        </w:rPr>
        <w:t>ud-</w:t>
      </w:r>
      <w:r w:rsidR="00A97D6E">
        <w:rPr>
          <w:lang w:val="fr-FR"/>
        </w:rPr>
        <w:t>S</w:t>
      </w:r>
      <w:r>
        <w:rPr>
          <w:lang w:val="fr-FR"/>
        </w:rPr>
        <w:t>ud</w:t>
      </w:r>
      <w:r w:rsidR="00377217" w:rsidRPr="00D8044C">
        <w:rPr>
          <w:lang w:val="fr-FR"/>
        </w:rPr>
        <w:t>;</w:t>
      </w:r>
    </w:p>
    <w:p w:rsidR="00377217" w:rsidRPr="00D8044C" w:rsidRDefault="00A30C76" w:rsidP="002D7E64">
      <w:pPr>
        <w:pStyle w:val="Normalnumber"/>
        <w:numPr>
          <w:ilvl w:val="1"/>
          <w:numId w:val="42"/>
        </w:numPr>
        <w:ind w:left="1247" w:firstLine="657"/>
        <w:rPr>
          <w:lang w:val="fr-FR"/>
        </w:rPr>
      </w:pPr>
      <w:r>
        <w:rPr>
          <w:lang w:val="fr-FR"/>
        </w:rPr>
        <w:t>Parmi l</w:t>
      </w:r>
      <w:r w:rsidR="009E4D9D">
        <w:rPr>
          <w:lang w:val="fr-FR"/>
        </w:rPr>
        <w:t>es caractéristiques guidant les activités du</w:t>
      </w:r>
      <w:r w:rsidR="00377217" w:rsidRPr="00D8044C">
        <w:rPr>
          <w:lang w:val="fr-FR"/>
        </w:rPr>
        <w:t xml:space="preserve"> </w:t>
      </w:r>
      <w:r w:rsidR="009E4D9D" w:rsidRPr="00502DF4">
        <w:rPr>
          <w:lang w:val="fr-FR" w:eastAsia="zh-CN"/>
        </w:rPr>
        <w:t>programme international spécifique</w:t>
      </w:r>
      <w:r w:rsidR="009E4D9D" w:rsidRPr="00075DDD">
        <w:rPr>
          <w:lang w:val="fr-FR"/>
        </w:rPr>
        <w:t xml:space="preserve"> </w:t>
      </w:r>
      <w:r w:rsidR="009E4D9D">
        <w:rPr>
          <w:lang w:val="fr-FR"/>
        </w:rPr>
        <w:t xml:space="preserve">pourraient </w:t>
      </w:r>
      <w:r>
        <w:rPr>
          <w:lang w:val="fr-FR"/>
        </w:rPr>
        <w:t xml:space="preserve">figurer : </w:t>
      </w:r>
      <w:r w:rsidR="009E4D9D">
        <w:rPr>
          <w:lang w:val="fr-FR"/>
        </w:rPr>
        <w:t xml:space="preserve">une </w:t>
      </w:r>
      <w:r>
        <w:rPr>
          <w:lang w:val="fr-FR"/>
        </w:rPr>
        <w:t>méthode</w:t>
      </w:r>
      <w:r w:rsidR="008C3E5E">
        <w:rPr>
          <w:lang w:val="fr-FR"/>
        </w:rPr>
        <w:t xml:space="preserve"> </w:t>
      </w:r>
      <w:r>
        <w:rPr>
          <w:lang w:val="fr-FR"/>
        </w:rPr>
        <w:t>d</w:t>
      </w:r>
      <w:r w:rsidR="008C3E5E">
        <w:rPr>
          <w:lang w:val="fr-FR"/>
        </w:rPr>
        <w:t xml:space="preserve">’initiative </w:t>
      </w:r>
      <w:r>
        <w:rPr>
          <w:lang w:val="fr-FR"/>
        </w:rPr>
        <w:t>nationale</w:t>
      </w:r>
      <w:r w:rsidR="00377217" w:rsidRPr="00D8044C">
        <w:rPr>
          <w:lang w:val="fr-FR"/>
        </w:rPr>
        <w:t>;</w:t>
      </w:r>
      <w:r w:rsidR="008C3E5E">
        <w:rPr>
          <w:lang w:val="fr-FR"/>
        </w:rPr>
        <w:t xml:space="preserve"> des priorités nationales</w:t>
      </w:r>
      <w:r w:rsidR="00377217" w:rsidRPr="00D8044C">
        <w:rPr>
          <w:lang w:val="fr-FR"/>
        </w:rPr>
        <w:t xml:space="preserve">; </w:t>
      </w:r>
      <w:r w:rsidR="008C3E5E">
        <w:rPr>
          <w:lang w:val="fr-FR"/>
        </w:rPr>
        <w:t xml:space="preserve">une appropriation </w:t>
      </w:r>
      <w:r>
        <w:rPr>
          <w:lang w:val="fr-FR"/>
        </w:rPr>
        <w:t xml:space="preserve">des activités </w:t>
      </w:r>
      <w:r w:rsidR="008C3E5E">
        <w:rPr>
          <w:lang w:val="fr-FR"/>
        </w:rPr>
        <w:t>par les pays</w:t>
      </w:r>
      <w:r w:rsidR="00377217" w:rsidRPr="00D8044C">
        <w:rPr>
          <w:lang w:val="fr-FR"/>
        </w:rPr>
        <w:t>;</w:t>
      </w:r>
      <w:r w:rsidR="008C3E5E">
        <w:rPr>
          <w:lang w:val="fr-FR"/>
        </w:rPr>
        <w:t xml:space="preserve"> </w:t>
      </w:r>
      <w:r w:rsidR="00B56D0E">
        <w:rPr>
          <w:lang w:val="fr-FR"/>
        </w:rPr>
        <w:t xml:space="preserve">et </w:t>
      </w:r>
      <w:r w:rsidR="008C3E5E">
        <w:rPr>
          <w:lang w:val="fr-FR"/>
        </w:rPr>
        <w:t xml:space="preserve">une exécution durable des </w:t>
      </w:r>
      <w:r w:rsidR="00377217" w:rsidRPr="00D8044C">
        <w:rPr>
          <w:lang w:val="fr-FR"/>
        </w:rPr>
        <w:t>obligations.</w:t>
      </w:r>
      <w:r w:rsidR="008C3E5E">
        <w:rPr>
          <w:lang w:val="fr-FR"/>
        </w:rPr>
        <w:t xml:space="preserve"> </w:t>
      </w:r>
      <w:r>
        <w:rPr>
          <w:lang w:val="fr-FR"/>
        </w:rPr>
        <w:t xml:space="preserve">Lorsqu’elles </w:t>
      </w:r>
      <w:r w:rsidR="008C3E5E">
        <w:rPr>
          <w:lang w:val="fr-FR"/>
        </w:rPr>
        <w:t>présent</w:t>
      </w:r>
      <w:r>
        <w:rPr>
          <w:lang w:val="fr-FR"/>
        </w:rPr>
        <w:t>e</w:t>
      </w:r>
      <w:r w:rsidR="008C3E5E">
        <w:rPr>
          <w:lang w:val="fr-FR"/>
        </w:rPr>
        <w:t xml:space="preserve">nt des projets individuels, les Parties remplissant les conditions requises peuvent envisager l’éventuelle participation </w:t>
      </w:r>
      <w:r>
        <w:rPr>
          <w:lang w:val="fr-FR"/>
        </w:rPr>
        <w:t xml:space="preserve">d’organismes </w:t>
      </w:r>
      <w:r w:rsidR="008C3E5E">
        <w:rPr>
          <w:lang w:val="fr-FR"/>
        </w:rPr>
        <w:t xml:space="preserve">d’exécution ou </w:t>
      </w:r>
      <w:r>
        <w:rPr>
          <w:lang w:val="fr-FR"/>
        </w:rPr>
        <w:t>d’</w:t>
      </w:r>
      <w:r w:rsidR="008C3E5E">
        <w:rPr>
          <w:lang w:val="fr-FR"/>
        </w:rPr>
        <w:t>autres acteurs</w:t>
      </w:r>
      <w:r w:rsidR="00377217" w:rsidRPr="00D8044C">
        <w:rPr>
          <w:lang w:val="fr-FR"/>
        </w:rPr>
        <w:t>,</w:t>
      </w:r>
      <w:r w:rsidR="008C3E5E">
        <w:rPr>
          <w:lang w:val="fr-FR"/>
        </w:rPr>
        <w:t xml:space="preserve"> notamment d</w:t>
      </w:r>
      <w:r>
        <w:rPr>
          <w:lang w:val="fr-FR"/>
        </w:rPr>
        <w:t>’</w:t>
      </w:r>
      <w:r w:rsidR="008C3E5E">
        <w:rPr>
          <w:lang w:val="fr-FR"/>
        </w:rPr>
        <w:t xml:space="preserve">organisations non gouvernementales et des </w:t>
      </w:r>
      <w:r w:rsidR="008C3E5E" w:rsidRPr="008C3E5E">
        <w:rPr>
          <w:lang w:val="fr-FR"/>
        </w:rPr>
        <w:t>centres régionaux de la Convention de Bâle sur le contrôle des mouvements transfrontières de déchets dangereux et de leur élimination et de la Convention de Stockholm sur les polluants organiques persistants</w:t>
      </w:r>
      <w:r w:rsidR="00E436C2" w:rsidRPr="00D8044C">
        <w:rPr>
          <w:lang w:val="fr-FR"/>
        </w:rPr>
        <w:t>;</w:t>
      </w:r>
    </w:p>
    <w:p w:rsidR="00377217" w:rsidRPr="00D8044C" w:rsidRDefault="008C3E5E" w:rsidP="002D7E64">
      <w:pPr>
        <w:pStyle w:val="Normalnumber"/>
        <w:numPr>
          <w:ilvl w:val="1"/>
          <w:numId w:val="42"/>
        </w:numPr>
        <w:ind w:left="1247" w:firstLine="657"/>
        <w:rPr>
          <w:lang w:val="fr-FR"/>
        </w:rPr>
      </w:pPr>
      <w:r>
        <w:rPr>
          <w:lang w:val="fr-FR"/>
        </w:rPr>
        <w:t>Le</w:t>
      </w:r>
      <w:r w:rsidRPr="00075DDD">
        <w:rPr>
          <w:lang w:val="fr-FR"/>
        </w:rPr>
        <w:t xml:space="preserve"> </w:t>
      </w:r>
      <w:r w:rsidRPr="00502DF4">
        <w:rPr>
          <w:lang w:val="fr-FR" w:eastAsia="zh-CN"/>
        </w:rPr>
        <w:t>programme international spécifique</w:t>
      </w:r>
      <w:r w:rsidRPr="00075DDD">
        <w:rPr>
          <w:lang w:val="fr-FR"/>
        </w:rPr>
        <w:t xml:space="preserve"> </w:t>
      </w:r>
      <w:r>
        <w:rPr>
          <w:lang w:val="fr-FR"/>
        </w:rPr>
        <w:t xml:space="preserve">devrait </w:t>
      </w:r>
      <w:r w:rsidR="00A30C76">
        <w:rPr>
          <w:lang w:val="fr-FR"/>
        </w:rPr>
        <w:t>être doté d’</w:t>
      </w:r>
      <w:r>
        <w:rPr>
          <w:lang w:val="fr-FR"/>
        </w:rPr>
        <w:t xml:space="preserve">une structure efficace et légère, </w:t>
      </w:r>
      <w:r w:rsidR="00B30CED">
        <w:rPr>
          <w:lang w:val="fr-FR"/>
        </w:rPr>
        <w:t xml:space="preserve">présentant une certaine souplesse et </w:t>
      </w:r>
      <w:r w:rsidR="00970529">
        <w:rPr>
          <w:lang w:val="fr-FR"/>
        </w:rPr>
        <w:t xml:space="preserve">lui permettant d’obtenir facilement des </w:t>
      </w:r>
      <w:r w:rsidR="00B30CED">
        <w:rPr>
          <w:lang w:val="fr-FR"/>
        </w:rPr>
        <w:t>ressources</w:t>
      </w:r>
      <w:r w:rsidR="00377217" w:rsidRPr="00D8044C">
        <w:rPr>
          <w:lang w:val="fr-FR"/>
        </w:rPr>
        <w:t>.</w:t>
      </w:r>
    </w:p>
    <w:p w:rsidR="00377217" w:rsidRPr="00D8044C" w:rsidRDefault="00970529" w:rsidP="002D7E64">
      <w:pPr>
        <w:pStyle w:val="Normalnumber"/>
        <w:numPr>
          <w:ilvl w:val="0"/>
          <w:numId w:val="61"/>
        </w:numPr>
        <w:tabs>
          <w:tab w:val="clear" w:pos="1758"/>
        </w:tabs>
        <w:ind w:left="1247"/>
        <w:rPr>
          <w:lang w:val="fr-FR"/>
        </w:rPr>
      </w:pPr>
      <w:r>
        <w:rPr>
          <w:lang w:val="fr-FR" w:eastAsia="zh-CN"/>
        </w:rPr>
        <w:t xml:space="preserve">Les membres du groupe étaient globalement d’accord pour dire </w:t>
      </w:r>
      <w:r w:rsidR="00B30CED">
        <w:rPr>
          <w:lang w:val="fr-FR"/>
        </w:rPr>
        <w:t xml:space="preserve">que les </w:t>
      </w:r>
      <w:r>
        <w:rPr>
          <w:lang w:val="fr-FR"/>
        </w:rPr>
        <w:t xml:space="preserve">États </w:t>
      </w:r>
      <w:r w:rsidR="00B30CED">
        <w:rPr>
          <w:lang w:val="fr-FR"/>
        </w:rPr>
        <w:t>non</w:t>
      </w:r>
      <w:r>
        <w:rPr>
          <w:lang w:val="fr-FR"/>
        </w:rPr>
        <w:t xml:space="preserve"> </w:t>
      </w:r>
      <w:r w:rsidR="00B30CED">
        <w:rPr>
          <w:lang w:val="fr-FR"/>
        </w:rPr>
        <w:t>parties</w:t>
      </w:r>
      <w:r>
        <w:rPr>
          <w:lang w:val="fr-FR"/>
        </w:rPr>
        <w:t xml:space="preserve"> à la Convention</w:t>
      </w:r>
      <w:r w:rsidR="00B30CED">
        <w:rPr>
          <w:lang w:val="fr-FR"/>
        </w:rPr>
        <w:t xml:space="preserve"> ne pourraient pas prétendre à un financement, mais pourraient participer à certaines activités entreprises </w:t>
      </w:r>
      <w:r w:rsidR="008D4F4C">
        <w:rPr>
          <w:lang w:val="fr-FR"/>
        </w:rPr>
        <w:t>dans le cadre du</w:t>
      </w:r>
      <w:r w:rsidR="00B30CED">
        <w:rPr>
          <w:lang w:val="fr-FR"/>
        </w:rPr>
        <w:t xml:space="preserve"> </w:t>
      </w:r>
      <w:r w:rsidR="00B30CED" w:rsidRPr="00502DF4">
        <w:rPr>
          <w:lang w:val="fr-FR" w:eastAsia="zh-CN"/>
        </w:rPr>
        <w:t>programme international spécifique</w:t>
      </w:r>
      <w:r w:rsidR="00B30CED">
        <w:rPr>
          <w:lang w:val="fr-FR" w:eastAsia="zh-CN"/>
        </w:rPr>
        <w:t xml:space="preserve"> à l’invitation d’une Partie, au cas par cas</w:t>
      </w:r>
      <w:r w:rsidR="00377217" w:rsidRPr="00D8044C">
        <w:rPr>
          <w:lang w:val="fr-FR"/>
        </w:rPr>
        <w:t xml:space="preserve">. </w:t>
      </w:r>
      <w:r w:rsidR="00B30CED">
        <w:rPr>
          <w:lang w:val="fr-FR"/>
        </w:rPr>
        <w:t>Le groupe</w:t>
      </w:r>
      <w:r w:rsidR="003A7411">
        <w:rPr>
          <w:lang w:val="fr-FR"/>
        </w:rPr>
        <w:t xml:space="preserve"> a </w:t>
      </w:r>
      <w:r w:rsidR="008D4F4C">
        <w:rPr>
          <w:lang w:val="fr-FR"/>
        </w:rPr>
        <w:t xml:space="preserve">constaté </w:t>
      </w:r>
      <w:r w:rsidR="003A7411">
        <w:rPr>
          <w:lang w:val="fr-FR"/>
        </w:rPr>
        <w:t xml:space="preserve">qu’une certaine souplesse à l’égard des </w:t>
      </w:r>
      <w:r w:rsidR="008D4F4C">
        <w:rPr>
          <w:lang w:val="fr-FR"/>
        </w:rPr>
        <w:t xml:space="preserve">États </w:t>
      </w:r>
      <w:r w:rsidR="003A7411">
        <w:rPr>
          <w:lang w:val="fr-FR"/>
        </w:rPr>
        <w:t>non</w:t>
      </w:r>
      <w:r w:rsidR="008D4F4C">
        <w:rPr>
          <w:lang w:val="fr-FR"/>
        </w:rPr>
        <w:t xml:space="preserve"> </w:t>
      </w:r>
      <w:r w:rsidR="003A7411">
        <w:rPr>
          <w:lang w:val="fr-FR"/>
        </w:rPr>
        <w:t xml:space="preserve">parties était déjà prévue </w:t>
      </w:r>
      <w:r w:rsidR="00B56D0E">
        <w:rPr>
          <w:lang w:val="fr-FR"/>
        </w:rPr>
        <w:t>en ce qui concerne</w:t>
      </w:r>
      <w:r w:rsidR="003A7411">
        <w:rPr>
          <w:lang w:val="fr-FR"/>
        </w:rPr>
        <w:t xml:space="preserve"> d’autres sources de financement, notamment le </w:t>
      </w:r>
      <w:r w:rsidR="003A7411" w:rsidRPr="00E0110A">
        <w:rPr>
          <w:lang w:val="fr-FR"/>
        </w:rPr>
        <w:t>Programme spécial d’appui au renforcement des institutions</w:t>
      </w:r>
      <w:r w:rsidR="00B56D0E">
        <w:rPr>
          <w:lang w:val="fr-FR"/>
        </w:rPr>
        <w:t>,</w:t>
      </w:r>
      <w:r w:rsidR="003A7411" w:rsidRPr="00E0110A">
        <w:rPr>
          <w:lang w:val="fr-FR"/>
        </w:rPr>
        <w:t xml:space="preserve"> </w:t>
      </w:r>
      <w:r w:rsidR="003A7411">
        <w:rPr>
          <w:lang w:val="fr-FR"/>
        </w:rPr>
        <w:t xml:space="preserve">et </w:t>
      </w:r>
      <w:r w:rsidR="00B56D0E">
        <w:rPr>
          <w:lang w:val="fr-FR"/>
        </w:rPr>
        <w:t xml:space="preserve">dans </w:t>
      </w:r>
      <w:r w:rsidR="003A7411">
        <w:rPr>
          <w:lang w:val="fr-FR"/>
        </w:rPr>
        <w:t>les orientations provisoires à l’intention du FEM approuvées par le Comité à sa sixième </w:t>
      </w:r>
      <w:r w:rsidR="00E436C2" w:rsidRPr="00D8044C">
        <w:rPr>
          <w:lang w:val="fr-FR"/>
        </w:rPr>
        <w:t>session</w:t>
      </w:r>
      <w:r w:rsidR="00377217" w:rsidRPr="00D8044C">
        <w:rPr>
          <w:lang w:val="fr-FR"/>
        </w:rPr>
        <w:t>.</w:t>
      </w:r>
    </w:p>
    <w:p w:rsidR="00377217" w:rsidRPr="00D8044C" w:rsidRDefault="00B56D0E" w:rsidP="009F18DF">
      <w:pPr>
        <w:pStyle w:val="CH3"/>
        <w:tabs>
          <w:tab w:val="clear" w:pos="1247"/>
          <w:tab w:val="clear" w:pos="1814"/>
          <w:tab w:val="left" w:pos="1276"/>
        </w:tabs>
        <w:ind w:left="851" w:firstLine="0"/>
        <w:rPr>
          <w:lang w:val="fr-FR"/>
        </w:rPr>
      </w:pPr>
      <w:r>
        <w:rPr>
          <w:lang w:val="fr-FR"/>
        </w:rPr>
        <w:t>2.</w:t>
      </w:r>
      <w:r>
        <w:rPr>
          <w:lang w:val="fr-FR"/>
        </w:rPr>
        <w:tab/>
      </w:r>
      <w:r w:rsidR="00377217" w:rsidRPr="00D8044C">
        <w:rPr>
          <w:lang w:val="fr-FR"/>
        </w:rPr>
        <w:t xml:space="preserve">Sources </w:t>
      </w:r>
      <w:r w:rsidR="003A7411">
        <w:rPr>
          <w:lang w:val="fr-FR"/>
        </w:rPr>
        <w:t>de</w:t>
      </w:r>
      <w:r w:rsidR="00377217" w:rsidRPr="00D8044C">
        <w:rPr>
          <w:lang w:val="fr-FR"/>
        </w:rPr>
        <w:t xml:space="preserve"> res</w:t>
      </w:r>
      <w:r w:rsidR="003A7411">
        <w:rPr>
          <w:lang w:val="fr-FR"/>
        </w:rPr>
        <w:t>s</w:t>
      </w:r>
      <w:r w:rsidR="00377217" w:rsidRPr="00D8044C">
        <w:rPr>
          <w:lang w:val="fr-FR"/>
        </w:rPr>
        <w:t>ources</w:t>
      </w:r>
    </w:p>
    <w:p w:rsidR="00377217" w:rsidRPr="00D8044C" w:rsidRDefault="003A7411" w:rsidP="002D7E64">
      <w:pPr>
        <w:pStyle w:val="Normalnumber"/>
        <w:numPr>
          <w:ilvl w:val="0"/>
          <w:numId w:val="61"/>
        </w:numPr>
        <w:tabs>
          <w:tab w:val="clear" w:pos="1758"/>
        </w:tabs>
        <w:ind w:left="1247"/>
        <w:rPr>
          <w:lang w:val="fr-FR"/>
        </w:rPr>
      </w:pPr>
      <w:r>
        <w:rPr>
          <w:lang w:val="fr-FR"/>
        </w:rPr>
        <w:t>En termes de sources de ressources pour le</w:t>
      </w:r>
      <w:r w:rsidR="00377217" w:rsidRPr="00D8044C">
        <w:rPr>
          <w:lang w:val="fr-FR"/>
        </w:rPr>
        <w:t xml:space="preserve"> </w:t>
      </w:r>
      <w:r w:rsidRPr="00502DF4">
        <w:rPr>
          <w:lang w:val="fr-FR" w:eastAsia="zh-CN"/>
        </w:rPr>
        <w:t>programme international spécifique</w:t>
      </w:r>
      <w:r>
        <w:rPr>
          <w:lang w:val="fr-FR" w:eastAsia="zh-CN"/>
        </w:rPr>
        <w:t xml:space="preserve">, le groupe d’experts </w:t>
      </w:r>
      <w:r w:rsidR="00CB45CA">
        <w:rPr>
          <w:lang w:val="fr-FR" w:eastAsia="zh-CN"/>
        </w:rPr>
        <w:t xml:space="preserve">s’est entendu </w:t>
      </w:r>
      <w:r w:rsidR="008D4F4C">
        <w:rPr>
          <w:lang w:val="fr-FR" w:eastAsia="zh-CN"/>
        </w:rPr>
        <w:t xml:space="preserve">sur </w:t>
      </w:r>
      <w:r>
        <w:rPr>
          <w:lang w:val="fr-FR" w:eastAsia="zh-CN"/>
        </w:rPr>
        <w:t>les points ci-après </w:t>
      </w:r>
      <w:r w:rsidR="00377217" w:rsidRPr="00D8044C">
        <w:rPr>
          <w:lang w:val="fr-FR"/>
        </w:rPr>
        <w:t>:</w:t>
      </w:r>
    </w:p>
    <w:p w:rsidR="00377217" w:rsidRPr="00D8044C" w:rsidRDefault="00032277" w:rsidP="002D7E64">
      <w:pPr>
        <w:pStyle w:val="Normalnumber"/>
        <w:numPr>
          <w:ilvl w:val="1"/>
          <w:numId w:val="42"/>
        </w:numPr>
        <w:ind w:left="1247" w:firstLine="624"/>
        <w:rPr>
          <w:lang w:val="fr-FR"/>
        </w:rPr>
      </w:pPr>
      <w:r>
        <w:rPr>
          <w:lang w:val="fr-FR"/>
        </w:rPr>
        <w:t>Les c</w:t>
      </w:r>
      <w:r w:rsidR="00377217" w:rsidRPr="00D8044C">
        <w:rPr>
          <w:lang w:val="fr-FR"/>
        </w:rPr>
        <w:t xml:space="preserve">ontributions </w:t>
      </w:r>
      <w:r>
        <w:rPr>
          <w:lang w:val="fr-FR"/>
        </w:rPr>
        <w:t>de</w:t>
      </w:r>
      <w:r w:rsidR="00377217" w:rsidRPr="00D8044C">
        <w:rPr>
          <w:lang w:val="fr-FR"/>
        </w:rPr>
        <w:t xml:space="preserve"> res</w:t>
      </w:r>
      <w:r>
        <w:rPr>
          <w:lang w:val="fr-FR"/>
        </w:rPr>
        <w:t>s</w:t>
      </w:r>
      <w:r w:rsidR="00377217" w:rsidRPr="00D8044C">
        <w:rPr>
          <w:lang w:val="fr-FR"/>
        </w:rPr>
        <w:t>ources (</w:t>
      </w:r>
      <w:r>
        <w:rPr>
          <w:lang w:val="fr-FR"/>
        </w:rPr>
        <w:t xml:space="preserve">y compris </w:t>
      </w:r>
      <w:r w:rsidR="008D4F4C">
        <w:rPr>
          <w:lang w:val="fr-FR"/>
        </w:rPr>
        <w:t>en espèces</w:t>
      </w:r>
      <w:r>
        <w:rPr>
          <w:lang w:val="fr-FR"/>
        </w:rPr>
        <w:t xml:space="preserve">, en nature et en </w:t>
      </w:r>
      <w:r w:rsidR="008D4F4C">
        <w:rPr>
          <w:lang w:val="fr-FR"/>
        </w:rPr>
        <w:t>connaissances spécialisées</w:t>
      </w:r>
      <w:r w:rsidR="00377217" w:rsidRPr="00D8044C">
        <w:rPr>
          <w:lang w:val="fr-FR"/>
        </w:rPr>
        <w:t xml:space="preserve">) </w:t>
      </w:r>
      <w:r>
        <w:rPr>
          <w:lang w:val="fr-FR"/>
        </w:rPr>
        <w:t>devraient être encouragées</w:t>
      </w:r>
      <w:r w:rsidR="00377217" w:rsidRPr="00D8044C">
        <w:rPr>
          <w:lang w:val="fr-FR"/>
        </w:rPr>
        <w:t xml:space="preserve"> </w:t>
      </w:r>
      <w:r>
        <w:rPr>
          <w:lang w:val="fr-FR"/>
        </w:rPr>
        <w:t>auprès de nombreuses sources</w:t>
      </w:r>
      <w:r w:rsidR="00377217" w:rsidRPr="00D8044C">
        <w:rPr>
          <w:lang w:val="fr-FR"/>
        </w:rPr>
        <w:t xml:space="preserve"> </w:t>
      </w:r>
      <w:r>
        <w:rPr>
          <w:lang w:val="fr-FR"/>
        </w:rPr>
        <w:t>et le</w:t>
      </w:r>
      <w:r w:rsidR="00377217" w:rsidRPr="00D8044C">
        <w:rPr>
          <w:lang w:val="fr-FR"/>
        </w:rPr>
        <w:t xml:space="preserve"> </w:t>
      </w:r>
      <w:r w:rsidRPr="00502DF4">
        <w:rPr>
          <w:lang w:val="fr-FR" w:eastAsia="zh-CN"/>
        </w:rPr>
        <w:t>programme international spécifique</w:t>
      </w:r>
      <w:r w:rsidRPr="00D8044C">
        <w:rPr>
          <w:lang w:val="fr-FR"/>
        </w:rPr>
        <w:t xml:space="preserve"> </w:t>
      </w:r>
      <w:r>
        <w:rPr>
          <w:lang w:val="fr-FR"/>
        </w:rPr>
        <w:t>devrait intéresser un large éventail de contributeurs</w:t>
      </w:r>
      <w:r w:rsidR="008D4F4C">
        <w:rPr>
          <w:lang w:val="fr-FR"/>
        </w:rPr>
        <w:t xml:space="preserve">, notamment </w:t>
      </w:r>
      <w:r w:rsidR="00B86822">
        <w:rPr>
          <w:lang w:val="fr-FR"/>
        </w:rPr>
        <w:t>l’ensemble des Parties à la Convention de Minamata</w:t>
      </w:r>
      <w:r w:rsidR="00377217" w:rsidRPr="00D8044C">
        <w:rPr>
          <w:lang w:val="fr-FR"/>
        </w:rPr>
        <w:t xml:space="preserve"> </w:t>
      </w:r>
      <w:r w:rsidR="00B86822">
        <w:rPr>
          <w:lang w:val="fr-FR"/>
        </w:rPr>
        <w:t xml:space="preserve">ayant </w:t>
      </w:r>
      <w:r w:rsidR="008D4F4C">
        <w:rPr>
          <w:lang w:val="fr-FR"/>
        </w:rPr>
        <w:t xml:space="preserve">les moyens </w:t>
      </w:r>
      <w:r w:rsidR="00B86822">
        <w:rPr>
          <w:lang w:val="fr-FR"/>
        </w:rPr>
        <w:t>d’apporter une contribution, ainsi que d’autres parties prenantes concernées, notamment les gouvernements, le secteur privé, les fondations, les organisations non gouvernementales, les organisations intergouvernementales, les universités et d’autres types d’acteurs de la société civile</w:t>
      </w:r>
      <w:r w:rsidR="00377217" w:rsidRPr="00D8044C">
        <w:rPr>
          <w:lang w:val="fr-FR"/>
        </w:rPr>
        <w:t>;</w:t>
      </w:r>
    </w:p>
    <w:p w:rsidR="00377217" w:rsidRPr="00D8044C" w:rsidRDefault="00873A83" w:rsidP="002D7E64">
      <w:pPr>
        <w:pStyle w:val="Normalnumber"/>
        <w:numPr>
          <w:ilvl w:val="1"/>
          <w:numId w:val="42"/>
        </w:numPr>
        <w:ind w:left="1247" w:firstLine="624"/>
        <w:rPr>
          <w:lang w:val="fr-FR"/>
        </w:rPr>
      </w:pPr>
      <w:r>
        <w:rPr>
          <w:lang w:val="fr-FR"/>
        </w:rPr>
        <w:t>La méthode</w:t>
      </w:r>
      <w:r w:rsidRPr="00EC1823">
        <w:rPr>
          <w:lang w:val="fr-FR"/>
        </w:rPr>
        <w:t xml:space="preserve"> </w:t>
      </w:r>
      <w:r w:rsidR="00EC1823" w:rsidRPr="00EC1823">
        <w:rPr>
          <w:lang w:val="fr-FR"/>
        </w:rPr>
        <w:t xml:space="preserve">intégrée </w:t>
      </w:r>
      <w:r>
        <w:rPr>
          <w:lang w:val="fr-FR"/>
        </w:rPr>
        <w:t xml:space="preserve">de </w:t>
      </w:r>
      <w:r w:rsidR="00EC1823" w:rsidRPr="00EC1823">
        <w:rPr>
          <w:lang w:val="fr-FR"/>
        </w:rPr>
        <w:t xml:space="preserve">financement de la gestion rationnelle des produits chimiques et des déchets </w:t>
      </w:r>
      <w:r w:rsidR="00EC1823">
        <w:rPr>
          <w:lang w:val="fr-FR"/>
        </w:rPr>
        <w:t xml:space="preserve">présente un intérêt pour la mise en œuvre de la </w:t>
      </w:r>
      <w:r w:rsidR="00377217" w:rsidRPr="00D8044C">
        <w:rPr>
          <w:lang w:val="fr-FR"/>
        </w:rPr>
        <w:t>Convention;</w:t>
      </w:r>
    </w:p>
    <w:p w:rsidR="00377217" w:rsidRPr="00D8044C" w:rsidRDefault="00825DB8" w:rsidP="002D7E64">
      <w:pPr>
        <w:pStyle w:val="Normalnumber"/>
        <w:numPr>
          <w:ilvl w:val="1"/>
          <w:numId w:val="42"/>
        </w:numPr>
        <w:ind w:left="1247" w:firstLine="624"/>
        <w:rPr>
          <w:lang w:val="fr-FR"/>
        </w:rPr>
      </w:pPr>
      <w:r>
        <w:rPr>
          <w:lang w:val="fr-FR"/>
        </w:rPr>
        <w:t>U</w:t>
      </w:r>
      <w:r w:rsidR="002C4104">
        <w:rPr>
          <w:lang w:val="fr-FR"/>
        </w:rPr>
        <w:t>ne stratégie de mobilisation de</w:t>
      </w:r>
      <w:r>
        <w:rPr>
          <w:lang w:val="fr-FR"/>
        </w:rPr>
        <w:t xml:space="preserve"> ressources devrait être élaborée pour atteindre l’objectif de la Convention et attirer un large éventail de donateurs, en s’appuyant sur les enseignements tirés dans d’autres domaines</w:t>
      </w:r>
      <w:r w:rsidR="00377217" w:rsidRPr="00D8044C">
        <w:rPr>
          <w:lang w:val="fr-FR"/>
        </w:rPr>
        <w:t>.</w:t>
      </w:r>
      <w:r>
        <w:rPr>
          <w:lang w:val="fr-FR"/>
        </w:rPr>
        <w:t xml:space="preserve"> Cette stratégie devrait comprendre des </w:t>
      </w:r>
      <w:r w:rsidR="00873A83">
        <w:rPr>
          <w:lang w:val="fr-FR"/>
        </w:rPr>
        <w:t>méthodes de mobilisation</w:t>
      </w:r>
      <w:r>
        <w:rPr>
          <w:lang w:val="fr-FR"/>
        </w:rPr>
        <w:t xml:space="preserve"> de ressources </w:t>
      </w:r>
      <w:r w:rsidR="00873A83">
        <w:rPr>
          <w:lang w:val="fr-FR"/>
        </w:rPr>
        <w:t xml:space="preserve">auprès </w:t>
      </w:r>
      <w:r>
        <w:rPr>
          <w:lang w:val="fr-FR"/>
        </w:rPr>
        <w:t>d’acteurs non étatiques</w:t>
      </w:r>
      <w:r w:rsidR="00377217" w:rsidRPr="00D8044C">
        <w:rPr>
          <w:lang w:val="fr-FR"/>
        </w:rPr>
        <w:t>,</w:t>
      </w:r>
      <w:r>
        <w:rPr>
          <w:lang w:val="fr-FR"/>
        </w:rPr>
        <w:t xml:space="preserve"> y compris des ressources en nature</w:t>
      </w:r>
      <w:r w:rsidR="00377217" w:rsidRPr="00D8044C">
        <w:rPr>
          <w:lang w:val="fr-FR"/>
        </w:rPr>
        <w:t xml:space="preserve">. </w:t>
      </w:r>
      <w:r>
        <w:rPr>
          <w:lang w:val="fr-FR"/>
        </w:rPr>
        <w:t xml:space="preserve">Elle devrait </w:t>
      </w:r>
      <w:r w:rsidR="00873A83">
        <w:rPr>
          <w:lang w:val="fr-FR"/>
        </w:rPr>
        <w:t xml:space="preserve">être créée sur le </w:t>
      </w:r>
      <w:r w:rsidR="00284570">
        <w:rPr>
          <w:lang w:val="fr-FR"/>
        </w:rPr>
        <w:t>modèle d</w:t>
      </w:r>
      <w:r w:rsidR="00873A83">
        <w:rPr>
          <w:lang w:val="fr-FR"/>
        </w:rPr>
        <w:t>’un</w:t>
      </w:r>
      <w:r w:rsidR="00284570">
        <w:rPr>
          <w:lang w:val="fr-FR"/>
        </w:rPr>
        <w:t xml:space="preserve"> fonds d’affectation spéciale et </w:t>
      </w:r>
      <w:r w:rsidR="00B97051">
        <w:rPr>
          <w:lang w:val="fr-FR"/>
        </w:rPr>
        <w:t>autre</w:t>
      </w:r>
      <w:r w:rsidR="00377217" w:rsidRPr="00D8044C">
        <w:rPr>
          <w:lang w:val="fr-FR"/>
        </w:rPr>
        <w:t>;</w:t>
      </w:r>
    </w:p>
    <w:p w:rsidR="00377217" w:rsidRPr="00D8044C" w:rsidRDefault="00B97051" w:rsidP="002D7E64">
      <w:pPr>
        <w:pStyle w:val="Normalnumber"/>
        <w:numPr>
          <w:ilvl w:val="1"/>
          <w:numId w:val="42"/>
        </w:numPr>
        <w:ind w:left="1247" w:firstLine="624"/>
        <w:rPr>
          <w:lang w:val="fr-FR"/>
        </w:rPr>
      </w:pPr>
      <w:r>
        <w:rPr>
          <w:lang w:val="fr-FR"/>
        </w:rPr>
        <w:t xml:space="preserve">Les liens avec les objectifs de la Convention de </w:t>
      </w:r>
      <w:r w:rsidR="00377217" w:rsidRPr="00D8044C">
        <w:rPr>
          <w:lang w:val="fr-FR"/>
        </w:rPr>
        <w:t xml:space="preserve">Minamata </w:t>
      </w:r>
      <w:r>
        <w:rPr>
          <w:lang w:val="fr-FR"/>
        </w:rPr>
        <w:t>et d’autres initiatives et programmes existants</w:t>
      </w:r>
      <w:r w:rsidR="00377217" w:rsidRPr="00D8044C">
        <w:rPr>
          <w:lang w:val="fr-FR"/>
        </w:rPr>
        <w:t xml:space="preserve"> </w:t>
      </w:r>
      <w:r>
        <w:rPr>
          <w:lang w:val="fr-FR"/>
        </w:rPr>
        <w:t xml:space="preserve">qui disposent déjà de ressources importantes devraient être </w:t>
      </w:r>
      <w:r w:rsidR="00873A83">
        <w:rPr>
          <w:lang w:val="fr-FR"/>
        </w:rPr>
        <w:t xml:space="preserve">systématiquement </w:t>
      </w:r>
      <w:r>
        <w:rPr>
          <w:lang w:val="fr-FR"/>
        </w:rPr>
        <w:t xml:space="preserve">maximisés </w:t>
      </w:r>
      <w:r w:rsidR="00873A83">
        <w:rPr>
          <w:lang w:val="fr-FR"/>
        </w:rPr>
        <w:t xml:space="preserve">et </w:t>
      </w:r>
      <w:r>
        <w:rPr>
          <w:lang w:val="fr-FR"/>
        </w:rPr>
        <w:t>des avantages</w:t>
      </w:r>
      <w:r w:rsidR="00873A83">
        <w:rPr>
          <w:lang w:val="fr-FR"/>
        </w:rPr>
        <w:t xml:space="preserve"> communs devraient être recherchés</w:t>
      </w:r>
      <w:r w:rsidR="00377217" w:rsidRPr="00D8044C">
        <w:rPr>
          <w:lang w:val="fr-FR"/>
        </w:rPr>
        <w:t xml:space="preserve">; </w:t>
      </w:r>
    </w:p>
    <w:p w:rsidR="00377217" w:rsidRPr="00D8044C" w:rsidRDefault="00B97051" w:rsidP="002D7E64">
      <w:pPr>
        <w:pStyle w:val="Normalnumber"/>
        <w:numPr>
          <w:ilvl w:val="1"/>
          <w:numId w:val="42"/>
        </w:numPr>
        <w:ind w:left="1247" w:firstLine="624"/>
        <w:rPr>
          <w:lang w:val="fr-FR"/>
        </w:rPr>
      </w:pPr>
      <w:r>
        <w:rPr>
          <w:lang w:val="fr-FR"/>
        </w:rPr>
        <w:t xml:space="preserve">Les partenariats et la collaboration devraient être encouragés et </w:t>
      </w:r>
      <w:r w:rsidR="00873A83">
        <w:rPr>
          <w:lang w:val="fr-FR"/>
        </w:rPr>
        <w:t>exploités</w:t>
      </w:r>
      <w:r>
        <w:rPr>
          <w:lang w:val="fr-FR"/>
        </w:rPr>
        <w:t xml:space="preserve">, selon qu’il convient, afin de faciliter la mise en œuvre de la Convention, notamment </w:t>
      </w:r>
      <w:r w:rsidR="00873A83">
        <w:rPr>
          <w:lang w:val="fr-FR"/>
        </w:rPr>
        <w:t xml:space="preserve">grâce aux </w:t>
      </w:r>
      <w:r>
        <w:rPr>
          <w:lang w:val="fr-FR"/>
        </w:rPr>
        <w:t>enseignements tirés dans</w:t>
      </w:r>
      <w:r w:rsidR="007B625B">
        <w:rPr>
          <w:lang w:val="fr-FR"/>
        </w:rPr>
        <w:t xml:space="preserve"> le cadre</w:t>
      </w:r>
      <w:r>
        <w:rPr>
          <w:lang w:val="fr-FR"/>
        </w:rPr>
        <w:t xml:space="preserve"> </w:t>
      </w:r>
      <w:r w:rsidR="007B625B">
        <w:rPr>
          <w:lang w:val="fr-FR"/>
        </w:rPr>
        <w:t>d’autres</w:t>
      </w:r>
      <w:r w:rsidR="00377217" w:rsidRPr="00D8044C">
        <w:rPr>
          <w:lang w:val="fr-FR"/>
        </w:rPr>
        <w:t xml:space="preserve"> </w:t>
      </w:r>
      <w:r w:rsidR="00354EFF" w:rsidRPr="00D8044C">
        <w:rPr>
          <w:lang w:val="fr-FR"/>
        </w:rPr>
        <w:t>c</w:t>
      </w:r>
      <w:r w:rsidR="00377217" w:rsidRPr="00D8044C">
        <w:rPr>
          <w:lang w:val="fr-FR"/>
        </w:rPr>
        <w:t>onventions.</w:t>
      </w:r>
    </w:p>
    <w:p w:rsidR="00377217" w:rsidRPr="00D8044C" w:rsidRDefault="005B5833" w:rsidP="002D7E64">
      <w:pPr>
        <w:pStyle w:val="CH2"/>
        <w:spacing w:before="0"/>
        <w:rPr>
          <w:lang w:val="fr-FR"/>
        </w:rPr>
      </w:pPr>
      <w:r w:rsidRPr="00D8044C">
        <w:rPr>
          <w:lang w:val="fr-FR"/>
        </w:rPr>
        <w:tab/>
        <w:t>C.</w:t>
      </w:r>
      <w:r w:rsidRPr="00D8044C">
        <w:rPr>
          <w:lang w:val="fr-FR"/>
        </w:rPr>
        <w:tab/>
      </w:r>
      <w:r w:rsidR="00377217" w:rsidRPr="00D8044C">
        <w:rPr>
          <w:lang w:val="fr-FR"/>
        </w:rPr>
        <w:t>Dur</w:t>
      </w:r>
      <w:r w:rsidR="007B625B">
        <w:rPr>
          <w:lang w:val="fr-FR"/>
        </w:rPr>
        <w:t>ée</w:t>
      </w:r>
    </w:p>
    <w:p w:rsidR="00377217" w:rsidRPr="00D8044C" w:rsidRDefault="00166E38" w:rsidP="002D7E64">
      <w:pPr>
        <w:pStyle w:val="Normalnumber"/>
        <w:numPr>
          <w:ilvl w:val="0"/>
          <w:numId w:val="61"/>
        </w:numPr>
        <w:tabs>
          <w:tab w:val="clear" w:pos="1758"/>
        </w:tabs>
        <w:ind w:left="1247"/>
        <w:rPr>
          <w:lang w:val="fr-FR"/>
        </w:rPr>
      </w:pPr>
      <w:r>
        <w:rPr>
          <w:lang w:val="fr-FR"/>
        </w:rPr>
        <w:t>Le groupe d’experts a examiné la question de la durée du programme international spécifique</w:t>
      </w:r>
      <w:r w:rsidR="00377217" w:rsidRPr="00D8044C">
        <w:rPr>
          <w:lang w:val="fr-FR"/>
        </w:rPr>
        <w:t>.</w:t>
      </w:r>
      <w:r>
        <w:rPr>
          <w:lang w:val="fr-FR"/>
        </w:rPr>
        <w:t xml:space="preserve"> </w:t>
      </w:r>
      <w:r w:rsidR="00A25A91">
        <w:rPr>
          <w:lang w:val="fr-FR"/>
        </w:rPr>
        <w:t>Toutefois</w:t>
      </w:r>
      <w:r w:rsidR="003C3937">
        <w:rPr>
          <w:lang w:val="fr-FR"/>
        </w:rPr>
        <w:t xml:space="preserve">, il a </w:t>
      </w:r>
      <w:r w:rsidR="00A25A91">
        <w:rPr>
          <w:lang w:val="fr-FR"/>
        </w:rPr>
        <w:t xml:space="preserve">estimé </w:t>
      </w:r>
      <w:r w:rsidR="003C3937">
        <w:rPr>
          <w:lang w:val="fr-FR"/>
        </w:rPr>
        <w:t>qu</w:t>
      </w:r>
      <w:r w:rsidR="00A25A91">
        <w:rPr>
          <w:lang w:val="fr-FR"/>
        </w:rPr>
        <w:t xml:space="preserve">’il n’était pas opportun de se pencher sur </w:t>
      </w:r>
      <w:r w:rsidR="003C3937">
        <w:rPr>
          <w:lang w:val="fr-FR"/>
        </w:rPr>
        <w:t xml:space="preserve">cette question </w:t>
      </w:r>
      <w:r w:rsidR="00A25A91">
        <w:rPr>
          <w:lang w:val="fr-FR"/>
        </w:rPr>
        <w:t xml:space="preserve">tant que les </w:t>
      </w:r>
      <w:r w:rsidR="003C3937">
        <w:rPr>
          <w:lang w:val="fr-FR"/>
        </w:rPr>
        <w:t xml:space="preserve">arrangements en matière d’accueil et </w:t>
      </w:r>
      <w:r w:rsidR="00A25A91">
        <w:rPr>
          <w:lang w:val="fr-FR"/>
        </w:rPr>
        <w:t>l</w:t>
      </w:r>
      <w:r w:rsidR="003C3937">
        <w:rPr>
          <w:lang w:val="fr-FR"/>
        </w:rPr>
        <w:t>es éléments du programme</w:t>
      </w:r>
      <w:r w:rsidR="00A25A91">
        <w:rPr>
          <w:lang w:val="fr-FR"/>
        </w:rPr>
        <w:t xml:space="preserve"> n’étaient pas pleinement compris</w:t>
      </w:r>
      <w:r w:rsidR="00377217" w:rsidRPr="00D8044C">
        <w:rPr>
          <w:lang w:val="fr-FR"/>
        </w:rPr>
        <w:t>.</w:t>
      </w:r>
      <w:r w:rsidR="003C3937">
        <w:rPr>
          <w:lang w:val="fr-FR"/>
        </w:rPr>
        <w:t xml:space="preserve"> Différents </w:t>
      </w:r>
      <w:r w:rsidR="00A25A91">
        <w:rPr>
          <w:lang w:val="fr-FR"/>
        </w:rPr>
        <w:t xml:space="preserve">points de </w:t>
      </w:r>
      <w:r w:rsidR="003C3937">
        <w:rPr>
          <w:lang w:val="fr-FR"/>
        </w:rPr>
        <w:t>vue ont été exprimés</w:t>
      </w:r>
      <w:r w:rsidR="00A25A91">
        <w:rPr>
          <w:lang w:val="fr-FR"/>
        </w:rPr>
        <w:t> </w:t>
      </w:r>
      <w:r w:rsidR="00377217" w:rsidRPr="00D8044C">
        <w:rPr>
          <w:lang w:val="fr-FR"/>
        </w:rPr>
        <w:t>:</w:t>
      </w:r>
    </w:p>
    <w:p w:rsidR="00377217" w:rsidRPr="00D8044C" w:rsidRDefault="003C3937" w:rsidP="002D7E64">
      <w:pPr>
        <w:pStyle w:val="Normalnumber"/>
        <w:numPr>
          <w:ilvl w:val="1"/>
          <w:numId w:val="42"/>
        </w:numPr>
        <w:ind w:left="1247" w:firstLine="624"/>
        <w:rPr>
          <w:lang w:val="fr-FR"/>
        </w:rPr>
      </w:pPr>
      <w:r>
        <w:rPr>
          <w:lang w:val="fr-FR"/>
        </w:rPr>
        <w:t>Le programme international spécifique pourrait être limité dans le temps</w:t>
      </w:r>
      <w:r w:rsidR="00377217" w:rsidRPr="00D8044C">
        <w:rPr>
          <w:lang w:val="fr-FR"/>
        </w:rPr>
        <w:t xml:space="preserve">; </w:t>
      </w:r>
    </w:p>
    <w:p w:rsidR="00377217" w:rsidRPr="00D8044C" w:rsidRDefault="00A25A91" w:rsidP="002D7E64">
      <w:pPr>
        <w:pStyle w:val="Normalnumber"/>
        <w:numPr>
          <w:ilvl w:val="1"/>
          <w:numId w:val="42"/>
        </w:numPr>
        <w:ind w:left="1247" w:firstLine="624"/>
        <w:rPr>
          <w:lang w:val="fr-FR"/>
        </w:rPr>
      </w:pPr>
      <w:r>
        <w:rPr>
          <w:lang w:val="fr-FR"/>
        </w:rPr>
        <w:t xml:space="preserve">Certaines </w:t>
      </w:r>
      <w:r w:rsidR="003C3937">
        <w:rPr>
          <w:lang w:val="fr-FR"/>
        </w:rPr>
        <w:t>o</w:t>
      </w:r>
      <w:r w:rsidR="00DE1DC9" w:rsidRPr="00D8044C">
        <w:rPr>
          <w:lang w:val="fr-FR"/>
        </w:rPr>
        <w:t xml:space="preserve">bligations </w:t>
      </w:r>
      <w:r>
        <w:rPr>
          <w:lang w:val="fr-FR"/>
        </w:rPr>
        <w:t xml:space="preserve">visées </w:t>
      </w:r>
      <w:r w:rsidR="003C3937">
        <w:rPr>
          <w:lang w:val="fr-FR"/>
        </w:rPr>
        <w:t xml:space="preserve">dans </w:t>
      </w:r>
      <w:r>
        <w:rPr>
          <w:lang w:val="fr-FR"/>
        </w:rPr>
        <w:t>des</w:t>
      </w:r>
      <w:r w:rsidR="003C3937">
        <w:rPr>
          <w:lang w:val="fr-FR"/>
        </w:rPr>
        <w:t xml:space="preserve"> articles de la </w:t>
      </w:r>
      <w:r w:rsidR="00DE1DC9" w:rsidRPr="00D8044C">
        <w:rPr>
          <w:lang w:val="fr-FR"/>
        </w:rPr>
        <w:t>Convention</w:t>
      </w:r>
      <w:r w:rsidR="0009726D" w:rsidRPr="00D8044C">
        <w:rPr>
          <w:lang w:val="fr-FR"/>
        </w:rPr>
        <w:t xml:space="preserve"> </w:t>
      </w:r>
      <w:r>
        <w:rPr>
          <w:lang w:val="fr-FR"/>
        </w:rPr>
        <w:t xml:space="preserve">sont assorties de délais et ont </w:t>
      </w:r>
      <w:r w:rsidR="00395BB2">
        <w:rPr>
          <w:lang w:val="fr-FR"/>
        </w:rPr>
        <w:t>une durée limitée</w:t>
      </w:r>
      <w:r w:rsidR="003C3937">
        <w:rPr>
          <w:lang w:val="fr-FR"/>
        </w:rPr>
        <w:t xml:space="preserve">, </w:t>
      </w:r>
      <w:r>
        <w:rPr>
          <w:lang w:val="fr-FR"/>
        </w:rPr>
        <w:t xml:space="preserve">tandis que </w:t>
      </w:r>
      <w:r w:rsidR="003C3937">
        <w:rPr>
          <w:lang w:val="fr-FR"/>
        </w:rPr>
        <w:t>d’autres ne sont pas limitées dans le temps</w:t>
      </w:r>
      <w:r w:rsidR="00377217" w:rsidRPr="00D8044C">
        <w:rPr>
          <w:lang w:val="fr-FR"/>
        </w:rPr>
        <w:t>.</w:t>
      </w:r>
      <w:r w:rsidR="00395BB2">
        <w:rPr>
          <w:lang w:val="fr-FR"/>
        </w:rPr>
        <w:t xml:space="preserve"> Il a été noté que la durée pourrait être liée aux obligations énoncées dans la </w:t>
      </w:r>
      <w:r w:rsidR="00377217" w:rsidRPr="00D8044C">
        <w:rPr>
          <w:lang w:val="fr-FR"/>
        </w:rPr>
        <w:t xml:space="preserve">Convention, </w:t>
      </w:r>
      <w:r w:rsidR="00395BB2">
        <w:rPr>
          <w:lang w:val="fr-FR"/>
        </w:rPr>
        <w:t>par exemple les périodes</w:t>
      </w:r>
      <w:r w:rsidR="00377217" w:rsidRPr="00D8044C">
        <w:rPr>
          <w:lang w:val="fr-FR"/>
        </w:rPr>
        <w:t xml:space="preserve"> </w:t>
      </w:r>
      <w:r w:rsidR="00395BB2">
        <w:rPr>
          <w:lang w:val="fr-FR"/>
        </w:rPr>
        <w:t>d</w:t>
      </w:r>
      <w:r>
        <w:rPr>
          <w:lang w:val="fr-FR"/>
        </w:rPr>
        <w:t xml:space="preserve">’élimination </w:t>
      </w:r>
      <w:r w:rsidR="00395BB2">
        <w:rPr>
          <w:lang w:val="fr-FR"/>
        </w:rPr>
        <w:t xml:space="preserve">progressive </w:t>
      </w:r>
      <w:r>
        <w:rPr>
          <w:lang w:val="fr-FR"/>
        </w:rPr>
        <w:t xml:space="preserve">précisées </w:t>
      </w:r>
      <w:r w:rsidR="00395BB2">
        <w:rPr>
          <w:lang w:val="fr-FR"/>
        </w:rPr>
        <w:t>dans la Convention pour les articles assortis de délais</w:t>
      </w:r>
      <w:r w:rsidR="00377217" w:rsidRPr="00D8044C">
        <w:rPr>
          <w:lang w:val="fr-FR"/>
        </w:rPr>
        <w:t xml:space="preserve">; </w:t>
      </w:r>
    </w:p>
    <w:p w:rsidR="00377217" w:rsidRPr="00D8044C" w:rsidRDefault="00395BB2" w:rsidP="002D7E64">
      <w:pPr>
        <w:pStyle w:val="Normalnumber"/>
        <w:numPr>
          <w:ilvl w:val="1"/>
          <w:numId w:val="42"/>
        </w:numPr>
        <w:ind w:left="1247" w:firstLine="624"/>
        <w:rPr>
          <w:iCs/>
          <w:lang w:val="fr-FR"/>
        </w:rPr>
      </w:pPr>
      <w:r>
        <w:rPr>
          <w:lang w:val="fr-FR"/>
        </w:rPr>
        <w:t>La durée du programme international spécifique pourrait être illimitée</w:t>
      </w:r>
      <w:r w:rsidR="00377217" w:rsidRPr="00D8044C">
        <w:rPr>
          <w:iCs/>
          <w:lang w:val="fr-FR"/>
        </w:rPr>
        <w:t>.</w:t>
      </w:r>
    </w:p>
    <w:p w:rsidR="00377217" w:rsidRPr="00A3563A" w:rsidRDefault="00377217" w:rsidP="002D7E64">
      <w:pPr>
        <w:pStyle w:val="ZZAnxheader"/>
        <w:spacing w:after="120"/>
        <w:rPr>
          <w:lang w:val="fr-FR"/>
        </w:rPr>
      </w:pPr>
      <w:r w:rsidRPr="00D8044C">
        <w:rPr>
          <w:lang w:val="fr-FR"/>
        </w:rPr>
        <w:br w:type="page"/>
      </w:r>
      <w:r w:rsidR="00A3563A">
        <w:rPr>
          <w:lang w:val="fr-FR"/>
        </w:rPr>
        <w:t>Annexe </w:t>
      </w:r>
      <w:r w:rsidRPr="00A3563A">
        <w:rPr>
          <w:lang w:val="fr-FR"/>
        </w:rPr>
        <w:t>II</w:t>
      </w:r>
    </w:p>
    <w:p w:rsidR="00377217" w:rsidRPr="00A3563A" w:rsidRDefault="00377217" w:rsidP="002D7E64">
      <w:pPr>
        <w:pStyle w:val="ZZAnxtitle"/>
        <w:spacing w:before="0"/>
        <w:rPr>
          <w:lang w:val="fr-FR"/>
        </w:rPr>
      </w:pPr>
      <w:r w:rsidRPr="00A3563A">
        <w:rPr>
          <w:lang w:val="fr-FR"/>
        </w:rPr>
        <w:t>List</w:t>
      </w:r>
      <w:r w:rsidR="00A3563A">
        <w:rPr>
          <w:lang w:val="fr-FR"/>
        </w:rPr>
        <w:t>e</w:t>
      </w:r>
      <w:r w:rsidRPr="00A3563A">
        <w:rPr>
          <w:lang w:val="fr-FR"/>
        </w:rPr>
        <w:t xml:space="preserve"> </w:t>
      </w:r>
      <w:r w:rsidR="00A3563A">
        <w:rPr>
          <w:lang w:val="fr-FR"/>
        </w:rPr>
        <w:t>des</w:t>
      </w:r>
      <w:r w:rsidRPr="00A3563A">
        <w:rPr>
          <w:lang w:val="fr-FR"/>
        </w:rPr>
        <w:t xml:space="preserve"> experts</w:t>
      </w:r>
      <w:r w:rsidR="00A3563A">
        <w:rPr>
          <w:lang w:val="fr-FR"/>
        </w:rPr>
        <w:t xml:space="preserve"> désignés par</w:t>
      </w:r>
      <w:r w:rsidRPr="00A3563A">
        <w:rPr>
          <w:lang w:val="fr-FR"/>
        </w:rPr>
        <w:t xml:space="preserve"> </w:t>
      </w:r>
      <w:r w:rsidR="00A3563A">
        <w:rPr>
          <w:lang w:val="fr-FR"/>
        </w:rPr>
        <w:t>les cinq </w:t>
      </w:r>
      <w:r w:rsidR="00A3563A" w:rsidRPr="00A3563A">
        <w:rPr>
          <w:lang w:val="fr-FR"/>
        </w:rPr>
        <w:t>g</w:t>
      </w:r>
      <w:r w:rsidR="00A3563A">
        <w:rPr>
          <w:lang w:val="fr-FR"/>
        </w:rPr>
        <w:t>roupes régionaux des Nations </w:t>
      </w:r>
      <w:r w:rsidR="00A3563A" w:rsidRPr="00A3563A">
        <w:rPr>
          <w:lang w:val="fr-FR"/>
        </w:rPr>
        <w:t xml:space="preserve">Unies </w:t>
      </w:r>
      <w:r w:rsidR="00CD022D">
        <w:rPr>
          <w:lang w:val="fr-FR"/>
        </w:rPr>
        <w:t xml:space="preserve">pour participer au groupe de travail spécial d’experts </w:t>
      </w:r>
      <w:r w:rsidR="00A25A91">
        <w:rPr>
          <w:lang w:val="fr-FR"/>
        </w:rPr>
        <w:t>sur le financement</w:t>
      </w:r>
    </w:p>
    <w:p w:rsidR="00377217" w:rsidRPr="00A3563A" w:rsidRDefault="00377217" w:rsidP="002D7E64">
      <w:pPr>
        <w:pStyle w:val="CH2"/>
        <w:keepNext w:val="0"/>
        <w:keepLines w:val="0"/>
        <w:spacing w:before="0"/>
        <w:rPr>
          <w:lang w:val="fr-FR"/>
        </w:rPr>
      </w:pPr>
    </w:p>
    <w:p w:rsidR="00377217" w:rsidRPr="00A3563A" w:rsidRDefault="00377217" w:rsidP="002D7E64">
      <w:pPr>
        <w:spacing w:after="120"/>
        <w:rPr>
          <w:b/>
          <w:bCs/>
          <w:color w:val="000000"/>
          <w:u w:val="single"/>
          <w:lang w:val="fr-FR"/>
        </w:rPr>
        <w:sectPr w:rsidR="00377217" w:rsidRPr="00A3563A" w:rsidSect="006E672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pPr>
    </w:p>
    <w:p w:rsidR="00377217" w:rsidRDefault="00610557" w:rsidP="002D7E64">
      <w:pPr>
        <w:pStyle w:val="Normal-pool"/>
        <w:rPr>
          <w:b/>
          <w:lang w:val="fr-FR"/>
        </w:rPr>
      </w:pPr>
      <w:r>
        <w:rPr>
          <w:b/>
          <w:lang w:val="fr-FR"/>
        </w:rPr>
        <w:t>États d’</w:t>
      </w:r>
      <w:r w:rsidR="00377217" w:rsidRPr="00A3563A">
        <w:rPr>
          <w:b/>
          <w:lang w:val="fr-FR"/>
        </w:rPr>
        <w:t>A</w:t>
      </w:r>
      <w:r w:rsidR="00CE1FD4" w:rsidRPr="00A3563A">
        <w:rPr>
          <w:b/>
          <w:lang w:val="fr-FR"/>
        </w:rPr>
        <w:t>fri</w:t>
      </w:r>
      <w:r w:rsidR="00D92C97">
        <w:rPr>
          <w:b/>
          <w:lang w:val="fr-FR"/>
        </w:rPr>
        <w:t>que</w:t>
      </w:r>
    </w:p>
    <w:p w:rsidR="002D7E64" w:rsidRPr="00A3563A" w:rsidRDefault="002D7E64" w:rsidP="002D7E64">
      <w:pPr>
        <w:pStyle w:val="Normal-pool"/>
        <w:rPr>
          <w:lang w:val="fr-FR"/>
        </w:rPr>
      </w:pPr>
    </w:p>
    <w:p w:rsidR="008A307D" w:rsidRPr="00A3563A" w:rsidRDefault="00D92C97" w:rsidP="002D7E64">
      <w:pPr>
        <w:pStyle w:val="Normal-pool"/>
        <w:rPr>
          <w:lang w:val="fr-FR"/>
        </w:rPr>
      </w:pPr>
      <w:r>
        <w:rPr>
          <w:lang w:val="fr-FR"/>
        </w:rPr>
        <w:t>M. Adel Shafei </w:t>
      </w:r>
      <w:r w:rsidR="008A307D" w:rsidRPr="00A3563A">
        <w:rPr>
          <w:lang w:val="fr-FR"/>
        </w:rPr>
        <w:t xml:space="preserve">Osman </w:t>
      </w:r>
    </w:p>
    <w:p w:rsidR="008A307D" w:rsidRPr="00A3563A" w:rsidRDefault="00D92C97" w:rsidP="002D7E64">
      <w:pPr>
        <w:pStyle w:val="Normal-pool"/>
        <w:rPr>
          <w:lang w:val="fr-FR"/>
        </w:rPr>
      </w:pPr>
      <w:r>
        <w:rPr>
          <w:lang w:val="fr-FR"/>
        </w:rPr>
        <w:t>Directeur général</w:t>
      </w:r>
    </w:p>
    <w:p w:rsidR="008A307D" w:rsidRPr="00A3563A" w:rsidRDefault="00523B72" w:rsidP="002D7E64">
      <w:pPr>
        <w:pStyle w:val="Normal-pool"/>
        <w:rPr>
          <w:lang w:val="fr-FR"/>
        </w:rPr>
      </w:pPr>
      <w:r>
        <w:rPr>
          <w:lang w:val="fr-FR"/>
        </w:rPr>
        <w:t xml:space="preserve">Direction </w:t>
      </w:r>
      <w:r w:rsidR="00D92C97">
        <w:rPr>
          <w:lang w:val="fr-FR"/>
        </w:rPr>
        <w:t>des produits chimiques et des déchets</w:t>
      </w:r>
    </w:p>
    <w:p w:rsidR="008A307D" w:rsidRPr="00A3563A" w:rsidRDefault="00D92C97" w:rsidP="002D7E64">
      <w:pPr>
        <w:pStyle w:val="Normal-pool"/>
        <w:rPr>
          <w:lang w:val="fr-FR"/>
        </w:rPr>
      </w:pPr>
      <w:r>
        <w:rPr>
          <w:lang w:val="fr-FR"/>
        </w:rPr>
        <w:t>Ministère de l’</w:t>
      </w:r>
      <w:r w:rsidR="00523B72">
        <w:rPr>
          <w:lang w:val="fr-FR"/>
        </w:rPr>
        <w:t>e</w:t>
      </w:r>
      <w:r>
        <w:rPr>
          <w:lang w:val="fr-FR"/>
        </w:rPr>
        <w:t>nvironnement</w:t>
      </w:r>
    </w:p>
    <w:p w:rsidR="008A307D" w:rsidRDefault="00D92C97" w:rsidP="002D7E64">
      <w:pPr>
        <w:pStyle w:val="Normal-pool"/>
        <w:rPr>
          <w:lang w:val="fr-FR"/>
        </w:rPr>
      </w:pPr>
      <w:r>
        <w:rPr>
          <w:lang w:val="fr-FR"/>
        </w:rPr>
        <w:t>É</w:t>
      </w:r>
      <w:r w:rsidR="008A307D" w:rsidRPr="00A3563A">
        <w:rPr>
          <w:lang w:val="fr-FR"/>
        </w:rPr>
        <w:t>gypt</w:t>
      </w:r>
      <w:r>
        <w:rPr>
          <w:lang w:val="fr-FR"/>
        </w:rPr>
        <w:t>e</w:t>
      </w:r>
    </w:p>
    <w:p w:rsidR="002D7E64" w:rsidRPr="00A3563A" w:rsidRDefault="002D7E64" w:rsidP="002D7E64">
      <w:pPr>
        <w:pStyle w:val="Normal-pool"/>
        <w:rPr>
          <w:lang w:val="fr-FR"/>
        </w:rPr>
      </w:pPr>
    </w:p>
    <w:p w:rsidR="00377217" w:rsidRPr="00A3563A" w:rsidRDefault="00D92C97" w:rsidP="002D7E64">
      <w:pPr>
        <w:pStyle w:val="Normal-pool"/>
        <w:rPr>
          <w:lang w:val="fr-FR"/>
        </w:rPr>
      </w:pPr>
      <w:r>
        <w:rPr>
          <w:lang w:val="fr-FR"/>
        </w:rPr>
        <w:t>M. Serge Molly </w:t>
      </w:r>
      <w:proofErr w:type="spellStart"/>
      <w:r>
        <w:rPr>
          <w:lang w:val="fr-FR"/>
        </w:rPr>
        <w:t>Allo</w:t>
      </w:r>
      <w:r w:rsidR="00B56D0E">
        <w:rPr>
          <w:lang w:val="fr-FR"/>
        </w:rPr>
        <w:t>’</w:t>
      </w:r>
      <w:r>
        <w:rPr>
          <w:lang w:val="fr-FR"/>
        </w:rPr>
        <w:t>o</w:t>
      </w:r>
      <w:proofErr w:type="spellEnd"/>
      <w:r>
        <w:rPr>
          <w:lang w:val="fr-FR"/>
        </w:rPr>
        <w:t> </w:t>
      </w:r>
      <w:proofErr w:type="spellStart"/>
      <w:r w:rsidR="00377217" w:rsidRPr="00A3563A">
        <w:rPr>
          <w:lang w:val="fr-FR"/>
        </w:rPr>
        <w:t>Allo</w:t>
      </w:r>
      <w:r w:rsidR="00B56D0E">
        <w:rPr>
          <w:lang w:val="fr-FR"/>
        </w:rPr>
        <w:t>’</w:t>
      </w:r>
      <w:r w:rsidR="00377217" w:rsidRPr="00A3563A">
        <w:rPr>
          <w:lang w:val="fr-FR"/>
        </w:rPr>
        <w:t>o</w:t>
      </w:r>
      <w:proofErr w:type="spellEnd"/>
    </w:p>
    <w:p w:rsidR="00377217" w:rsidRPr="00A3563A" w:rsidRDefault="00377217" w:rsidP="002D7E64">
      <w:pPr>
        <w:pStyle w:val="Normal-pool"/>
        <w:rPr>
          <w:lang w:val="fr-FR"/>
        </w:rPr>
      </w:pPr>
      <w:r w:rsidRPr="00A3563A">
        <w:rPr>
          <w:lang w:val="fr-FR"/>
        </w:rPr>
        <w:t xml:space="preserve">Directeur </w:t>
      </w:r>
      <w:r w:rsidR="00523B72">
        <w:rPr>
          <w:lang w:val="fr-FR"/>
        </w:rPr>
        <w:t>t</w:t>
      </w:r>
      <w:r w:rsidRPr="00A3563A">
        <w:rPr>
          <w:lang w:val="fr-FR"/>
        </w:rPr>
        <w:t>echnique</w:t>
      </w:r>
    </w:p>
    <w:p w:rsidR="00377217" w:rsidRPr="00A3563A" w:rsidRDefault="00377217" w:rsidP="002D7E64">
      <w:pPr>
        <w:pStyle w:val="Normal-pool"/>
        <w:rPr>
          <w:lang w:val="fr-FR"/>
        </w:rPr>
      </w:pPr>
      <w:r w:rsidRPr="00A3563A">
        <w:rPr>
          <w:lang w:val="fr-FR"/>
        </w:rPr>
        <w:t xml:space="preserve">Centre </w:t>
      </w:r>
      <w:r w:rsidR="00523B72">
        <w:rPr>
          <w:lang w:val="fr-FR"/>
        </w:rPr>
        <w:t>n</w:t>
      </w:r>
      <w:r w:rsidRPr="00A3563A">
        <w:rPr>
          <w:lang w:val="fr-FR"/>
        </w:rPr>
        <w:t xml:space="preserve">ational </w:t>
      </w:r>
      <w:r w:rsidR="00523B72">
        <w:rPr>
          <w:lang w:val="fr-FR"/>
        </w:rPr>
        <w:t>a</w:t>
      </w:r>
      <w:r w:rsidRPr="00A3563A">
        <w:rPr>
          <w:lang w:val="fr-FR"/>
        </w:rPr>
        <w:t>ntipollution (CNAP)</w:t>
      </w:r>
    </w:p>
    <w:p w:rsidR="00377217" w:rsidRPr="00A3563A" w:rsidRDefault="00D92C97" w:rsidP="002D7E64">
      <w:pPr>
        <w:pStyle w:val="Normal-pool"/>
        <w:rPr>
          <w:lang w:val="fr-FR"/>
        </w:rPr>
      </w:pPr>
      <w:r>
        <w:rPr>
          <w:lang w:val="fr-FR"/>
        </w:rPr>
        <w:t xml:space="preserve">Ministère de la </w:t>
      </w:r>
      <w:r w:rsidR="00523B72">
        <w:rPr>
          <w:lang w:val="fr-FR"/>
        </w:rPr>
        <w:t>f</w:t>
      </w:r>
      <w:r>
        <w:rPr>
          <w:lang w:val="fr-FR"/>
        </w:rPr>
        <w:t>orêt, de l’</w:t>
      </w:r>
      <w:r w:rsidR="00523B72">
        <w:rPr>
          <w:lang w:val="fr-FR"/>
        </w:rPr>
        <w:t>e</w:t>
      </w:r>
      <w:r w:rsidR="00377217" w:rsidRPr="00A3563A">
        <w:rPr>
          <w:lang w:val="fr-FR"/>
        </w:rPr>
        <w:t>nvironnement et</w:t>
      </w:r>
    </w:p>
    <w:p w:rsidR="00377217" w:rsidRPr="00A3563A" w:rsidRDefault="00377217" w:rsidP="002D7E64">
      <w:pPr>
        <w:pStyle w:val="Normal-pool"/>
        <w:rPr>
          <w:lang w:val="fr-FR"/>
        </w:rPr>
      </w:pPr>
      <w:r w:rsidRPr="00A3563A">
        <w:rPr>
          <w:lang w:val="fr-FR"/>
        </w:rPr>
        <w:t>d</w:t>
      </w:r>
      <w:r w:rsidR="00680407">
        <w:rPr>
          <w:lang w:val="fr-FR"/>
        </w:rPr>
        <w:t xml:space="preserve">e la </w:t>
      </w:r>
      <w:r w:rsidR="00523B72">
        <w:rPr>
          <w:lang w:val="fr-FR"/>
        </w:rPr>
        <w:t>p</w:t>
      </w:r>
      <w:r w:rsidR="00680407">
        <w:rPr>
          <w:lang w:val="fr-FR"/>
        </w:rPr>
        <w:t xml:space="preserve">rotection des </w:t>
      </w:r>
      <w:r w:rsidR="00523B72">
        <w:rPr>
          <w:lang w:val="fr-FR"/>
        </w:rPr>
        <w:t>r</w:t>
      </w:r>
      <w:r w:rsidR="00680407">
        <w:rPr>
          <w:lang w:val="fr-FR"/>
        </w:rPr>
        <w:t>essources n</w:t>
      </w:r>
      <w:r w:rsidRPr="00A3563A">
        <w:rPr>
          <w:lang w:val="fr-FR"/>
        </w:rPr>
        <w:t>aturelles</w:t>
      </w:r>
    </w:p>
    <w:p w:rsidR="00377217" w:rsidRDefault="00377217" w:rsidP="002D7E64">
      <w:pPr>
        <w:pStyle w:val="Normal-pool"/>
        <w:rPr>
          <w:lang w:val="fr-FR"/>
        </w:rPr>
      </w:pPr>
      <w:r w:rsidRPr="00A3563A">
        <w:rPr>
          <w:lang w:val="fr-FR"/>
        </w:rPr>
        <w:t>Gabon</w:t>
      </w:r>
    </w:p>
    <w:p w:rsidR="002D7E64" w:rsidRPr="00A3563A" w:rsidRDefault="002D7E64" w:rsidP="002D7E64">
      <w:pPr>
        <w:pStyle w:val="Normal-pool"/>
        <w:rPr>
          <w:lang w:val="fr-FR"/>
        </w:rPr>
      </w:pPr>
    </w:p>
    <w:p w:rsidR="00377217" w:rsidRPr="00A3563A" w:rsidRDefault="00D92C97" w:rsidP="002D7E64">
      <w:pPr>
        <w:pStyle w:val="Normal-pool"/>
        <w:rPr>
          <w:lang w:val="fr-FR"/>
        </w:rPr>
      </w:pPr>
      <w:r>
        <w:rPr>
          <w:lang w:val="fr-FR"/>
        </w:rPr>
        <w:t>M. </w:t>
      </w:r>
      <w:proofErr w:type="spellStart"/>
      <w:r>
        <w:rPr>
          <w:lang w:val="fr-FR"/>
        </w:rPr>
        <w:t>Oludayo</w:t>
      </w:r>
      <w:proofErr w:type="spellEnd"/>
      <w:r>
        <w:rPr>
          <w:lang w:val="fr-FR"/>
        </w:rPr>
        <w:t> </w:t>
      </w:r>
      <w:r w:rsidR="00377217" w:rsidRPr="00A3563A">
        <w:rPr>
          <w:lang w:val="fr-FR"/>
        </w:rPr>
        <w:t>Dada</w:t>
      </w:r>
    </w:p>
    <w:p w:rsidR="00377217" w:rsidRPr="00A3563A" w:rsidRDefault="00D92C97" w:rsidP="002D7E64">
      <w:pPr>
        <w:pStyle w:val="Normal-pool"/>
        <w:rPr>
          <w:lang w:val="fr-FR"/>
        </w:rPr>
      </w:pPr>
      <w:r>
        <w:rPr>
          <w:lang w:val="fr-FR"/>
        </w:rPr>
        <w:t xml:space="preserve">Conseiller </w:t>
      </w:r>
      <w:r w:rsidR="00523B72">
        <w:rPr>
          <w:lang w:val="fr-FR"/>
        </w:rPr>
        <w:t>pour les</w:t>
      </w:r>
      <w:r>
        <w:rPr>
          <w:lang w:val="fr-FR"/>
        </w:rPr>
        <w:t xml:space="preserve"> politiques</w:t>
      </w:r>
    </w:p>
    <w:p w:rsidR="00377217" w:rsidRPr="00A3563A" w:rsidRDefault="00377217" w:rsidP="002D7E64">
      <w:pPr>
        <w:pStyle w:val="Normal-pool"/>
        <w:rPr>
          <w:lang w:val="fr-FR"/>
        </w:rPr>
      </w:pPr>
      <w:r w:rsidRPr="00A3563A">
        <w:rPr>
          <w:lang w:val="fr-FR"/>
        </w:rPr>
        <w:t>Newport Technologies</w:t>
      </w:r>
    </w:p>
    <w:p w:rsidR="00377217" w:rsidRPr="00A3563A" w:rsidRDefault="00377217" w:rsidP="002D7E64">
      <w:pPr>
        <w:pStyle w:val="Normal-pool"/>
        <w:rPr>
          <w:lang w:val="fr-FR"/>
        </w:rPr>
      </w:pPr>
      <w:r w:rsidRPr="00A3563A">
        <w:rPr>
          <w:lang w:val="fr-FR"/>
        </w:rPr>
        <w:t>Commission</w:t>
      </w:r>
      <w:r w:rsidR="00D92C97">
        <w:rPr>
          <w:lang w:val="fr-FR"/>
        </w:rPr>
        <w:t xml:space="preserve"> de l’Union africaine</w:t>
      </w:r>
    </w:p>
    <w:p w:rsidR="00377217" w:rsidRDefault="00D92C97" w:rsidP="002D7E64">
      <w:pPr>
        <w:pStyle w:val="Normal-pool"/>
        <w:rPr>
          <w:lang w:val="fr-FR"/>
        </w:rPr>
      </w:pPr>
      <w:r>
        <w:rPr>
          <w:lang w:val="fr-FR"/>
        </w:rPr>
        <w:t>Nigé</w:t>
      </w:r>
      <w:r w:rsidR="00377217" w:rsidRPr="00A3563A">
        <w:rPr>
          <w:lang w:val="fr-FR"/>
        </w:rPr>
        <w:t>ria</w:t>
      </w:r>
    </w:p>
    <w:p w:rsidR="002D7E64" w:rsidRDefault="002D7E64" w:rsidP="002D7E64">
      <w:pPr>
        <w:pStyle w:val="Normal-pool"/>
        <w:rPr>
          <w:lang w:val="fr-FR"/>
        </w:rPr>
      </w:pPr>
    </w:p>
    <w:p w:rsidR="002D7E64" w:rsidRDefault="00A25A91" w:rsidP="002D7E64">
      <w:pPr>
        <w:pStyle w:val="Normal-pool"/>
        <w:rPr>
          <w:b/>
          <w:lang w:val="fr-FR"/>
        </w:rPr>
      </w:pPr>
      <w:r>
        <w:rPr>
          <w:b/>
          <w:lang w:val="fr-FR"/>
        </w:rPr>
        <w:t>États d’Amérique latine et des Caraïbes</w:t>
      </w:r>
    </w:p>
    <w:p w:rsidR="00A25A91" w:rsidRPr="00A3563A" w:rsidRDefault="00A25A91" w:rsidP="002D7E64">
      <w:pPr>
        <w:pStyle w:val="Normal-pool"/>
        <w:rPr>
          <w:b/>
          <w:lang w:val="fr-FR"/>
        </w:rPr>
      </w:pPr>
      <w:r w:rsidRPr="00A3563A">
        <w:rPr>
          <w:b/>
          <w:lang w:val="fr-FR"/>
        </w:rPr>
        <w:t xml:space="preserve"> </w:t>
      </w:r>
    </w:p>
    <w:p w:rsidR="00A25A91" w:rsidRPr="00A3563A" w:rsidRDefault="00A25A91" w:rsidP="002D7E64">
      <w:pPr>
        <w:pStyle w:val="Normal-pool"/>
        <w:rPr>
          <w:lang w:val="fr-FR"/>
        </w:rPr>
      </w:pPr>
      <w:r>
        <w:rPr>
          <w:lang w:val="fr-FR"/>
        </w:rPr>
        <w:t>M. Alberto </w:t>
      </w:r>
      <w:r w:rsidRPr="00A3563A">
        <w:rPr>
          <w:lang w:val="fr-FR"/>
        </w:rPr>
        <w:t>Santos</w:t>
      </w:r>
      <w:r>
        <w:rPr>
          <w:lang w:val="fr-FR"/>
        </w:rPr>
        <w:t> </w:t>
      </w:r>
      <w:r w:rsidRPr="00A3563A">
        <w:rPr>
          <w:lang w:val="fr-FR"/>
        </w:rPr>
        <w:t>Capra</w:t>
      </w:r>
    </w:p>
    <w:p w:rsidR="00A25A91" w:rsidRPr="00A3563A" w:rsidRDefault="00A25A91" w:rsidP="002D7E64">
      <w:pPr>
        <w:pStyle w:val="Normal-pool"/>
        <w:rPr>
          <w:lang w:val="fr-FR"/>
        </w:rPr>
      </w:pPr>
      <w:r>
        <w:rPr>
          <w:lang w:val="fr-FR"/>
        </w:rPr>
        <w:t>Sous-secrétaire</w:t>
      </w:r>
      <w:r w:rsidRPr="00A3563A">
        <w:rPr>
          <w:lang w:val="fr-FR"/>
        </w:rPr>
        <w:t xml:space="preserve"> </w:t>
      </w:r>
      <w:r>
        <w:rPr>
          <w:lang w:val="fr-FR"/>
        </w:rPr>
        <w:t>au contrôle et à la surveillance de l’environnement</w:t>
      </w:r>
      <w:r w:rsidRPr="00A3563A">
        <w:rPr>
          <w:lang w:val="fr-FR"/>
        </w:rPr>
        <w:t xml:space="preserve"> </w:t>
      </w:r>
      <w:r>
        <w:rPr>
          <w:lang w:val="fr-FR"/>
        </w:rPr>
        <w:t>et à la prévention de la pollution</w:t>
      </w:r>
      <w:r w:rsidRPr="00A3563A">
        <w:rPr>
          <w:lang w:val="fr-FR"/>
        </w:rPr>
        <w:t xml:space="preserve"> </w:t>
      </w:r>
    </w:p>
    <w:p w:rsidR="00A25A91" w:rsidRPr="00A3563A" w:rsidRDefault="00523B72" w:rsidP="002D7E64">
      <w:pPr>
        <w:pStyle w:val="Normal-pool"/>
        <w:rPr>
          <w:lang w:val="fr-FR"/>
        </w:rPr>
      </w:pPr>
      <w:r>
        <w:rPr>
          <w:lang w:val="fr-FR"/>
        </w:rPr>
        <w:t>Correspondant</w:t>
      </w:r>
      <w:r w:rsidR="00A25A91">
        <w:rPr>
          <w:lang w:val="fr-FR"/>
        </w:rPr>
        <w:t xml:space="preserve"> technique de la Convention de Bâle</w:t>
      </w:r>
    </w:p>
    <w:p w:rsidR="00A25A91" w:rsidRDefault="00A25A91" w:rsidP="002D7E64">
      <w:pPr>
        <w:pStyle w:val="Normal-pool"/>
        <w:rPr>
          <w:lang w:val="fr-FR"/>
        </w:rPr>
      </w:pPr>
      <w:r w:rsidRPr="00A3563A">
        <w:rPr>
          <w:lang w:val="fr-FR"/>
        </w:rPr>
        <w:t>Argentin</w:t>
      </w:r>
      <w:r>
        <w:rPr>
          <w:lang w:val="fr-FR"/>
        </w:rPr>
        <w:t>e</w:t>
      </w:r>
    </w:p>
    <w:p w:rsidR="002D7E64" w:rsidRPr="00A3563A" w:rsidRDefault="002D7E64" w:rsidP="002D7E64">
      <w:pPr>
        <w:pStyle w:val="Normal-pool"/>
        <w:rPr>
          <w:lang w:val="fr-FR"/>
        </w:rPr>
      </w:pPr>
    </w:p>
    <w:p w:rsidR="00A25A91" w:rsidRPr="00A3563A" w:rsidRDefault="00A25A91" w:rsidP="002D7E64">
      <w:pPr>
        <w:pStyle w:val="Normal-pool"/>
        <w:rPr>
          <w:lang w:val="fr-FR"/>
        </w:rPr>
      </w:pPr>
      <w:r>
        <w:rPr>
          <w:lang w:val="fr-FR"/>
        </w:rPr>
        <w:t>M. Felipe </w:t>
      </w:r>
      <w:r w:rsidRPr="00A3563A">
        <w:rPr>
          <w:lang w:val="fr-FR"/>
        </w:rPr>
        <w:t>Ferreira</w:t>
      </w:r>
    </w:p>
    <w:p w:rsidR="00A25A91" w:rsidRPr="00A3563A" w:rsidRDefault="00A25A91" w:rsidP="002D7E64">
      <w:pPr>
        <w:pStyle w:val="Normal-pool"/>
        <w:rPr>
          <w:lang w:val="fr-FR"/>
        </w:rPr>
      </w:pPr>
      <w:r>
        <w:rPr>
          <w:lang w:val="fr-FR"/>
        </w:rPr>
        <w:t>Premier Secrétaire</w:t>
      </w:r>
    </w:p>
    <w:p w:rsidR="00A25A91" w:rsidRPr="00A3563A" w:rsidRDefault="00A25A91" w:rsidP="002D7E64">
      <w:pPr>
        <w:pStyle w:val="Normal-pool"/>
        <w:rPr>
          <w:lang w:val="fr-FR"/>
        </w:rPr>
      </w:pPr>
      <w:r w:rsidRPr="00A3563A">
        <w:rPr>
          <w:lang w:val="fr-FR"/>
        </w:rPr>
        <w:t xml:space="preserve">Division </w:t>
      </w:r>
      <w:r>
        <w:rPr>
          <w:lang w:val="fr-FR"/>
        </w:rPr>
        <w:t>des changements climatiques, de l’ozone et de la sécurité chimique</w:t>
      </w:r>
    </w:p>
    <w:p w:rsidR="00A25A91" w:rsidRPr="00A3563A" w:rsidRDefault="00A25A91" w:rsidP="002D7E64">
      <w:pPr>
        <w:pStyle w:val="Normal-pool"/>
        <w:rPr>
          <w:lang w:val="fr-FR"/>
        </w:rPr>
      </w:pPr>
      <w:r w:rsidRPr="00A3563A">
        <w:rPr>
          <w:lang w:val="fr-FR"/>
        </w:rPr>
        <w:t>Minist</w:t>
      </w:r>
      <w:r w:rsidR="00523B72">
        <w:rPr>
          <w:lang w:val="fr-FR"/>
        </w:rPr>
        <w:t>ère des r</w:t>
      </w:r>
      <w:r>
        <w:rPr>
          <w:lang w:val="fr-FR"/>
        </w:rPr>
        <w:t>elations extérieures</w:t>
      </w:r>
    </w:p>
    <w:p w:rsidR="00A25A91" w:rsidRDefault="00A25A91" w:rsidP="002D7E64">
      <w:pPr>
        <w:pStyle w:val="Normal-pool"/>
        <w:rPr>
          <w:lang w:val="fr-FR"/>
        </w:rPr>
      </w:pPr>
      <w:r w:rsidRPr="00A3563A">
        <w:rPr>
          <w:lang w:val="fr-FR"/>
        </w:rPr>
        <w:t>Br</w:t>
      </w:r>
      <w:r>
        <w:rPr>
          <w:lang w:val="fr-FR"/>
        </w:rPr>
        <w:t>és</w:t>
      </w:r>
      <w:r w:rsidRPr="00A3563A">
        <w:rPr>
          <w:lang w:val="fr-FR"/>
        </w:rPr>
        <w:t>il</w:t>
      </w:r>
    </w:p>
    <w:p w:rsidR="002D7E64" w:rsidRPr="00A3563A" w:rsidRDefault="002D7E64" w:rsidP="002D7E64">
      <w:pPr>
        <w:pStyle w:val="Normal-pool"/>
        <w:rPr>
          <w:lang w:val="fr-FR"/>
        </w:rPr>
      </w:pPr>
    </w:p>
    <w:p w:rsidR="00A25A91" w:rsidRPr="00A3563A" w:rsidRDefault="00A25A91" w:rsidP="002D7E64">
      <w:pPr>
        <w:pStyle w:val="Normal-pool"/>
        <w:rPr>
          <w:lang w:val="fr-FR"/>
        </w:rPr>
      </w:pPr>
      <w:r>
        <w:rPr>
          <w:iCs/>
          <w:lang w:val="fr-FR"/>
        </w:rPr>
        <w:t>Mme </w:t>
      </w:r>
      <w:proofErr w:type="spellStart"/>
      <w:r>
        <w:rPr>
          <w:iCs/>
          <w:lang w:val="fr-FR"/>
        </w:rPr>
        <w:t>Yadira</w:t>
      </w:r>
      <w:proofErr w:type="spellEnd"/>
      <w:r>
        <w:rPr>
          <w:iCs/>
          <w:lang w:val="fr-FR"/>
        </w:rPr>
        <w:t> González </w:t>
      </w:r>
      <w:proofErr w:type="spellStart"/>
      <w:r w:rsidRPr="00A3563A">
        <w:rPr>
          <w:iCs/>
          <w:lang w:val="fr-FR"/>
        </w:rPr>
        <w:t>Columbié</w:t>
      </w:r>
      <w:proofErr w:type="spellEnd"/>
    </w:p>
    <w:p w:rsidR="00A25A91" w:rsidRPr="00A3563A" w:rsidRDefault="00523B72" w:rsidP="002D7E64">
      <w:pPr>
        <w:pStyle w:val="Normal-pool"/>
        <w:rPr>
          <w:lang w:val="fr-FR"/>
        </w:rPr>
      </w:pPr>
      <w:r>
        <w:rPr>
          <w:iCs/>
          <w:lang w:val="fr-FR"/>
        </w:rPr>
        <w:t>Direction</w:t>
      </w:r>
      <w:r w:rsidR="00A25A91">
        <w:rPr>
          <w:iCs/>
          <w:lang w:val="fr-FR"/>
        </w:rPr>
        <w:t xml:space="preserve"> des affaires internationales</w:t>
      </w:r>
    </w:p>
    <w:p w:rsidR="00A25A91" w:rsidRPr="00A3563A" w:rsidRDefault="00A25A91" w:rsidP="002D7E64">
      <w:pPr>
        <w:pStyle w:val="Normal-pool"/>
        <w:rPr>
          <w:lang w:val="fr-FR"/>
        </w:rPr>
      </w:pPr>
      <w:r w:rsidRPr="00A3563A">
        <w:rPr>
          <w:iCs/>
          <w:lang w:val="fr-FR"/>
        </w:rPr>
        <w:t>Minist</w:t>
      </w:r>
      <w:r>
        <w:rPr>
          <w:iCs/>
          <w:lang w:val="fr-FR"/>
        </w:rPr>
        <w:t>ère</w:t>
      </w:r>
      <w:r w:rsidRPr="00A3563A">
        <w:rPr>
          <w:iCs/>
          <w:lang w:val="fr-FR"/>
        </w:rPr>
        <w:t xml:space="preserve"> </w:t>
      </w:r>
      <w:r w:rsidR="00523B72">
        <w:rPr>
          <w:iCs/>
          <w:lang w:val="fr-FR"/>
        </w:rPr>
        <w:t>de la s</w:t>
      </w:r>
      <w:r>
        <w:rPr>
          <w:iCs/>
          <w:lang w:val="fr-FR"/>
        </w:rPr>
        <w:t xml:space="preserve">cience, de la </w:t>
      </w:r>
      <w:r w:rsidR="00523B72">
        <w:rPr>
          <w:iCs/>
          <w:lang w:val="fr-FR"/>
        </w:rPr>
        <w:t>t</w:t>
      </w:r>
      <w:r>
        <w:rPr>
          <w:iCs/>
          <w:lang w:val="fr-FR"/>
        </w:rPr>
        <w:t>echnologie et de l’</w:t>
      </w:r>
      <w:r w:rsidR="00523B72">
        <w:rPr>
          <w:iCs/>
          <w:lang w:val="fr-FR"/>
        </w:rPr>
        <w:t>e</w:t>
      </w:r>
      <w:r w:rsidRPr="00B5506A">
        <w:rPr>
          <w:iCs/>
          <w:lang w:val="fr-FR"/>
        </w:rPr>
        <w:t>nvironnement</w:t>
      </w:r>
    </w:p>
    <w:p w:rsidR="00A25A91" w:rsidRDefault="00A25A91" w:rsidP="002D7E64">
      <w:pPr>
        <w:pStyle w:val="Normal-pool"/>
        <w:rPr>
          <w:lang w:val="fr-FR"/>
        </w:rPr>
      </w:pPr>
      <w:r w:rsidRPr="00A3563A">
        <w:rPr>
          <w:lang w:val="fr-FR"/>
        </w:rPr>
        <w:t>Cuba</w:t>
      </w:r>
    </w:p>
    <w:p w:rsidR="002D7E64" w:rsidRPr="00A3563A" w:rsidRDefault="002D7E64" w:rsidP="002D7E64">
      <w:pPr>
        <w:pStyle w:val="Normal-pool"/>
        <w:rPr>
          <w:lang w:val="fr-FR"/>
        </w:rPr>
      </w:pPr>
    </w:p>
    <w:p w:rsidR="00377217" w:rsidRDefault="00610557" w:rsidP="002D7E64">
      <w:pPr>
        <w:pStyle w:val="Normal-pool"/>
        <w:rPr>
          <w:b/>
          <w:lang w:val="fr-FR"/>
        </w:rPr>
      </w:pPr>
      <w:r>
        <w:rPr>
          <w:b/>
          <w:lang w:val="fr-FR"/>
        </w:rPr>
        <w:t>États d’</w:t>
      </w:r>
      <w:r w:rsidR="00377217" w:rsidRPr="00A3563A">
        <w:rPr>
          <w:b/>
          <w:lang w:val="fr-FR"/>
        </w:rPr>
        <w:t>A</w:t>
      </w:r>
      <w:r w:rsidR="00CE1FD4" w:rsidRPr="00A3563A">
        <w:rPr>
          <w:b/>
          <w:lang w:val="fr-FR"/>
        </w:rPr>
        <w:t>si</w:t>
      </w:r>
      <w:r w:rsidR="00D92C97">
        <w:rPr>
          <w:b/>
          <w:lang w:val="fr-FR"/>
        </w:rPr>
        <w:t xml:space="preserve">e et </w:t>
      </w:r>
      <w:r>
        <w:rPr>
          <w:b/>
          <w:lang w:val="fr-FR"/>
        </w:rPr>
        <w:t xml:space="preserve">du </w:t>
      </w:r>
      <w:r w:rsidR="00D92C97">
        <w:rPr>
          <w:b/>
          <w:lang w:val="fr-FR"/>
        </w:rPr>
        <w:t>Pacifique</w:t>
      </w:r>
    </w:p>
    <w:p w:rsidR="002D7E64" w:rsidRPr="00A3563A" w:rsidRDefault="002D7E64" w:rsidP="002D7E64">
      <w:pPr>
        <w:pStyle w:val="Normal-pool"/>
        <w:rPr>
          <w:b/>
          <w:lang w:val="fr-FR"/>
        </w:rPr>
      </w:pPr>
    </w:p>
    <w:p w:rsidR="008A307D" w:rsidRPr="00A3563A" w:rsidRDefault="00195A68" w:rsidP="002D7E64">
      <w:pPr>
        <w:pStyle w:val="Normal-pool"/>
        <w:rPr>
          <w:lang w:val="fr-FR"/>
        </w:rPr>
      </w:pPr>
      <w:r>
        <w:rPr>
          <w:lang w:val="fr-FR"/>
        </w:rPr>
        <w:t>M. Sun </w:t>
      </w:r>
      <w:proofErr w:type="spellStart"/>
      <w:r w:rsidR="008A307D" w:rsidRPr="00A3563A">
        <w:rPr>
          <w:lang w:val="fr-FR"/>
        </w:rPr>
        <w:t>Yangzhao</w:t>
      </w:r>
      <w:proofErr w:type="spellEnd"/>
    </w:p>
    <w:p w:rsidR="008A307D" w:rsidRPr="00A3563A" w:rsidRDefault="008A307D" w:rsidP="002D7E64">
      <w:pPr>
        <w:pStyle w:val="Normal-pool"/>
        <w:rPr>
          <w:lang w:val="fr-FR"/>
        </w:rPr>
      </w:pPr>
      <w:r w:rsidRPr="00A3563A">
        <w:rPr>
          <w:lang w:val="fr-FR"/>
        </w:rPr>
        <w:t>Direct</w:t>
      </w:r>
      <w:r w:rsidR="00195A68">
        <w:rPr>
          <w:lang w:val="fr-FR"/>
        </w:rPr>
        <w:t>eu</w:t>
      </w:r>
      <w:r w:rsidRPr="00A3563A">
        <w:rPr>
          <w:lang w:val="fr-FR"/>
        </w:rPr>
        <w:t>r</w:t>
      </w:r>
    </w:p>
    <w:p w:rsidR="008A307D" w:rsidRPr="00A3563A" w:rsidRDefault="00195A68" w:rsidP="002D7E64">
      <w:pPr>
        <w:pStyle w:val="Normal-pool"/>
        <w:rPr>
          <w:lang w:val="fr-FR"/>
        </w:rPr>
      </w:pPr>
      <w:r>
        <w:rPr>
          <w:lang w:val="fr-FR"/>
        </w:rPr>
        <w:t>Division de la mise en œuvre de la Convention sur le mercure</w:t>
      </w:r>
    </w:p>
    <w:p w:rsidR="008A307D" w:rsidRPr="00A3563A" w:rsidRDefault="00195A68" w:rsidP="002D7E64">
      <w:pPr>
        <w:pStyle w:val="Normal-pool"/>
        <w:rPr>
          <w:lang w:val="fr-FR"/>
        </w:rPr>
      </w:pPr>
      <w:r w:rsidRPr="00195A68">
        <w:rPr>
          <w:lang w:val="fr-FR"/>
        </w:rPr>
        <w:t>Bureau de coopération économique étrangère</w:t>
      </w:r>
      <w:r w:rsidR="008A307D" w:rsidRPr="00A3563A">
        <w:rPr>
          <w:lang w:val="fr-FR"/>
        </w:rPr>
        <w:t xml:space="preserve"> </w:t>
      </w:r>
    </w:p>
    <w:p w:rsidR="008A307D" w:rsidRPr="00A3563A" w:rsidRDefault="00195A68" w:rsidP="002D7E64">
      <w:pPr>
        <w:pStyle w:val="Normal-pool"/>
        <w:rPr>
          <w:lang w:val="fr-FR"/>
        </w:rPr>
      </w:pPr>
      <w:r>
        <w:rPr>
          <w:lang w:val="fr-FR"/>
        </w:rPr>
        <w:t xml:space="preserve">Ministère de la </w:t>
      </w:r>
      <w:r w:rsidR="00CA2517">
        <w:rPr>
          <w:lang w:val="fr-FR"/>
        </w:rPr>
        <w:t>p</w:t>
      </w:r>
      <w:r>
        <w:rPr>
          <w:lang w:val="fr-FR"/>
        </w:rPr>
        <w:t>rotection de l’</w:t>
      </w:r>
      <w:r w:rsidR="00CA2517">
        <w:rPr>
          <w:lang w:val="fr-FR"/>
        </w:rPr>
        <w:t>e</w:t>
      </w:r>
      <w:r w:rsidRPr="00195A68">
        <w:rPr>
          <w:lang w:val="fr-FR"/>
        </w:rPr>
        <w:t>nvironnement</w:t>
      </w:r>
      <w:r w:rsidR="008A307D" w:rsidRPr="00A3563A">
        <w:rPr>
          <w:lang w:val="fr-FR"/>
        </w:rPr>
        <w:t xml:space="preserve"> </w:t>
      </w:r>
    </w:p>
    <w:p w:rsidR="008A307D" w:rsidRDefault="00195A68" w:rsidP="002D7E64">
      <w:pPr>
        <w:pStyle w:val="Normal-pool"/>
        <w:rPr>
          <w:lang w:val="fr-FR"/>
        </w:rPr>
      </w:pPr>
      <w:r>
        <w:rPr>
          <w:lang w:val="fr-FR"/>
        </w:rPr>
        <w:t>Chine</w:t>
      </w:r>
      <w:r w:rsidR="008A307D" w:rsidRPr="00A3563A">
        <w:rPr>
          <w:lang w:val="fr-FR"/>
        </w:rPr>
        <w:t xml:space="preserve"> </w:t>
      </w:r>
    </w:p>
    <w:p w:rsidR="002D7E64" w:rsidRDefault="002D7E64" w:rsidP="002D7E64">
      <w:pPr>
        <w:pStyle w:val="Normal-pool"/>
        <w:rPr>
          <w:lang w:val="fr-FR"/>
        </w:rPr>
      </w:pPr>
    </w:p>
    <w:p w:rsidR="002D7E64" w:rsidRDefault="002D7E64" w:rsidP="002D7E64">
      <w:pPr>
        <w:pStyle w:val="Normal-pool"/>
        <w:rPr>
          <w:lang w:val="fr-FR"/>
        </w:rPr>
      </w:pPr>
    </w:p>
    <w:p w:rsidR="002D7E64" w:rsidRPr="00A3563A" w:rsidRDefault="002D7E64" w:rsidP="002D7E64">
      <w:pPr>
        <w:pStyle w:val="Normal-pool"/>
        <w:rPr>
          <w:lang w:val="fr-FR"/>
        </w:rPr>
      </w:pPr>
    </w:p>
    <w:p w:rsidR="008A307D" w:rsidRPr="00A3563A" w:rsidRDefault="00195A68" w:rsidP="002D7E64">
      <w:pPr>
        <w:pStyle w:val="Normal-pool"/>
        <w:rPr>
          <w:lang w:val="fr-FR"/>
        </w:rPr>
      </w:pPr>
      <w:r>
        <w:rPr>
          <w:lang w:val="fr-FR"/>
        </w:rPr>
        <w:t>M. </w:t>
      </w:r>
      <w:proofErr w:type="spellStart"/>
      <w:r>
        <w:rPr>
          <w:lang w:val="fr-FR"/>
        </w:rPr>
        <w:t>Bishwanath</w:t>
      </w:r>
      <w:proofErr w:type="spellEnd"/>
      <w:r>
        <w:rPr>
          <w:lang w:val="fr-FR"/>
        </w:rPr>
        <w:t> </w:t>
      </w:r>
      <w:r w:rsidR="008A307D" w:rsidRPr="00A3563A">
        <w:rPr>
          <w:lang w:val="fr-FR"/>
        </w:rPr>
        <w:t>Sinha</w:t>
      </w:r>
    </w:p>
    <w:p w:rsidR="008A307D" w:rsidRPr="00A3563A" w:rsidRDefault="00195A68" w:rsidP="002D7E64">
      <w:pPr>
        <w:pStyle w:val="Normal-pool"/>
        <w:rPr>
          <w:lang w:val="fr-FR"/>
        </w:rPr>
      </w:pPr>
      <w:r>
        <w:rPr>
          <w:lang w:val="fr-FR"/>
        </w:rPr>
        <w:t>Secrétaire</w:t>
      </w:r>
      <w:r w:rsidR="008A307D" w:rsidRPr="00A3563A">
        <w:rPr>
          <w:lang w:val="fr-FR"/>
        </w:rPr>
        <w:t>, Division</w:t>
      </w:r>
      <w:r w:rsidR="00680407">
        <w:rPr>
          <w:lang w:val="fr-FR"/>
        </w:rPr>
        <w:t xml:space="preserve"> </w:t>
      </w:r>
      <w:r w:rsidR="00B5506A">
        <w:rPr>
          <w:lang w:val="fr-FR"/>
        </w:rPr>
        <w:t xml:space="preserve">de la </w:t>
      </w:r>
      <w:r w:rsidR="00CA2517">
        <w:rPr>
          <w:lang w:val="fr-FR"/>
        </w:rPr>
        <w:t>g</w:t>
      </w:r>
      <w:r w:rsidR="00680407">
        <w:rPr>
          <w:lang w:val="fr-FR"/>
        </w:rPr>
        <w:t>estion des substances dangereuses</w:t>
      </w:r>
    </w:p>
    <w:p w:rsidR="008A307D" w:rsidRPr="00A3563A" w:rsidRDefault="00680407" w:rsidP="002D7E64">
      <w:pPr>
        <w:pStyle w:val="Normal-pool"/>
        <w:rPr>
          <w:lang w:val="fr-FR"/>
        </w:rPr>
      </w:pPr>
      <w:r>
        <w:rPr>
          <w:lang w:val="fr-FR"/>
        </w:rPr>
        <w:t>Ministère de l’</w:t>
      </w:r>
      <w:r w:rsidR="00CA2517">
        <w:rPr>
          <w:lang w:val="fr-FR"/>
        </w:rPr>
        <w:t>e</w:t>
      </w:r>
      <w:r>
        <w:rPr>
          <w:lang w:val="fr-FR"/>
        </w:rPr>
        <w:t xml:space="preserve">nvironnement, de la </w:t>
      </w:r>
      <w:r w:rsidR="00CA2517">
        <w:rPr>
          <w:lang w:val="fr-FR"/>
        </w:rPr>
        <w:t>f</w:t>
      </w:r>
      <w:r>
        <w:rPr>
          <w:lang w:val="fr-FR"/>
        </w:rPr>
        <w:t xml:space="preserve">orêt et des </w:t>
      </w:r>
      <w:r w:rsidR="00CA2517">
        <w:rPr>
          <w:lang w:val="fr-FR"/>
        </w:rPr>
        <w:t>c</w:t>
      </w:r>
      <w:r>
        <w:rPr>
          <w:lang w:val="fr-FR"/>
        </w:rPr>
        <w:t>hangements c</w:t>
      </w:r>
      <w:r w:rsidRPr="00680407">
        <w:rPr>
          <w:lang w:val="fr-FR"/>
        </w:rPr>
        <w:t>limatiques</w:t>
      </w:r>
    </w:p>
    <w:p w:rsidR="008A307D" w:rsidRDefault="00680407" w:rsidP="002D7E64">
      <w:pPr>
        <w:pStyle w:val="Normal-pool"/>
        <w:rPr>
          <w:lang w:val="fr-FR"/>
        </w:rPr>
      </w:pPr>
      <w:r>
        <w:rPr>
          <w:lang w:val="fr-FR"/>
        </w:rPr>
        <w:t>Inde</w:t>
      </w:r>
      <w:r w:rsidR="008A307D" w:rsidRPr="00A3563A">
        <w:rPr>
          <w:lang w:val="fr-FR"/>
        </w:rPr>
        <w:t xml:space="preserve"> </w:t>
      </w:r>
    </w:p>
    <w:p w:rsidR="002D7E64" w:rsidRPr="00A3563A" w:rsidRDefault="002D7E64" w:rsidP="002D7E64">
      <w:pPr>
        <w:pStyle w:val="Normal-pool"/>
        <w:rPr>
          <w:lang w:val="fr-FR"/>
        </w:rPr>
      </w:pPr>
    </w:p>
    <w:p w:rsidR="008A307D" w:rsidRPr="00A3563A" w:rsidRDefault="00680407" w:rsidP="002D7E64">
      <w:pPr>
        <w:pStyle w:val="Normal-pool"/>
        <w:rPr>
          <w:lang w:val="fr-FR"/>
        </w:rPr>
      </w:pPr>
      <w:r>
        <w:rPr>
          <w:lang w:val="fr-FR"/>
        </w:rPr>
        <w:t>Mme </w:t>
      </w:r>
      <w:proofErr w:type="spellStart"/>
      <w:r>
        <w:rPr>
          <w:lang w:val="fr-FR"/>
        </w:rPr>
        <w:t>Yuki</w:t>
      </w:r>
      <w:proofErr w:type="spellEnd"/>
      <w:r>
        <w:rPr>
          <w:lang w:val="fr-FR"/>
        </w:rPr>
        <w:t> </w:t>
      </w:r>
      <w:r w:rsidR="008A307D" w:rsidRPr="00A3563A">
        <w:rPr>
          <w:lang w:val="fr-FR"/>
        </w:rPr>
        <w:t>Takahashi</w:t>
      </w:r>
    </w:p>
    <w:p w:rsidR="008A307D" w:rsidRPr="00A3563A" w:rsidRDefault="00680407" w:rsidP="002D7E64">
      <w:pPr>
        <w:pStyle w:val="Normal-pool"/>
        <w:rPr>
          <w:lang w:val="fr-FR"/>
        </w:rPr>
      </w:pPr>
      <w:r>
        <w:rPr>
          <w:lang w:val="fr-FR"/>
        </w:rPr>
        <w:t>Responsable</w:t>
      </w:r>
    </w:p>
    <w:p w:rsidR="008A307D" w:rsidRPr="00A3563A" w:rsidRDefault="008A307D" w:rsidP="002D7E64">
      <w:pPr>
        <w:pStyle w:val="Normal-pool"/>
        <w:rPr>
          <w:lang w:val="fr-FR"/>
        </w:rPr>
      </w:pPr>
      <w:r w:rsidRPr="00A3563A">
        <w:rPr>
          <w:lang w:val="fr-FR"/>
        </w:rPr>
        <w:t>Division</w:t>
      </w:r>
      <w:r w:rsidR="00680407">
        <w:rPr>
          <w:lang w:val="fr-FR"/>
        </w:rPr>
        <w:t xml:space="preserve"> de l’environnement mondial</w:t>
      </w:r>
    </w:p>
    <w:p w:rsidR="008A307D" w:rsidRPr="00A3563A" w:rsidRDefault="008A307D" w:rsidP="002D7E64">
      <w:pPr>
        <w:pStyle w:val="Normal-pool"/>
        <w:rPr>
          <w:lang w:val="fr-FR"/>
        </w:rPr>
      </w:pPr>
      <w:r w:rsidRPr="00A3563A">
        <w:rPr>
          <w:lang w:val="fr-FR"/>
        </w:rPr>
        <w:t>Bureau</w:t>
      </w:r>
      <w:r w:rsidR="00680407">
        <w:rPr>
          <w:lang w:val="fr-FR"/>
        </w:rPr>
        <w:t xml:space="preserve"> de la coopération internationale</w:t>
      </w:r>
    </w:p>
    <w:p w:rsidR="008A307D" w:rsidRPr="00A3563A" w:rsidRDefault="008A307D" w:rsidP="002D7E64">
      <w:pPr>
        <w:pStyle w:val="Normal-pool"/>
        <w:rPr>
          <w:lang w:val="fr-FR"/>
        </w:rPr>
      </w:pPr>
      <w:r w:rsidRPr="00A3563A">
        <w:rPr>
          <w:lang w:val="fr-FR"/>
        </w:rPr>
        <w:t>Minist</w:t>
      </w:r>
      <w:r w:rsidR="00680407">
        <w:rPr>
          <w:lang w:val="fr-FR"/>
        </w:rPr>
        <w:t xml:space="preserve">ère des </w:t>
      </w:r>
      <w:r w:rsidR="00DE76DB">
        <w:rPr>
          <w:lang w:val="fr-FR"/>
        </w:rPr>
        <w:t>a</w:t>
      </w:r>
      <w:r w:rsidR="00680407">
        <w:rPr>
          <w:lang w:val="fr-FR"/>
        </w:rPr>
        <w:t>ffaires étrangères</w:t>
      </w:r>
    </w:p>
    <w:p w:rsidR="008A307D" w:rsidRDefault="008A307D" w:rsidP="002D7E64">
      <w:pPr>
        <w:pStyle w:val="Normal-pool"/>
        <w:rPr>
          <w:lang w:val="fr-FR"/>
        </w:rPr>
      </w:pPr>
      <w:r w:rsidRPr="00A3563A">
        <w:rPr>
          <w:lang w:val="fr-FR"/>
        </w:rPr>
        <w:t>Jap</w:t>
      </w:r>
      <w:r w:rsidR="00680407">
        <w:rPr>
          <w:lang w:val="fr-FR"/>
        </w:rPr>
        <w:t>o</w:t>
      </w:r>
      <w:r w:rsidRPr="00A3563A">
        <w:rPr>
          <w:lang w:val="fr-FR"/>
        </w:rPr>
        <w:t>n</w:t>
      </w:r>
    </w:p>
    <w:p w:rsidR="002D7E64" w:rsidRPr="00A3563A" w:rsidRDefault="002D7E64" w:rsidP="002D7E64">
      <w:pPr>
        <w:pStyle w:val="Normal-pool"/>
        <w:rPr>
          <w:lang w:val="fr-FR"/>
        </w:rPr>
      </w:pPr>
    </w:p>
    <w:p w:rsidR="00377217" w:rsidRPr="00A3563A" w:rsidRDefault="00680407" w:rsidP="002D7E64">
      <w:pPr>
        <w:pStyle w:val="Normal-pool"/>
        <w:rPr>
          <w:lang w:val="fr-FR"/>
        </w:rPr>
      </w:pPr>
      <w:r>
        <w:rPr>
          <w:lang w:val="fr-FR"/>
        </w:rPr>
        <w:t>M. Mohammed </w:t>
      </w:r>
      <w:r w:rsidR="00377217" w:rsidRPr="00A3563A">
        <w:rPr>
          <w:lang w:val="fr-FR"/>
        </w:rPr>
        <w:t>Khashashneh</w:t>
      </w:r>
      <w:r w:rsidR="00377217" w:rsidRPr="00A3563A">
        <w:rPr>
          <w:lang w:val="fr-FR"/>
        </w:rPr>
        <w:br/>
        <w:t>Dir</w:t>
      </w:r>
      <w:r>
        <w:rPr>
          <w:lang w:val="fr-FR"/>
        </w:rPr>
        <w:t>ecteu</w:t>
      </w:r>
      <w:r w:rsidR="00377217" w:rsidRPr="00A3563A">
        <w:rPr>
          <w:lang w:val="fr-FR"/>
        </w:rPr>
        <w:t xml:space="preserve">r </w:t>
      </w:r>
      <w:r>
        <w:rPr>
          <w:lang w:val="fr-FR"/>
        </w:rPr>
        <w:t>de la Direction de la gestion des substances dangereuses et des déchets</w:t>
      </w:r>
    </w:p>
    <w:p w:rsidR="00377217" w:rsidRPr="00A3563A" w:rsidRDefault="00377217" w:rsidP="002D7E64">
      <w:pPr>
        <w:pStyle w:val="Normal-pool"/>
        <w:rPr>
          <w:lang w:val="fr-FR"/>
        </w:rPr>
      </w:pPr>
      <w:r w:rsidRPr="00A3563A">
        <w:rPr>
          <w:lang w:val="fr-FR"/>
        </w:rPr>
        <w:t>Minist</w:t>
      </w:r>
      <w:r w:rsidR="00680407">
        <w:rPr>
          <w:lang w:val="fr-FR"/>
        </w:rPr>
        <w:t>ère de l’</w:t>
      </w:r>
      <w:r w:rsidR="00DE76DB">
        <w:rPr>
          <w:lang w:val="fr-FR"/>
        </w:rPr>
        <w:t>e</w:t>
      </w:r>
      <w:r w:rsidR="00680407">
        <w:rPr>
          <w:lang w:val="fr-FR"/>
        </w:rPr>
        <w:t>nvironnement</w:t>
      </w:r>
    </w:p>
    <w:p w:rsidR="00377217" w:rsidRDefault="00377217" w:rsidP="002D7E64">
      <w:pPr>
        <w:pStyle w:val="Normal-pool"/>
        <w:rPr>
          <w:lang w:val="fr-FR"/>
        </w:rPr>
      </w:pPr>
      <w:r w:rsidRPr="00A3563A">
        <w:rPr>
          <w:lang w:val="fr-FR"/>
        </w:rPr>
        <w:t>Jordan</w:t>
      </w:r>
      <w:r w:rsidR="00680407">
        <w:rPr>
          <w:lang w:val="fr-FR"/>
        </w:rPr>
        <w:t>ie</w:t>
      </w:r>
    </w:p>
    <w:p w:rsidR="002D7E64" w:rsidRPr="00A3563A" w:rsidRDefault="002D7E64" w:rsidP="002D7E64">
      <w:pPr>
        <w:pStyle w:val="Normal-pool"/>
        <w:rPr>
          <w:lang w:val="fr-FR"/>
        </w:rPr>
      </w:pPr>
    </w:p>
    <w:p w:rsidR="008A307D" w:rsidRPr="00A3563A" w:rsidRDefault="00680407" w:rsidP="002D7E64">
      <w:pPr>
        <w:pStyle w:val="Normal-pool"/>
        <w:rPr>
          <w:lang w:val="fr-FR"/>
        </w:rPr>
      </w:pPr>
      <w:r>
        <w:rPr>
          <w:lang w:val="fr-FR"/>
        </w:rPr>
        <w:t>Mme </w:t>
      </w:r>
      <w:proofErr w:type="spellStart"/>
      <w:r>
        <w:rPr>
          <w:lang w:val="fr-FR"/>
        </w:rPr>
        <w:t>Azniza</w:t>
      </w:r>
      <w:proofErr w:type="spellEnd"/>
      <w:r>
        <w:rPr>
          <w:lang w:val="fr-FR"/>
        </w:rPr>
        <w:t> </w:t>
      </w:r>
      <w:proofErr w:type="spellStart"/>
      <w:r w:rsidR="008A307D" w:rsidRPr="00A3563A">
        <w:rPr>
          <w:lang w:val="fr-FR"/>
        </w:rPr>
        <w:t>Azmi</w:t>
      </w:r>
      <w:proofErr w:type="spellEnd"/>
    </w:p>
    <w:p w:rsidR="008A307D" w:rsidRPr="00A3563A" w:rsidRDefault="00680407" w:rsidP="002D7E64">
      <w:pPr>
        <w:pStyle w:val="Normal-pool"/>
        <w:rPr>
          <w:lang w:val="fr-FR"/>
        </w:rPr>
      </w:pPr>
      <w:r>
        <w:rPr>
          <w:lang w:val="fr-FR"/>
        </w:rPr>
        <w:t xml:space="preserve">Secrétaire </w:t>
      </w:r>
      <w:r w:rsidR="00DE76DB">
        <w:rPr>
          <w:lang w:val="fr-FR"/>
        </w:rPr>
        <w:t>adjointe</w:t>
      </w:r>
      <w:r w:rsidR="00DE76DB" w:rsidRPr="00A3563A">
        <w:rPr>
          <w:lang w:val="fr-FR"/>
        </w:rPr>
        <w:t xml:space="preserve"> </w:t>
      </w:r>
      <w:r>
        <w:rPr>
          <w:lang w:val="fr-FR"/>
        </w:rPr>
        <w:t>principale</w:t>
      </w:r>
      <w:r w:rsidR="008A307D" w:rsidRPr="00A3563A">
        <w:rPr>
          <w:lang w:val="fr-FR"/>
        </w:rPr>
        <w:t xml:space="preserve"> </w:t>
      </w:r>
    </w:p>
    <w:p w:rsidR="008A307D" w:rsidRPr="00A3563A" w:rsidRDefault="00680407" w:rsidP="002D7E64">
      <w:pPr>
        <w:pStyle w:val="Normal-pool"/>
        <w:rPr>
          <w:lang w:val="fr-FR"/>
        </w:rPr>
      </w:pPr>
      <w:r>
        <w:rPr>
          <w:lang w:val="fr-FR"/>
        </w:rPr>
        <w:t xml:space="preserve">Gestion de l’environnement et </w:t>
      </w:r>
      <w:r w:rsidR="00DE76DB">
        <w:rPr>
          <w:lang w:val="fr-FR"/>
        </w:rPr>
        <w:t xml:space="preserve">questions </w:t>
      </w:r>
      <w:r>
        <w:rPr>
          <w:lang w:val="fr-FR"/>
        </w:rPr>
        <w:t>climatiques</w:t>
      </w:r>
      <w:r w:rsidR="008A307D" w:rsidRPr="00A3563A">
        <w:rPr>
          <w:lang w:val="fr-FR"/>
        </w:rPr>
        <w:t xml:space="preserve"> </w:t>
      </w:r>
    </w:p>
    <w:p w:rsidR="008A307D" w:rsidRPr="00A3563A" w:rsidRDefault="008A307D" w:rsidP="002D7E64">
      <w:pPr>
        <w:pStyle w:val="Normal-pool"/>
        <w:rPr>
          <w:lang w:val="fr-FR"/>
        </w:rPr>
      </w:pPr>
      <w:r w:rsidRPr="00A3563A">
        <w:rPr>
          <w:lang w:val="fr-FR"/>
        </w:rPr>
        <w:t>Minist</w:t>
      </w:r>
      <w:r w:rsidR="00680407">
        <w:rPr>
          <w:lang w:val="fr-FR"/>
        </w:rPr>
        <w:t xml:space="preserve">ère des </w:t>
      </w:r>
      <w:r w:rsidR="00DE76DB">
        <w:rPr>
          <w:lang w:val="fr-FR"/>
        </w:rPr>
        <w:t>r</w:t>
      </w:r>
      <w:r w:rsidR="00680407">
        <w:rPr>
          <w:lang w:val="fr-FR"/>
        </w:rPr>
        <w:t>essources naturelles et de l’</w:t>
      </w:r>
      <w:r w:rsidR="00DE76DB">
        <w:rPr>
          <w:lang w:val="fr-FR"/>
        </w:rPr>
        <w:t>e</w:t>
      </w:r>
      <w:r w:rsidR="00680407">
        <w:rPr>
          <w:lang w:val="fr-FR"/>
        </w:rPr>
        <w:t>nvironnement</w:t>
      </w:r>
      <w:r w:rsidRPr="00A3563A">
        <w:rPr>
          <w:lang w:val="fr-FR"/>
        </w:rPr>
        <w:t xml:space="preserve"> </w:t>
      </w:r>
    </w:p>
    <w:p w:rsidR="008A307D" w:rsidRDefault="00583C0D" w:rsidP="002D7E64">
      <w:pPr>
        <w:pStyle w:val="Normal-pool"/>
        <w:rPr>
          <w:lang w:val="fr-FR"/>
        </w:rPr>
      </w:pPr>
      <w:r>
        <w:rPr>
          <w:lang w:val="fr-FR"/>
        </w:rPr>
        <w:t>Malaisie</w:t>
      </w:r>
      <w:r w:rsidR="008A307D" w:rsidRPr="00A3563A">
        <w:rPr>
          <w:lang w:val="fr-FR"/>
        </w:rPr>
        <w:t xml:space="preserve"> </w:t>
      </w:r>
    </w:p>
    <w:p w:rsidR="002D7E64" w:rsidRPr="00A3563A" w:rsidRDefault="002D7E64" w:rsidP="002D7E64">
      <w:pPr>
        <w:pStyle w:val="Normal-pool"/>
        <w:rPr>
          <w:lang w:val="fr-FR"/>
        </w:rPr>
      </w:pPr>
    </w:p>
    <w:p w:rsidR="00377217" w:rsidRDefault="00610557" w:rsidP="002D7E64">
      <w:pPr>
        <w:pStyle w:val="Normal-pool"/>
        <w:rPr>
          <w:b/>
          <w:lang w:val="fr-FR"/>
        </w:rPr>
      </w:pPr>
      <w:r>
        <w:rPr>
          <w:b/>
          <w:lang w:val="fr-FR"/>
        </w:rPr>
        <w:t>États d’</w:t>
      </w:r>
      <w:r w:rsidR="0034097E">
        <w:rPr>
          <w:b/>
          <w:lang w:val="fr-FR"/>
        </w:rPr>
        <w:t>Europe c</w:t>
      </w:r>
      <w:r w:rsidR="00CE1FD4" w:rsidRPr="00A3563A">
        <w:rPr>
          <w:b/>
          <w:lang w:val="fr-FR"/>
        </w:rPr>
        <w:t>entral</w:t>
      </w:r>
      <w:r w:rsidR="00FD1812">
        <w:rPr>
          <w:b/>
          <w:lang w:val="fr-FR"/>
        </w:rPr>
        <w:t>e</w:t>
      </w:r>
      <w:r w:rsidR="00CE1FD4" w:rsidRPr="00A3563A">
        <w:rPr>
          <w:b/>
          <w:lang w:val="fr-FR"/>
        </w:rPr>
        <w:t xml:space="preserve"> </w:t>
      </w:r>
      <w:r w:rsidR="0034097E">
        <w:rPr>
          <w:b/>
          <w:lang w:val="fr-FR"/>
        </w:rPr>
        <w:t>et orientale</w:t>
      </w:r>
      <w:r w:rsidR="00CE1FD4" w:rsidRPr="00A3563A">
        <w:rPr>
          <w:b/>
          <w:lang w:val="fr-FR"/>
        </w:rPr>
        <w:t xml:space="preserve"> </w:t>
      </w:r>
    </w:p>
    <w:p w:rsidR="002D7E64" w:rsidRPr="00A3563A" w:rsidRDefault="002D7E64" w:rsidP="002D7E64">
      <w:pPr>
        <w:pStyle w:val="Normal-pool"/>
        <w:rPr>
          <w:b/>
          <w:lang w:val="fr-FR"/>
        </w:rPr>
      </w:pPr>
    </w:p>
    <w:p w:rsidR="00377217" w:rsidRPr="00A3563A" w:rsidRDefault="0034097E" w:rsidP="002D7E64">
      <w:pPr>
        <w:pStyle w:val="Normal-pool"/>
        <w:rPr>
          <w:lang w:val="fr-FR"/>
        </w:rPr>
      </w:pPr>
      <w:r>
        <w:rPr>
          <w:lang w:val="fr-FR"/>
        </w:rPr>
        <w:t>Mme Irma </w:t>
      </w:r>
      <w:proofErr w:type="spellStart"/>
      <w:r w:rsidR="00377217" w:rsidRPr="00A3563A">
        <w:rPr>
          <w:lang w:val="fr-FR"/>
        </w:rPr>
        <w:t>Gurguliani</w:t>
      </w:r>
      <w:proofErr w:type="spellEnd"/>
      <w:r w:rsidR="00377217" w:rsidRPr="00A3563A">
        <w:rPr>
          <w:lang w:val="fr-FR"/>
        </w:rPr>
        <w:t xml:space="preserve"> </w:t>
      </w:r>
    </w:p>
    <w:p w:rsidR="00377217" w:rsidRPr="00A3563A" w:rsidRDefault="0034097E" w:rsidP="002D7E64">
      <w:pPr>
        <w:pStyle w:val="Normal-pool"/>
        <w:rPr>
          <w:lang w:val="fr-FR"/>
        </w:rPr>
      </w:pPr>
      <w:r>
        <w:rPr>
          <w:lang w:val="fr-FR"/>
        </w:rPr>
        <w:t>Chef adjointe</w:t>
      </w:r>
    </w:p>
    <w:p w:rsidR="00377217" w:rsidRPr="00A3563A" w:rsidRDefault="0034097E" w:rsidP="002D7E64">
      <w:pPr>
        <w:pStyle w:val="Normal-pool"/>
        <w:rPr>
          <w:lang w:val="fr-FR"/>
        </w:rPr>
      </w:pPr>
      <w:r>
        <w:rPr>
          <w:lang w:val="fr-FR"/>
        </w:rPr>
        <w:t>Service de la gestion des déchets et des produits chimiques</w:t>
      </w:r>
    </w:p>
    <w:p w:rsidR="00377217" w:rsidRPr="00A3563A" w:rsidRDefault="00377217" w:rsidP="002D7E64">
      <w:pPr>
        <w:pStyle w:val="Normal-pool"/>
        <w:rPr>
          <w:lang w:val="fr-FR"/>
        </w:rPr>
      </w:pPr>
      <w:r w:rsidRPr="00A3563A">
        <w:rPr>
          <w:lang w:val="fr-FR"/>
        </w:rPr>
        <w:t>Minist</w:t>
      </w:r>
      <w:r w:rsidR="0034097E">
        <w:rPr>
          <w:lang w:val="fr-FR"/>
        </w:rPr>
        <w:t xml:space="preserve">ère de la </w:t>
      </w:r>
      <w:r w:rsidR="00DE76DB">
        <w:rPr>
          <w:lang w:val="fr-FR"/>
        </w:rPr>
        <w:t>p</w:t>
      </w:r>
      <w:r w:rsidR="0034097E">
        <w:rPr>
          <w:lang w:val="fr-FR"/>
        </w:rPr>
        <w:t>rotection de l’</w:t>
      </w:r>
      <w:r w:rsidR="00DE76DB">
        <w:rPr>
          <w:lang w:val="fr-FR"/>
        </w:rPr>
        <w:t>e</w:t>
      </w:r>
      <w:r w:rsidR="0034097E">
        <w:rPr>
          <w:lang w:val="fr-FR"/>
        </w:rPr>
        <w:t xml:space="preserve">nvironnement et des </w:t>
      </w:r>
      <w:r w:rsidR="00DE76DB">
        <w:rPr>
          <w:lang w:val="fr-FR"/>
        </w:rPr>
        <w:t>r</w:t>
      </w:r>
      <w:r w:rsidR="0034097E">
        <w:rPr>
          <w:lang w:val="fr-FR"/>
        </w:rPr>
        <w:t>essources naturelles</w:t>
      </w:r>
      <w:r w:rsidRPr="00A3563A">
        <w:rPr>
          <w:lang w:val="fr-FR"/>
        </w:rPr>
        <w:t xml:space="preserve"> </w:t>
      </w:r>
    </w:p>
    <w:p w:rsidR="00377217" w:rsidRPr="00A3563A" w:rsidRDefault="00377217" w:rsidP="002D7E64">
      <w:pPr>
        <w:pStyle w:val="Normal-pool"/>
        <w:rPr>
          <w:lang w:val="fr-FR"/>
        </w:rPr>
      </w:pPr>
      <w:r w:rsidRPr="00A3563A">
        <w:rPr>
          <w:lang w:val="fr-FR"/>
        </w:rPr>
        <w:t>G</w:t>
      </w:r>
      <w:r w:rsidR="0034097E">
        <w:rPr>
          <w:lang w:val="fr-FR"/>
        </w:rPr>
        <w:t>é</w:t>
      </w:r>
      <w:r w:rsidRPr="00A3563A">
        <w:rPr>
          <w:lang w:val="fr-FR"/>
        </w:rPr>
        <w:t>orgi</w:t>
      </w:r>
      <w:r w:rsidR="0034097E">
        <w:rPr>
          <w:lang w:val="fr-FR"/>
        </w:rPr>
        <w:t>e</w:t>
      </w:r>
    </w:p>
    <w:p w:rsidR="00377217" w:rsidRDefault="00377217" w:rsidP="002D7E64">
      <w:pPr>
        <w:pStyle w:val="Normal-pool"/>
        <w:rPr>
          <w:lang w:val="fr-FR"/>
        </w:rPr>
      </w:pPr>
      <w:r w:rsidRPr="00A3563A">
        <w:rPr>
          <w:lang w:val="fr-FR"/>
        </w:rPr>
        <w:t>(</w:t>
      </w:r>
      <w:r w:rsidR="0034097E">
        <w:rPr>
          <w:i/>
          <w:iCs/>
          <w:lang w:val="fr-FR"/>
        </w:rPr>
        <w:t>Mme </w:t>
      </w:r>
      <w:proofErr w:type="spellStart"/>
      <w:r w:rsidRPr="00A3563A">
        <w:rPr>
          <w:i/>
          <w:iCs/>
          <w:lang w:val="fr-FR"/>
        </w:rPr>
        <w:t>Gurguliani</w:t>
      </w:r>
      <w:proofErr w:type="spellEnd"/>
      <w:r w:rsidR="00F400E6" w:rsidRPr="00A3563A">
        <w:rPr>
          <w:lang w:val="fr-FR"/>
        </w:rPr>
        <w:t xml:space="preserve"> </w:t>
      </w:r>
      <w:r w:rsidR="0034097E">
        <w:rPr>
          <w:i/>
          <w:iCs/>
          <w:lang w:val="fr-FR"/>
        </w:rPr>
        <w:t>n’a pas été en mesure de participer à</w:t>
      </w:r>
      <w:r w:rsidR="00CB45CA">
        <w:rPr>
          <w:i/>
          <w:iCs/>
          <w:lang w:val="fr-FR"/>
        </w:rPr>
        <w:t> </w:t>
      </w:r>
      <w:r w:rsidR="0034097E">
        <w:rPr>
          <w:i/>
          <w:iCs/>
          <w:lang w:val="fr-FR"/>
        </w:rPr>
        <w:t>la réunion du groupe de travail spécial d’experts</w:t>
      </w:r>
      <w:r w:rsidRPr="00A3563A">
        <w:rPr>
          <w:lang w:val="fr-FR"/>
        </w:rPr>
        <w:t>)</w:t>
      </w:r>
    </w:p>
    <w:p w:rsidR="002D7E64" w:rsidRPr="00A3563A" w:rsidRDefault="002D7E64" w:rsidP="002D7E64">
      <w:pPr>
        <w:pStyle w:val="Normal-pool"/>
        <w:rPr>
          <w:lang w:val="fr-FR"/>
        </w:rPr>
      </w:pPr>
    </w:p>
    <w:p w:rsidR="00377217" w:rsidRPr="00A3563A" w:rsidRDefault="00377217" w:rsidP="002D7E64">
      <w:pPr>
        <w:pStyle w:val="Normal-pool"/>
        <w:rPr>
          <w:lang w:val="fr-FR"/>
        </w:rPr>
      </w:pPr>
      <w:r w:rsidRPr="00A3563A">
        <w:rPr>
          <w:lang w:val="fr-FR"/>
        </w:rPr>
        <w:t>M</w:t>
      </w:r>
      <w:r w:rsidR="0034097E">
        <w:rPr>
          <w:lang w:val="fr-FR"/>
        </w:rPr>
        <w:t>me </w:t>
      </w:r>
      <w:proofErr w:type="spellStart"/>
      <w:r w:rsidR="00DC6734">
        <w:rPr>
          <w:lang w:val="fr-FR"/>
        </w:rPr>
        <w:t>Daina</w:t>
      </w:r>
      <w:proofErr w:type="spellEnd"/>
      <w:r w:rsidR="00DC6734">
        <w:rPr>
          <w:lang w:val="fr-FR"/>
        </w:rPr>
        <w:t> </w:t>
      </w:r>
      <w:proofErr w:type="spellStart"/>
      <w:r w:rsidRPr="00A3563A">
        <w:rPr>
          <w:lang w:val="fr-FR"/>
        </w:rPr>
        <w:t>Ozola</w:t>
      </w:r>
      <w:proofErr w:type="spellEnd"/>
      <w:r w:rsidRPr="00A3563A">
        <w:rPr>
          <w:lang w:val="fr-FR"/>
        </w:rPr>
        <w:t xml:space="preserve"> </w:t>
      </w:r>
    </w:p>
    <w:p w:rsidR="00543A8D" w:rsidRPr="00A3563A" w:rsidRDefault="0034097E" w:rsidP="002D7E64">
      <w:pPr>
        <w:pStyle w:val="Normal-pool"/>
        <w:rPr>
          <w:lang w:val="fr-FR"/>
        </w:rPr>
      </w:pPr>
      <w:r>
        <w:rPr>
          <w:lang w:val="fr-FR"/>
        </w:rPr>
        <w:t>Chef de</w:t>
      </w:r>
      <w:r w:rsidR="00377217" w:rsidRPr="00A3563A">
        <w:rPr>
          <w:lang w:val="fr-FR"/>
        </w:rPr>
        <w:t xml:space="preserve"> Division</w:t>
      </w:r>
    </w:p>
    <w:p w:rsidR="0034097E" w:rsidRDefault="00DE76DB" w:rsidP="002D7E64">
      <w:pPr>
        <w:pStyle w:val="Normal-pool"/>
        <w:rPr>
          <w:lang w:val="fr-FR"/>
        </w:rPr>
      </w:pPr>
      <w:r>
        <w:rPr>
          <w:lang w:val="fr-FR"/>
        </w:rPr>
        <w:t xml:space="preserve">Direction </w:t>
      </w:r>
      <w:r w:rsidR="0034097E">
        <w:rPr>
          <w:lang w:val="fr-FR"/>
        </w:rPr>
        <w:t xml:space="preserve">de la protection de l’environnement </w:t>
      </w:r>
    </w:p>
    <w:p w:rsidR="00543A8D" w:rsidRPr="00A3563A" w:rsidRDefault="00377217" w:rsidP="002D7E64">
      <w:pPr>
        <w:pStyle w:val="Normal-pool"/>
        <w:rPr>
          <w:lang w:val="fr-FR"/>
        </w:rPr>
      </w:pPr>
      <w:r w:rsidRPr="00A3563A">
        <w:rPr>
          <w:lang w:val="fr-FR"/>
        </w:rPr>
        <w:t>Division</w:t>
      </w:r>
      <w:r w:rsidR="0034097E">
        <w:rPr>
          <w:lang w:val="fr-FR"/>
        </w:rPr>
        <w:t xml:space="preserve"> </w:t>
      </w:r>
      <w:r w:rsidR="00B5506A">
        <w:rPr>
          <w:lang w:val="fr-FR"/>
        </w:rPr>
        <w:t xml:space="preserve">de la </w:t>
      </w:r>
      <w:r w:rsidR="0034097E">
        <w:rPr>
          <w:lang w:val="fr-FR"/>
        </w:rPr>
        <w:t>prévention de la pollution</w:t>
      </w:r>
    </w:p>
    <w:p w:rsidR="00543A8D" w:rsidRPr="00A3563A" w:rsidRDefault="00377217" w:rsidP="002D7E64">
      <w:pPr>
        <w:pStyle w:val="Normal-pool"/>
        <w:rPr>
          <w:lang w:val="fr-FR"/>
        </w:rPr>
      </w:pPr>
      <w:r w:rsidRPr="00A3563A">
        <w:rPr>
          <w:lang w:val="fr-FR"/>
        </w:rPr>
        <w:t>Minist</w:t>
      </w:r>
      <w:r w:rsidR="0034097E">
        <w:rPr>
          <w:lang w:val="fr-FR"/>
        </w:rPr>
        <w:t xml:space="preserve">ère de la </w:t>
      </w:r>
      <w:r w:rsidR="00DE76DB">
        <w:rPr>
          <w:lang w:val="fr-FR"/>
        </w:rPr>
        <w:t>p</w:t>
      </w:r>
      <w:r w:rsidR="0034097E">
        <w:rPr>
          <w:lang w:val="fr-FR"/>
        </w:rPr>
        <w:t>rote</w:t>
      </w:r>
      <w:r w:rsidR="00FD1812">
        <w:rPr>
          <w:lang w:val="fr-FR"/>
        </w:rPr>
        <w:t>ction de l’</w:t>
      </w:r>
      <w:r w:rsidR="00DE76DB">
        <w:rPr>
          <w:lang w:val="fr-FR"/>
        </w:rPr>
        <w:t>e</w:t>
      </w:r>
      <w:r w:rsidR="00FD1812">
        <w:rPr>
          <w:lang w:val="fr-FR"/>
        </w:rPr>
        <w:t xml:space="preserve">nvironnement et du </w:t>
      </w:r>
      <w:r w:rsidR="00DE76DB">
        <w:rPr>
          <w:lang w:val="fr-FR"/>
        </w:rPr>
        <w:t>d</w:t>
      </w:r>
      <w:r w:rsidR="0034097E">
        <w:rPr>
          <w:lang w:val="fr-FR"/>
        </w:rPr>
        <w:t xml:space="preserve">éveloppement régional </w:t>
      </w:r>
    </w:p>
    <w:p w:rsidR="00543A8D" w:rsidRPr="00A3563A" w:rsidRDefault="0034097E" w:rsidP="002D7E64">
      <w:pPr>
        <w:pStyle w:val="Normal-pool"/>
        <w:rPr>
          <w:lang w:val="fr-FR"/>
        </w:rPr>
      </w:pPr>
      <w:r>
        <w:rPr>
          <w:lang w:val="fr-FR"/>
        </w:rPr>
        <w:t>Lettonie</w:t>
      </w:r>
    </w:p>
    <w:p w:rsidR="00856827" w:rsidRDefault="00856827" w:rsidP="002D7E64">
      <w:pPr>
        <w:tabs>
          <w:tab w:val="clear" w:pos="1247"/>
          <w:tab w:val="clear" w:pos="1814"/>
          <w:tab w:val="clear" w:pos="2381"/>
          <w:tab w:val="clear" w:pos="2948"/>
          <w:tab w:val="clear" w:pos="3515"/>
        </w:tabs>
        <w:rPr>
          <w:b/>
          <w:lang w:val="fr-FR"/>
        </w:rPr>
      </w:pPr>
    </w:p>
    <w:p w:rsidR="00377217" w:rsidRPr="00A3563A" w:rsidRDefault="00610557" w:rsidP="002D7E64">
      <w:pPr>
        <w:tabs>
          <w:tab w:val="clear" w:pos="1247"/>
          <w:tab w:val="clear" w:pos="1814"/>
          <w:tab w:val="clear" w:pos="2381"/>
          <w:tab w:val="clear" w:pos="2948"/>
          <w:tab w:val="clear" w:pos="3515"/>
        </w:tabs>
        <w:rPr>
          <w:b/>
          <w:lang w:val="fr-FR"/>
        </w:rPr>
      </w:pPr>
      <w:r>
        <w:rPr>
          <w:b/>
          <w:lang w:val="fr-FR"/>
        </w:rPr>
        <w:t>États d’Europe occidentale et autres États</w:t>
      </w:r>
    </w:p>
    <w:p w:rsidR="00856827" w:rsidRDefault="00856827" w:rsidP="002D7E64">
      <w:pPr>
        <w:pStyle w:val="Normal-pool"/>
        <w:rPr>
          <w:lang w:val="fr-FR"/>
        </w:rPr>
      </w:pPr>
    </w:p>
    <w:p w:rsidR="00377217" w:rsidRPr="00A3563A" w:rsidRDefault="00610557" w:rsidP="002D7E64">
      <w:pPr>
        <w:pStyle w:val="Normal-pool"/>
        <w:rPr>
          <w:lang w:val="fr-FR"/>
        </w:rPr>
      </w:pPr>
      <w:r>
        <w:rPr>
          <w:lang w:val="fr-FR"/>
        </w:rPr>
        <w:t>M. Jorge </w:t>
      </w:r>
      <w:proofErr w:type="spellStart"/>
      <w:r>
        <w:rPr>
          <w:lang w:val="fr-FR"/>
        </w:rPr>
        <w:t>Peydro</w:t>
      </w:r>
      <w:proofErr w:type="spellEnd"/>
      <w:r>
        <w:rPr>
          <w:lang w:val="fr-FR"/>
        </w:rPr>
        <w:t> </w:t>
      </w:r>
      <w:r w:rsidR="00377217" w:rsidRPr="00A3563A">
        <w:rPr>
          <w:lang w:val="fr-FR"/>
        </w:rPr>
        <w:t>Aznar</w:t>
      </w:r>
    </w:p>
    <w:p w:rsidR="00377217" w:rsidRPr="00A3563A" w:rsidRDefault="00610557" w:rsidP="002D7E64">
      <w:pPr>
        <w:pStyle w:val="Normal-pool"/>
        <w:rPr>
          <w:lang w:val="fr-FR"/>
        </w:rPr>
      </w:pPr>
      <w:r>
        <w:rPr>
          <w:lang w:val="fr-FR"/>
        </w:rPr>
        <w:t>Négociateur principal</w:t>
      </w:r>
      <w:r w:rsidR="00377217" w:rsidRPr="00A3563A">
        <w:rPr>
          <w:lang w:val="fr-FR"/>
        </w:rPr>
        <w:t xml:space="preserve"> –</w:t>
      </w:r>
      <w:r w:rsidR="00FD1812">
        <w:rPr>
          <w:lang w:val="fr-FR"/>
        </w:rPr>
        <w:t xml:space="preserve"> </w:t>
      </w:r>
      <w:r w:rsidR="00377217" w:rsidRPr="00A3563A">
        <w:rPr>
          <w:lang w:val="fr-FR"/>
        </w:rPr>
        <w:t>Union</w:t>
      </w:r>
      <w:r>
        <w:rPr>
          <w:lang w:val="fr-FR"/>
        </w:rPr>
        <w:t xml:space="preserve"> européenne</w:t>
      </w:r>
    </w:p>
    <w:p w:rsidR="00377217" w:rsidRPr="00A3563A" w:rsidRDefault="00377217" w:rsidP="002D7E64">
      <w:pPr>
        <w:pStyle w:val="Normal-pool"/>
        <w:rPr>
          <w:lang w:val="fr-FR"/>
        </w:rPr>
      </w:pPr>
      <w:r w:rsidRPr="00A3563A">
        <w:rPr>
          <w:lang w:val="fr-FR"/>
        </w:rPr>
        <w:t>DG Environ</w:t>
      </w:r>
      <w:r w:rsidR="00610557">
        <w:rPr>
          <w:lang w:val="fr-FR"/>
        </w:rPr>
        <w:t>ne</w:t>
      </w:r>
      <w:r w:rsidRPr="00A3563A">
        <w:rPr>
          <w:lang w:val="fr-FR"/>
        </w:rPr>
        <w:t>ment</w:t>
      </w:r>
    </w:p>
    <w:p w:rsidR="004E16D4" w:rsidRDefault="004E16D4" w:rsidP="002D7E64">
      <w:pPr>
        <w:pStyle w:val="Normal-pool"/>
        <w:rPr>
          <w:lang w:val="fr-FR"/>
        </w:rPr>
      </w:pPr>
      <w:r w:rsidRPr="00A3563A">
        <w:rPr>
          <w:lang w:val="fr-FR"/>
        </w:rPr>
        <w:t>Commission</w:t>
      </w:r>
      <w:r w:rsidR="00610557">
        <w:rPr>
          <w:lang w:val="fr-FR"/>
        </w:rPr>
        <w:t xml:space="preserve"> européenne</w:t>
      </w:r>
    </w:p>
    <w:p w:rsidR="002D7E64" w:rsidRPr="00A3563A" w:rsidRDefault="002D7E64" w:rsidP="002D7E64">
      <w:pPr>
        <w:pStyle w:val="Normal-pool"/>
        <w:rPr>
          <w:lang w:val="fr-FR"/>
        </w:rPr>
      </w:pPr>
    </w:p>
    <w:p w:rsidR="008A307D" w:rsidRPr="00A3563A" w:rsidRDefault="00610557" w:rsidP="002D7E64">
      <w:pPr>
        <w:pStyle w:val="Normal-pool"/>
        <w:rPr>
          <w:lang w:val="fr-FR"/>
        </w:rPr>
      </w:pPr>
      <w:r>
        <w:rPr>
          <w:lang w:val="fr-FR"/>
        </w:rPr>
        <w:t>Mme Simone </w:t>
      </w:r>
      <w:proofErr w:type="spellStart"/>
      <w:r w:rsidR="008A307D" w:rsidRPr="00A3563A">
        <w:rPr>
          <w:lang w:val="fr-FR"/>
        </w:rPr>
        <w:t>Irsfeld</w:t>
      </w:r>
      <w:proofErr w:type="spellEnd"/>
      <w:r w:rsidR="008A307D" w:rsidRPr="00A3563A">
        <w:rPr>
          <w:lang w:val="fr-FR"/>
        </w:rPr>
        <w:t xml:space="preserve"> </w:t>
      </w:r>
    </w:p>
    <w:p w:rsidR="008A307D" w:rsidRPr="00A3563A" w:rsidRDefault="00610557" w:rsidP="002D7E64">
      <w:pPr>
        <w:pStyle w:val="Normal-pool"/>
        <w:rPr>
          <w:lang w:val="fr-FR"/>
        </w:rPr>
      </w:pPr>
      <w:r>
        <w:rPr>
          <w:lang w:val="fr-FR"/>
        </w:rPr>
        <w:t>Chef adjointe de la Division IG </w:t>
      </w:r>
      <w:r w:rsidR="008A307D" w:rsidRPr="00A3563A">
        <w:rPr>
          <w:lang w:val="fr-FR"/>
        </w:rPr>
        <w:t>II</w:t>
      </w:r>
      <w:r>
        <w:rPr>
          <w:lang w:val="fr-FR"/>
        </w:rPr>
        <w:t> </w:t>
      </w:r>
      <w:r w:rsidR="008A307D" w:rsidRPr="00A3563A">
        <w:rPr>
          <w:lang w:val="fr-FR"/>
        </w:rPr>
        <w:t>3</w:t>
      </w:r>
    </w:p>
    <w:p w:rsidR="008A307D" w:rsidRPr="00A3563A" w:rsidRDefault="00FD1812" w:rsidP="002D7E64">
      <w:pPr>
        <w:pStyle w:val="Normal-pool"/>
        <w:rPr>
          <w:lang w:val="fr-FR"/>
        </w:rPr>
      </w:pPr>
      <w:r>
        <w:rPr>
          <w:lang w:val="fr-FR"/>
        </w:rPr>
        <w:t>Ministère f</w:t>
      </w:r>
      <w:r w:rsidR="00610557">
        <w:rPr>
          <w:lang w:val="fr-FR"/>
        </w:rPr>
        <w:t>édéral de l’</w:t>
      </w:r>
      <w:r w:rsidR="00DE76DB">
        <w:rPr>
          <w:lang w:val="fr-FR"/>
        </w:rPr>
        <w:t>e</w:t>
      </w:r>
      <w:r w:rsidR="00610557" w:rsidRPr="00610557">
        <w:rPr>
          <w:lang w:val="fr-FR"/>
        </w:rPr>
        <w:t>nvironne</w:t>
      </w:r>
      <w:r w:rsidR="00610557">
        <w:rPr>
          <w:lang w:val="fr-FR"/>
        </w:rPr>
        <w:t xml:space="preserve">ment, de la </w:t>
      </w:r>
      <w:r w:rsidR="00DE76DB">
        <w:rPr>
          <w:lang w:val="fr-FR"/>
        </w:rPr>
        <w:t>c</w:t>
      </w:r>
      <w:r w:rsidR="00610557">
        <w:rPr>
          <w:lang w:val="fr-FR"/>
        </w:rPr>
        <w:t xml:space="preserve">onservation de la </w:t>
      </w:r>
      <w:r w:rsidR="00DE76DB">
        <w:rPr>
          <w:lang w:val="fr-FR"/>
        </w:rPr>
        <w:t>n</w:t>
      </w:r>
      <w:r w:rsidR="00610557" w:rsidRPr="00610557">
        <w:rPr>
          <w:lang w:val="fr-FR"/>
        </w:rPr>
        <w:t xml:space="preserve">ature et de la </w:t>
      </w:r>
      <w:r w:rsidR="00DE76DB">
        <w:rPr>
          <w:lang w:val="fr-FR"/>
        </w:rPr>
        <w:t>s</w:t>
      </w:r>
      <w:r w:rsidR="00610557" w:rsidRPr="00610557">
        <w:rPr>
          <w:lang w:val="fr-FR"/>
        </w:rPr>
        <w:t>ûreté nucléaire</w:t>
      </w:r>
      <w:r w:rsidR="00610557">
        <w:rPr>
          <w:lang w:val="fr-FR"/>
        </w:rPr>
        <w:t xml:space="preserve"> </w:t>
      </w:r>
      <w:r w:rsidR="008A307D" w:rsidRPr="00A3563A">
        <w:rPr>
          <w:lang w:val="fr-FR"/>
        </w:rPr>
        <w:t>(BMUB)</w:t>
      </w:r>
    </w:p>
    <w:p w:rsidR="008A307D" w:rsidRDefault="002D7E64" w:rsidP="002D7E64">
      <w:pPr>
        <w:pStyle w:val="Normal-pool"/>
        <w:rPr>
          <w:lang w:val="fr-FR"/>
        </w:rPr>
      </w:pPr>
      <w:r>
        <w:rPr>
          <w:lang w:val="fr-FR"/>
        </w:rPr>
        <w:t>Allemagne</w:t>
      </w:r>
    </w:p>
    <w:p w:rsidR="002D7E64" w:rsidRPr="00A3563A" w:rsidRDefault="002D7E64" w:rsidP="002D7E64">
      <w:pPr>
        <w:pStyle w:val="Normal-pool"/>
        <w:rPr>
          <w:lang w:val="fr-FR"/>
        </w:rPr>
      </w:pPr>
    </w:p>
    <w:p w:rsidR="004E16D4" w:rsidRPr="00A3563A" w:rsidRDefault="00BA2BED" w:rsidP="002D7E64">
      <w:pPr>
        <w:pStyle w:val="Normal-pool"/>
        <w:rPr>
          <w:lang w:val="fr-FR"/>
        </w:rPr>
      </w:pPr>
      <w:r>
        <w:rPr>
          <w:lang w:val="fr-FR"/>
        </w:rPr>
        <w:t>M. Reginald </w:t>
      </w:r>
      <w:proofErr w:type="spellStart"/>
      <w:r w:rsidR="004E16D4" w:rsidRPr="00A3563A">
        <w:rPr>
          <w:lang w:val="fr-FR"/>
        </w:rPr>
        <w:t>Hernaus</w:t>
      </w:r>
      <w:proofErr w:type="spellEnd"/>
      <w:r w:rsidR="004E16D4" w:rsidRPr="00A3563A">
        <w:rPr>
          <w:lang w:val="fr-FR"/>
        </w:rPr>
        <w:t xml:space="preserve"> </w:t>
      </w:r>
    </w:p>
    <w:p w:rsidR="004E16D4" w:rsidRPr="00A3563A" w:rsidRDefault="00BA2BED" w:rsidP="002D7E64">
      <w:pPr>
        <w:pStyle w:val="Normal-pool"/>
        <w:rPr>
          <w:lang w:val="fr-FR"/>
        </w:rPr>
      </w:pPr>
      <w:r>
        <w:rPr>
          <w:lang w:val="fr-FR"/>
        </w:rPr>
        <w:t>Négociateur principal – Produits chimiques et déchets</w:t>
      </w:r>
      <w:r w:rsidR="004E16D4" w:rsidRPr="00A3563A">
        <w:rPr>
          <w:lang w:val="fr-FR"/>
        </w:rPr>
        <w:t xml:space="preserve"> </w:t>
      </w:r>
    </w:p>
    <w:p w:rsidR="004E16D4" w:rsidRPr="00A3563A" w:rsidRDefault="00DE76DB" w:rsidP="002D7E64">
      <w:pPr>
        <w:pStyle w:val="Normal-pool"/>
        <w:rPr>
          <w:lang w:val="fr-FR"/>
        </w:rPr>
      </w:pPr>
      <w:r>
        <w:rPr>
          <w:lang w:val="fr-FR"/>
        </w:rPr>
        <w:t>Direction</w:t>
      </w:r>
      <w:r w:rsidRPr="00A3563A">
        <w:rPr>
          <w:lang w:val="fr-FR"/>
        </w:rPr>
        <w:t xml:space="preserve"> </w:t>
      </w:r>
      <w:r w:rsidR="00BA2BED">
        <w:rPr>
          <w:lang w:val="fr-FR"/>
        </w:rPr>
        <w:t>des affaires internationales</w:t>
      </w:r>
    </w:p>
    <w:p w:rsidR="004E16D4" w:rsidRPr="00A3563A" w:rsidRDefault="00933D70" w:rsidP="002D7E64">
      <w:pPr>
        <w:pStyle w:val="Normal-pool"/>
        <w:rPr>
          <w:lang w:val="fr-FR"/>
        </w:rPr>
      </w:pPr>
      <w:r>
        <w:rPr>
          <w:lang w:val="fr-FR"/>
        </w:rPr>
        <w:t xml:space="preserve">Ministère des </w:t>
      </w:r>
      <w:r w:rsidR="00DE76DB">
        <w:rPr>
          <w:lang w:val="fr-FR"/>
        </w:rPr>
        <w:t>i</w:t>
      </w:r>
      <w:r>
        <w:rPr>
          <w:lang w:val="fr-FR"/>
        </w:rPr>
        <w:t>nfrastructures et de l’</w:t>
      </w:r>
      <w:r w:rsidR="00DE76DB">
        <w:rPr>
          <w:lang w:val="fr-FR"/>
        </w:rPr>
        <w:t>e</w:t>
      </w:r>
      <w:r w:rsidR="00BA2BED" w:rsidRPr="00BA2BED">
        <w:rPr>
          <w:lang w:val="fr-FR"/>
        </w:rPr>
        <w:t>nvironnement</w:t>
      </w:r>
    </w:p>
    <w:p w:rsidR="004E16D4" w:rsidRDefault="00BA2BED" w:rsidP="002D7E64">
      <w:pPr>
        <w:pStyle w:val="Normal-pool"/>
        <w:rPr>
          <w:lang w:val="fr-FR"/>
        </w:rPr>
      </w:pPr>
      <w:r>
        <w:rPr>
          <w:lang w:val="fr-FR"/>
        </w:rPr>
        <w:t>Pays-Bas</w:t>
      </w:r>
    </w:p>
    <w:p w:rsidR="002D7E64" w:rsidRPr="00A3563A" w:rsidRDefault="002D7E64" w:rsidP="002D7E64">
      <w:pPr>
        <w:pStyle w:val="Normal-pool"/>
        <w:rPr>
          <w:lang w:val="fr-FR"/>
        </w:rPr>
      </w:pPr>
    </w:p>
    <w:p w:rsidR="00F429F7" w:rsidRPr="00A3563A" w:rsidRDefault="00BA2BED" w:rsidP="002D7E64">
      <w:pPr>
        <w:pStyle w:val="Normal-pool"/>
        <w:rPr>
          <w:lang w:val="fr-FR"/>
        </w:rPr>
      </w:pPr>
      <w:r>
        <w:rPr>
          <w:lang w:val="fr-FR"/>
        </w:rPr>
        <w:t>Mme Johanna </w:t>
      </w:r>
      <w:proofErr w:type="spellStart"/>
      <w:r w:rsidR="00F429F7" w:rsidRPr="00A3563A">
        <w:rPr>
          <w:lang w:val="fr-FR"/>
        </w:rPr>
        <w:t>Lissinger-Peitz</w:t>
      </w:r>
      <w:proofErr w:type="spellEnd"/>
    </w:p>
    <w:p w:rsidR="00F429F7" w:rsidRPr="00A3563A" w:rsidRDefault="00BA2BED" w:rsidP="002D7E64">
      <w:pPr>
        <w:pStyle w:val="Normal-pool"/>
        <w:rPr>
          <w:lang w:val="fr-FR"/>
        </w:rPr>
      </w:pPr>
      <w:r>
        <w:rPr>
          <w:lang w:val="fr-FR"/>
        </w:rPr>
        <w:t>Directrice adjointe</w:t>
      </w:r>
    </w:p>
    <w:p w:rsidR="00F429F7" w:rsidRPr="00A3563A" w:rsidRDefault="00F429F7" w:rsidP="002D7E64">
      <w:pPr>
        <w:pStyle w:val="Normal-pool"/>
        <w:rPr>
          <w:lang w:val="fr-FR"/>
        </w:rPr>
      </w:pPr>
      <w:r w:rsidRPr="00A3563A">
        <w:rPr>
          <w:lang w:val="fr-FR"/>
        </w:rPr>
        <w:t xml:space="preserve">Division </w:t>
      </w:r>
      <w:r w:rsidR="00BA2BED">
        <w:rPr>
          <w:lang w:val="fr-FR"/>
        </w:rPr>
        <w:t xml:space="preserve">des </w:t>
      </w:r>
      <w:r w:rsidR="00DE76DB">
        <w:rPr>
          <w:lang w:val="fr-FR"/>
        </w:rPr>
        <w:t xml:space="preserve">questions </w:t>
      </w:r>
      <w:r w:rsidR="00BA2BED">
        <w:rPr>
          <w:lang w:val="fr-FR"/>
        </w:rPr>
        <w:t>climatiques</w:t>
      </w:r>
    </w:p>
    <w:p w:rsidR="00F429F7" w:rsidRPr="00A3563A" w:rsidRDefault="00F429F7" w:rsidP="002D7E64">
      <w:pPr>
        <w:pStyle w:val="Normal-pool"/>
        <w:rPr>
          <w:lang w:val="fr-FR"/>
        </w:rPr>
      </w:pPr>
      <w:r w:rsidRPr="00A3563A">
        <w:rPr>
          <w:lang w:val="fr-FR"/>
        </w:rPr>
        <w:t>Minist</w:t>
      </w:r>
      <w:r w:rsidR="00BA2BED">
        <w:rPr>
          <w:lang w:val="fr-FR"/>
        </w:rPr>
        <w:t>ère de l’</w:t>
      </w:r>
      <w:r w:rsidR="00DE76DB">
        <w:rPr>
          <w:lang w:val="fr-FR"/>
        </w:rPr>
        <w:t>e</w:t>
      </w:r>
      <w:r w:rsidR="00BA2BED">
        <w:rPr>
          <w:lang w:val="fr-FR"/>
        </w:rPr>
        <w:t>nvironnement et de l’</w:t>
      </w:r>
      <w:r w:rsidR="00DE76DB">
        <w:rPr>
          <w:lang w:val="fr-FR"/>
        </w:rPr>
        <w:t>é</w:t>
      </w:r>
      <w:r w:rsidR="00BA2BED">
        <w:rPr>
          <w:lang w:val="fr-FR"/>
        </w:rPr>
        <w:t>nergie</w:t>
      </w:r>
    </w:p>
    <w:p w:rsidR="00F429F7" w:rsidRPr="00A3563A" w:rsidRDefault="00BA2BED" w:rsidP="002D7E64">
      <w:pPr>
        <w:pStyle w:val="Normal-pool"/>
        <w:rPr>
          <w:lang w:val="fr-FR"/>
        </w:rPr>
      </w:pPr>
      <w:r>
        <w:rPr>
          <w:lang w:val="fr-FR"/>
        </w:rPr>
        <w:t>Suède</w:t>
      </w:r>
    </w:p>
    <w:p w:rsidR="00377217" w:rsidRPr="00A3563A" w:rsidRDefault="00BA2BED" w:rsidP="002D7E64">
      <w:pPr>
        <w:pStyle w:val="Normal-pool"/>
        <w:rPr>
          <w:lang w:val="fr-FR"/>
        </w:rPr>
      </w:pPr>
      <w:r>
        <w:rPr>
          <w:lang w:val="fr-FR"/>
        </w:rPr>
        <w:t>Mme Gabriela </w:t>
      </w:r>
      <w:proofErr w:type="spellStart"/>
      <w:r w:rsidR="00377217" w:rsidRPr="00A3563A">
        <w:rPr>
          <w:lang w:val="fr-FR"/>
        </w:rPr>
        <w:t>Eigenmann</w:t>
      </w:r>
      <w:proofErr w:type="spellEnd"/>
      <w:r w:rsidR="00377217" w:rsidRPr="00A3563A">
        <w:rPr>
          <w:lang w:val="fr-FR"/>
        </w:rPr>
        <w:t xml:space="preserve"> </w:t>
      </w:r>
    </w:p>
    <w:p w:rsidR="00377217" w:rsidRPr="00A3563A" w:rsidRDefault="00BA2BED" w:rsidP="002D7E64">
      <w:pPr>
        <w:pStyle w:val="Normal-pool"/>
        <w:rPr>
          <w:lang w:val="fr-FR"/>
        </w:rPr>
      </w:pPr>
      <w:r>
        <w:rPr>
          <w:lang w:val="fr-FR"/>
        </w:rPr>
        <w:t xml:space="preserve">Conseillère principale </w:t>
      </w:r>
      <w:r w:rsidR="00DE76DB">
        <w:rPr>
          <w:lang w:val="fr-FR"/>
        </w:rPr>
        <w:t>pour les</w:t>
      </w:r>
      <w:r>
        <w:rPr>
          <w:lang w:val="fr-FR"/>
        </w:rPr>
        <w:t xml:space="preserve"> politiques</w:t>
      </w:r>
    </w:p>
    <w:p w:rsidR="00377217" w:rsidRPr="00A3563A" w:rsidRDefault="00377217" w:rsidP="002D7E64">
      <w:pPr>
        <w:pStyle w:val="Normal-pool"/>
        <w:rPr>
          <w:lang w:val="fr-FR"/>
        </w:rPr>
      </w:pPr>
      <w:r w:rsidRPr="00A3563A">
        <w:rPr>
          <w:lang w:val="fr-FR"/>
        </w:rPr>
        <w:t>Division</w:t>
      </w:r>
      <w:r w:rsidR="00BA2BED">
        <w:rPr>
          <w:lang w:val="fr-FR"/>
        </w:rPr>
        <w:t xml:space="preserve"> </w:t>
      </w:r>
      <w:r w:rsidR="00DE76DB">
        <w:rPr>
          <w:lang w:val="fr-FR"/>
        </w:rPr>
        <w:t>A</w:t>
      </w:r>
      <w:r w:rsidR="00BA2BED">
        <w:rPr>
          <w:lang w:val="fr-FR"/>
        </w:rPr>
        <w:t>ffaires interna</w:t>
      </w:r>
      <w:r w:rsidR="00A4569C">
        <w:rPr>
          <w:lang w:val="fr-FR"/>
        </w:rPr>
        <w:t>t</w:t>
      </w:r>
      <w:r w:rsidR="00BA2BED">
        <w:rPr>
          <w:lang w:val="fr-FR"/>
        </w:rPr>
        <w:t>ionales</w:t>
      </w:r>
    </w:p>
    <w:p w:rsidR="00377217" w:rsidRPr="00A3563A" w:rsidRDefault="00377217" w:rsidP="002D7E64">
      <w:pPr>
        <w:pStyle w:val="Normal-pool"/>
        <w:rPr>
          <w:lang w:val="fr-FR"/>
        </w:rPr>
      </w:pPr>
      <w:r w:rsidRPr="00A3563A">
        <w:rPr>
          <w:lang w:val="fr-FR"/>
        </w:rPr>
        <w:t>Office</w:t>
      </w:r>
      <w:r w:rsidR="00BA2BED">
        <w:rPr>
          <w:lang w:val="fr-FR"/>
        </w:rPr>
        <w:t xml:space="preserve"> fédéral de l’environnement</w:t>
      </w:r>
    </w:p>
    <w:p w:rsidR="00377217" w:rsidRPr="00A3563A" w:rsidRDefault="00BA2BED" w:rsidP="002D7E64">
      <w:pPr>
        <w:pStyle w:val="Normal-pool"/>
        <w:rPr>
          <w:lang w:val="fr-FR"/>
        </w:rPr>
      </w:pPr>
      <w:r>
        <w:rPr>
          <w:lang w:val="fr-FR"/>
        </w:rPr>
        <w:t>Suisse</w:t>
      </w:r>
    </w:p>
    <w:p w:rsidR="00377217" w:rsidRPr="00A3563A" w:rsidRDefault="00377217" w:rsidP="002D7E64">
      <w:pPr>
        <w:pStyle w:val="Normal-pool"/>
        <w:rPr>
          <w:lang w:val="fr-FR"/>
        </w:rPr>
      </w:pPr>
    </w:p>
    <w:p w:rsidR="00377217" w:rsidRPr="00A3563A" w:rsidRDefault="00BA2BED" w:rsidP="002D7E64">
      <w:pPr>
        <w:pStyle w:val="Normal-pool"/>
        <w:rPr>
          <w:lang w:val="fr-FR"/>
        </w:rPr>
      </w:pPr>
      <w:r>
        <w:rPr>
          <w:lang w:val="fr-FR"/>
        </w:rPr>
        <w:t>Mme Sezaneh M. </w:t>
      </w:r>
      <w:r w:rsidR="00377217" w:rsidRPr="00A3563A">
        <w:rPr>
          <w:lang w:val="fr-FR"/>
        </w:rPr>
        <w:t>Seymour</w:t>
      </w:r>
    </w:p>
    <w:p w:rsidR="00D04721" w:rsidRPr="00A3563A" w:rsidRDefault="00377217" w:rsidP="002D7E64">
      <w:pPr>
        <w:pStyle w:val="Normal-pool"/>
        <w:rPr>
          <w:lang w:val="fr-FR"/>
        </w:rPr>
      </w:pPr>
      <w:r w:rsidRPr="00A3563A">
        <w:rPr>
          <w:lang w:val="fr-FR"/>
        </w:rPr>
        <w:t>Ch</w:t>
      </w:r>
      <w:r w:rsidR="00BA2BED">
        <w:rPr>
          <w:lang w:val="fr-FR"/>
        </w:rPr>
        <w:t xml:space="preserve">ef – </w:t>
      </w:r>
      <w:r w:rsidRPr="00A3563A">
        <w:rPr>
          <w:lang w:val="fr-FR"/>
        </w:rPr>
        <w:t>Pollution</w:t>
      </w:r>
      <w:r w:rsidR="00BA2BED">
        <w:rPr>
          <w:lang w:val="fr-FR"/>
        </w:rPr>
        <w:t xml:space="preserve"> </w:t>
      </w:r>
      <w:r w:rsidR="00D324CB">
        <w:rPr>
          <w:lang w:val="fr-FR"/>
        </w:rPr>
        <w:t>atmosphérique</w:t>
      </w:r>
      <w:r w:rsidRPr="00A3563A">
        <w:rPr>
          <w:lang w:val="fr-FR"/>
        </w:rPr>
        <w:t xml:space="preserve">, </w:t>
      </w:r>
      <w:r w:rsidR="00BA2BED">
        <w:rPr>
          <w:lang w:val="fr-FR"/>
        </w:rPr>
        <w:t>produits chimiques et déchets</w:t>
      </w:r>
      <w:r w:rsidRPr="00A3563A">
        <w:rPr>
          <w:lang w:val="fr-FR"/>
        </w:rPr>
        <w:t xml:space="preserve"> </w:t>
      </w:r>
    </w:p>
    <w:p w:rsidR="00377217" w:rsidRPr="00A3563A" w:rsidRDefault="00BA2BED" w:rsidP="002D7E64">
      <w:pPr>
        <w:pStyle w:val="Normal-pool"/>
        <w:rPr>
          <w:lang w:val="fr-FR"/>
        </w:rPr>
      </w:pPr>
      <w:r>
        <w:rPr>
          <w:lang w:val="fr-FR"/>
        </w:rPr>
        <w:t>Bureau de la qualité de l’environnement et des questions transfrontières</w:t>
      </w:r>
      <w:r w:rsidR="00377217" w:rsidRPr="00A3563A">
        <w:rPr>
          <w:lang w:val="fr-FR"/>
        </w:rPr>
        <w:t xml:space="preserve">, </w:t>
      </w:r>
      <w:r w:rsidR="00416723">
        <w:rPr>
          <w:lang w:val="fr-FR"/>
        </w:rPr>
        <w:t>Département d’État</w:t>
      </w:r>
    </w:p>
    <w:p w:rsidR="00377217" w:rsidRPr="00A3563A" w:rsidRDefault="00416723" w:rsidP="002D7E64">
      <w:pPr>
        <w:pStyle w:val="Normal-pool"/>
        <w:rPr>
          <w:lang w:val="fr-FR"/>
        </w:rPr>
      </w:pPr>
      <w:r>
        <w:rPr>
          <w:lang w:val="fr-FR"/>
        </w:rPr>
        <w:t>États-Unis d’Amérique</w:t>
      </w:r>
    </w:p>
    <w:p w:rsidR="00377217" w:rsidRPr="00A3563A" w:rsidRDefault="00377217" w:rsidP="002D7E64">
      <w:pPr>
        <w:pStyle w:val="Normal-pool"/>
        <w:rPr>
          <w:lang w:val="fr-FR"/>
        </w:rPr>
      </w:pPr>
    </w:p>
    <w:p w:rsidR="00377217" w:rsidRPr="00A3563A" w:rsidRDefault="00377217" w:rsidP="002D7E64">
      <w:pPr>
        <w:pStyle w:val="Normal-pool"/>
        <w:rPr>
          <w:lang w:val="fr-FR"/>
        </w:rPr>
      </w:pPr>
    </w:p>
    <w:p w:rsidR="00377217" w:rsidRPr="00A3563A" w:rsidRDefault="00377217" w:rsidP="002D7E64">
      <w:pPr>
        <w:pStyle w:val="Normal-pool"/>
        <w:rPr>
          <w:lang w:val="fr-FR"/>
        </w:rPr>
      </w:pPr>
    </w:p>
    <w:p w:rsidR="00377217" w:rsidRPr="00A3563A" w:rsidRDefault="00377217" w:rsidP="002D7E64">
      <w:pPr>
        <w:pStyle w:val="Normal-pool"/>
        <w:rPr>
          <w:lang w:val="fr-FR"/>
        </w:rPr>
      </w:pPr>
    </w:p>
    <w:p w:rsidR="00377217" w:rsidRPr="00A3563A" w:rsidRDefault="00377217" w:rsidP="002D7E64">
      <w:pPr>
        <w:pStyle w:val="Normal-pool"/>
        <w:rPr>
          <w:lang w:val="fr-FR"/>
        </w:rPr>
      </w:pPr>
    </w:p>
    <w:p w:rsidR="00377217" w:rsidRPr="00A3563A" w:rsidRDefault="00377217" w:rsidP="002D7E64">
      <w:pPr>
        <w:pStyle w:val="Normal-pool"/>
        <w:rPr>
          <w:lang w:val="fr-FR"/>
        </w:rPr>
        <w:sectPr w:rsidR="00377217" w:rsidRPr="00A3563A" w:rsidSect="007A0BF9">
          <w:type w:val="continuous"/>
          <w:pgSz w:w="11906" w:h="16838" w:code="9"/>
          <w:pgMar w:top="907" w:right="992" w:bottom="1418" w:left="1418" w:header="539" w:footer="975" w:gutter="0"/>
          <w:cols w:num="2" w:space="539"/>
          <w:titlePg/>
          <w:docGrid w:linePitch="360"/>
        </w:sectPr>
      </w:pPr>
    </w:p>
    <w:tbl>
      <w:tblPr>
        <w:tblW w:w="0" w:type="auto"/>
        <w:tblInd w:w="108" w:type="dxa"/>
        <w:tblLook w:val="04A0" w:firstRow="1" w:lastRow="0" w:firstColumn="1" w:lastColumn="0" w:noHBand="0" w:noVBand="1"/>
      </w:tblPr>
      <w:tblGrid>
        <w:gridCol w:w="1920"/>
        <w:gridCol w:w="1921"/>
        <w:gridCol w:w="1921"/>
        <w:gridCol w:w="1921"/>
        <w:gridCol w:w="1921"/>
      </w:tblGrid>
      <w:tr w:rsidR="00E976AB" w:rsidRPr="00A3563A" w:rsidTr="00F429F7">
        <w:tc>
          <w:tcPr>
            <w:tcW w:w="1920" w:type="dxa"/>
            <w:shd w:val="clear" w:color="auto" w:fill="auto"/>
          </w:tcPr>
          <w:p w:rsidR="00E976AB" w:rsidRPr="00A3563A" w:rsidRDefault="00E976AB" w:rsidP="002D7E64">
            <w:pPr>
              <w:pStyle w:val="Normal-pool"/>
              <w:tabs>
                <w:tab w:val="clear" w:pos="1247"/>
                <w:tab w:val="clear" w:pos="1814"/>
                <w:tab w:val="clear" w:pos="2381"/>
                <w:tab w:val="clear" w:pos="2948"/>
                <w:tab w:val="clear" w:pos="3515"/>
                <w:tab w:val="clear" w:pos="4082"/>
              </w:tabs>
              <w:rPr>
                <w:lang w:val="fr-FR"/>
              </w:rPr>
            </w:pPr>
          </w:p>
        </w:tc>
        <w:tc>
          <w:tcPr>
            <w:tcW w:w="1921" w:type="dxa"/>
            <w:shd w:val="clear" w:color="auto" w:fill="auto"/>
          </w:tcPr>
          <w:p w:rsidR="00E976AB" w:rsidRPr="00A3563A" w:rsidRDefault="00E976AB" w:rsidP="002D7E64">
            <w:pPr>
              <w:pStyle w:val="Normal-pool"/>
              <w:tabs>
                <w:tab w:val="clear" w:pos="1247"/>
                <w:tab w:val="clear" w:pos="1814"/>
                <w:tab w:val="clear" w:pos="2381"/>
                <w:tab w:val="clear" w:pos="2948"/>
                <w:tab w:val="clear" w:pos="3515"/>
                <w:tab w:val="clear" w:pos="4082"/>
              </w:tabs>
              <w:rPr>
                <w:lang w:val="fr-FR"/>
              </w:rPr>
            </w:pPr>
          </w:p>
        </w:tc>
        <w:tc>
          <w:tcPr>
            <w:tcW w:w="1921" w:type="dxa"/>
            <w:tcBorders>
              <w:bottom w:val="single" w:sz="4" w:space="0" w:color="auto"/>
            </w:tcBorders>
            <w:shd w:val="clear" w:color="auto" w:fill="auto"/>
          </w:tcPr>
          <w:p w:rsidR="00E976AB" w:rsidRPr="00A3563A" w:rsidRDefault="00E976AB" w:rsidP="002D7E64">
            <w:pPr>
              <w:pStyle w:val="Normal-pool"/>
              <w:tabs>
                <w:tab w:val="clear" w:pos="1247"/>
                <w:tab w:val="clear" w:pos="1814"/>
                <w:tab w:val="clear" w:pos="2381"/>
                <w:tab w:val="clear" w:pos="2948"/>
                <w:tab w:val="clear" w:pos="3515"/>
                <w:tab w:val="clear" w:pos="4082"/>
              </w:tabs>
              <w:rPr>
                <w:lang w:val="fr-FR"/>
              </w:rPr>
            </w:pPr>
          </w:p>
        </w:tc>
        <w:tc>
          <w:tcPr>
            <w:tcW w:w="1921" w:type="dxa"/>
            <w:shd w:val="clear" w:color="auto" w:fill="auto"/>
          </w:tcPr>
          <w:p w:rsidR="00E976AB" w:rsidRPr="00A3563A" w:rsidRDefault="00E976AB" w:rsidP="002D7E64">
            <w:pPr>
              <w:pStyle w:val="Normal-pool"/>
              <w:tabs>
                <w:tab w:val="clear" w:pos="1247"/>
                <w:tab w:val="clear" w:pos="1814"/>
                <w:tab w:val="clear" w:pos="2381"/>
                <w:tab w:val="clear" w:pos="2948"/>
                <w:tab w:val="clear" w:pos="3515"/>
                <w:tab w:val="clear" w:pos="4082"/>
              </w:tabs>
              <w:rPr>
                <w:lang w:val="fr-FR"/>
              </w:rPr>
            </w:pPr>
          </w:p>
        </w:tc>
        <w:tc>
          <w:tcPr>
            <w:tcW w:w="1921" w:type="dxa"/>
            <w:shd w:val="clear" w:color="auto" w:fill="auto"/>
          </w:tcPr>
          <w:p w:rsidR="00E976AB" w:rsidRPr="00A3563A" w:rsidRDefault="00E976AB" w:rsidP="002D7E64">
            <w:pPr>
              <w:pStyle w:val="Normal-pool"/>
              <w:tabs>
                <w:tab w:val="clear" w:pos="1247"/>
                <w:tab w:val="clear" w:pos="1814"/>
                <w:tab w:val="clear" w:pos="2381"/>
                <w:tab w:val="clear" w:pos="2948"/>
                <w:tab w:val="clear" w:pos="3515"/>
                <w:tab w:val="clear" w:pos="4082"/>
              </w:tabs>
              <w:rPr>
                <w:lang w:val="fr-FR"/>
              </w:rPr>
            </w:pPr>
          </w:p>
        </w:tc>
      </w:tr>
    </w:tbl>
    <w:p w:rsidR="00032E4E" w:rsidRPr="00A3563A" w:rsidRDefault="00032E4E" w:rsidP="002D7E64">
      <w:pPr>
        <w:pStyle w:val="Normal-pool"/>
        <w:spacing w:after="120"/>
        <w:rPr>
          <w:lang w:val="fr-FR"/>
        </w:rPr>
      </w:pPr>
    </w:p>
    <w:sectPr w:rsidR="00032E4E" w:rsidRPr="00A3563A" w:rsidSect="00E976AB">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B7B" w:rsidRDefault="000F6B7B">
      <w:r>
        <w:separator/>
      </w:r>
    </w:p>
  </w:endnote>
  <w:endnote w:type="continuationSeparator" w:id="0">
    <w:p w:rsidR="000F6B7B" w:rsidRDefault="000F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4C" w:rsidRDefault="008D4F4C">
    <w:pPr>
      <w:pStyle w:val="Footer"/>
    </w:pPr>
    <w:r>
      <w:rPr>
        <w:rStyle w:val="PageNumber"/>
      </w:rPr>
      <w:fldChar w:fldCharType="begin"/>
    </w:r>
    <w:r>
      <w:rPr>
        <w:rStyle w:val="PageNumber"/>
      </w:rPr>
      <w:instrText xml:space="preserve"> PAGE </w:instrText>
    </w:r>
    <w:r>
      <w:rPr>
        <w:rStyle w:val="PageNumber"/>
      </w:rPr>
      <w:fldChar w:fldCharType="separate"/>
    </w:r>
    <w:r w:rsidR="00F26C48">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4C" w:rsidRDefault="008D4F4C"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F26C48">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4C" w:rsidRPr="00F429F7" w:rsidRDefault="008D4F4C" w:rsidP="007A0BF9">
    <w:pPr>
      <w:pStyle w:val="Footer"/>
      <w:tabs>
        <w:tab w:val="clear" w:pos="1247"/>
        <w:tab w:val="clear" w:pos="1814"/>
        <w:tab w:val="clear" w:pos="2381"/>
        <w:tab w:val="clear" w:pos="2948"/>
        <w:tab w:val="clear" w:pos="3515"/>
        <w:tab w:val="clear" w:pos="4320"/>
        <w:tab w:val="clear" w:pos="8640"/>
        <w:tab w:val="left" w:pos="624"/>
      </w:tabs>
      <w:rPr>
        <w:sz w:val="20"/>
      </w:rPr>
    </w:pPr>
    <w:r w:rsidRPr="00F429F7">
      <w:rPr>
        <w:sz w:val="20"/>
      </w:rPr>
      <w:t>K150370</w:t>
    </w:r>
    <w:r>
      <w:rPr>
        <w:sz w:val="20"/>
      </w:rPr>
      <w:t>4</w:t>
    </w:r>
    <w:r w:rsidRPr="00F429F7">
      <w:rPr>
        <w:sz w:val="20"/>
      </w:rPr>
      <w:tab/>
    </w:r>
    <w:r w:rsidR="002D7E64">
      <w:rPr>
        <w:sz w:val="20"/>
      </w:rPr>
      <w:t>2</w:t>
    </w:r>
    <w:r w:rsidR="009F18DF">
      <w:rPr>
        <w:sz w:val="20"/>
      </w:rPr>
      <w:t>8</w:t>
    </w:r>
    <w:r w:rsidR="002D7E64">
      <w:rPr>
        <w:sz w:val="20"/>
      </w:rPr>
      <w:t>0116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4C" w:rsidRDefault="008D4F4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4C" w:rsidRDefault="008D4F4C"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4C" w:rsidRDefault="008D4F4C">
    <w:pPr>
      <w:pStyle w:val="Footer"/>
    </w:pPr>
    <w:r>
      <w:t>K15xxxxx</w:t>
    </w:r>
    <w:r>
      <w:tab/>
      <w:t>xx0915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B7B" w:rsidRDefault="000F6B7B" w:rsidP="00F429F7">
      <w:pPr>
        <w:spacing w:before="60"/>
        <w:ind w:left="624"/>
      </w:pPr>
      <w:r>
        <w:separator/>
      </w:r>
    </w:p>
  </w:footnote>
  <w:footnote w:type="continuationSeparator" w:id="0">
    <w:p w:rsidR="000F6B7B" w:rsidRDefault="000F6B7B">
      <w:r>
        <w:continuationSeparator/>
      </w:r>
    </w:p>
  </w:footnote>
  <w:footnote w:id="1">
    <w:p w:rsidR="008D4F4C" w:rsidRPr="00067B00" w:rsidRDefault="008D4F4C" w:rsidP="00F429F7">
      <w:pPr>
        <w:tabs>
          <w:tab w:val="left" w:pos="624"/>
        </w:tabs>
        <w:spacing w:before="20" w:after="40"/>
        <w:ind w:left="1247"/>
        <w:rPr>
          <w:sz w:val="18"/>
          <w:szCs w:val="18"/>
        </w:rPr>
      </w:pPr>
      <w:r w:rsidRPr="00036ACD">
        <w:rPr>
          <w:sz w:val="18"/>
          <w:szCs w:val="18"/>
        </w:rPr>
        <w:t>* UNEP(DTIE)/Hg/INC.</w:t>
      </w:r>
      <w:r>
        <w:rPr>
          <w:sz w:val="18"/>
          <w:szCs w:val="18"/>
        </w:rPr>
        <w:t>7</w:t>
      </w:r>
      <w:r w:rsidRPr="00036ACD">
        <w:rPr>
          <w:sz w:val="18"/>
          <w:szCs w:val="18"/>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4C" w:rsidRPr="00CA5CA9" w:rsidRDefault="008D4F4C" w:rsidP="007A0BF9">
    <w:pPr>
      <w:pStyle w:val="Header"/>
      <w:rPr>
        <w:szCs w:val="18"/>
      </w:rPr>
    </w:pPr>
    <w:r w:rsidRPr="00CA5CA9">
      <w:rPr>
        <w:bCs/>
        <w:szCs w:val="18"/>
      </w:rPr>
      <w:t>UNEP</w:t>
    </w:r>
    <w:r w:rsidRPr="00CA5CA9">
      <w:rPr>
        <w:szCs w:val="18"/>
      </w:rPr>
      <w:t>(DTIE)/Hg/INC.</w:t>
    </w:r>
    <w:r>
      <w:rPr>
        <w:szCs w:val="18"/>
      </w:rPr>
      <w:t>7</w:t>
    </w:r>
    <w:r w:rsidRPr="00CA5CA9">
      <w:rPr>
        <w:szCs w:val="18"/>
      </w:rPr>
      <w:t>/</w:t>
    </w:r>
    <w:r>
      <w:rPr>
        <w:szCs w:val="18"/>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4C" w:rsidRPr="00CA5CA9" w:rsidRDefault="008D4F4C" w:rsidP="007A0BF9">
    <w:pPr>
      <w:pStyle w:val="Header"/>
      <w:jc w:val="right"/>
      <w:rPr>
        <w:szCs w:val="18"/>
      </w:rPr>
    </w:pPr>
    <w:r w:rsidRPr="00CA5CA9">
      <w:rPr>
        <w:bCs/>
        <w:szCs w:val="18"/>
      </w:rPr>
      <w:t>UNEP</w:t>
    </w:r>
    <w:r>
      <w:rPr>
        <w:szCs w:val="18"/>
      </w:rPr>
      <w:t>(DTIE)/Hg/INC.7</w:t>
    </w:r>
    <w:r w:rsidRPr="00CA5CA9">
      <w:rPr>
        <w:szCs w:val="18"/>
      </w:rPr>
      <w:t>/</w:t>
    </w:r>
    <w:r>
      <w:rPr>
        <w:szCs w:val="18"/>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4C" w:rsidRDefault="008D4F4C" w:rsidP="00032E4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4C" w:rsidRPr="00CA5CA9" w:rsidRDefault="000F6B7B">
    <w:pPr>
      <w:pStyle w:val="Header"/>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2213" o:spid="_x0000_s2053" type="#_x0000_t136" style="position:absolute;margin-left:0;margin-top:0;width:520.65pt;height:148.75pt;rotation:315;z-index:-25165721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8D4F4C" w:rsidRPr="00CA5CA9">
      <w:rPr>
        <w:bCs/>
        <w:szCs w:val="18"/>
      </w:rPr>
      <w:t>UNEP</w:t>
    </w:r>
    <w:r w:rsidR="008D4F4C" w:rsidRPr="00CA5CA9">
      <w:rPr>
        <w:szCs w:val="18"/>
      </w:rPr>
      <w:t>(DTIE)/Hg/INC.</w:t>
    </w:r>
    <w:r w:rsidR="008D4F4C">
      <w:rPr>
        <w:szCs w:val="18"/>
      </w:rPr>
      <w:t>7</w:t>
    </w:r>
    <w:r w:rsidR="008D4F4C" w:rsidRPr="00CA5CA9">
      <w:rPr>
        <w:szCs w:val="18"/>
      </w:rPr>
      <w:t>/</w:t>
    </w:r>
    <w:r w:rsidR="008D4F4C" w:rsidRPr="0014293F">
      <w:rPr>
        <w:szCs w:val="18"/>
        <w:highlight w:val="yellow"/>
      </w:rPr>
      <w:t>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4C" w:rsidRPr="00CA5CA9" w:rsidRDefault="000F6B7B" w:rsidP="00035EDE">
    <w:pPr>
      <w:pStyle w:val="Header"/>
      <w:jc w:val="right"/>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2214" o:spid="_x0000_s2054" type="#_x0000_t136" style="position:absolute;left:0;text-align:left;margin-left:0;margin-top:0;width:520.65pt;height:148.75pt;rotation:315;z-index:-25165619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8D4F4C" w:rsidRPr="00CA5CA9">
      <w:rPr>
        <w:bCs/>
        <w:szCs w:val="18"/>
      </w:rPr>
      <w:t>UNEP</w:t>
    </w:r>
    <w:r w:rsidR="008D4F4C" w:rsidRPr="00CA5CA9">
      <w:rPr>
        <w:szCs w:val="18"/>
      </w:rPr>
      <w:t>(DTIE)/Hg/INC.</w:t>
    </w:r>
    <w:r w:rsidR="008D4F4C">
      <w:rPr>
        <w:szCs w:val="18"/>
      </w:rPr>
      <w:t>7</w:t>
    </w:r>
    <w:r w:rsidR="008D4F4C" w:rsidRPr="00CA5CA9">
      <w:rPr>
        <w:szCs w:val="18"/>
      </w:rPr>
      <w:t>/</w:t>
    </w:r>
    <w:r w:rsidR="008D4F4C" w:rsidRPr="0014293F">
      <w:rPr>
        <w:szCs w:val="18"/>
        <w:highlight w:val="yellow"/>
      </w:rPr>
      <w:t>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4C" w:rsidRDefault="000F6B7B" w:rsidP="00032E4E">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2212" o:spid="_x0000_s2052" type="#_x0000_t136" style="position:absolute;margin-left:0;margin-top:0;width:520.65pt;height:148.75pt;rotation:315;z-index:-25165824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1EA"/>
    <w:multiLevelType w:val="hybridMultilevel"/>
    <w:tmpl w:val="9E8E2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50BD7"/>
    <w:multiLevelType w:val="hybridMultilevel"/>
    <w:tmpl w:val="EDCE99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83CE6"/>
    <w:multiLevelType w:val="hybridMultilevel"/>
    <w:tmpl w:val="259E6C16"/>
    <w:lvl w:ilvl="0" w:tplc="2FA4FC86">
      <w:start w:val="1"/>
      <w:numFmt w:val="upperLetter"/>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
    <w:nsid w:val="1041355D"/>
    <w:multiLevelType w:val="hybridMultilevel"/>
    <w:tmpl w:val="E37CB628"/>
    <w:lvl w:ilvl="0" w:tplc="F83E2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FA252C"/>
    <w:multiLevelType w:val="multilevel"/>
    <w:tmpl w:val="64C40EE2"/>
    <w:lvl w:ilvl="0">
      <w:start w:val="1"/>
      <w:numFmt w:val="bullet"/>
      <w:lvlText w:val=""/>
      <w:lvlJc w:val="left"/>
      <w:pPr>
        <w:tabs>
          <w:tab w:val="num" w:pos="-1357"/>
        </w:tabs>
        <w:ind w:left="-1244" w:firstLine="0"/>
      </w:pPr>
      <w:rPr>
        <w:rFonts w:ascii="Symbol" w:hAnsi="Symbol" w:hint="default"/>
      </w:rPr>
    </w:lvl>
    <w:lvl w:ilvl="1">
      <w:start w:val="1"/>
      <w:numFmt w:val="lowerLetter"/>
      <w:lvlText w:val="(%2)"/>
      <w:lvlJc w:val="left"/>
      <w:pPr>
        <w:tabs>
          <w:tab w:val="num" w:pos="-1357"/>
        </w:tabs>
        <w:ind w:left="-1244" w:firstLine="567"/>
      </w:pPr>
      <w:rPr>
        <w:rFonts w:hint="default"/>
      </w:rPr>
    </w:lvl>
    <w:lvl w:ilvl="2">
      <w:start w:val="1"/>
      <w:numFmt w:val="lowerRoman"/>
      <w:lvlText w:val="(%3)"/>
      <w:lvlJc w:val="left"/>
      <w:pPr>
        <w:tabs>
          <w:tab w:val="num" w:pos="-1357"/>
        </w:tabs>
        <w:ind w:left="457" w:hanging="567"/>
      </w:pPr>
      <w:rPr>
        <w:rFonts w:hint="default"/>
      </w:rPr>
    </w:lvl>
    <w:lvl w:ilvl="3">
      <w:start w:val="1"/>
      <w:numFmt w:val="lowerLetter"/>
      <w:lvlText w:val="%4."/>
      <w:lvlJc w:val="left"/>
      <w:pPr>
        <w:tabs>
          <w:tab w:val="num" w:pos="-1357"/>
        </w:tabs>
        <w:ind w:left="1024" w:hanging="567"/>
      </w:pPr>
      <w:rPr>
        <w:rFonts w:hint="default"/>
      </w:rPr>
    </w:lvl>
    <w:lvl w:ilvl="4">
      <w:start w:val="1"/>
      <w:numFmt w:val="lowerRoman"/>
      <w:lvlText w:val="%5."/>
      <w:lvlJc w:val="left"/>
      <w:pPr>
        <w:tabs>
          <w:tab w:val="num" w:pos="-1357"/>
        </w:tabs>
        <w:ind w:left="1591" w:hanging="567"/>
      </w:pPr>
      <w:rPr>
        <w:rFonts w:hint="default"/>
      </w:rPr>
    </w:lvl>
    <w:lvl w:ilvl="5">
      <w:start w:val="1"/>
      <w:numFmt w:val="lowerRoman"/>
      <w:lvlText w:val="%6."/>
      <w:lvlJc w:val="right"/>
      <w:pPr>
        <w:tabs>
          <w:tab w:val="num" w:pos="5344"/>
        </w:tabs>
        <w:ind w:left="5344" w:hanging="180"/>
      </w:pPr>
      <w:rPr>
        <w:rFonts w:hint="default"/>
      </w:rPr>
    </w:lvl>
    <w:lvl w:ilvl="6">
      <w:start w:val="1"/>
      <w:numFmt w:val="decimal"/>
      <w:lvlText w:val="%7."/>
      <w:lvlJc w:val="left"/>
      <w:pPr>
        <w:tabs>
          <w:tab w:val="num" w:pos="6064"/>
        </w:tabs>
        <w:ind w:left="6064" w:hanging="360"/>
      </w:pPr>
      <w:rPr>
        <w:rFonts w:hint="default"/>
      </w:rPr>
    </w:lvl>
    <w:lvl w:ilvl="7">
      <w:start w:val="1"/>
      <w:numFmt w:val="lowerLetter"/>
      <w:lvlText w:val="%8."/>
      <w:lvlJc w:val="left"/>
      <w:pPr>
        <w:tabs>
          <w:tab w:val="num" w:pos="6784"/>
        </w:tabs>
        <w:ind w:left="6784" w:hanging="360"/>
      </w:pPr>
      <w:rPr>
        <w:rFonts w:hint="default"/>
      </w:rPr>
    </w:lvl>
    <w:lvl w:ilvl="8">
      <w:start w:val="1"/>
      <w:numFmt w:val="lowerRoman"/>
      <w:lvlText w:val="%9."/>
      <w:lvlJc w:val="right"/>
      <w:pPr>
        <w:tabs>
          <w:tab w:val="num" w:pos="7504"/>
        </w:tabs>
        <w:ind w:left="7504" w:hanging="180"/>
      </w:pPr>
      <w:rPr>
        <w:rFonts w:hint="default"/>
      </w:rPr>
    </w:lvl>
  </w:abstractNum>
  <w:abstractNum w:abstractNumId="5">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nsid w:val="1E1E2C40"/>
    <w:multiLevelType w:val="hybridMultilevel"/>
    <w:tmpl w:val="17765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54E50"/>
    <w:multiLevelType w:val="hybridMultilevel"/>
    <w:tmpl w:val="518E1DF8"/>
    <w:lvl w:ilvl="0" w:tplc="08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nsid w:val="381C383F"/>
    <w:multiLevelType w:val="hybridMultilevel"/>
    <w:tmpl w:val="518E1DF8"/>
    <w:lvl w:ilvl="0" w:tplc="08090019">
      <w:start w:val="1"/>
      <w:numFmt w:val="lowerLetter"/>
      <w:lvlText w:val="%1."/>
      <w:lvlJc w:val="left"/>
      <w:pPr>
        <w:ind w:left="108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3F515577"/>
    <w:multiLevelType w:val="hybridMultilevel"/>
    <w:tmpl w:val="65B4FFB2"/>
    <w:lvl w:ilvl="0" w:tplc="011E2250">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2A66A9D"/>
    <w:multiLevelType w:val="multilevel"/>
    <w:tmpl w:val="9314F566"/>
    <w:styleLink w:val="Normallist"/>
    <w:lvl w:ilvl="0">
      <w:start w:val="1"/>
      <w:numFmt w:val="decimal"/>
      <w:pStyle w:val="Normalnumber"/>
      <w:lvlText w:val="%1."/>
      <w:lvlJc w:val="left"/>
      <w:pPr>
        <w:tabs>
          <w:tab w:val="num" w:pos="1758"/>
        </w:tabs>
        <w:ind w:left="1871" w:firstLine="0"/>
      </w:pPr>
      <w:rPr>
        <w:rFonts w:hint="default"/>
      </w:rPr>
    </w:lvl>
    <w:lvl w:ilvl="1">
      <w:start w:val="1"/>
      <w:numFmt w:val="lowerLetter"/>
      <w:lvlText w:val="(%2)"/>
      <w:lvlJc w:val="left"/>
      <w:pPr>
        <w:tabs>
          <w:tab w:val="num" w:pos="1758"/>
        </w:tabs>
        <w:ind w:left="1871" w:firstLine="567"/>
      </w:pPr>
      <w:rPr>
        <w:rFonts w:hint="default"/>
      </w:rPr>
    </w:lvl>
    <w:lvl w:ilvl="2">
      <w:start w:val="1"/>
      <w:numFmt w:val="lowerRoman"/>
      <w:lvlText w:val="(%3)"/>
      <w:lvlJc w:val="left"/>
      <w:pPr>
        <w:tabs>
          <w:tab w:val="num" w:pos="1758"/>
        </w:tabs>
        <w:ind w:left="3572" w:hanging="567"/>
      </w:pPr>
      <w:rPr>
        <w:rFonts w:hint="default"/>
      </w:rPr>
    </w:lvl>
    <w:lvl w:ilvl="3">
      <w:start w:val="1"/>
      <w:numFmt w:val="lowerLetter"/>
      <w:lvlText w:val="%4."/>
      <w:lvlJc w:val="left"/>
      <w:pPr>
        <w:tabs>
          <w:tab w:val="num" w:pos="1758"/>
        </w:tabs>
        <w:ind w:left="4139" w:hanging="567"/>
      </w:pPr>
      <w:rPr>
        <w:rFonts w:hint="default"/>
      </w:rPr>
    </w:lvl>
    <w:lvl w:ilvl="4">
      <w:start w:val="1"/>
      <w:numFmt w:val="lowerRoman"/>
      <w:lvlText w:val="%5."/>
      <w:lvlJc w:val="left"/>
      <w:pPr>
        <w:tabs>
          <w:tab w:val="num" w:pos="1758"/>
        </w:tabs>
        <w:ind w:left="4706" w:hanging="567"/>
      </w:pPr>
      <w:rPr>
        <w:rFonts w:hint="default"/>
      </w:rPr>
    </w:lvl>
    <w:lvl w:ilvl="5">
      <w:start w:val="1"/>
      <w:numFmt w:val="lowerRoman"/>
      <w:lvlText w:val="%6."/>
      <w:lvlJc w:val="right"/>
      <w:pPr>
        <w:tabs>
          <w:tab w:val="num" w:pos="8459"/>
        </w:tabs>
        <w:ind w:left="8459" w:hanging="180"/>
      </w:pPr>
      <w:rPr>
        <w:rFonts w:hint="default"/>
      </w:rPr>
    </w:lvl>
    <w:lvl w:ilvl="6">
      <w:start w:val="1"/>
      <w:numFmt w:val="decimal"/>
      <w:lvlText w:val="%7."/>
      <w:lvlJc w:val="left"/>
      <w:pPr>
        <w:tabs>
          <w:tab w:val="num" w:pos="9179"/>
        </w:tabs>
        <w:ind w:left="9179" w:hanging="360"/>
      </w:pPr>
      <w:rPr>
        <w:rFonts w:hint="default"/>
      </w:rPr>
    </w:lvl>
    <w:lvl w:ilvl="7">
      <w:start w:val="1"/>
      <w:numFmt w:val="lowerLetter"/>
      <w:lvlText w:val="%8."/>
      <w:lvlJc w:val="left"/>
      <w:pPr>
        <w:tabs>
          <w:tab w:val="num" w:pos="9899"/>
        </w:tabs>
        <w:ind w:left="9899" w:hanging="360"/>
      </w:pPr>
      <w:rPr>
        <w:rFonts w:hint="default"/>
      </w:rPr>
    </w:lvl>
    <w:lvl w:ilvl="8">
      <w:start w:val="1"/>
      <w:numFmt w:val="lowerRoman"/>
      <w:lvlText w:val="%9."/>
      <w:lvlJc w:val="right"/>
      <w:pPr>
        <w:tabs>
          <w:tab w:val="num" w:pos="10619"/>
        </w:tabs>
        <w:ind w:left="10619" w:hanging="180"/>
      </w:pPr>
      <w:rPr>
        <w:rFonts w:hint="default"/>
      </w:rPr>
    </w:lvl>
  </w:abstractNum>
  <w:abstractNum w:abstractNumId="12">
    <w:nsid w:val="5F436909"/>
    <w:multiLevelType w:val="hybridMultilevel"/>
    <w:tmpl w:val="B2CCD07C"/>
    <w:lvl w:ilvl="0" w:tplc="AC1421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291BF8"/>
    <w:multiLevelType w:val="multilevel"/>
    <w:tmpl w:val="9314F566"/>
    <w:numStyleLink w:val="Normallist"/>
  </w:abstractNum>
  <w:num w:numId="1">
    <w:abstractNumId w:val="5"/>
  </w:num>
  <w:num w:numId="2">
    <w:abstractNumId w:val="8"/>
  </w:num>
  <w:num w:numId="3">
    <w:abstractNumId w:val="11"/>
  </w:num>
  <w:num w:numId="4">
    <w:abstractNumId w:val="13"/>
  </w:num>
  <w:num w:numId="5">
    <w:abstractNumId w:val="5"/>
  </w:num>
  <w:num w:numId="6">
    <w:abstractNumId w:val="8"/>
  </w:num>
  <w:num w:numId="7">
    <w:abstractNumId w:val="11"/>
  </w:num>
  <w:num w:numId="8">
    <w:abstractNumId w:val="13"/>
  </w:num>
  <w:num w:numId="9">
    <w:abstractNumId w:val="5"/>
  </w:num>
  <w:num w:numId="10">
    <w:abstractNumId w:val="8"/>
  </w:num>
  <w:num w:numId="11">
    <w:abstractNumId w:val="11"/>
  </w:num>
  <w:num w:numId="12">
    <w:abstractNumId w:val="13"/>
  </w:num>
  <w:num w:numId="13">
    <w:abstractNumId w:val="11"/>
  </w:num>
  <w:num w:numId="14">
    <w:abstractNumId w:val="13"/>
  </w:num>
  <w:num w:numId="15">
    <w:abstractNumId w:val="5"/>
  </w:num>
  <w:num w:numId="16">
    <w:abstractNumId w:val="8"/>
  </w:num>
  <w:num w:numId="17">
    <w:abstractNumId w:val="11"/>
  </w:num>
  <w:num w:numId="18">
    <w:abstractNumId w:val="13"/>
  </w:num>
  <w:num w:numId="19">
    <w:abstractNumId w:val="5"/>
  </w:num>
  <w:num w:numId="20">
    <w:abstractNumId w:val="8"/>
  </w:num>
  <w:num w:numId="21">
    <w:abstractNumId w:val="11"/>
  </w:num>
  <w:num w:numId="22">
    <w:abstractNumId w:val="13"/>
  </w:num>
  <w:num w:numId="23">
    <w:abstractNumId w:val="5"/>
  </w:num>
  <w:num w:numId="24">
    <w:abstractNumId w:val="8"/>
  </w:num>
  <w:num w:numId="25">
    <w:abstractNumId w:val="11"/>
  </w:num>
  <w:num w:numId="26">
    <w:abstractNumId w:val="13"/>
  </w:num>
  <w:num w:numId="27">
    <w:abstractNumId w:val="5"/>
  </w:num>
  <w:num w:numId="28">
    <w:abstractNumId w:val="8"/>
  </w:num>
  <w:num w:numId="29">
    <w:abstractNumId w:val="11"/>
  </w:num>
  <w:num w:numId="30">
    <w:abstractNumId w:val="13"/>
  </w:num>
  <w:num w:numId="31">
    <w:abstractNumId w:val="5"/>
  </w:num>
  <w:num w:numId="32">
    <w:abstractNumId w:val="8"/>
  </w:num>
  <w:num w:numId="33">
    <w:abstractNumId w:val="11"/>
  </w:num>
  <w:num w:numId="34">
    <w:abstractNumId w:val="13"/>
  </w:num>
  <w:num w:numId="35">
    <w:abstractNumId w:val="11"/>
  </w:num>
  <w:num w:numId="36">
    <w:abstractNumId w:val="13"/>
  </w:num>
  <w:num w:numId="37">
    <w:abstractNumId w:val="11"/>
  </w:num>
  <w:num w:numId="38">
    <w:abstractNumId w:val="11"/>
  </w:num>
  <w:num w:numId="39">
    <w:abstractNumId w:val="11"/>
  </w:num>
  <w:num w:numId="40">
    <w:abstractNumId w:val="11"/>
  </w:num>
  <w:num w:numId="41">
    <w:abstractNumId w:val="11"/>
  </w:num>
  <w:num w:numId="42">
    <w:abstractNumId w:val="11"/>
    <w:lvlOverride w:ilvl="0">
      <w:lvl w:ilvl="0">
        <w:numFmt w:val="decimal"/>
        <w:pStyle w:val="Normalnumber"/>
        <w:lvlText w:val=""/>
        <w:lvlJc w:val="left"/>
      </w:lvl>
    </w:lvlOverride>
    <w:lvlOverride w:ilvl="1">
      <w:lvl w:ilvl="1">
        <w:start w:val="1"/>
        <w:numFmt w:val="lowerLetter"/>
        <w:lvlText w:val="%2)"/>
        <w:lvlJc w:val="left"/>
        <w:pPr>
          <w:tabs>
            <w:tab w:val="num" w:pos="6970"/>
          </w:tabs>
          <w:ind w:left="7083" w:firstLine="567"/>
        </w:pPr>
        <w:rPr>
          <w:rFonts w:ascii="Times New Roman" w:eastAsia="MS Gothic" w:hAnsi="Times New Roman" w:cs="Times New Roman"/>
          <w:sz w:val="20"/>
          <w:szCs w:val="20"/>
        </w:rPr>
      </w:lvl>
    </w:lvlOverride>
  </w:num>
  <w:num w:numId="43">
    <w:abstractNumId w:val="11"/>
  </w:num>
  <w:num w:numId="44">
    <w:abstractNumId w:val="11"/>
  </w:num>
  <w:num w:numId="45">
    <w:abstractNumId w:val="10"/>
  </w:num>
  <w:num w:numId="46">
    <w:abstractNumId w:val="12"/>
  </w:num>
  <w:num w:numId="47">
    <w:abstractNumId w:val="0"/>
  </w:num>
  <w:num w:numId="48">
    <w:abstractNumId w:val="1"/>
  </w:num>
  <w:num w:numId="49">
    <w:abstractNumId w:val="7"/>
  </w:num>
  <w:num w:numId="50">
    <w:abstractNumId w:val="9"/>
  </w:num>
  <w:num w:numId="51">
    <w:abstractNumId w:val="11"/>
  </w:num>
  <w:num w:numId="52">
    <w:abstractNumId w:val="2"/>
  </w:num>
  <w:num w:numId="53">
    <w:abstractNumId w:val="6"/>
  </w:num>
  <w:num w:numId="54">
    <w:abstractNumId w:val="3"/>
  </w:num>
  <w:num w:numId="55">
    <w:abstractNumId w:val="4"/>
  </w:num>
  <w:num w:numId="56">
    <w:abstractNumId w:val="11"/>
  </w:num>
  <w:num w:numId="57">
    <w:abstractNumId w:val="11"/>
    <w:lvlOverride w:ilvl="0">
      <w:startOverride w:val="1"/>
      <w:lvl w:ilvl="0">
        <w:start w:val="1"/>
        <w:numFmt w:val="decimal"/>
        <w:pStyle w:val="Normalnumber"/>
        <w:lvlText w:val="%1."/>
        <w:lvlJc w:val="left"/>
        <w:pPr>
          <w:tabs>
            <w:tab w:val="num" w:pos="1758"/>
          </w:tabs>
          <w:ind w:left="1871" w:firstLine="0"/>
        </w:pPr>
        <w:rPr>
          <w:rFonts w:hint="default"/>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58">
    <w:abstractNumId w:val="11"/>
  </w:num>
  <w:num w:numId="59">
    <w:abstractNumId w:val="11"/>
  </w:num>
  <w:num w:numId="60">
    <w:abstractNumId w:val="11"/>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lvl w:ilvl="0">
        <w:numFmt w:val="decimal"/>
        <w:pStyle w:val="Normalnumber"/>
        <w:lvlText w:val=""/>
        <w:lvlJc w:val="left"/>
      </w:lvl>
    </w:lvlOverride>
    <w:lvlOverride w:ilvl="1">
      <w:lvl w:ilvl="1">
        <w:start w:val="1"/>
        <w:numFmt w:val="lowerLetter"/>
        <w:lvlText w:val="(%2)"/>
        <w:lvlJc w:val="left"/>
        <w:pPr>
          <w:tabs>
            <w:tab w:val="num" w:pos="1758"/>
          </w:tabs>
          <w:ind w:left="1871" w:firstLine="567"/>
        </w:pPr>
        <w:rPr>
          <w:rFonts w:hint="default"/>
          <w:sz w:val="20"/>
          <w:szCs w:val="20"/>
        </w:rPr>
      </w:lvl>
    </w:lvlOverride>
  </w:num>
  <w:num w:numId="63">
    <w:abstractNumId w:val="11"/>
    <w:lvlOverride w:ilvl="0">
      <w:lvl w:ilvl="0">
        <w:numFmt w:val="decimal"/>
        <w:pStyle w:val="Normalnumber"/>
        <w:lvlText w:val=""/>
        <w:lvlJc w:val="left"/>
      </w:lvl>
    </w:lvlOverride>
    <w:lvlOverride w:ilvl="1">
      <w:lvl w:ilvl="1">
        <w:start w:val="1"/>
        <w:numFmt w:val="lowerLetter"/>
        <w:lvlText w:val="(%2)"/>
        <w:lvlJc w:val="left"/>
        <w:pPr>
          <w:tabs>
            <w:tab w:val="num" w:pos="1758"/>
          </w:tabs>
          <w:ind w:left="1871" w:firstLine="567"/>
        </w:pPr>
        <w:rPr>
          <w:rFonts w:hint="default"/>
          <w:sz w:val="20"/>
          <w:szCs w:val="20"/>
        </w:rPr>
      </w:lvl>
    </w:lvlOverride>
  </w:num>
  <w:num w:numId="64">
    <w:abstractNumId w:val="11"/>
    <w:lvlOverride w:ilvl="0">
      <w:lvl w:ilvl="0">
        <w:numFmt w:val="decimal"/>
        <w:pStyle w:val="Normalnumber"/>
        <w:lvlText w:val=""/>
        <w:lvlJc w:val="left"/>
      </w:lvl>
    </w:lvlOverride>
    <w:lvlOverride w:ilvl="1">
      <w:lvl w:ilvl="1">
        <w:start w:val="1"/>
        <w:numFmt w:val="lowerLetter"/>
        <w:lvlText w:val="(%2)"/>
        <w:lvlJc w:val="left"/>
        <w:pPr>
          <w:tabs>
            <w:tab w:val="num" w:pos="1758"/>
          </w:tabs>
          <w:ind w:left="1871" w:firstLine="567"/>
        </w:pPr>
        <w:rPr>
          <w:rFonts w:hint="default"/>
          <w:sz w:val="20"/>
          <w:szCs w:val="20"/>
        </w:rPr>
      </w:lvl>
    </w:lvlOverride>
  </w:num>
  <w:num w:numId="65">
    <w:abstractNumId w:val="11"/>
    <w:lvlOverride w:ilvl="0">
      <w:lvl w:ilvl="0">
        <w:numFmt w:val="decimal"/>
        <w:pStyle w:val="Normalnumber"/>
        <w:lvlText w:val=""/>
        <w:lvlJc w:val="left"/>
      </w:lvl>
    </w:lvlOverride>
    <w:lvlOverride w:ilvl="1">
      <w:lvl w:ilvl="1">
        <w:start w:val="1"/>
        <w:numFmt w:val="lowerLetter"/>
        <w:lvlText w:val="(%2)"/>
        <w:lvlJc w:val="left"/>
        <w:pPr>
          <w:tabs>
            <w:tab w:val="num" w:pos="1758"/>
          </w:tabs>
          <w:ind w:left="1871" w:firstLine="567"/>
        </w:pPr>
        <w:rPr>
          <w:rFonts w:hint="default"/>
          <w:sz w:val="20"/>
          <w:szCs w:val="20"/>
        </w:rPr>
      </w:lvl>
    </w:lvlOverride>
  </w:num>
  <w:num w:numId="66">
    <w:abstractNumId w:val="11"/>
    <w:lvlOverride w:ilvl="0">
      <w:lvl w:ilvl="0">
        <w:numFmt w:val="decimal"/>
        <w:pStyle w:val="Normalnumber"/>
        <w:lvlText w:val=""/>
        <w:lvlJc w:val="left"/>
      </w:lvl>
    </w:lvlOverride>
    <w:lvlOverride w:ilvl="1">
      <w:lvl w:ilvl="1">
        <w:start w:val="1"/>
        <w:numFmt w:val="lowerLetter"/>
        <w:lvlText w:val="(%2)"/>
        <w:lvlJc w:val="left"/>
        <w:pPr>
          <w:tabs>
            <w:tab w:val="num" w:pos="1758"/>
          </w:tabs>
          <w:ind w:left="1871" w:firstLine="567"/>
        </w:pPr>
        <w:rPr>
          <w:rFonts w:hint="default"/>
          <w:sz w:val="20"/>
          <w:szCs w:val="20"/>
        </w:rPr>
      </w:lvl>
    </w:lvlOverride>
  </w:num>
  <w:num w:numId="67">
    <w:abstractNumId w:val="11"/>
    <w:lvlOverride w:ilvl="0">
      <w:lvl w:ilvl="0">
        <w:numFmt w:val="decimal"/>
        <w:pStyle w:val="Normalnumber"/>
        <w:lvlText w:val=""/>
        <w:lvlJc w:val="left"/>
      </w:lvl>
    </w:lvlOverride>
    <w:lvlOverride w:ilvl="1">
      <w:lvl w:ilvl="1">
        <w:start w:val="1"/>
        <w:numFmt w:val="lowerLetter"/>
        <w:lvlText w:val="(%2)"/>
        <w:lvlJc w:val="left"/>
        <w:pPr>
          <w:tabs>
            <w:tab w:val="num" w:pos="1758"/>
          </w:tabs>
          <w:ind w:left="1871" w:firstLine="567"/>
        </w:pPr>
        <w:rPr>
          <w:rFonts w:hint="default"/>
          <w:sz w:val="20"/>
          <w:szCs w:val="20"/>
        </w:rPr>
      </w:lvl>
    </w:lvlOverride>
  </w:num>
  <w:num w:numId="68">
    <w:abstractNumId w:val="11"/>
    <w:lvlOverride w:ilvl="0">
      <w:lvl w:ilvl="0">
        <w:numFmt w:val="decimal"/>
        <w:pStyle w:val="Normalnumber"/>
        <w:lvlText w:val=""/>
        <w:lvlJc w:val="left"/>
      </w:lvl>
    </w:lvlOverride>
    <w:lvlOverride w:ilvl="1">
      <w:lvl w:ilvl="1">
        <w:start w:val="1"/>
        <w:numFmt w:val="lowerLetter"/>
        <w:lvlText w:val="(%2)"/>
        <w:lvlJc w:val="left"/>
        <w:pPr>
          <w:tabs>
            <w:tab w:val="num" w:pos="1758"/>
          </w:tabs>
          <w:ind w:left="1871" w:firstLine="567"/>
        </w:pPr>
        <w:rPr>
          <w:rFonts w:hint="default"/>
          <w:sz w:val="20"/>
          <w:szCs w:val="20"/>
        </w:rPr>
      </w:lvl>
    </w:lvlOverride>
  </w:num>
  <w:num w:numId="69">
    <w:abstractNumId w:val="11"/>
    <w:lvlOverride w:ilvl="0">
      <w:lvl w:ilvl="0">
        <w:numFmt w:val="decimal"/>
        <w:pStyle w:val="Normalnumber"/>
        <w:lvlText w:val=""/>
        <w:lvlJc w:val="left"/>
      </w:lvl>
    </w:lvlOverride>
    <w:lvlOverride w:ilvl="1">
      <w:lvl w:ilvl="1">
        <w:start w:val="1"/>
        <w:numFmt w:val="lowerLetter"/>
        <w:lvlText w:val="(%2)"/>
        <w:lvlJc w:val="left"/>
        <w:pPr>
          <w:tabs>
            <w:tab w:val="num" w:pos="1758"/>
          </w:tabs>
          <w:ind w:left="1871" w:firstLine="567"/>
        </w:pPr>
        <w:rPr>
          <w:rFonts w:hint="default"/>
          <w:sz w:val="20"/>
          <w:szCs w:val="20"/>
        </w:rPr>
      </w:lvl>
    </w:lvlOverride>
  </w:num>
  <w:num w:numId="70">
    <w:abstractNumId w:val="11"/>
    <w:lvlOverride w:ilvl="0">
      <w:lvl w:ilvl="0">
        <w:numFmt w:val="decimal"/>
        <w:pStyle w:val="Normalnumber"/>
        <w:lvlText w:val=""/>
        <w:lvlJc w:val="left"/>
      </w:lvl>
    </w:lvlOverride>
    <w:lvlOverride w:ilvl="1">
      <w:lvl w:ilvl="1">
        <w:start w:val="1"/>
        <w:numFmt w:val="lowerLetter"/>
        <w:lvlText w:val="(%2)"/>
        <w:lvlJc w:val="left"/>
        <w:pPr>
          <w:tabs>
            <w:tab w:val="num" w:pos="1758"/>
          </w:tabs>
          <w:ind w:left="1871" w:firstLine="567"/>
        </w:pPr>
        <w:rPr>
          <w:rFonts w:hint="default"/>
          <w:sz w:val="20"/>
          <w:szCs w:val="20"/>
        </w:rPr>
      </w:lvl>
    </w:lvlOverride>
  </w:num>
  <w:num w:numId="71">
    <w:abstractNumId w:val="11"/>
    <w:lvlOverride w:ilvl="0">
      <w:lvl w:ilvl="0">
        <w:numFmt w:val="decimal"/>
        <w:pStyle w:val="Normalnumber"/>
        <w:lvlText w:val=""/>
        <w:lvlJc w:val="left"/>
      </w:lvl>
    </w:lvlOverride>
    <w:lvlOverride w:ilvl="1">
      <w:lvl w:ilvl="1">
        <w:start w:val="1"/>
        <w:numFmt w:val="lowerLetter"/>
        <w:lvlText w:val="(%2)"/>
        <w:lvlJc w:val="left"/>
        <w:pPr>
          <w:tabs>
            <w:tab w:val="num" w:pos="1758"/>
          </w:tabs>
          <w:ind w:left="1871" w:firstLine="567"/>
        </w:pPr>
        <w:rPr>
          <w:rFonts w:hint="default"/>
          <w:sz w:val="20"/>
          <w:szCs w:val="20"/>
        </w:rPr>
      </w:lvl>
    </w:lvlOverride>
  </w:num>
  <w:num w:numId="72">
    <w:abstractNumId w:val="11"/>
    <w:lvlOverride w:ilvl="0">
      <w:lvl w:ilvl="0">
        <w:numFmt w:val="decimal"/>
        <w:pStyle w:val="Normalnumber"/>
        <w:lvlText w:val=""/>
        <w:lvlJc w:val="left"/>
      </w:lvl>
    </w:lvlOverride>
    <w:lvlOverride w:ilvl="1">
      <w:lvl w:ilvl="1">
        <w:start w:val="1"/>
        <w:numFmt w:val="lowerLetter"/>
        <w:lvlText w:val="(%2)"/>
        <w:lvlJc w:val="left"/>
        <w:pPr>
          <w:tabs>
            <w:tab w:val="num" w:pos="1758"/>
          </w:tabs>
          <w:ind w:left="1871" w:firstLine="567"/>
        </w:pPr>
        <w:rPr>
          <w:rFonts w:hint="default"/>
          <w:sz w:val="20"/>
          <w:szCs w:val="20"/>
        </w:rPr>
      </w:lvl>
    </w:lvlOverride>
  </w:num>
  <w:num w:numId="73">
    <w:abstractNumId w:val="11"/>
    <w:lvlOverride w:ilvl="0">
      <w:lvl w:ilvl="0">
        <w:numFmt w:val="decimal"/>
        <w:pStyle w:val="Normalnumber"/>
        <w:lvlText w:val=""/>
        <w:lvlJc w:val="left"/>
      </w:lvl>
    </w:lvlOverride>
    <w:lvlOverride w:ilvl="1">
      <w:lvl w:ilvl="1">
        <w:start w:val="1"/>
        <w:numFmt w:val="lowerLetter"/>
        <w:lvlText w:val="(%2)"/>
        <w:lvlJc w:val="left"/>
        <w:pPr>
          <w:tabs>
            <w:tab w:val="num" w:pos="1758"/>
          </w:tabs>
          <w:ind w:left="1871" w:firstLine="567"/>
        </w:pPr>
        <w:rPr>
          <w:rFonts w:hint="default"/>
          <w:sz w:val="20"/>
          <w:szCs w:val="20"/>
        </w:rPr>
      </w:lvl>
    </w:lvlOverride>
  </w:num>
  <w:num w:numId="74">
    <w:abstractNumId w:val="11"/>
    <w:lvlOverride w:ilvl="0">
      <w:lvl w:ilvl="0">
        <w:numFmt w:val="decimal"/>
        <w:pStyle w:val="Normalnumber"/>
        <w:lvlText w:val=""/>
        <w:lvlJc w:val="left"/>
      </w:lvl>
    </w:lvlOverride>
    <w:lvlOverride w:ilvl="1">
      <w:lvl w:ilvl="1">
        <w:start w:val="1"/>
        <w:numFmt w:val="lowerLetter"/>
        <w:lvlText w:val="(%2)"/>
        <w:lvlJc w:val="left"/>
        <w:pPr>
          <w:tabs>
            <w:tab w:val="num" w:pos="1758"/>
          </w:tabs>
          <w:ind w:left="1871" w:firstLine="567"/>
        </w:pPr>
        <w:rPr>
          <w:rFonts w:hint="default"/>
          <w:sz w:val="20"/>
          <w:szCs w:val="20"/>
        </w:rPr>
      </w:lvl>
    </w:lvlOverride>
  </w:num>
  <w:num w:numId="75">
    <w:abstractNumId w:val="11"/>
    <w:lvlOverride w:ilvl="0">
      <w:lvl w:ilvl="0">
        <w:numFmt w:val="decimal"/>
        <w:pStyle w:val="Normalnumber"/>
        <w:lvlText w:val=""/>
        <w:lvlJc w:val="left"/>
      </w:lvl>
    </w:lvlOverride>
    <w:lvlOverride w:ilvl="1">
      <w:lvl w:ilvl="1">
        <w:start w:val="1"/>
        <w:numFmt w:val="lowerLetter"/>
        <w:lvlText w:val="(%2)"/>
        <w:lvlJc w:val="left"/>
        <w:pPr>
          <w:tabs>
            <w:tab w:val="num" w:pos="1758"/>
          </w:tabs>
          <w:ind w:left="1871" w:firstLine="567"/>
        </w:pPr>
        <w:rPr>
          <w:rFonts w:hint="default"/>
          <w:sz w:val="20"/>
          <w:szCs w:val="20"/>
        </w:rPr>
      </w:lvl>
    </w:lvlOverride>
  </w:num>
  <w:num w:numId="76">
    <w:abstractNumId w:val="11"/>
    <w:lvlOverride w:ilvl="0">
      <w:lvl w:ilvl="0">
        <w:numFmt w:val="decimal"/>
        <w:pStyle w:val="Normalnumber"/>
        <w:lvlText w:val=""/>
        <w:lvlJc w:val="left"/>
      </w:lvl>
    </w:lvlOverride>
    <w:lvlOverride w:ilvl="1">
      <w:lvl w:ilvl="1">
        <w:start w:val="1"/>
        <w:numFmt w:val="lowerLetter"/>
        <w:lvlText w:val="(%2)"/>
        <w:lvlJc w:val="left"/>
        <w:pPr>
          <w:tabs>
            <w:tab w:val="num" w:pos="1758"/>
          </w:tabs>
          <w:ind w:left="1871" w:firstLine="567"/>
        </w:pPr>
        <w:rPr>
          <w:rFonts w:hint="default"/>
          <w:sz w:val="20"/>
          <w:szCs w:val="20"/>
        </w:rPr>
      </w:lvl>
    </w:lvlOverride>
  </w:num>
  <w:num w:numId="77">
    <w:abstractNumId w:val="11"/>
    <w:lvlOverride w:ilvl="0">
      <w:lvl w:ilvl="0">
        <w:numFmt w:val="decimal"/>
        <w:pStyle w:val="Normalnumber"/>
        <w:lvlText w:val=""/>
        <w:lvlJc w:val="left"/>
      </w:lvl>
    </w:lvlOverride>
    <w:lvlOverride w:ilvl="1">
      <w:lvl w:ilvl="1">
        <w:start w:val="1"/>
        <w:numFmt w:val="lowerLetter"/>
        <w:lvlText w:val="(%2)"/>
        <w:lvlJc w:val="left"/>
        <w:pPr>
          <w:tabs>
            <w:tab w:val="num" w:pos="1758"/>
          </w:tabs>
          <w:ind w:left="1871" w:firstLine="567"/>
        </w:pPr>
        <w:rPr>
          <w:rFonts w:hint="default"/>
          <w:sz w:val="20"/>
          <w:szCs w:val="20"/>
        </w:rPr>
      </w:lvl>
    </w:lvlOverride>
  </w:num>
  <w:num w:numId="78">
    <w:abstractNumId w:val="11"/>
    <w:lvlOverride w:ilvl="0">
      <w:lvl w:ilvl="0">
        <w:numFmt w:val="decimal"/>
        <w:pStyle w:val="Normalnumber"/>
        <w:lvlText w:val=""/>
        <w:lvlJc w:val="left"/>
      </w:lvl>
    </w:lvlOverride>
    <w:lvlOverride w:ilvl="1">
      <w:lvl w:ilvl="1">
        <w:start w:val="1"/>
        <w:numFmt w:val="lowerLetter"/>
        <w:lvlText w:val="(%2)"/>
        <w:lvlJc w:val="left"/>
        <w:pPr>
          <w:tabs>
            <w:tab w:val="num" w:pos="1758"/>
          </w:tabs>
          <w:ind w:left="1871" w:firstLine="567"/>
        </w:pPr>
        <w:rPr>
          <w:rFonts w:hint="default"/>
          <w:sz w:val="20"/>
          <w:szCs w:val="20"/>
        </w:rPr>
      </w:lvl>
    </w:lvlOverride>
  </w:num>
  <w:num w:numId="79">
    <w:abstractNumId w:val="11"/>
    <w:lvlOverride w:ilvl="0">
      <w:lvl w:ilvl="0">
        <w:numFmt w:val="decimal"/>
        <w:pStyle w:val="Normalnumber"/>
        <w:lvlText w:val=""/>
        <w:lvlJc w:val="left"/>
      </w:lvl>
    </w:lvlOverride>
    <w:lvlOverride w:ilvl="1">
      <w:lvl w:ilvl="1">
        <w:start w:val="1"/>
        <w:numFmt w:val="lowerLetter"/>
        <w:lvlText w:val="(%2)"/>
        <w:lvlJc w:val="left"/>
        <w:pPr>
          <w:tabs>
            <w:tab w:val="num" w:pos="1758"/>
          </w:tabs>
          <w:ind w:left="1871" w:firstLine="567"/>
        </w:pPr>
        <w:rPr>
          <w:rFonts w:hint="default"/>
          <w:sz w:val="20"/>
          <w:szCs w:val="20"/>
        </w:rPr>
      </w:lvl>
    </w:lvlOverride>
  </w:num>
  <w:num w:numId="80">
    <w:abstractNumId w:val="11"/>
    <w:lvlOverride w:ilvl="0">
      <w:lvl w:ilvl="0">
        <w:numFmt w:val="decimal"/>
        <w:pStyle w:val="Normalnumber"/>
        <w:lvlText w:val=""/>
        <w:lvlJc w:val="left"/>
      </w:lvl>
    </w:lvlOverride>
    <w:lvlOverride w:ilvl="1">
      <w:lvl w:ilvl="1">
        <w:start w:val="1"/>
        <w:numFmt w:val="lowerLetter"/>
        <w:lvlText w:val="(%2)"/>
        <w:lvlJc w:val="left"/>
        <w:pPr>
          <w:tabs>
            <w:tab w:val="num" w:pos="1758"/>
          </w:tabs>
          <w:ind w:left="1871" w:firstLine="567"/>
        </w:pPr>
        <w:rPr>
          <w:rFonts w:hint="default"/>
          <w:sz w:val="20"/>
          <w:szCs w:val="20"/>
        </w:rPr>
      </w:lvl>
    </w:lvlOverride>
  </w:num>
  <w:num w:numId="81">
    <w:abstractNumId w:val="11"/>
    <w:lvlOverride w:ilvl="0">
      <w:lvl w:ilvl="0">
        <w:numFmt w:val="decimal"/>
        <w:pStyle w:val="Normalnumber"/>
        <w:lvlText w:val=""/>
        <w:lvlJc w:val="left"/>
      </w:lvl>
    </w:lvlOverride>
    <w:lvlOverride w:ilvl="1">
      <w:lvl w:ilvl="1">
        <w:start w:val="1"/>
        <w:numFmt w:val="lowerLetter"/>
        <w:lvlText w:val="(%2)"/>
        <w:lvlJc w:val="left"/>
        <w:pPr>
          <w:tabs>
            <w:tab w:val="num" w:pos="6970"/>
          </w:tabs>
          <w:ind w:left="7083" w:firstLine="567"/>
        </w:pPr>
        <w:rPr>
          <w:rFonts w:hint="default"/>
          <w:sz w:val="20"/>
          <w:szCs w:val="20"/>
        </w:rPr>
      </w:lvl>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CD"/>
    <w:rsid w:val="00000E4A"/>
    <w:rsid w:val="000149E6"/>
    <w:rsid w:val="00023DA9"/>
    <w:rsid w:val="000247B0"/>
    <w:rsid w:val="00024C38"/>
    <w:rsid w:val="00026997"/>
    <w:rsid w:val="00026A08"/>
    <w:rsid w:val="00032277"/>
    <w:rsid w:val="00032E4E"/>
    <w:rsid w:val="00033E0B"/>
    <w:rsid w:val="00035EDE"/>
    <w:rsid w:val="00044DA7"/>
    <w:rsid w:val="00045634"/>
    <w:rsid w:val="000509B4"/>
    <w:rsid w:val="0006035B"/>
    <w:rsid w:val="00071886"/>
    <w:rsid w:val="000742BC"/>
    <w:rsid w:val="0007575E"/>
    <w:rsid w:val="00075DDD"/>
    <w:rsid w:val="00076CC6"/>
    <w:rsid w:val="00080B2F"/>
    <w:rsid w:val="00082A0C"/>
    <w:rsid w:val="00083504"/>
    <w:rsid w:val="00083FF9"/>
    <w:rsid w:val="0009187C"/>
    <w:rsid w:val="00092C19"/>
    <w:rsid w:val="0009640C"/>
    <w:rsid w:val="0009726D"/>
    <w:rsid w:val="000B22A2"/>
    <w:rsid w:val="000B61A9"/>
    <w:rsid w:val="000B73F9"/>
    <w:rsid w:val="000C2A52"/>
    <w:rsid w:val="000D33C0"/>
    <w:rsid w:val="000D6941"/>
    <w:rsid w:val="000D6B69"/>
    <w:rsid w:val="000F6B7B"/>
    <w:rsid w:val="00102D56"/>
    <w:rsid w:val="00105C3D"/>
    <w:rsid w:val="001202E3"/>
    <w:rsid w:val="00123699"/>
    <w:rsid w:val="001241FB"/>
    <w:rsid w:val="0013059D"/>
    <w:rsid w:val="00141A55"/>
    <w:rsid w:val="0014293F"/>
    <w:rsid w:val="0014397D"/>
    <w:rsid w:val="001446A3"/>
    <w:rsid w:val="00147967"/>
    <w:rsid w:val="00150265"/>
    <w:rsid w:val="0015492E"/>
    <w:rsid w:val="00155395"/>
    <w:rsid w:val="00156B6B"/>
    <w:rsid w:val="00160D74"/>
    <w:rsid w:val="00166E38"/>
    <w:rsid w:val="00167D02"/>
    <w:rsid w:val="00180C3F"/>
    <w:rsid w:val="00181EC8"/>
    <w:rsid w:val="00184349"/>
    <w:rsid w:val="00185E0C"/>
    <w:rsid w:val="00195A68"/>
    <w:rsid w:val="00195F33"/>
    <w:rsid w:val="001A427F"/>
    <w:rsid w:val="001A7335"/>
    <w:rsid w:val="001B0090"/>
    <w:rsid w:val="001B1617"/>
    <w:rsid w:val="001B3456"/>
    <w:rsid w:val="001B504B"/>
    <w:rsid w:val="001C488A"/>
    <w:rsid w:val="001D3874"/>
    <w:rsid w:val="001D7E75"/>
    <w:rsid w:val="001E0D73"/>
    <w:rsid w:val="001E2877"/>
    <w:rsid w:val="001E2FBF"/>
    <w:rsid w:val="001E56D2"/>
    <w:rsid w:val="001E598F"/>
    <w:rsid w:val="001E7D56"/>
    <w:rsid w:val="001F75DE"/>
    <w:rsid w:val="00200D58"/>
    <w:rsid w:val="002013BE"/>
    <w:rsid w:val="00201EDC"/>
    <w:rsid w:val="002063A4"/>
    <w:rsid w:val="00211339"/>
    <w:rsid w:val="0021145B"/>
    <w:rsid w:val="00220C23"/>
    <w:rsid w:val="00243D36"/>
    <w:rsid w:val="00247707"/>
    <w:rsid w:val="0026018E"/>
    <w:rsid w:val="002763B8"/>
    <w:rsid w:val="00284570"/>
    <w:rsid w:val="00286740"/>
    <w:rsid w:val="002900AD"/>
    <w:rsid w:val="002929D8"/>
    <w:rsid w:val="002A237D"/>
    <w:rsid w:val="002A4C53"/>
    <w:rsid w:val="002B0672"/>
    <w:rsid w:val="002B247F"/>
    <w:rsid w:val="002B50D4"/>
    <w:rsid w:val="002C0041"/>
    <w:rsid w:val="002C145D"/>
    <w:rsid w:val="002C2C3E"/>
    <w:rsid w:val="002C305A"/>
    <w:rsid w:val="002C4104"/>
    <w:rsid w:val="002C533E"/>
    <w:rsid w:val="002D027F"/>
    <w:rsid w:val="002D7A85"/>
    <w:rsid w:val="002D7B60"/>
    <w:rsid w:val="002D7E64"/>
    <w:rsid w:val="002F3443"/>
    <w:rsid w:val="002F4761"/>
    <w:rsid w:val="002F5C79"/>
    <w:rsid w:val="003019E2"/>
    <w:rsid w:val="00306E82"/>
    <w:rsid w:val="0031413F"/>
    <w:rsid w:val="003148BB"/>
    <w:rsid w:val="00317976"/>
    <w:rsid w:val="00327A14"/>
    <w:rsid w:val="0034097E"/>
    <w:rsid w:val="00354EFF"/>
    <w:rsid w:val="00355EA9"/>
    <w:rsid w:val="003578DE"/>
    <w:rsid w:val="00361688"/>
    <w:rsid w:val="00367D6C"/>
    <w:rsid w:val="00377217"/>
    <w:rsid w:val="00391E21"/>
    <w:rsid w:val="003929B8"/>
    <w:rsid w:val="00395BB2"/>
    <w:rsid w:val="00396257"/>
    <w:rsid w:val="00397EB8"/>
    <w:rsid w:val="003A4FD0"/>
    <w:rsid w:val="003A69D1"/>
    <w:rsid w:val="003A7411"/>
    <w:rsid w:val="003A7705"/>
    <w:rsid w:val="003A77F1"/>
    <w:rsid w:val="003B1545"/>
    <w:rsid w:val="003C3219"/>
    <w:rsid w:val="003C3937"/>
    <w:rsid w:val="003C409D"/>
    <w:rsid w:val="003C4180"/>
    <w:rsid w:val="003C5BA6"/>
    <w:rsid w:val="003D3752"/>
    <w:rsid w:val="003D3901"/>
    <w:rsid w:val="003D43F5"/>
    <w:rsid w:val="003D635F"/>
    <w:rsid w:val="003E35DA"/>
    <w:rsid w:val="003F0E85"/>
    <w:rsid w:val="003F1EB7"/>
    <w:rsid w:val="003F77E1"/>
    <w:rsid w:val="00402D14"/>
    <w:rsid w:val="00410C55"/>
    <w:rsid w:val="00416723"/>
    <w:rsid w:val="00416854"/>
    <w:rsid w:val="00417725"/>
    <w:rsid w:val="00417ECF"/>
    <w:rsid w:val="00431681"/>
    <w:rsid w:val="00437F26"/>
    <w:rsid w:val="00441F0E"/>
    <w:rsid w:val="00444097"/>
    <w:rsid w:val="00445487"/>
    <w:rsid w:val="00447E0D"/>
    <w:rsid w:val="00454769"/>
    <w:rsid w:val="00466991"/>
    <w:rsid w:val="0047064C"/>
    <w:rsid w:val="0049469E"/>
    <w:rsid w:val="004A42E1"/>
    <w:rsid w:val="004A6B8C"/>
    <w:rsid w:val="004B162C"/>
    <w:rsid w:val="004B2ABE"/>
    <w:rsid w:val="004B45F4"/>
    <w:rsid w:val="004C07CE"/>
    <w:rsid w:val="004C3DBE"/>
    <w:rsid w:val="004C5C96"/>
    <w:rsid w:val="004C747F"/>
    <w:rsid w:val="004D06A4"/>
    <w:rsid w:val="004E16D4"/>
    <w:rsid w:val="004E5952"/>
    <w:rsid w:val="004E6813"/>
    <w:rsid w:val="004F0E9E"/>
    <w:rsid w:val="004F1A81"/>
    <w:rsid w:val="00502DF4"/>
    <w:rsid w:val="005218D9"/>
    <w:rsid w:val="00522DB0"/>
    <w:rsid w:val="00523B72"/>
    <w:rsid w:val="005260CD"/>
    <w:rsid w:val="00526BEC"/>
    <w:rsid w:val="00530AA7"/>
    <w:rsid w:val="00536186"/>
    <w:rsid w:val="005401BE"/>
    <w:rsid w:val="00543A8D"/>
    <w:rsid w:val="00544CBB"/>
    <w:rsid w:val="00562552"/>
    <w:rsid w:val="00565485"/>
    <w:rsid w:val="005656D7"/>
    <w:rsid w:val="0057072F"/>
    <w:rsid w:val="0057315F"/>
    <w:rsid w:val="00576104"/>
    <w:rsid w:val="00583C0D"/>
    <w:rsid w:val="005B01AC"/>
    <w:rsid w:val="005B44BF"/>
    <w:rsid w:val="005B5833"/>
    <w:rsid w:val="005C67C8"/>
    <w:rsid w:val="005D0249"/>
    <w:rsid w:val="005D18FA"/>
    <w:rsid w:val="005D4FD4"/>
    <w:rsid w:val="005D6E8C"/>
    <w:rsid w:val="005E5333"/>
    <w:rsid w:val="005F100C"/>
    <w:rsid w:val="005F68DA"/>
    <w:rsid w:val="005F6CD1"/>
    <w:rsid w:val="0060594E"/>
    <w:rsid w:val="0060773B"/>
    <w:rsid w:val="00610557"/>
    <w:rsid w:val="006157B5"/>
    <w:rsid w:val="006214D2"/>
    <w:rsid w:val="00621EB4"/>
    <w:rsid w:val="00626FC6"/>
    <w:rsid w:val="006303B4"/>
    <w:rsid w:val="00630ADC"/>
    <w:rsid w:val="00632684"/>
    <w:rsid w:val="00632DE0"/>
    <w:rsid w:val="00633D3D"/>
    <w:rsid w:val="00641703"/>
    <w:rsid w:val="006431A6"/>
    <w:rsid w:val="00644DD8"/>
    <w:rsid w:val="006459F6"/>
    <w:rsid w:val="00646111"/>
    <w:rsid w:val="006501AD"/>
    <w:rsid w:val="00651BFA"/>
    <w:rsid w:val="00654475"/>
    <w:rsid w:val="00665A4B"/>
    <w:rsid w:val="00677CF4"/>
    <w:rsid w:val="00680407"/>
    <w:rsid w:val="00687707"/>
    <w:rsid w:val="00692E2A"/>
    <w:rsid w:val="00696D9B"/>
    <w:rsid w:val="006A76F2"/>
    <w:rsid w:val="006C639A"/>
    <w:rsid w:val="006D19D4"/>
    <w:rsid w:val="006D7EFB"/>
    <w:rsid w:val="006E0829"/>
    <w:rsid w:val="006E6672"/>
    <w:rsid w:val="006E6722"/>
    <w:rsid w:val="006F5054"/>
    <w:rsid w:val="007027B9"/>
    <w:rsid w:val="007145DA"/>
    <w:rsid w:val="00715E88"/>
    <w:rsid w:val="007205FB"/>
    <w:rsid w:val="00721A11"/>
    <w:rsid w:val="00733F9F"/>
    <w:rsid w:val="00734CAA"/>
    <w:rsid w:val="0074051B"/>
    <w:rsid w:val="00742680"/>
    <w:rsid w:val="0075533C"/>
    <w:rsid w:val="00757581"/>
    <w:rsid w:val="007602F5"/>
    <w:rsid w:val="00760D36"/>
    <w:rsid w:val="007611A0"/>
    <w:rsid w:val="00776078"/>
    <w:rsid w:val="007779BB"/>
    <w:rsid w:val="007935E6"/>
    <w:rsid w:val="00796D3F"/>
    <w:rsid w:val="007A0BF9"/>
    <w:rsid w:val="007A1683"/>
    <w:rsid w:val="007A5C12"/>
    <w:rsid w:val="007A7CB0"/>
    <w:rsid w:val="007B31D2"/>
    <w:rsid w:val="007B625B"/>
    <w:rsid w:val="007B68A3"/>
    <w:rsid w:val="007C2541"/>
    <w:rsid w:val="007C288B"/>
    <w:rsid w:val="007D1D33"/>
    <w:rsid w:val="007D2742"/>
    <w:rsid w:val="007D66A8"/>
    <w:rsid w:val="007E003F"/>
    <w:rsid w:val="007E0100"/>
    <w:rsid w:val="007E65EC"/>
    <w:rsid w:val="007F0CF8"/>
    <w:rsid w:val="007F62CB"/>
    <w:rsid w:val="00803FC4"/>
    <w:rsid w:val="0080778F"/>
    <w:rsid w:val="008142EC"/>
    <w:rsid w:val="008164F2"/>
    <w:rsid w:val="00821395"/>
    <w:rsid w:val="00825DB8"/>
    <w:rsid w:val="00830E26"/>
    <w:rsid w:val="008404F1"/>
    <w:rsid w:val="00843576"/>
    <w:rsid w:val="00843B64"/>
    <w:rsid w:val="008478FC"/>
    <w:rsid w:val="00850DE5"/>
    <w:rsid w:val="00851C51"/>
    <w:rsid w:val="008526A7"/>
    <w:rsid w:val="00856827"/>
    <w:rsid w:val="00860140"/>
    <w:rsid w:val="00867BFF"/>
    <w:rsid w:val="00871542"/>
    <w:rsid w:val="00872BF6"/>
    <w:rsid w:val="00873A83"/>
    <w:rsid w:val="00881AD4"/>
    <w:rsid w:val="0088480A"/>
    <w:rsid w:val="0088757A"/>
    <w:rsid w:val="0089131A"/>
    <w:rsid w:val="0089431B"/>
    <w:rsid w:val="00895668"/>
    <w:rsid w:val="008957DD"/>
    <w:rsid w:val="00897D98"/>
    <w:rsid w:val="008A2ECE"/>
    <w:rsid w:val="008A307D"/>
    <w:rsid w:val="008A6DF2"/>
    <w:rsid w:val="008A7807"/>
    <w:rsid w:val="008B14F7"/>
    <w:rsid w:val="008B3059"/>
    <w:rsid w:val="008B4CC9"/>
    <w:rsid w:val="008C3E5E"/>
    <w:rsid w:val="008D4F4C"/>
    <w:rsid w:val="008D7774"/>
    <w:rsid w:val="008D7C99"/>
    <w:rsid w:val="008E0FCB"/>
    <w:rsid w:val="008E4CB9"/>
    <w:rsid w:val="008F6DFE"/>
    <w:rsid w:val="00906D66"/>
    <w:rsid w:val="00920BA0"/>
    <w:rsid w:val="0092178C"/>
    <w:rsid w:val="00924C2F"/>
    <w:rsid w:val="00930B88"/>
    <w:rsid w:val="0093282D"/>
    <w:rsid w:val="00933D70"/>
    <w:rsid w:val="00937F9A"/>
    <w:rsid w:val="00940DCC"/>
    <w:rsid w:val="0094179A"/>
    <w:rsid w:val="0094459E"/>
    <w:rsid w:val="00944AC7"/>
    <w:rsid w:val="00944DBC"/>
    <w:rsid w:val="00950977"/>
    <w:rsid w:val="00951A7B"/>
    <w:rsid w:val="00953A1E"/>
    <w:rsid w:val="009564A6"/>
    <w:rsid w:val="0096163B"/>
    <w:rsid w:val="00967621"/>
    <w:rsid w:val="00967E6A"/>
    <w:rsid w:val="00970529"/>
    <w:rsid w:val="009820F8"/>
    <w:rsid w:val="00983C83"/>
    <w:rsid w:val="00990918"/>
    <w:rsid w:val="009957EE"/>
    <w:rsid w:val="009978A8"/>
    <w:rsid w:val="00997AD6"/>
    <w:rsid w:val="009A157F"/>
    <w:rsid w:val="009B4A0F"/>
    <w:rsid w:val="009C11D2"/>
    <w:rsid w:val="009C6C70"/>
    <w:rsid w:val="009C78A3"/>
    <w:rsid w:val="009C7B0A"/>
    <w:rsid w:val="009D0B63"/>
    <w:rsid w:val="009D5CB8"/>
    <w:rsid w:val="009E307E"/>
    <w:rsid w:val="009E37E4"/>
    <w:rsid w:val="009E4D9D"/>
    <w:rsid w:val="009F18DF"/>
    <w:rsid w:val="009F41C6"/>
    <w:rsid w:val="009F6F4C"/>
    <w:rsid w:val="00A07870"/>
    <w:rsid w:val="00A07C54"/>
    <w:rsid w:val="00A07F19"/>
    <w:rsid w:val="00A1348D"/>
    <w:rsid w:val="00A232EE"/>
    <w:rsid w:val="00A25A91"/>
    <w:rsid w:val="00A30C76"/>
    <w:rsid w:val="00A3563A"/>
    <w:rsid w:val="00A402C9"/>
    <w:rsid w:val="00A40E51"/>
    <w:rsid w:val="00A40F17"/>
    <w:rsid w:val="00A4175F"/>
    <w:rsid w:val="00A44411"/>
    <w:rsid w:val="00A4569C"/>
    <w:rsid w:val="00A469FA"/>
    <w:rsid w:val="00A53662"/>
    <w:rsid w:val="00A55B01"/>
    <w:rsid w:val="00A56B5B"/>
    <w:rsid w:val="00A5754E"/>
    <w:rsid w:val="00A603FF"/>
    <w:rsid w:val="00A619B6"/>
    <w:rsid w:val="00A648CA"/>
    <w:rsid w:val="00A657DD"/>
    <w:rsid w:val="00A666A6"/>
    <w:rsid w:val="00A675FD"/>
    <w:rsid w:val="00A72437"/>
    <w:rsid w:val="00A77612"/>
    <w:rsid w:val="00A8048B"/>
    <w:rsid w:val="00A80611"/>
    <w:rsid w:val="00A870C4"/>
    <w:rsid w:val="00A97D6E"/>
    <w:rsid w:val="00AB5340"/>
    <w:rsid w:val="00AC0A89"/>
    <w:rsid w:val="00AC7C96"/>
    <w:rsid w:val="00AD120E"/>
    <w:rsid w:val="00AD1AC0"/>
    <w:rsid w:val="00AE237D"/>
    <w:rsid w:val="00AE502A"/>
    <w:rsid w:val="00AE6487"/>
    <w:rsid w:val="00AE7946"/>
    <w:rsid w:val="00AF2C1F"/>
    <w:rsid w:val="00AF7C07"/>
    <w:rsid w:val="00B06277"/>
    <w:rsid w:val="00B06C64"/>
    <w:rsid w:val="00B114EB"/>
    <w:rsid w:val="00B11CAC"/>
    <w:rsid w:val="00B13AA5"/>
    <w:rsid w:val="00B22C93"/>
    <w:rsid w:val="00B27589"/>
    <w:rsid w:val="00B30CED"/>
    <w:rsid w:val="00B32A76"/>
    <w:rsid w:val="00B405B7"/>
    <w:rsid w:val="00B52222"/>
    <w:rsid w:val="00B531DA"/>
    <w:rsid w:val="00B54895"/>
    <w:rsid w:val="00B54FE7"/>
    <w:rsid w:val="00B5506A"/>
    <w:rsid w:val="00B56D0E"/>
    <w:rsid w:val="00B647C6"/>
    <w:rsid w:val="00B66901"/>
    <w:rsid w:val="00B71E6D"/>
    <w:rsid w:val="00B72070"/>
    <w:rsid w:val="00B779E1"/>
    <w:rsid w:val="00B86822"/>
    <w:rsid w:val="00B91EE1"/>
    <w:rsid w:val="00B93C8E"/>
    <w:rsid w:val="00B963C8"/>
    <w:rsid w:val="00B97051"/>
    <w:rsid w:val="00BA0090"/>
    <w:rsid w:val="00BA1A67"/>
    <w:rsid w:val="00BA2BED"/>
    <w:rsid w:val="00BB2294"/>
    <w:rsid w:val="00BD2782"/>
    <w:rsid w:val="00BD4AB0"/>
    <w:rsid w:val="00BD5883"/>
    <w:rsid w:val="00BE5B5F"/>
    <w:rsid w:val="00C26F55"/>
    <w:rsid w:val="00C30C63"/>
    <w:rsid w:val="00C33E0A"/>
    <w:rsid w:val="00C35A2C"/>
    <w:rsid w:val="00C36B8B"/>
    <w:rsid w:val="00C415C1"/>
    <w:rsid w:val="00C43A76"/>
    <w:rsid w:val="00C44A86"/>
    <w:rsid w:val="00C47DBF"/>
    <w:rsid w:val="00C552FF"/>
    <w:rsid w:val="00C558DA"/>
    <w:rsid w:val="00C55AF3"/>
    <w:rsid w:val="00C66988"/>
    <w:rsid w:val="00C67E1C"/>
    <w:rsid w:val="00C84759"/>
    <w:rsid w:val="00CA2517"/>
    <w:rsid w:val="00CA5CA9"/>
    <w:rsid w:val="00CA6C7F"/>
    <w:rsid w:val="00CB45CA"/>
    <w:rsid w:val="00CB6B23"/>
    <w:rsid w:val="00CC10A6"/>
    <w:rsid w:val="00CC3E37"/>
    <w:rsid w:val="00CD022D"/>
    <w:rsid w:val="00CD5EB8"/>
    <w:rsid w:val="00CD7044"/>
    <w:rsid w:val="00CE08B9"/>
    <w:rsid w:val="00CE1FD4"/>
    <w:rsid w:val="00CE524C"/>
    <w:rsid w:val="00CF141F"/>
    <w:rsid w:val="00CF4777"/>
    <w:rsid w:val="00D04721"/>
    <w:rsid w:val="00D05FED"/>
    <w:rsid w:val="00D067BB"/>
    <w:rsid w:val="00D1352A"/>
    <w:rsid w:val="00D163ED"/>
    <w:rsid w:val="00D169AF"/>
    <w:rsid w:val="00D25249"/>
    <w:rsid w:val="00D324CB"/>
    <w:rsid w:val="00D40A0E"/>
    <w:rsid w:val="00D44172"/>
    <w:rsid w:val="00D534B3"/>
    <w:rsid w:val="00D63B8C"/>
    <w:rsid w:val="00D739CC"/>
    <w:rsid w:val="00D8044C"/>
    <w:rsid w:val="00D8093D"/>
    <w:rsid w:val="00D8108C"/>
    <w:rsid w:val="00D842AE"/>
    <w:rsid w:val="00D9211C"/>
    <w:rsid w:val="00D92C97"/>
    <w:rsid w:val="00D92DE0"/>
    <w:rsid w:val="00D92FEF"/>
    <w:rsid w:val="00D93A0F"/>
    <w:rsid w:val="00D96399"/>
    <w:rsid w:val="00DA0E55"/>
    <w:rsid w:val="00DA1BCA"/>
    <w:rsid w:val="00DB651A"/>
    <w:rsid w:val="00DC46FF"/>
    <w:rsid w:val="00DC5254"/>
    <w:rsid w:val="00DC569D"/>
    <w:rsid w:val="00DC6734"/>
    <w:rsid w:val="00DD1A4F"/>
    <w:rsid w:val="00DD3107"/>
    <w:rsid w:val="00DD7C2C"/>
    <w:rsid w:val="00DE1DC9"/>
    <w:rsid w:val="00DE76DB"/>
    <w:rsid w:val="00DF3177"/>
    <w:rsid w:val="00E0035A"/>
    <w:rsid w:val="00E0110A"/>
    <w:rsid w:val="00E06797"/>
    <w:rsid w:val="00E06CCA"/>
    <w:rsid w:val="00E1265B"/>
    <w:rsid w:val="00E13B48"/>
    <w:rsid w:val="00E1404F"/>
    <w:rsid w:val="00E21C83"/>
    <w:rsid w:val="00E242ED"/>
    <w:rsid w:val="00E24ADA"/>
    <w:rsid w:val="00E32F59"/>
    <w:rsid w:val="00E335EE"/>
    <w:rsid w:val="00E436C2"/>
    <w:rsid w:val="00E46D9A"/>
    <w:rsid w:val="00E565FF"/>
    <w:rsid w:val="00E57951"/>
    <w:rsid w:val="00E65388"/>
    <w:rsid w:val="00E733C5"/>
    <w:rsid w:val="00E824A8"/>
    <w:rsid w:val="00E85B7D"/>
    <w:rsid w:val="00E9121B"/>
    <w:rsid w:val="00E976AB"/>
    <w:rsid w:val="00EA08BA"/>
    <w:rsid w:val="00EA0AE2"/>
    <w:rsid w:val="00EA39E5"/>
    <w:rsid w:val="00EC1823"/>
    <w:rsid w:val="00EC2470"/>
    <w:rsid w:val="00EC2813"/>
    <w:rsid w:val="00EC5A46"/>
    <w:rsid w:val="00EC63E2"/>
    <w:rsid w:val="00ED11D7"/>
    <w:rsid w:val="00ED366A"/>
    <w:rsid w:val="00EF22B3"/>
    <w:rsid w:val="00F03B69"/>
    <w:rsid w:val="00F07A50"/>
    <w:rsid w:val="00F113DA"/>
    <w:rsid w:val="00F15AE9"/>
    <w:rsid w:val="00F25D9A"/>
    <w:rsid w:val="00F26C48"/>
    <w:rsid w:val="00F3465A"/>
    <w:rsid w:val="00F36E9B"/>
    <w:rsid w:val="00F37DC8"/>
    <w:rsid w:val="00F400E6"/>
    <w:rsid w:val="00F41B4D"/>
    <w:rsid w:val="00F429F7"/>
    <w:rsid w:val="00F439B3"/>
    <w:rsid w:val="00F5283A"/>
    <w:rsid w:val="00F53C2A"/>
    <w:rsid w:val="00F650C3"/>
    <w:rsid w:val="00F65D85"/>
    <w:rsid w:val="00F74FEF"/>
    <w:rsid w:val="00F8091E"/>
    <w:rsid w:val="00F8615C"/>
    <w:rsid w:val="00F917A1"/>
    <w:rsid w:val="00F969E5"/>
    <w:rsid w:val="00F96C3F"/>
    <w:rsid w:val="00FA1A9F"/>
    <w:rsid w:val="00FA6BB0"/>
    <w:rsid w:val="00FB4361"/>
    <w:rsid w:val="00FC103C"/>
    <w:rsid w:val="00FD1812"/>
    <w:rsid w:val="00FD5860"/>
    <w:rsid w:val="00FD65D1"/>
    <w:rsid w:val="00FE352D"/>
    <w:rsid w:val="00FE40EB"/>
    <w:rsid w:val="00FE4D02"/>
    <w:rsid w:val="00FE7D62"/>
    <w:rsid w:val="00FF1F3C"/>
    <w:rsid w:val="00FF3819"/>
    <w:rsid w:val="00FF57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Char">
    <w:name w:val="CH2 Char"/>
    <w:link w:val="CH2"/>
    <w:rsid w:val="00377217"/>
    <w:rPr>
      <w:b/>
      <w:sz w:val="24"/>
      <w:szCs w:val="24"/>
      <w:lang w:val="en-GB"/>
    </w:rPr>
  </w:style>
  <w:style w:type="character" w:customStyle="1" w:styleId="ZZAnxheaderChar">
    <w:name w:val="ZZ_Anx_header Char"/>
    <w:link w:val="ZZAnxheader"/>
    <w:rsid w:val="00377217"/>
    <w:rPr>
      <w:b/>
      <w:bCs/>
      <w:sz w:val="28"/>
      <w:szCs w:val="22"/>
      <w:lang w:val="en-GB"/>
    </w:rPr>
  </w:style>
  <w:style w:type="character" w:customStyle="1" w:styleId="FooterChar">
    <w:name w:val="Footer Char"/>
    <w:link w:val="Footer"/>
    <w:semiHidden/>
    <w:rsid w:val="00377217"/>
    <w:rPr>
      <w:sz w:val="18"/>
      <w:lang w:val="en-GB"/>
    </w:rPr>
  </w:style>
  <w:style w:type="paragraph" w:styleId="ListParagraph">
    <w:name w:val="List Paragraph"/>
    <w:basedOn w:val="Normal"/>
    <w:uiPriority w:val="34"/>
    <w:qFormat/>
    <w:rsid w:val="00377217"/>
    <w:pPr>
      <w:ind w:left="720"/>
      <w:contextualSpacing/>
    </w:pPr>
  </w:style>
  <w:style w:type="paragraph" w:styleId="Revision">
    <w:name w:val="Revision"/>
    <w:hidden/>
    <w:uiPriority w:val="99"/>
    <w:semiHidden/>
    <w:rsid w:val="00A402C9"/>
    <w:rPr>
      <w:lang w:val="en-GB"/>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AE6487"/>
    <w:pPr>
      <w:numPr>
        <w:numId w:val="42"/>
      </w:numPr>
      <w:tabs>
        <w:tab w:val="clear" w:pos="1814"/>
        <w:tab w:val="clear" w:pos="2381"/>
        <w:tab w:val="clear" w:pos="2948"/>
        <w:tab w:val="clear" w:pos="3515"/>
        <w:tab w:val="clear" w:pos="4082"/>
        <w:tab w:val="left" w:pos="624"/>
        <w:tab w:val="left" w:pos="1871"/>
        <w:tab w:val="left" w:pos="2495"/>
        <w:tab w:val="left" w:pos="3119"/>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Char">
    <w:name w:val="CH2 Char"/>
    <w:link w:val="CH2"/>
    <w:rsid w:val="00377217"/>
    <w:rPr>
      <w:b/>
      <w:sz w:val="24"/>
      <w:szCs w:val="24"/>
      <w:lang w:val="en-GB"/>
    </w:rPr>
  </w:style>
  <w:style w:type="character" w:customStyle="1" w:styleId="ZZAnxheaderChar">
    <w:name w:val="ZZ_Anx_header Char"/>
    <w:link w:val="ZZAnxheader"/>
    <w:rsid w:val="00377217"/>
    <w:rPr>
      <w:b/>
      <w:bCs/>
      <w:sz w:val="28"/>
      <w:szCs w:val="22"/>
      <w:lang w:val="en-GB"/>
    </w:rPr>
  </w:style>
  <w:style w:type="character" w:customStyle="1" w:styleId="FooterChar">
    <w:name w:val="Footer Char"/>
    <w:link w:val="Footer"/>
    <w:semiHidden/>
    <w:rsid w:val="00377217"/>
    <w:rPr>
      <w:sz w:val="18"/>
      <w:lang w:val="en-GB"/>
    </w:rPr>
  </w:style>
  <w:style w:type="paragraph" w:styleId="ListParagraph">
    <w:name w:val="List Paragraph"/>
    <w:basedOn w:val="Normal"/>
    <w:uiPriority w:val="34"/>
    <w:qFormat/>
    <w:rsid w:val="00377217"/>
    <w:pPr>
      <w:ind w:left="720"/>
      <w:contextualSpacing/>
    </w:pPr>
  </w:style>
  <w:style w:type="paragraph" w:styleId="Revision">
    <w:name w:val="Revision"/>
    <w:hidden/>
    <w:uiPriority w:val="99"/>
    <w:semiHidden/>
    <w:rsid w:val="00A402C9"/>
    <w:rPr>
      <w:lang w:val="en-GB"/>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AE6487"/>
    <w:pPr>
      <w:numPr>
        <w:numId w:val="42"/>
      </w:numPr>
      <w:tabs>
        <w:tab w:val="clear" w:pos="1814"/>
        <w:tab w:val="clear" w:pos="2381"/>
        <w:tab w:val="clear" w:pos="2948"/>
        <w:tab w:val="clear" w:pos="3515"/>
        <w:tab w:val="clear" w:pos="4082"/>
        <w:tab w:val="left" w:pos="624"/>
        <w:tab w:val="left" w:pos="1871"/>
        <w:tab w:val="left" w:pos="2495"/>
        <w:tab w:val="left" w:pos="3119"/>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D045-E3BF-447B-9A9F-CFAF5006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3423</Words>
  <Characters>19512</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22890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LOGAN</cp:lastModifiedBy>
  <cp:revision>2</cp:revision>
  <cp:lastPrinted>2015-12-12T09:09:00Z</cp:lastPrinted>
  <dcterms:created xsi:type="dcterms:W3CDTF">2016-02-03T15:54:00Z</dcterms:created>
  <dcterms:modified xsi:type="dcterms:W3CDTF">2016-02-03T15:54:00Z</dcterms:modified>
</cp:coreProperties>
</file>