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4785"/>
        <w:gridCol w:w="3435"/>
      </w:tblGrid>
      <w:tr w:rsidR="004D7530" w:rsidRPr="00D018F4" w14:paraId="694B0DA2" w14:textId="77777777">
        <w:trPr>
          <w:cantSplit/>
          <w:trHeight w:val="850"/>
        </w:trPr>
        <w:tc>
          <w:tcPr>
            <w:tcW w:w="1560" w:type="dxa"/>
          </w:tcPr>
          <w:p w14:paraId="0D186DF0" w14:textId="77777777" w:rsidR="004D7530" w:rsidRPr="00D018F4" w:rsidRDefault="004D7530" w:rsidP="004D7530">
            <w:pPr>
              <w:rPr>
                <w:rFonts w:ascii="Univers" w:hAnsi="Univers"/>
                <w:b/>
                <w:noProof/>
                <w:sz w:val="27"/>
                <w:szCs w:val="27"/>
              </w:rPr>
            </w:pPr>
            <w:r w:rsidRPr="00D018F4">
              <w:rPr>
                <w:rFonts w:ascii="Arial" w:hAnsi="Arial" w:cs="Arial"/>
                <w:b/>
                <w:noProof/>
                <w:sz w:val="27"/>
                <w:szCs w:val="27"/>
              </w:rPr>
              <w:t>UNITED</w:t>
            </w:r>
            <w:r w:rsidRPr="00D018F4">
              <w:rPr>
                <w:rFonts w:ascii="Arial" w:hAnsi="Arial" w:cs="Arial"/>
                <w:b/>
                <w:noProof/>
                <w:sz w:val="27"/>
                <w:szCs w:val="27"/>
              </w:rPr>
              <w:br/>
              <w:t>NATIONS</w:t>
            </w:r>
          </w:p>
        </w:tc>
        <w:tc>
          <w:tcPr>
            <w:tcW w:w="4785" w:type="dxa"/>
          </w:tcPr>
          <w:p w14:paraId="7D3E5139" w14:textId="77777777" w:rsidR="004D7530" w:rsidRPr="00D018F4" w:rsidRDefault="004D7530" w:rsidP="004D7530">
            <w:pPr>
              <w:rPr>
                <w:rFonts w:ascii="Univers" w:hAnsi="Univers"/>
                <w:b/>
                <w:sz w:val="27"/>
                <w:szCs w:val="27"/>
              </w:rPr>
            </w:pPr>
          </w:p>
        </w:tc>
        <w:tc>
          <w:tcPr>
            <w:tcW w:w="3435" w:type="dxa"/>
          </w:tcPr>
          <w:p w14:paraId="5ABEEB05" w14:textId="77777777" w:rsidR="004D7530" w:rsidRPr="00D018F4" w:rsidRDefault="004D7530" w:rsidP="004D7530">
            <w:pPr>
              <w:jc w:val="right"/>
              <w:rPr>
                <w:rFonts w:ascii="Arial" w:hAnsi="Arial" w:cs="Arial"/>
                <w:b/>
                <w:sz w:val="64"/>
                <w:szCs w:val="64"/>
              </w:rPr>
            </w:pPr>
            <w:r w:rsidRPr="00D018F4">
              <w:rPr>
                <w:rFonts w:ascii="Arial" w:hAnsi="Arial" w:cs="Arial"/>
                <w:b/>
                <w:sz w:val="64"/>
                <w:szCs w:val="64"/>
              </w:rPr>
              <w:t>EP</w:t>
            </w:r>
          </w:p>
        </w:tc>
      </w:tr>
      <w:tr w:rsidR="004D7530" w:rsidRPr="00D018F4" w14:paraId="2983570C" w14:textId="77777777">
        <w:trPr>
          <w:cantSplit/>
          <w:trHeight w:val="281"/>
        </w:trPr>
        <w:tc>
          <w:tcPr>
            <w:tcW w:w="1560" w:type="dxa"/>
            <w:tcBorders>
              <w:bottom w:val="single" w:sz="4" w:space="0" w:color="auto"/>
            </w:tcBorders>
          </w:tcPr>
          <w:p w14:paraId="7F56F27D" w14:textId="77777777" w:rsidR="004D7530" w:rsidRPr="00D018F4" w:rsidRDefault="004D7530" w:rsidP="004D7530">
            <w:pPr>
              <w:rPr>
                <w:noProof/>
                <w:sz w:val="18"/>
                <w:szCs w:val="18"/>
              </w:rPr>
            </w:pPr>
          </w:p>
        </w:tc>
        <w:tc>
          <w:tcPr>
            <w:tcW w:w="4785" w:type="dxa"/>
            <w:tcBorders>
              <w:bottom w:val="single" w:sz="4" w:space="0" w:color="auto"/>
            </w:tcBorders>
          </w:tcPr>
          <w:p w14:paraId="45A1A22A" w14:textId="77777777" w:rsidR="004D7530" w:rsidRPr="00D018F4" w:rsidRDefault="004D7530" w:rsidP="004D7530">
            <w:pPr>
              <w:rPr>
                <w:rFonts w:ascii="Univers" w:hAnsi="Univers"/>
                <w:b/>
                <w:sz w:val="18"/>
                <w:szCs w:val="18"/>
              </w:rPr>
            </w:pPr>
          </w:p>
        </w:tc>
        <w:tc>
          <w:tcPr>
            <w:tcW w:w="3435" w:type="dxa"/>
            <w:tcBorders>
              <w:bottom w:val="single" w:sz="4" w:space="0" w:color="auto"/>
            </w:tcBorders>
          </w:tcPr>
          <w:p w14:paraId="64D70FBB" w14:textId="77777777" w:rsidR="004D7530" w:rsidRPr="00D018F4" w:rsidRDefault="004D7530" w:rsidP="004D7530">
            <w:pPr>
              <w:rPr>
                <w:noProof/>
                <w:sz w:val="18"/>
                <w:szCs w:val="18"/>
              </w:rPr>
            </w:pPr>
            <w:r w:rsidRPr="00D018F4">
              <w:rPr>
                <w:b/>
                <w:bCs/>
                <w:sz w:val="28"/>
              </w:rPr>
              <w:t>UNEP</w:t>
            </w:r>
            <w:r w:rsidRPr="00D018F4">
              <w:t>(DTIE)/</w:t>
            </w:r>
            <w:bookmarkStart w:id="0" w:name="OLE_LINK1"/>
            <w:bookmarkStart w:id="1" w:name="OLE_LINK2"/>
            <w:r w:rsidRPr="00D018F4">
              <w:t>Hg/</w:t>
            </w:r>
            <w:bookmarkEnd w:id="0"/>
            <w:bookmarkEnd w:id="1"/>
            <w:r w:rsidRPr="00D018F4">
              <w:t>INC.7/INF/6</w:t>
            </w:r>
          </w:p>
        </w:tc>
      </w:tr>
      <w:tr w:rsidR="004D7530" w:rsidRPr="00D018F4" w14:paraId="6411E3F9" w14:textId="77777777">
        <w:trPr>
          <w:cantSplit/>
          <w:trHeight w:val="2549"/>
        </w:trPr>
        <w:tc>
          <w:tcPr>
            <w:tcW w:w="1560" w:type="dxa"/>
            <w:tcBorders>
              <w:top w:val="single" w:sz="4" w:space="0" w:color="auto"/>
              <w:bottom w:val="single" w:sz="24" w:space="0" w:color="auto"/>
            </w:tcBorders>
          </w:tcPr>
          <w:p w14:paraId="2EAF203B" w14:textId="77777777" w:rsidR="004D7530" w:rsidRPr="00D018F4" w:rsidRDefault="00D018F4" w:rsidP="004D7530">
            <w:pPr>
              <w:rPr>
                <w:noProof/>
              </w:rPr>
            </w:pPr>
            <w:bookmarkStart w:id="2" w:name="_MON_1021710510"/>
            <w:bookmarkStart w:id="3" w:name="_MON_1021710482"/>
            <w:bookmarkEnd w:id="2"/>
            <w:bookmarkEnd w:id="3"/>
            <w:r w:rsidRPr="00D018F4">
              <w:rPr>
                <w:noProof/>
              </w:rPr>
              <w:pict w14:anchorId="3AB25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1.25pt" fillcolor="window">
                  <v:imagedata r:id="rId10" o:title=""/>
                </v:shape>
              </w:pict>
            </w:r>
            <w:r w:rsidR="004557F0" w:rsidRPr="00D018F4">
              <w:rPr>
                <w:noProof/>
                <w:lang w:eastAsia="en-GB"/>
              </w:rPr>
              <w:drawing>
                <wp:inline distT="0" distB="0" distL="0" distR="0" wp14:anchorId="675D9EC7" wp14:editId="0DA12A30">
                  <wp:extent cx="723265" cy="764540"/>
                  <wp:effectExtent l="19050" t="0" r="635"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srcRect/>
                          <a:stretch>
                            <a:fillRect/>
                          </a:stretch>
                        </pic:blipFill>
                        <pic:spPr bwMode="auto">
                          <a:xfrm>
                            <a:off x="0" y="0"/>
                            <a:ext cx="723265" cy="764540"/>
                          </a:xfrm>
                          <a:prstGeom prst="rect">
                            <a:avLst/>
                          </a:prstGeom>
                          <a:noFill/>
                          <a:ln w="9525">
                            <a:noFill/>
                            <a:miter lim="800000"/>
                            <a:headEnd/>
                            <a:tailEnd/>
                          </a:ln>
                        </pic:spPr>
                      </pic:pic>
                    </a:graphicData>
                  </a:graphic>
                </wp:inline>
              </w:drawing>
            </w:r>
          </w:p>
        </w:tc>
        <w:tc>
          <w:tcPr>
            <w:tcW w:w="4785" w:type="dxa"/>
            <w:tcBorders>
              <w:top w:val="single" w:sz="4" w:space="0" w:color="auto"/>
              <w:bottom w:val="single" w:sz="24" w:space="0" w:color="auto"/>
            </w:tcBorders>
          </w:tcPr>
          <w:p w14:paraId="0F744C1B" w14:textId="77777777" w:rsidR="004D7530" w:rsidRPr="00D018F4" w:rsidRDefault="004D7530" w:rsidP="004D7530">
            <w:pPr>
              <w:spacing w:before="1200"/>
              <w:rPr>
                <w:rFonts w:ascii="Arial" w:hAnsi="Arial" w:cs="Arial"/>
                <w:b/>
                <w:sz w:val="28"/>
              </w:rPr>
            </w:pPr>
            <w:r w:rsidRPr="00D018F4">
              <w:rPr>
                <w:rFonts w:ascii="Arial" w:hAnsi="Arial" w:cs="Arial"/>
                <w:b/>
                <w:sz w:val="32"/>
                <w:szCs w:val="32"/>
              </w:rPr>
              <w:t>United Nations</w:t>
            </w:r>
            <w:r w:rsidRPr="00D018F4">
              <w:rPr>
                <w:rFonts w:ascii="Arial" w:hAnsi="Arial" w:cs="Arial"/>
                <w:b/>
                <w:sz w:val="32"/>
                <w:szCs w:val="32"/>
              </w:rPr>
              <w:br w:type="textWrapping" w:clear="all"/>
              <w:t>Environment</w:t>
            </w:r>
            <w:r w:rsidRPr="00D018F4">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14:paraId="7B986506" w14:textId="6FDB5EFE" w:rsidR="004D7530" w:rsidRPr="00D018F4" w:rsidRDefault="004D7530" w:rsidP="00C43AA8">
            <w:pPr>
              <w:spacing w:before="120"/>
            </w:pPr>
            <w:r w:rsidRPr="00D018F4">
              <w:t>Distr.: General</w:t>
            </w:r>
            <w:r w:rsidRPr="00D018F4">
              <w:br w:type="textWrapping" w:clear="all"/>
            </w:r>
            <w:r w:rsidR="00A10E2B" w:rsidRPr="00D018F4">
              <w:t xml:space="preserve">9 </w:t>
            </w:r>
            <w:r w:rsidR="00C43AA8" w:rsidRPr="00D018F4">
              <w:t>February</w:t>
            </w:r>
            <w:r w:rsidRPr="00D018F4">
              <w:t xml:space="preserve"> 2016</w:t>
            </w:r>
          </w:p>
          <w:p w14:paraId="20688062" w14:textId="77777777" w:rsidR="004D7530" w:rsidRPr="00D018F4" w:rsidRDefault="004D7530" w:rsidP="004D7530">
            <w:pPr>
              <w:spacing w:before="120"/>
            </w:pPr>
            <w:r w:rsidRPr="00D018F4">
              <w:t>English only</w:t>
            </w:r>
          </w:p>
        </w:tc>
      </w:tr>
    </w:tbl>
    <w:p w14:paraId="1D63C663" w14:textId="77777777" w:rsidR="004D7530" w:rsidRPr="00D018F4" w:rsidRDefault="004D7530" w:rsidP="004D7530">
      <w:pPr>
        <w:pStyle w:val="AATitle"/>
        <w:keepNext w:val="0"/>
        <w:keepLines w:val="0"/>
      </w:pPr>
      <w:r w:rsidRPr="00D018F4">
        <w:t>Intergovernmental negotiating committee</w:t>
      </w:r>
      <w:r w:rsidRPr="00D018F4">
        <w:br/>
        <w:t>to prepare a global legally binding instrument</w:t>
      </w:r>
      <w:r w:rsidRPr="00D018F4">
        <w:br/>
        <w:t>on mercury</w:t>
      </w:r>
    </w:p>
    <w:p w14:paraId="17BE9245" w14:textId="77777777" w:rsidR="004D7530" w:rsidRPr="00D018F4" w:rsidRDefault="004D7530" w:rsidP="004D7530">
      <w:pPr>
        <w:pStyle w:val="AATitle"/>
        <w:keepNext w:val="0"/>
        <w:keepLines w:val="0"/>
      </w:pPr>
      <w:r w:rsidRPr="00D018F4">
        <w:t>Seventh session</w:t>
      </w:r>
    </w:p>
    <w:p w14:paraId="04FE0D6E" w14:textId="77777777" w:rsidR="004D7530" w:rsidRPr="00D018F4" w:rsidRDefault="004D7530" w:rsidP="004D7530">
      <w:pPr>
        <w:pStyle w:val="AATitle"/>
        <w:rPr>
          <w:b w:val="0"/>
        </w:rPr>
      </w:pPr>
      <w:r w:rsidRPr="00D018F4">
        <w:rPr>
          <w:b w:val="0"/>
        </w:rPr>
        <w:t>Dead Sea, Jordan, 10–15 March 2016</w:t>
      </w:r>
      <w:bookmarkStart w:id="4" w:name="_GoBack"/>
      <w:bookmarkEnd w:id="4"/>
    </w:p>
    <w:p w14:paraId="2155D675" w14:textId="77777777" w:rsidR="004D7530" w:rsidRPr="00D018F4" w:rsidRDefault="004D7530" w:rsidP="004D7530">
      <w:pPr>
        <w:pStyle w:val="AATitle"/>
        <w:keepNext w:val="0"/>
        <w:keepLines w:val="0"/>
        <w:rPr>
          <w:b w:val="0"/>
        </w:rPr>
      </w:pPr>
      <w:r w:rsidRPr="00D018F4">
        <w:rPr>
          <w:b w:val="0"/>
        </w:rPr>
        <w:t>Item 3 (b) of the provisional agenda</w:t>
      </w:r>
      <w:r w:rsidRPr="00D018F4">
        <w:rPr>
          <w:b w:val="0"/>
        </w:rPr>
        <w:footnoteReference w:customMarkFollows="1" w:id="1"/>
        <w:t>*</w:t>
      </w:r>
    </w:p>
    <w:p w14:paraId="286F770E" w14:textId="74F4121E" w:rsidR="004D7530" w:rsidRPr="00D018F4" w:rsidRDefault="004D7530" w:rsidP="00EA48AA">
      <w:pPr>
        <w:pStyle w:val="AATitle2"/>
        <w:keepNext w:val="0"/>
        <w:keepLines w:val="0"/>
        <w:spacing w:before="60" w:after="0"/>
        <w:outlineLvl w:val="0"/>
      </w:pPr>
      <w:r w:rsidRPr="00D018F4">
        <w:t>Work to prepare for the entry into force of the Minamata Convention on Mercury and for the first meeting of the Conference of the Parties to the Convention: matters required by the Convention to be decided upon by the Conference of the Parties at its first meeting</w:t>
      </w:r>
    </w:p>
    <w:p w14:paraId="57371533" w14:textId="24678030" w:rsidR="004D7530" w:rsidRPr="00D018F4" w:rsidRDefault="009D14FC" w:rsidP="00EA48AA">
      <w:pPr>
        <w:pStyle w:val="BBTitle"/>
      </w:pPr>
      <w:r w:rsidRPr="00D018F4">
        <w:rPr>
          <w:bCs/>
        </w:rPr>
        <w:t xml:space="preserve">Information document prepared by </w:t>
      </w:r>
      <w:r w:rsidR="004D7530" w:rsidRPr="00D018F4">
        <w:t xml:space="preserve">the Executive Director of </w:t>
      </w:r>
      <w:r w:rsidR="00AC251C" w:rsidRPr="00D018F4">
        <w:t>the United Nations Environment Programme</w:t>
      </w:r>
      <w:r w:rsidR="004D7530" w:rsidRPr="00D018F4">
        <w:t xml:space="preserve"> on options and related governance arrangements under </w:t>
      </w:r>
      <w:r w:rsidR="001116DA" w:rsidRPr="00D018F4">
        <w:t xml:space="preserve">the Programme </w:t>
      </w:r>
      <w:r w:rsidR="004D7530" w:rsidRPr="00D018F4">
        <w:t>as the host institution of the specific international programme</w:t>
      </w:r>
    </w:p>
    <w:p w14:paraId="77351972" w14:textId="77777777" w:rsidR="004D7530" w:rsidRPr="00D018F4" w:rsidRDefault="004D7530" w:rsidP="004D7530">
      <w:pPr>
        <w:pStyle w:val="CH2"/>
      </w:pPr>
      <w:r w:rsidRPr="00D018F4">
        <w:tab/>
      </w:r>
      <w:r w:rsidRPr="00D018F4">
        <w:tab/>
        <w:t>Note by the secretariat</w:t>
      </w:r>
    </w:p>
    <w:p w14:paraId="4B1E1509" w14:textId="79C7F7EB" w:rsidR="004D7530" w:rsidRPr="00D018F4" w:rsidRDefault="004D7530" w:rsidP="00C06B96">
      <w:pPr>
        <w:pStyle w:val="Normalnumber"/>
        <w:tabs>
          <w:tab w:val="clear" w:pos="1134"/>
          <w:tab w:val="clear" w:pos="1814"/>
          <w:tab w:val="left" w:pos="1843"/>
        </w:tabs>
        <w:rPr>
          <w:lang w:eastAsia="zh-CN"/>
        </w:rPr>
      </w:pPr>
      <w:r w:rsidRPr="00D018F4">
        <w:rPr>
          <w:lang w:eastAsia="zh-CN"/>
        </w:rPr>
        <w:t xml:space="preserve">At its meeting held </w:t>
      </w:r>
      <w:r w:rsidR="001116DA" w:rsidRPr="00D018F4">
        <w:rPr>
          <w:lang w:eastAsia="zh-CN"/>
        </w:rPr>
        <w:t xml:space="preserve">in Sao Paulo, Brazil, </w:t>
      </w:r>
      <w:r w:rsidRPr="00D018F4">
        <w:t>from 26 to 29 October 2015</w:t>
      </w:r>
      <w:r w:rsidR="001116DA" w:rsidRPr="00D018F4">
        <w:t>,</w:t>
      </w:r>
      <w:r w:rsidRPr="00D018F4">
        <w:rPr>
          <w:lang w:eastAsia="zh-CN"/>
        </w:rPr>
        <w:t xml:space="preserve"> the </w:t>
      </w:r>
      <w:r w:rsidRPr="00D018F4">
        <w:t xml:space="preserve">ad hoc working group of experts established </w:t>
      </w:r>
      <w:r w:rsidR="001116DA" w:rsidRPr="00D018F4">
        <w:t>by</w:t>
      </w:r>
      <w:r w:rsidRPr="00D018F4">
        <w:t xml:space="preserve"> the intergovernmental negotiating committee to prepare a global legally binding instrument on mercury</w:t>
      </w:r>
      <w:r w:rsidR="001116DA" w:rsidRPr="00D018F4">
        <w:t xml:space="preserve"> at its sixth session</w:t>
      </w:r>
      <w:r w:rsidRPr="00D018F4">
        <w:t xml:space="preserve"> </w:t>
      </w:r>
      <w:r w:rsidRPr="00D018F4">
        <w:rPr>
          <w:lang w:eastAsia="zh-CN"/>
        </w:rPr>
        <w:t>identified and discussed a number of key principles and characteristics for the selection of a host institution</w:t>
      </w:r>
      <w:r w:rsidR="001116DA" w:rsidRPr="00D018F4">
        <w:rPr>
          <w:lang w:eastAsia="zh-CN"/>
        </w:rPr>
        <w:t xml:space="preserve"> for the specific international programme</w:t>
      </w:r>
      <w:r w:rsidR="001116DA" w:rsidRPr="00D018F4">
        <w:t xml:space="preserve"> to support capacity-building and technical assistance</w:t>
      </w:r>
      <w:r w:rsidRPr="00D018F4">
        <w:rPr>
          <w:lang w:eastAsia="zh-CN"/>
        </w:rPr>
        <w:t xml:space="preserve"> (UNEP(DTIE)/Hg/INC.7/9)</w:t>
      </w:r>
      <w:r w:rsidRPr="00D018F4">
        <w:rPr>
          <w:rFonts w:eastAsia="MS Gothic"/>
          <w:lang w:eastAsia="zh-CN"/>
        </w:rPr>
        <w:t xml:space="preserve">. </w:t>
      </w:r>
      <w:r w:rsidRPr="00D018F4">
        <w:rPr>
          <w:lang w:eastAsia="zh-CN"/>
        </w:rPr>
        <w:t>Informed</w:t>
      </w:r>
      <w:r w:rsidRPr="00D018F4">
        <w:rPr>
          <w:rFonts w:eastAsia="MS Gothic"/>
          <w:lang w:eastAsia="zh-CN"/>
        </w:rPr>
        <w:t xml:space="preserve"> by these principles and characteristics, and after an extensive discussion of the programme’s potential scope, activities, eligibility and institutional arrangements, the expert group arrived at a shared understanding that UNEP would be the most suitable host institution for the specific </w:t>
      </w:r>
      <w:r w:rsidRPr="00D018F4">
        <w:rPr>
          <w:lang w:eastAsia="zh-CN"/>
        </w:rPr>
        <w:t>international programme. In the context of UNEP, the experts considered a number of possible hosting arrangements under the UNEP umbrella.</w:t>
      </w:r>
    </w:p>
    <w:p w14:paraId="5C19E664" w14:textId="0D6B3DC4" w:rsidR="004D7530" w:rsidRPr="00D018F4" w:rsidRDefault="004D7530" w:rsidP="00AC251C">
      <w:pPr>
        <w:pStyle w:val="Normalnumber"/>
        <w:numPr>
          <w:ilvl w:val="0"/>
          <w:numId w:val="5"/>
        </w:numPr>
        <w:tabs>
          <w:tab w:val="clear" w:pos="1134"/>
          <w:tab w:val="clear" w:pos="1814"/>
          <w:tab w:val="left" w:pos="1843"/>
        </w:tabs>
      </w:pPr>
      <w:r w:rsidRPr="00D018F4">
        <w:rPr>
          <w:lang w:eastAsia="zh-CN"/>
        </w:rPr>
        <w:t xml:space="preserve">Against that background, and to inform </w:t>
      </w:r>
      <w:r w:rsidR="00530F9C" w:rsidRPr="00D018F4">
        <w:rPr>
          <w:lang w:eastAsia="zh-CN"/>
        </w:rPr>
        <w:t xml:space="preserve">the </w:t>
      </w:r>
      <w:r w:rsidRPr="00D018F4">
        <w:rPr>
          <w:lang w:eastAsia="zh-CN"/>
        </w:rPr>
        <w:t xml:space="preserve">discussions at the seventh session of the committee, the expert group invited the Executive Director of UNEP to prepare an information document on the options, as listed in the </w:t>
      </w:r>
      <w:r w:rsidR="000F00DB" w:rsidRPr="00D018F4">
        <w:rPr>
          <w:lang w:eastAsia="zh-CN"/>
        </w:rPr>
        <w:t xml:space="preserve">document </w:t>
      </w:r>
      <w:r w:rsidR="00E02382" w:rsidRPr="00D018F4">
        <w:rPr>
          <w:lang w:eastAsia="zh-CN"/>
        </w:rPr>
        <w:t xml:space="preserve">entitled </w:t>
      </w:r>
      <w:r w:rsidR="000F00DB" w:rsidRPr="00D018F4">
        <w:rPr>
          <w:lang w:eastAsia="zh-CN"/>
        </w:rPr>
        <w:t>“</w:t>
      </w:r>
      <w:r w:rsidR="000F00DB" w:rsidRPr="00D018F4">
        <w:rPr>
          <w:iCs/>
          <w:lang w:eastAsia="zh-CN"/>
        </w:rPr>
        <w:t xml:space="preserve">Options for hosting institutions for the specific international programme and any necessary information available on arrangements with the hosting institutions” </w:t>
      </w:r>
      <w:r w:rsidR="000F00DB" w:rsidRPr="00D018F4">
        <w:rPr>
          <w:lang w:eastAsia="zh-CN"/>
        </w:rPr>
        <w:t>prepared for the expert group meeting by the interim secretariat</w:t>
      </w:r>
      <w:r w:rsidRPr="00D018F4">
        <w:rPr>
          <w:lang w:eastAsia="zh-CN"/>
        </w:rPr>
        <w:t xml:space="preserve">, and related governance arrangements under UNEP as the host institution that could best serve the specific international programme based on the key principles and characteristics identified and discussed by the experts. The expert group further invited the Executive Director of UNEP to take into account the experts’ shared understanding regarding the guidance on the operation of the programme, and to include in the document information </w:t>
      </w:r>
      <w:r w:rsidR="00300585" w:rsidRPr="00D018F4">
        <w:rPr>
          <w:lang w:eastAsia="zh-CN"/>
        </w:rPr>
        <w:t xml:space="preserve">on </w:t>
      </w:r>
      <w:r w:rsidRPr="00D018F4">
        <w:rPr>
          <w:lang w:eastAsia="zh-CN"/>
        </w:rPr>
        <w:t xml:space="preserve">how each arrangement </w:t>
      </w:r>
      <w:r w:rsidR="00E02382" w:rsidRPr="00D018F4">
        <w:rPr>
          <w:lang w:eastAsia="zh-CN"/>
        </w:rPr>
        <w:t>c</w:t>
      </w:r>
      <w:r w:rsidRPr="00D018F4">
        <w:rPr>
          <w:lang w:eastAsia="zh-CN"/>
        </w:rPr>
        <w:t xml:space="preserve">ould contribute to achieving the objective of the specific international programme. </w:t>
      </w:r>
      <w:r w:rsidR="00300585" w:rsidRPr="00D018F4">
        <w:rPr>
          <w:lang w:eastAsia="zh-CN"/>
        </w:rPr>
        <w:t xml:space="preserve">Accordingly, the Executive Director has prepared an </w:t>
      </w:r>
      <w:r w:rsidRPr="00D018F4">
        <w:t>information document</w:t>
      </w:r>
      <w:r w:rsidR="00300585" w:rsidRPr="00D018F4">
        <w:t xml:space="preserve">, which is </w:t>
      </w:r>
      <w:r w:rsidR="007E29D5" w:rsidRPr="00D018F4">
        <w:t>set out in the annex to the present note</w:t>
      </w:r>
      <w:r w:rsidR="00300585" w:rsidRPr="00D018F4">
        <w:t>.</w:t>
      </w:r>
      <w:r w:rsidRPr="00D018F4">
        <w:t xml:space="preserve"> </w:t>
      </w:r>
    </w:p>
    <w:p w14:paraId="68A86849" w14:textId="52185297" w:rsidR="004D7530" w:rsidRPr="00D018F4" w:rsidRDefault="004D7530" w:rsidP="004D7530">
      <w:pPr>
        <w:pStyle w:val="ZZAnxheader"/>
        <w:rPr>
          <w:lang w:val="en-GB"/>
        </w:rPr>
      </w:pPr>
      <w:r w:rsidRPr="00D018F4">
        <w:rPr>
          <w:lang w:val="en-GB"/>
        </w:rPr>
        <w:br w:type="page"/>
      </w:r>
      <w:r w:rsidRPr="00D018F4">
        <w:rPr>
          <w:lang w:val="en-GB"/>
        </w:rPr>
        <w:lastRenderedPageBreak/>
        <w:t xml:space="preserve">Annex </w:t>
      </w:r>
    </w:p>
    <w:p w14:paraId="1834B1A0" w14:textId="662D4365" w:rsidR="004D7530" w:rsidRPr="00D018F4" w:rsidRDefault="004D7530" w:rsidP="003D3618">
      <w:pPr>
        <w:pStyle w:val="ZZAnxtitle"/>
      </w:pPr>
      <w:r w:rsidRPr="00D018F4">
        <w:t xml:space="preserve">Information document prepared by the Executive Director of </w:t>
      </w:r>
      <w:r w:rsidR="00DF456B" w:rsidRPr="00D018F4">
        <w:t xml:space="preserve">the United Nations </w:t>
      </w:r>
      <w:r w:rsidR="00AC251C" w:rsidRPr="00D018F4">
        <w:t>Environment</w:t>
      </w:r>
      <w:r w:rsidR="00DF456B" w:rsidRPr="00D018F4">
        <w:t xml:space="preserve"> Programme</w:t>
      </w:r>
      <w:r w:rsidRPr="00D018F4">
        <w:t xml:space="preserve"> on options and related governance arrangements under </w:t>
      </w:r>
      <w:r w:rsidR="00DF456B" w:rsidRPr="00D018F4">
        <w:t xml:space="preserve">the Programme </w:t>
      </w:r>
      <w:r w:rsidRPr="00D018F4">
        <w:t>as the host institution of the specific international programme</w:t>
      </w:r>
    </w:p>
    <w:p w14:paraId="388F0398" w14:textId="025EA0CD" w:rsidR="004D7530" w:rsidRPr="00D018F4" w:rsidRDefault="004D7530" w:rsidP="004D7530">
      <w:pPr>
        <w:pStyle w:val="Normalnumber"/>
        <w:numPr>
          <w:ilvl w:val="0"/>
          <w:numId w:val="10"/>
        </w:numPr>
        <w:tabs>
          <w:tab w:val="left" w:pos="624"/>
          <w:tab w:val="left" w:pos="1871"/>
          <w:tab w:val="left" w:pos="2495"/>
          <w:tab w:val="left" w:pos="3119"/>
        </w:tabs>
        <w:rPr>
          <w:iCs/>
          <w:lang w:eastAsia="zh-CN"/>
        </w:rPr>
      </w:pPr>
      <w:r w:rsidRPr="00D018F4">
        <w:rPr>
          <w:lang w:eastAsia="zh-CN"/>
        </w:rPr>
        <w:t xml:space="preserve">At its meeting held </w:t>
      </w:r>
      <w:r w:rsidRPr="00D018F4">
        <w:t>in Sao Paulo, Brazil, from 26 to 29 October 2015, the ad hoc working group of experts established by the intergovernmental negotiating committee at its sixth session</w:t>
      </w:r>
      <w:r w:rsidR="007E29D5" w:rsidRPr="00D018F4">
        <w:t xml:space="preserve">, </w:t>
      </w:r>
      <w:r w:rsidR="007E29D5" w:rsidRPr="00D018F4">
        <w:rPr>
          <w:rFonts w:eastAsia="MS Gothic"/>
          <w:lang w:eastAsia="zh-CN"/>
        </w:rPr>
        <w:t>after extensive discussions,</w:t>
      </w:r>
      <w:r w:rsidR="007E29D5" w:rsidRPr="00D018F4">
        <w:t xml:space="preserve"> </w:t>
      </w:r>
      <w:r w:rsidRPr="00D018F4">
        <w:rPr>
          <w:rFonts w:eastAsia="MS Gothic"/>
          <w:lang w:eastAsia="zh-CN"/>
        </w:rPr>
        <w:t xml:space="preserve">arrived at a shared understanding that </w:t>
      </w:r>
      <w:r w:rsidR="00DF456B" w:rsidRPr="00D018F4">
        <w:rPr>
          <w:rFonts w:eastAsia="MS Gothic"/>
          <w:lang w:eastAsia="zh-CN"/>
        </w:rPr>
        <w:t>the United Nations Environment Programme (</w:t>
      </w:r>
      <w:r w:rsidRPr="00D018F4">
        <w:rPr>
          <w:rFonts w:eastAsia="MS Gothic"/>
          <w:lang w:eastAsia="zh-CN"/>
        </w:rPr>
        <w:t>UNEP</w:t>
      </w:r>
      <w:r w:rsidR="00DF456B" w:rsidRPr="00D018F4">
        <w:rPr>
          <w:rFonts w:eastAsia="MS Gothic"/>
          <w:lang w:eastAsia="zh-CN"/>
        </w:rPr>
        <w:t>)</w:t>
      </w:r>
      <w:r w:rsidRPr="00D018F4">
        <w:rPr>
          <w:rFonts w:eastAsia="MS Gothic"/>
          <w:lang w:eastAsia="zh-CN"/>
        </w:rPr>
        <w:t xml:space="preserve"> would be the most suitable host institution for the specific </w:t>
      </w:r>
      <w:r w:rsidRPr="00D018F4">
        <w:rPr>
          <w:lang w:eastAsia="zh-CN"/>
        </w:rPr>
        <w:t>international programme</w:t>
      </w:r>
      <w:r w:rsidR="00DF456B" w:rsidRPr="00D018F4">
        <w:rPr>
          <w:lang w:eastAsia="zh-CN"/>
        </w:rPr>
        <w:t xml:space="preserve"> to support capacity-building and technical assistance</w:t>
      </w:r>
      <w:r w:rsidRPr="00D018F4">
        <w:rPr>
          <w:lang w:eastAsia="zh-CN"/>
        </w:rPr>
        <w:t>. Under the UNEP umbrella</w:t>
      </w:r>
      <w:r w:rsidRPr="00D018F4">
        <w:rPr>
          <w:iCs/>
          <w:lang w:eastAsia="zh-CN"/>
        </w:rPr>
        <w:t>, the expert group considered</w:t>
      </w:r>
      <w:r w:rsidRPr="00D018F4">
        <w:rPr>
          <w:lang w:eastAsia="zh-CN"/>
        </w:rPr>
        <w:t xml:space="preserve"> several possible hosting arrangements outlined in the document</w:t>
      </w:r>
      <w:r w:rsidR="00DF456B" w:rsidRPr="00D018F4">
        <w:rPr>
          <w:lang w:eastAsia="zh-CN"/>
        </w:rPr>
        <w:t xml:space="preserve"> entitled</w:t>
      </w:r>
      <w:r w:rsidRPr="00D018F4">
        <w:rPr>
          <w:lang w:eastAsia="zh-CN"/>
        </w:rPr>
        <w:t xml:space="preserve"> “</w:t>
      </w:r>
      <w:r w:rsidRPr="00D018F4">
        <w:rPr>
          <w:iCs/>
          <w:lang w:eastAsia="zh-CN"/>
        </w:rPr>
        <w:t>Options for hosting institutions for the specific international programme and any necessary information available on arrangements with the hosting institutions”</w:t>
      </w:r>
      <w:r w:rsidR="005E6E16" w:rsidRPr="00D018F4">
        <w:rPr>
          <w:iCs/>
          <w:lang w:eastAsia="zh-CN"/>
        </w:rPr>
        <w:t xml:space="preserve"> </w:t>
      </w:r>
      <w:r w:rsidR="005E6E16" w:rsidRPr="00D018F4">
        <w:rPr>
          <w:lang w:eastAsia="zh-CN"/>
        </w:rPr>
        <w:t xml:space="preserve">prepared for the </w:t>
      </w:r>
      <w:r w:rsidR="000F00DB" w:rsidRPr="00D018F4">
        <w:rPr>
          <w:lang w:eastAsia="zh-CN"/>
        </w:rPr>
        <w:t xml:space="preserve">expert group </w:t>
      </w:r>
      <w:r w:rsidR="005E6E16" w:rsidRPr="00D018F4">
        <w:rPr>
          <w:lang w:eastAsia="zh-CN"/>
        </w:rPr>
        <w:t>meeting by the interim secretariat</w:t>
      </w:r>
      <w:r w:rsidRPr="00D018F4">
        <w:rPr>
          <w:lang w:eastAsia="zh-CN"/>
        </w:rPr>
        <w:t xml:space="preserve">. </w:t>
      </w:r>
    </w:p>
    <w:p w14:paraId="6189A819" w14:textId="3F8E793B" w:rsidR="004D7530" w:rsidRPr="00D018F4" w:rsidRDefault="004D7530" w:rsidP="000F00DB">
      <w:pPr>
        <w:pStyle w:val="Normalnumber"/>
        <w:numPr>
          <w:ilvl w:val="0"/>
          <w:numId w:val="10"/>
        </w:numPr>
        <w:tabs>
          <w:tab w:val="left" w:pos="624"/>
          <w:tab w:val="left" w:pos="1871"/>
          <w:tab w:val="left" w:pos="2495"/>
          <w:tab w:val="left" w:pos="3119"/>
        </w:tabs>
        <w:rPr>
          <w:iCs/>
          <w:lang w:eastAsia="zh-CN"/>
        </w:rPr>
      </w:pPr>
      <w:r w:rsidRPr="00D018F4">
        <w:rPr>
          <w:lang w:eastAsia="zh-CN"/>
        </w:rPr>
        <w:t>Upon the invitation of the expert group</w:t>
      </w:r>
      <w:r w:rsidR="00DF456B" w:rsidRPr="00D018F4">
        <w:rPr>
          <w:lang w:eastAsia="zh-CN"/>
        </w:rPr>
        <w:t>,</w:t>
      </w:r>
      <w:r w:rsidRPr="00D018F4">
        <w:rPr>
          <w:lang w:eastAsia="zh-CN"/>
        </w:rPr>
        <w:t xml:space="preserve"> in order to inform </w:t>
      </w:r>
      <w:r w:rsidR="00DF456B" w:rsidRPr="00D018F4">
        <w:rPr>
          <w:lang w:eastAsia="zh-CN"/>
        </w:rPr>
        <w:t xml:space="preserve">the </w:t>
      </w:r>
      <w:r w:rsidRPr="00D018F4">
        <w:rPr>
          <w:lang w:eastAsia="zh-CN"/>
        </w:rPr>
        <w:t>discussions of the c</w:t>
      </w:r>
      <w:r w:rsidR="00C06B96" w:rsidRPr="00D018F4">
        <w:rPr>
          <w:lang w:eastAsia="zh-CN"/>
        </w:rPr>
        <w:t>ommittee at its seventh session</w:t>
      </w:r>
      <w:r w:rsidRPr="00D018F4">
        <w:rPr>
          <w:lang w:eastAsia="zh-CN"/>
        </w:rPr>
        <w:t xml:space="preserve"> </w:t>
      </w:r>
      <w:r w:rsidR="00702D3E" w:rsidRPr="00D018F4">
        <w:rPr>
          <w:lang w:eastAsia="zh-CN"/>
        </w:rPr>
        <w:t>and based on the guidance of the expert group</w:t>
      </w:r>
      <w:r w:rsidR="00C06B96" w:rsidRPr="00D018F4">
        <w:rPr>
          <w:lang w:eastAsia="zh-CN"/>
        </w:rPr>
        <w:t>,</w:t>
      </w:r>
      <w:r w:rsidR="00702D3E" w:rsidRPr="00D018F4">
        <w:rPr>
          <w:lang w:eastAsia="zh-CN"/>
        </w:rPr>
        <w:t xml:space="preserve"> </w:t>
      </w:r>
      <w:r w:rsidRPr="00D018F4">
        <w:rPr>
          <w:lang w:eastAsia="zh-CN"/>
        </w:rPr>
        <w:t xml:space="preserve">three options for the hosting of the specific international programme are presented in the present </w:t>
      </w:r>
      <w:r w:rsidR="008A2BD2" w:rsidRPr="00D018F4">
        <w:rPr>
          <w:lang w:eastAsia="zh-CN"/>
        </w:rPr>
        <w:t>document</w:t>
      </w:r>
      <w:r w:rsidRPr="00D018F4">
        <w:rPr>
          <w:lang w:eastAsia="zh-CN"/>
        </w:rPr>
        <w:t xml:space="preserve">, namely: </w:t>
      </w:r>
    </w:p>
    <w:p w14:paraId="7902A4AA" w14:textId="6D6AD041" w:rsidR="004D7530" w:rsidRPr="00D018F4" w:rsidRDefault="0082499C" w:rsidP="003D3618">
      <w:pPr>
        <w:pStyle w:val="Normalnumber"/>
        <w:numPr>
          <w:ilvl w:val="0"/>
          <w:numId w:val="19"/>
        </w:numPr>
        <w:tabs>
          <w:tab w:val="clear" w:pos="1247"/>
          <w:tab w:val="clear" w:pos="1814"/>
          <w:tab w:val="clear" w:pos="2381"/>
          <w:tab w:val="clear" w:pos="2948"/>
          <w:tab w:val="clear" w:pos="3515"/>
          <w:tab w:val="clear" w:pos="4082"/>
          <w:tab w:val="left" w:pos="624"/>
        </w:tabs>
        <w:ind w:left="1247" w:firstLine="624"/>
        <w:rPr>
          <w:lang w:eastAsia="zh-CN"/>
        </w:rPr>
      </w:pPr>
      <w:r w:rsidRPr="00D018F4">
        <w:rPr>
          <w:lang w:eastAsia="zh-CN"/>
        </w:rPr>
        <w:t xml:space="preserve">Hosting by the </w:t>
      </w:r>
      <w:r w:rsidR="004D7530" w:rsidRPr="00D018F4">
        <w:rPr>
          <w:lang w:eastAsia="zh-CN"/>
        </w:rPr>
        <w:t>Chemicals and Waste Branch</w:t>
      </w:r>
      <w:r w:rsidR="002141A9" w:rsidRPr="00D018F4">
        <w:rPr>
          <w:lang w:eastAsia="zh-CN"/>
        </w:rPr>
        <w:t xml:space="preserve"> </w:t>
      </w:r>
      <w:r w:rsidR="004D7530" w:rsidRPr="00D018F4">
        <w:rPr>
          <w:lang w:eastAsia="zh-CN"/>
        </w:rPr>
        <w:t xml:space="preserve">of </w:t>
      </w:r>
      <w:r w:rsidR="00DF456B" w:rsidRPr="00D018F4">
        <w:rPr>
          <w:lang w:eastAsia="zh-CN"/>
        </w:rPr>
        <w:t xml:space="preserve">the </w:t>
      </w:r>
      <w:r w:rsidR="004D7530" w:rsidRPr="00D018F4">
        <w:rPr>
          <w:lang w:eastAsia="zh-CN"/>
        </w:rPr>
        <w:t xml:space="preserve">UNEP Division of Technology, Industry and Economics; </w:t>
      </w:r>
    </w:p>
    <w:p w14:paraId="757408F0" w14:textId="467441E6" w:rsidR="004D7530" w:rsidRPr="00D018F4" w:rsidRDefault="0082499C" w:rsidP="003D3618">
      <w:pPr>
        <w:pStyle w:val="Normalnumber"/>
        <w:numPr>
          <w:ilvl w:val="0"/>
          <w:numId w:val="19"/>
        </w:numPr>
        <w:tabs>
          <w:tab w:val="clear" w:pos="1247"/>
          <w:tab w:val="clear" w:pos="1814"/>
          <w:tab w:val="clear" w:pos="2381"/>
          <w:tab w:val="clear" w:pos="2948"/>
          <w:tab w:val="clear" w:pos="3515"/>
          <w:tab w:val="clear" w:pos="4082"/>
          <w:tab w:val="left" w:pos="624"/>
        </w:tabs>
        <w:ind w:left="1247" w:firstLine="624"/>
        <w:rPr>
          <w:lang w:eastAsia="zh-CN"/>
        </w:rPr>
      </w:pPr>
      <w:r w:rsidRPr="00D018F4">
        <w:rPr>
          <w:lang w:eastAsia="zh-CN"/>
        </w:rPr>
        <w:t xml:space="preserve">Hosting by the </w:t>
      </w:r>
      <w:r w:rsidR="004D7530" w:rsidRPr="00D018F4">
        <w:rPr>
          <w:lang w:eastAsia="zh-CN"/>
        </w:rPr>
        <w:t>Secretariat of the Minamata Convention</w:t>
      </w:r>
      <w:r w:rsidR="00DF456B" w:rsidRPr="00D018F4">
        <w:rPr>
          <w:lang w:eastAsia="zh-CN"/>
        </w:rPr>
        <w:t xml:space="preserve"> on Mercury</w:t>
      </w:r>
      <w:r w:rsidR="004D7530" w:rsidRPr="00D018F4">
        <w:rPr>
          <w:lang w:eastAsia="zh-CN"/>
        </w:rPr>
        <w:t xml:space="preserve">; </w:t>
      </w:r>
    </w:p>
    <w:p w14:paraId="7F87D0B3" w14:textId="27D8305F" w:rsidR="004D7530" w:rsidRPr="00D018F4" w:rsidRDefault="0082499C" w:rsidP="003D3618">
      <w:pPr>
        <w:pStyle w:val="Normalnumber"/>
        <w:numPr>
          <w:ilvl w:val="0"/>
          <w:numId w:val="19"/>
        </w:numPr>
        <w:tabs>
          <w:tab w:val="clear" w:pos="1247"/>
          <w:tab w:val="clear" w:pos="1814"/>
          <w:tab w:val="clear" w:pos="2381"/>
          <w:tab w:val="clear" w:pos="2948"/>
          <w:tab w:val="clear" w:pos="3515"/>
          <w:tab w:val="clear" w:pos="4082"/>
          <w:tab w:val="left" w:pos="624"/>
        </w:tabs>
        <w:ind w:left="1247" w:firstLine="624"/>
        <w:rPr>
          <w:lang w:eastAsia="zh-CN"/>
        </w:rPr>
      </w:pPr>
      <w:r w:rsidRPr="00D018F4">
        <w:rPr>
          <w:lang w:eastAsia="zh-CN"/>
        </w:rPr>
        <w:t xml:space="preserve">Hosting by the </w:t>
      </w:r>
      <w:r w:rsidR="004D7530" w:rsidRPr="00D018F4">
        <w:rPr>
          <w:lang w:eastAsia="zh-CN"/>
        </w:rPr>
        <w:t>Secretariat of the Basel</w:t>
      </w:r>
      <w:r w:rsidR="00DF456B" w:rsidRPr="00D018F4">
        <w:rPr>
          <w:lang w:eastAsia="zh-CN"/>
        </w:rPr>
        <w:t xml:space="preserve"> Convention on the Control of Transboundary Movements of Hazardous Wastes and Their Disposal</w:t>
      </w:r>
      <w:r w:rsidR="004D7530" w:rsidRPr="00D018F4">
        <w:rPr>
          <w:lang w:eastAsia="zh-CN"/>
        </w:rPr>
        <w:t>,</w:t>
      </w:r>
      <w:r w:rsidR="00DF456B" w:rsidRPr="00D018F4">
        <w:rPr>
          <w:lang w:eastAsia="zh-CN"/>
        </w:rPr>
        <w:t xml:space="preserve"> the</w:t>
      </w:r>
      <w:r w:rsidR="004D7530" w:rsidRPr="00D018F4">
        <w:rPr>
          <w:lang w:eastAsia="zh-CN"/>
        </w:rPr>
        <w:t xml:space="preserve"> Rotterdam</w:t>
      </w:r>
      <w:r w:rsidR="00DF456B" w:rsidRPr="00D018F4">
        <w:rPr>
          <w:lang w:eastAsia="zh-CN"/>
        </w:rPr>
        <w:t xml:space="preserve"> Convention on the Prior Informed Consent Procedure for Certain Hazardous Chemicals and Pesticides in International Trade</w:t>
      </w:r>
      <w:r w:rsidR="004D7530" w:rsidRPr="00D018F4">
        <w:rPr>
          <w:lang w:eastAsia="zh-CN"/>
        </w:rPr>
        <w:t xml:space="preserve"> and</w:t>
      </w:r>
      <w:r w:rsidR="00DF456B" w:rsidRPr="00D018F4">
        <w:rPr>
          <w:lang w:eastAsia="zh-CN"/>
        </w:rPr>
        <w:t xml:space="preserve"> the</w:t>
      </w:r>
      <w:r w:rsidR="004D7530" w:rsidRPr="00D018F4">
        <w:rPr>
          <w:lang w:eastAsia="zh-CN"/>
        </w:rPr>
        <w:t xml:space="preserve"> Stockholm Convention</w:t>
      </w:r>
      <w:r w:rsidR="00DF456B" w:rsidRPr="00D018F4">
        <w:rPr>
          <w:lang w:eastAsia="zh-CN"/>
        </w:rPr>
        <w:t xml:space="preserve"> on Persistent Organic Pollutants</w:t>
      </w:r>
      <w:r w:rsidR="004D7530" w:rsidRPr="00D018F4">
        <w:rPr>
          <w:lang w:eastAsia="zh-CN"/>
        </w:rPr>
        <w:t>.</w:t>
      </w:r>
      <w:r w:rsidR="00495D1E" w:rsidRPr="00D018F4">
        <w:rPr>
          <w:lang w:eastAsia="zh-CN"/>
        </w:rPr>
        <w:t xml:space="preserve"> </w:t>
      </w:r>
    </w:p>
    <w:p w14:paraId="185E6A6D" w14:textId="157A8C26" w:rsidR="004D7530" w:rsidRPr="00D018F4" w:rsidRDefault="004D7530" w:rsidP="00617AA1">
      <w:pPr>
        <w:pStyle w:val="Normalnumber"/>
        <w:numPr>
          <w:ilvl w:val="0"/>
          <w:numId w:val="10"/>
        </w:numPr>
        <w:tabs>
          <w:tab w:val="left" w:pos="624"/>
          <w:tab w:val="left" w:pos="1871"/>
          <w:tab w:val="left" w:pos="2495"/>
          <w:tab w:val="left" w:pos="3119"/>
        </w:tabs>
        <w:rPr>
          <w:iCs/>
          <w:lang w:eastAsia="zh-CN"/>
        </w:rPr>
      </w:pPr>
      <w:r w:rsidRPr="00D018F4">
        <w:rPr>
          <w:lang w:eastAsia="zh-CN"/>
        </w:rPr>
        <w:t xml:space="preserve">These three options and the related governance arrangements are considered on the basis of the key principles and characteristics identified and discussed by the experts for the selection of a host institution, taking into account the experts’ shared understanding </w:t>
      </w:r>
      <w:r w:rsidR="00C03657" w:rsidRPr="00D018F4">
        <w:rPr>
          <w:lang w:eastAsia="zh-CN"/>
        </w:rPr>
        <w:t>regarding</w:t>
      </w:r>
      <w:r w:rsidRPr="00D018F4">
        <w:rPr>
          <w:lang w:eastAsia="zh-CN"/>
        </w:rPr>
        <w:t xml:space="preserve"> the guidance on the operation of the programme and including information regarding how each arrangement would contribute to achieving the objective of the specific international programme.</w:t>
      </w:r>
    </w:p>
    <w:p w14:paraId="792593C3" w14:textId="00318CD2" w:rsidR="00BF1B81" w:rsidRPr="00D018F4" w:rsidRDefault="00BF1B81" w:rsidP="00AC251C">
      <w:pPr>
        <w:pStyle w:val="Normalnumber"/>
        <w:numPr>
          <w:ilvl w:val="0"/>
          <w:numId w:val="10"/>
        </w:numPr>
        <w:tabs>
          <w:tab w:val="left" w:pos="624"/>
          <w:tab w:val="left" w:pos="1871"/>
          <w:tab w:val="left" w:pos="2495"/>
          <w:tab w:val="left" w:pos="3119"/>
        </w:tabs>
        <w:rPr>
          <w:iCs/>
          <w:lang w:eastAsia="zh-CN"/>
        </w:rPr>
      </w:pPr>
      <w:r w:rsidRPr="00D018F4">
        <w:t xml:space="preserve">Regarding </w:t>
      </w:r>
      <w:r w:rsidR="00AF0C78" w:rsidRPr="00D018F4">
        <w:t xml:space="preserve">programme </w:t>
      </w:r>
      <w:r w:rsidRPr="00D018F4">
        <w:t>support costs, the fee charged by UNEP</w:t>
      </w:r>
      <w:r w:rsidR="00117775" w:rsidRPr="00D018F4">
        <w:t>, including the</w:t>
      </w:r>
      <w:r w:rsidR="004F1EB2" w:rsidRPr="00D018F4">
        <w:t xml:space="preserve"> </w:t>
      </w:r>
      <w:r w:rsidR="002141A9" w:rsidRPr="00D018F4">
        <w:t>s</w:t>
      </w:r>
      <w:r w:rsidR="00117775" w:rsidRPr="00D018F4">
        <w:t xml:space="preserve">ecretariat of the Basel, Rotterdam and Stockholm </w:t>
      </w:r>
      <w:r w:rsidR="002141A9" w:rsidRPr="00D018F4">
        <w:t>c</w:t>
      </w:r>
      <w:r w:rsidR="00117775" w:rsidRPr="00D018F4">
        <w:t>onventions,</w:t>
      </w:r>
      <w:r w:rsidRPr="00D018F4">
        <w:t xml:space="preserve"> to host and administer </w:t>
      </w:r>
      <w:r w:rsidR="00365F45" w:rsidRPr="00D018F4">
        <w:t>t</w:t>
      </w:r>
      <w:r w:rsidR="00AF0C78" w:rsidRPr="00D018F4">
        <w:t xml:space="preserve">rust funds </w:t>
      </w:r>
      <w:r w:rsidRPr="00D018F4">
        <w:t>is 13</w:t>
      </w:r>
      <w:r w:rsidR="00DF456B" w:rsidRPr="00D018F4">
        <w:t xml:space="preserve"> per cent </w:t>
      </w:r>
      <w:r w:rsidR="00AF0C78" w:rsidRPr="00D018F4">
        <w:t>o</w:t>
      </w:r>
      <w:r w:rsidR="00F039B5" w:rsidRPr="00D018F4">
        <w:t>f</w:t>
      </w:r>
      <w:r w:rsidR="00AF0C78" w:rsidRPr="00D018F4">
        <w:t xml:space="preserve"> the expenditure of the trust fund</w:t>
      </w:r>
      <w:r w:rsidR="00DF456B" w:rsidRPr="00D018F4">
        <w:t xml:space="preserve">. A lower rate has been negotiated, however, </w:t>
      </w:r>
      <w:r w:rsidRPr="00D018F4">
        <w:rPr>
          <w:iCs/>
          <w:lang w:eastAsia="zh-CN"/>
        </w:rPr>
        <w:t xml:space="preserve">for certain trust funds. </w:t>
      </w:r>
      <w:r w:rsidRPr="00D018F4">
        <w:t>In terms of accountability, the accounts and financial management of the trust funds hosted by UNEP</w:t>
      </w:r>
      <w:r w:rsidR="000D2BE6" w:rsidRPr="00D018F4">
        <w:t xml:space="preserve">, </w:t>
      </w:r>
      <w:r w:rsidR="001F7859" w:rsidRPr="00D018F4">
        <w:t>including those of the Basel, Rotterdam and Stockholm conventions</w:t>
      </w:r>
      <w:r w:rsidR="000D2BE6" w:rsidRPr="00D018F4">
        <w:t>,</w:t>
      </w:r>
      <w:r w:rsidRPr="00D018F4">
        <w:t xml:space="preserve"> are subject to the general internal and external audit process of the United Nations. </w:t>
      </w:r>
    </w:p>
    <w:p w14:paraId="31A29A93" w14:textId="529E66E5" w:rsidR="00ED2C99" w:rsidRPr="00D018F4" w:rsidRDefault="00ED2C99" w:rsidP="004D7530">
      <w:pPr>
        <w:pStyle w:val="Normalnumber"/>
        <w:numPr>
          <w:ilvl w:val="0"/>
          <w:numId w:val="10"/>
        </w:numPr>
        <w:tabs>
          <w:tab w:val="left" w:pos="624"/>
          <w:tab w:val="left" w:pos="1871"/>
          <w:tab w:val="left" w:pos="2495"/>
          <w:tab w:val="left" w:pos="3119"/>
        </w:tabs>
        <w:rPr>
          <w:iCs/>
          <w:lang w:eastAsia="zh-CN"/>
        </w:rPr>
      </w:pPr>
      <w:r w:rsidRPr="00D018F4">
        <w:rPr>
          <w:lang w:eastAsia="zh-CN"/>
        </w:rPr>
        <w:t xml:space="preserve">It should be noted that the present </w:t>
      </w:r>
      <w:r w:rsidR="00D81F15" w:rsidRPr="00D018F4">
        <w:rPr>
          <w:lang w:eastAsia="zh-CN"/>
        </w:rPr>
        <w:t xml:space="preserve">information </w:t>
      </w:r>
      <w:r w:rsidRPr="00D018F4">
        <w:rPr>
          <w:lang w:eastAsia="zh-CN"/>
        </w:rPr>
        <w:t>document does not provide an extensive analysis of staffing costs, since th</w:t>
      </w:r>
      <w:r w:rsidR="002141A9" w:rsidRPr="00D018F4">
        <w:rPr>
          <w:lang w:eastAsia="zh-CN"/>
        </w:rPr>
        <w:t>e</w:t>
      </w:r>
      <w:r w:rsidRPr="00D018F4">
        <w:rPr>
          <w:lang w:eastAsia="zh-CN"/>
        </w:rPr>
        <w:t xml:space="preserve">se are likely to be similar for each of the three options and would vary depending on the scope </w:t>
      </w:r>
      <w:r w:rsidR="00176984" w:rsidRPr="00D018F4">
        <w:rPr>
          <w:lang w:eastAsia="zh-CN"/>
        </w:rPr>
        <w:t xml:space="preserve">and size </w:t>
      </w:r>
      <w:r w:rsidRPr="00D018F4">
        <w:rPr>
          <w:lang w:eastAsia="zh-CN"/>
        </w:rPr>
        <w:t>of the specific international programme and the duties the secretariat is tasked with.</w:t>
      </w:r>
    </w:p>
    <w:p w14:paraId="343DE8CC" w14:textId="2C8028EB" w:rsidR="004D7530" w:rsidRPr="00D018F4" w:rsidRDefault="00A10E2B" w:rsidP="003D3618">
      <w:pPr>
        <w:pStyle w:val="CH1"/>
        <w:rPr>
          <w:bCs/>
          <w:lang w:eastAsia="zh-CN"/>
        </w:rPr>
      </w:pPr>
      <w:r w:rsidRPr="00D018F4">
        <w:rPr>
          <w:lang w:eastAsia="zh-CN"/>
        </w:rPr>
        <w:tab/>
        <w:t>I.</w:t>
      </w:r>
      <w:r w:rsidRPr="00D018F4">
        <w:rPr>
          <w:lang w:eastAsia="zh-CN"/>
        </w:rPr>
        <w:tab/>
      </w:r>
      <w:r w:rsidR="004D7530" w:rsidRPr="00D018F4">
        <w:rPr>
          <w:bCs/>
          <w:lang w:eastAsia="zh-CN"/>
        </w:rPr>
        <w:t xml:space="preserve">Hosting by the Chemicals and Waste Branch of </w:t>
      </w:r>
      <w:r w:rsidR="00DF456B" w:rsidRPr="00D018F4">
        <w:rPr>
          <w:bCs/>
          <w:lang w:eastAsia="zh-CN"/>
        </w:rPr>
        <w:t xml:space="preserve">the </w:t>
      </w:r>
      <w:r w:rsidR="004D7530" w:rsidRPr="00D018F4">
        <w:rPr>
          <w:bCs/>
          <w:lang w:eastAsia="zh-CN"/>
        </w:rPr>
        <w:t>UNEP Division of Technology, Industry and Economics</w:t>
      </w:r>
    </w:p>
    <w:p w14:paraId="46189B26" w14:textId="386173EE" w:rsidR="004D7530" w:rsidRPr="00D018F4" w:rsidRDefault="004D7530" w:rsidP="00C03657">
      <w:pPr>
        <w:pStyle w:val="MediumShading1-Accent11"/>
        <w:numPr>
          <w:ilvl w:val="0"/>
          <w:numId w:val="10"/>
        </w:numPr>
        <w:spacing w:after="120"/>
        <w:ind w:left="1247"/>
        <w:rPr>
          <w:rFonts w:ascii="Times New Roman" w:hAnsi="Times New Roman" w:cs="Times New Roman"/>
          <w:sz w:val="20"/>
          <w:szCs w:val="20"/>
          <w:lang w:val="en-GB"/>
        </w:rPr>
      </w:pPr>
      <w:r w:rsidRPr="00D018F4">
        <w:rPr>
          <w:rFonts w:ascii="Times New Roman" w:hAnsi="Times New Roman" w:cs="Times New Roman"/>
          <w:sz w:val="20"/>
          <w:szCs w:val="20"/>
          <w:lang w:val="en-GB"/>
        </w:rPr>
        <w:t xml:space="preserve">Through </w:t>
      </w:r>
      <w:r w:rsidR="00DF456B" w:rsidRPr="00D018F4">
        <w:rPr>
          <w:rFonts w:ascii="Times New Roman" w:hAnsi="Times New Roman" w:cs="Times New Roman"/>
          <w:sz w:val="20"/>
          <w:szCs w:val="20"/>
          <w:lang w:val="en-GB"/>
        </w:rPr>
        <w:t>its</w:t>
      </w:r>
      <w:r w:rsidRPr="00D018F4">
        <w:rPr>
          <w:rFonts w:ascii="Times New Roman" w:hAnsi="Times New Roman" w:cs="Times New Roman"/>
          <w:sz w:val="20"/>
          <w:szCs w:val="20"/>
          <w:lang w:val="en-GB"/>
        </w:rPr>
        <w:t xml:space="preserve"> Chemicals and Waste Branch, based in Geneva and located in the Division of Technology, Industry and Economics, UNEP conducts work to address global chemicals and waste issues, including mercury. The Branch hosts a range of international programmes</w:t>
      </w:r>
      <w:r w:rsidR="00CC6F54" w:rsidRPr="00D018F4">
        <w:rPr>
          <w:rFonts w:ascii="Times New Roman" w:hAnsi="Times New Roman" w:cs="Times New Roman"/>
          <w:sz w:val="20"/>
          <w:szCs w:val="20"/>
          <w:lang w:val="en-GB"/>
        </w:rPr>
        <w:t>, secretariats, initiatives and partnerships</w:t>
      </w:r>
      <w:r w:rsidRPr="00D018F4">
        <w:rPr>
          <w:rFonts w:ascii="Times New Roman" w:hAnsi="Times New Roman" w:cs="Times New Roman"/>
          <w:sz w:val="20"/>
          <w:szCs w:val="20"/>
          <w:lang w:val="en-GB"/>
        </w:rPr>
        <w:t xml:space="preserve">, such </w:t>
      </w:r>
      <w:r w:rsidR="00C06B96" w:rsidRPr="00D018F4">
        <w:rPr>
          <w:rFonts w:ascii="Times New Roman" w:hAnsi="Times New Roman" w:cs="Times New Roman"/>
          <w:sz w:val="20"/>
          <w:szCs w:val="20"/>
          <w:lang w:val="en-GB"/>
        </w:rPr>
        <w:t xml:space="preserve">as </w:t>
      </w:r>
      <w:r w:rsidRPr="00D018F4">
        <w:rPr>
          <w:rFonts w:ascii="Times New Roman" w:hAnsi="Times New Roman" w:cs="Times New Roman"/>
          <w:sz w:val="20"/>
          <w:szCs w:val="20"/>
          <w:lang w:val="en-GB"/>
        </w:rPr>
        <w:t xml:space="preserve">the secretariats of the Strategic Approach to International Chemicals Management, including the Quick Start Programme; the Special Programme to support institutional strengthening at the national level for implementation of the Basel, Rotterdam and Stockholm </w:t>
      </w:r>
      <w:r w:rsidR="002141A9" w:rsidRPr="00D018F4">
        <w:rPr>
          <w:rFonts w:ascii="Times New Roman" w:hAnsi="Times New Roman" w:cs="Times New Roman"/>
          <w:sz w:val="20"/>
          <w:szCs w:val="20"/>
          <w:lang w:val="en-GB"/>
        </w:rPr>
        <w:t>c</w:t>
      </w:r>
      <w:r w:rsidRPr="00D018F4">
        <w:rPr>
          <w:rFonts w:ascii="Times New Roman" w:hAnsi="Times New Roman" w:cs="Times New Roman"/>
          <w:sz w:val="20"/>
          <w:szCs w:val="20"/>
          <w:lang w:val="en-GB"/>
        </w:rPr>
        <w:t xml:space="preserve">onventions, the Minamata </w:t>
      </w:r>
      <w:r w:rsidR="00111068" w:rsidRPr="00D018F4">
        <w:rPr>
          <w:rFonts w:ascii="Times New Roman" w:hAnsi="Times New Roman" w:cs="Times New Roman"/>
          <w:sz w:val="20"/>
          <w:szCs w:val="20"/>
          <w:lang w:val="en-GB"/>
        </w:rPr>
        <w:t>C</w:t>
      </w:r>
      <w:r w:rsidRPr="00D018F4">
        <w:rPr>
          <w:rFonts w:ascii="Times New Roman" w:hAnsi="Times New Roman" w:cs="Times New Roman"/>
          <w:sz w:val="20"/>
          <w:szCs w:val="20"/>
          <w:lang w:val="en-GB"/>
        </w:rPr>
        <w:t>onvention</w:t>
      </w:r>
      <w:r w:rsidR="005957A8" w:rsidRPr="00D018F4">
        <w:rPr>
          <w:rFonts w:ascii="Times New Roman" w:hAnsi="Times New Roman" w:cs="Times New Roman"/>
          <w:sz w:val="20"/>
          <w:szCs w:val="20"/>
          <w:lang w:val="en-GB"/>
        </w:rPr>
        <w:t xml:space="preserve"> </w:t>
      </w:r>
      <w:r w:rsidRPr="00D018F4">
        <w:rPr>
          <w:rFonts w:ascii="Times New Roman" w:hAnsi="Times New Roman" w:cs="Times New Roman"/>
          <w:sz w:val="20"/>
          <w:szCs w:val="20"/>
          <w:lang w:val="en-GB"/>
        </w:rPr>
        <w:t xml:space="preserve">and </w:t>
      </w:r>
      <w:r w:rsidR="00196832" w:rsidRPr="00D018F4">
        <w:rPr>
          <w:rFonts w:ascii="Times New Roman" w:hAnsi="Times New Roman" w:cs="Times New Roman"/>
          <w:sz w:val="20"/>
          <w:szCs w:val="20"/>
          <w:lang w:val="en-GB"/>
        </w:rPr>
        <w:t>the Strategic Approach</w:t>
      </w:r>
      <w:r w:rsidRPr="00D018F4">
        <w:rPr>
          <w:rFonts w:ascii="Times New Roman" w:hAnsi="Times New Roman" w:cs="Times New Roman"/>
          <w:sz w:val="20"/>
          <w:szCs w:val="20"/>
          <w:lang w:val="en-GB"/>
        </w:rPr>
        <w:t xml:space="preserve">; the Global Alliance </w:t>
      </w:r>
      <w:r w:rsidR="00420924" w:rsidRPr="00D018F4">
        <w:rPr>
          <w:rFonts w:ascii="Times New Roman" w:hAnsi="Times New Roman" w:cs="Times New Roman"/>
          <w:sz w:val="20"/>
          <w:szCs w:val="20"/>
          <w:lang w:val="en-GB"/>
        </w:rPr>
        <w:t xml:space="preserve">to Eliminate </w:t>
      </w:r>
      <w:r w:rsidRPr="00D018F4">
        <w:rPr>
          <w:rFonts w:ascii="Times New Roman" w:hAnsi="Times New Roman" w:cs="Times New Roman"/>
          <w:sz w:val="20"/>
          <w:szCs w:val="20"/>
          <w:lang w:val="en-GB"/>
        </w:rPr>
        <w:t>Lead Paint; the UNEP Global Mercury Partnership</w:t>
      </w:r>
      <w:r w:rsidR="00C03657" w:rsidRPr="00D018F4">
        <w:rPr>
          <w:rFonts w:ascii="Times New Roman" w:hAnsi="Times New Roman" w:cs="Times New Roman"/>
          <w:sz w:val="20"/>
          <w:szCs w:val="20"/>
          <w:lang w:val="en-GB"/>
        </w:rPr>
        <w:t>;</w:t>
      </w:r>
      <w:r w:rsidR="00555F8E" w:rsidRPr="00D018F4">
        <w:rPr>
          <w:rFonts w:ascii="Times New Roman" w:hAnsi="Times New Roman" w:cs="Times New Roman"/>
          <w:sz w:val="20"/>
          <w:szCs w:val="20"/>
          <w:lang w:val="en-GB"/>
        </w:rPr>
        <w:t xml:space="preserve"> </w:t>
      </w:r>
      <w:r w:rsidRPr="00D018F4">
        <w:rPr>
          <w:rFonts w:ascii="Times New Roman" w:hAnsi="Times New Roman" w:cs="Times New Roman"/>
          <w:sz w:val="20"/>
          <w:szCs w:val="20"/>
          <w:lang w:val="en-GB"/>
        </w:rPr>
        <w:t>and the secretariat that serviced the negotiations process to prepare a global legally binding instrument on mercury, now the interim secretariat of the Minamata Convention until the first meeting of the Conference of the Parties</w:t>
      </w:r>
      <w:r w:rsidR="00420924" w:rsidRPr="00D018F4">
        <w:rPr>
          <w:rFonts w:ascii="Times New Roman" w:hAnsi="Times New Roman" w:cs="Times New Roman"/>
          <w:sz w:val="20"/>
          <w:szCs w:val="20"/>
          <w:lang w:val="en-GB"/>
        </w:rPr>
        <w:t xml:space="preserve"> to the Convention</w:t>
      </w:r>
      <w:r w:rsidRPr="00D018F4">
        <w:rPr>
          <w:rFonts w:ascii="Times New Roman" w:hAnsi="Times New Roman" w:cs="Times New Roman"/>
          <w:sz w:val="20"/>
          <w:szCs w:val="20"/>
          <w:lang w:val="en-GB"/>
        </w:rPr>
        <w:t xml:space="preserve">. Through these secretariats, the Chemicals and Waste Branch has conducted a wide range </w:t>
      </w:r>
      <w:r w:rsidRPr="00D018F4">
        <w:rPr>
          <w:rFonts w:ascii="Times New Roman" w:hAnsi="Times New Roman" w:cs="Times New Roman"/>
          <w:sz w:val="20"/>
          <w:szCs w:val="20"/>
          <w:lang w:val="en-GB"/>
        </w:rPr>
        <w:lastRenderedPageBreak/>
        <w:t>of activities and projects</w:t>
      </w:r>
      <w:r w:rsidR="00C06B96" w:rsidRPr="00D018F4">
        <w:rPr>
          <w:rFonts w:ascii="Times New Roman" w:hAnsi="Times New Roman" w:cs="Times New Roman"/>
          <w:sz w:val="20"/>
          <w:szCs w:val="20"/>
          <w:lang w:val="en-GB"/>
        </w:rPr>
        <w:t>,</w:t>
      </w:r>
      <w:r w:rsidRPr="00D018F4">
        <w:rPr>
          <w:rFonts w:ascii="Times New Roman" w:hAnsi="Times New Roman" w:cs="Times New Roman"/>
          <w:sz w:val="20"/>
          <w:szCs w:val="20"/>
          <w:lang w:val="en-GB"/>
        </w:rPr>
        <w:t xml:space="preserve"> which together constitute a comprehensive approach to addressing global mercury pollution.</w:t>
      </w:r>
      <w:r w:rsidR="00495D1E" w:rsidRPr="00D018F4">
        <w:rPr>
          <w:rFonts w:ascii="Times New Roman" w:hAnsi="Times New Roman" w:cs="Times New Roman"/>
          <w:sz w:val="20"/>
          <w:szCs w:val="20"/>
          <w:lang w:val="en-GB"/>
        </w:rPr>
        <w:t xml:space="preserve"> </w:t>
      </w:r>
    </w:p>
    <w:p w14:paraId="3904CDC2" w14:textId="30C1825A" w:rsidR="004D7530" w:rsidRPr="00D018F4" w:rsidRDefault="004D7530" w:rsidP="00CC066C">
      <w:pPr>
        <w:pStyle w:val="MediumShading1-Accent110"/>
        <w:numPr>
          <w:ilvl w:val="0"/>
          <w:numId w:val="10"/>
        </w:numPr>
        <w:spacing w:after="120"/>
        <w:ind w:left="1247" w:firstLine="29"/>
        <w:rPr>
          <w:rFonts w:ascii="Times New Roman" w:hAnsi="Times New Roman" w:cs="Times New Roman"/>
          <w:sz w:val="20"/>
          <w:szCs w:val="20"/>
          <w:lang w:val="en-GB"/>
        </w:rPr>
      </w:pPr>
      <w:r w:rsidRPr="00D018F4">
        <w:rPr>
          <w:rFonts w:ascii="Times New Roman" w:hAnsi="Times New Roman" w:cs="Times New Roman"/>
          <w:sz w:val="20"/>
          <w:szCs w:val="20"/>
          <w:lang w:val="en-GB"/>
        </w:rPr>
        <w:t xml:space="preserve">Within the Chemicals and Waste Branch, the </w:t>
      </w:r>
      <w:r w:rsidR="00812567" w:rsidRPr="00D018F4">
        <w:rPr>
          <w:rFonts w:ascii="Times New Roman" w:hAnsi="Times New Roman" w:cs="Times New Roman"/>
          <w:sz w:val="20"/>
          <w:szCs w:val="20"/>
          <w:lang w:val="en-GB"/>
        </w:rPr>
        <w:t xml:space="preserve">UNEP </w:t>
      </w:r>
      <w:r w:rsidRPr="00D018F4">
        <w:rPr>
          <w:rFonts w:ascii="Times New Roman" w:hAnsi="Times New Roman" w:cs="Times New Roman"/>
          <w:sz w:val="20"/>
          <w:szCs w:val="20"/>
          <w:lang w:val="en-GB"/>
        </w:rPr>
        <w:t xml:space="preserve">Global Mercury Partnership and the Special Programme to support institutional strengthening at the national level for implementation of the Basel, Rotterdam and Stockholm </w:t>
      </w:r>
      <w:r w:rsidR="002141A9" w:rsidRPr="00D018F4">
        <w:rPr>
          <w:rFonts w:ascii="Times New Roman" w:hAnsi="Times New Roman" w:cs="Times New Roman"/>
          <w:sz w:val="20"/>
          <w:szCs w:val="20"/>
          <w:lang w:val="en-GB"/>
        </w:rPr>
        <w:t>c</w:t>
      </w:r>
      <w:r w:rsidRPr="00D018F4">
        <w:rPr>
          <w:rFonts w:ascii="Times New Roman" w:hAnsi="Times New Roman" w:cs="Times New Roman"/>
          <w:sz w:val="20"/>
          <w:szCs w:val="20"/>
          <w:lang w:val="en-GB"/>
        </w:rPr>
        <w:t xml:space="preserve">onventions, the Minamata Convention and </w:t>
      </w:r>
      <w:r w:rsidR="00420924" w:rsidRPr="00D018F4">
        <w:rPr>
          <w:rFonts w:ascii="Times New Roman" w:hAnsi="Times New Roman" w:cs="Times New Roman"/>
          <w:sz w:val="20"/>
          <w:szCs w:val="20"/>
          <w:lang w:val="en-GB"/>
        </w:rPr>
        <w:t>the Strategic Approach</w:t>
      </w:r>
      <w:r w:rsidRPr="00D018F4">
        <w:rPr>
          <w:rFonts w:ascii="Times New Roman" w:hAnsi="Times New Roman" w:cs="Times New Roman"/>
          <w:sz w:val="20"/>
          <w:szCs w:val="20"/>
          <w:lang w:val="en-GB"/>
        </w:rPr>
        <w:t xml:space="preserve"> would be of particular relevance to the specific international programme.</w:t>
      </w:r>
    </w:p>
    <w:p w14:paraId="085653DC" w14:textId="625EE2CC" w:rsidR="004D7530" w:rsidRPr="00D018F4" w:rsidRDefault="004D7530" w:rsidP="00C03657">
      <w:pPr>
        <w:pStyle w:val="MediumShading1-Accent11"/>
        <w:numPr>
          <w:ilvl w:val="0"/>
          <w:numId w:val="10"/>
        </w:numPr>
        <w:spacing w:after="120"/>
        <w:ind w:left="1247" w:firstLine="29"/>
        <w:rPr>
          <w:rFonts w:ascii="Times New Roman" w:hAnsi="Times New Roman" w:cs="Times New Roman"/>
          <w:sz w:val="20"/>
          <w:szCs w:val="20"/>
          <w:lang w:val="en-GB"/>
        </w:rPr>
      </w:pPr>
      <w:r w:rsidRPr="00D018F4">
        <w:rPr>
          <w:rFonts w:ascii="Times New Roman" w:hAnsi="Times New Roman" w:cs="Times New Roman"/>
          <w:sz w:val="20"/>
          <w:szCs w:val="20"/>
          <w:lang w:val="en-GB"/>
        </w:rPr>
        <w:t xml:space="preserve">The </w:t>
      </w:r>
      <w:r w:rsidR="00DB4F96" w:rsidRPr="00D018F4">
        <w:rPr>
          <w:rFonts w:ascii="Times New Roman" w:hAnsi="Times New Roman" w:cs="Times New Roman"/>
          <w:sz w:val="20"/>
          <w:szCs w:val="20"/>
          <w:lang w:val="en-GB"/>
        </w:rPr>
        <w:t xml:space="preserve">UNEP </w:t>
      </w:r>
      <w:r w:rsidRPr="00D018F4">
        <w:rPr>
          <w:rFonts w:ascii="Times New Roman" w:hAnsi="Times New Roman" w:cs="Times New Roman"/>
          <w:sz w:val="20"/>
          <w:szCs w:val="20"/>
          <w:lang w:val="en-GB"/>
        </w:rPr>
        <w:t xml:space="preserve">Global Mercury Partnership was initiated in 2005 by a decision of the UNEP Governing Council and consists of stakeholders from </w:t>
      </w:r>
      <w:r w:rsidR="00420924" w:rsidRPr="00D018F4">
        <w:rPr>
          <w:rFonts w:ascii="Times New Roman" w:hAnsi="Times New Roman" w:cs="Times New Roman"/>
          <w:sz w:val="20"/>
          <w:szCs w:val="20"/>
          <w:lang w:val="en-GB"/>
        </w:rPr>
        <w:t>G</w:t>
      </w:r>
      <w:r w:rsidRPr="00D018F4">
        <w:rPr>
          <w:rFonts w:ascii="Times New Roman" w:hAnsi="Times New Roman" w:cs="Times New Roman"/>
          <w:sz w:val="20"/>
          <w:szCs w:val="20"/>
          <w:lang w:val="en-GB"/>
        </w:rPr>
        <w:t xml:space="preserve">overnments, industry, </w:t>
      </w:r>
      <w:r w:rsidR="00C06B96" w:rsidRPr="00D018F4">
        <w:rPr>
          <w:rFonts w:ascii="Times New Roman" w:hAnsi="Times New Roman" w:cs="Times New Roman"/>
          <w:sz w:val="20"/>
          <w:szCs w:val="20"/>
          <w:lang w:val="en-GB"/>
        </w:rPr>
        <w:t>intergovernmental organizations</w:t>
      </w:r>
      <w:r w:rsidR="00A44479" w:rsidRPr="00D018F4">
        <w:rPr>
          <w:rFonts w:ascii="Times New Roman" w:hAnsi="Times New Roman" w:cs="Times New Roman"/>
          <w:sz w:val="20"/>
          <w:szCs w:val="20"/>
          <w:lang w:val="en-GB"/>
        </w:rPr>
        <w:t xml:space="preserve">, </w:t>
      </w:r>
      <w:r w:rsidR="00C06B96" w:rsidRPr="00D018F4">
        <w:rPr>
          <w:rFonts w:ascii="Times New Roman" w:hAnsi="Times New Roman" w:cs="Times New Roman"/>
          <w:sz w:val="20"/>
          <w:szCs w:val="20"/>
          <w:lang w:val="en-GB"/>
        </w:rPr>
        <w:t>non-governmental organizations</w:t>
      </w:r>
      <w:r w:rsidRPr="00D018F4">
        <w:rPr>
          <w:rFonts w:ascii="Times New Roman" w:hAnsi="Times New Roman" w:cs="Times New Roman"/>
          <w:sz w:val="20"/>
          <w:szCs w:val="20"/>
          <w:lang w:val="en-GB"/>
        </w:rPr>
        <w:t xml:space="preserve"> and academia</w:t>
      </w:r>
      <w:r w:rsidR="00420924" w:rsidRPr="00D018F4">
        <w:rPr>
          <w:rFonts w:ascii="Times New Roman" w:hAnsi="Times New Roman" w:cs="Times New Roman"/>
          <w:sz w:val="20"/>
          <w:szCs w:val="20"/>
          <w:lang w:val="en-GB"/>
        </w:rPr>
        <w:t>, all of</w:t>
      </w:r>
      <w:r w:rsidRPr="00D018F4">
        <w:rPr>
          <w:rFonts w:ascii="Times New Roman" w:hAnsi="Times New Roman" w:cs="Times New Roman"/>
          <w:sz w:val="20"/>
          <w:szCs w:val="20"/>
          <w:lang w:val="en-GB"/>
        </w:rPr>
        <w:t xml:space="preserve"> who</w:t>
      </w:r>
      <w:r w:rsidR="00420924" w:rsidRPr="00D018F4">
        <w:rPr>
          <w:rFonts w:ascii="Times New Roman" w:hAnsi="Times New Roman" w:cs="Times New Roman"/>
          <w:sz w:val="20"/>
          <w:szCs w:val="20"/>
          <w:lang w:val="en-GB"/>
        </w:rPr>
        <w:t>m</w:t>
      </w:r>
      <w:r w:rsidRPr="00D018F4">
        <w:rPr>
          <w:rFonts w:ascii="Times New Roman" w:hAnsi="Times New Roman" w:cs="Times New Roman"/>
          <w:sz w:val="20"/>
          <w:szCs w:val="20"/>
          <w:lang w:val="en-GB"/>
        </w:rPr>
        <w:t xml:space="preserve"> are dedicated to protecting human health and the environment from the impacts of mercury, and to reducing global environmental releases of mercury. As of November 2015, the Partnership </w:t>
      </w:r>
      <w:r w:rsidR="00165DBE" w:rsidRPr="00D018F4">
        <w:rPr>
          <w:rFonts w:ascii="Times New Roman" w:hAnsi="Times New Roman" w:cs="Times New Roman"/>
          <w:sz w:val="20"/>
          <w:szCs w:val="20"/>
          <w:lang w:val="en-GB"/>
        </w:rPr>
        <w:t>comprise</w:t>
      </w:r>
      <w:r w:rsidR="002141A9" w:rsidRPr="00D018F4">
        <w:rPr>
          <w:rFonts w:ascii="Times New Roman" w:hAnsi="Times New Roman" w:cs="Times New Roman"/>
          <w:sz w:val="20"/>
          <w:szCs w:val="20"/>
          <w:lang w:val="en-GB"/>
        </w:rPr>
        <w:t>d</w:t>
      </w:r>
      <w:r w:rsidR="00165DBE" w:rsidRPr="00D018F4">
        <w:rPr>
          <w:rFonts w:ascii="Times New Roman" w:hAnsi="Times New Roman" w:cs="Times New Roman"/>
          <w:sz w:val="20"/>
          <w:szCs w:val="20"/>
          <w:lang w:val="en-GB"/>
        </w:rPr>
        <w:t xml:space="preserve"> </w:t>
      </w:r>
      <w:r w:rsidRPr="00D018F4">
        <w:rPr>
          <w:rFonts w:ascii="Times New Roman" w:hAnsi="Times New Roman" w:cs="Times New Roman"/>
          <w:sz w:val="20"/>
          <w:szCs w:val="20"/>
          <w:lang w:val="en-GB"/>
        </w:rPr>
        <w:t>134 partners: 26</w:t>
      </w:r>
      <w:r w:rsidR="00A10E2B" w:rsidRPr="00D018F4">
        <w:rPr>
          <w:rFonts w:ascii="Times New Roman" w:hAnsi="Times New Roman" w:cs="Times New Roman"/>
          <w:sz w:val="20"/>
          <w:szCs w:val="20"/>
          <w:lang w:val="en-GB"/>
        </w:rPr>
        <w:t> </w:t>
      </w:r>
      <w:r w:rsidR="00165DBE" w:rsidRPr="00D018F4">
        <w:rPr>
          <w:rFonts w:ascii="Times New Roman" w:hAnsi="Times New Roman" w:cs="Times New Roman"/>
          <w:sz w:val="20"/>
          <w:szCs w:val="20"/>
          <w:lang w:val="en-GB"/>
        </w:rPr>
        <w:t>G</w:t>
      </w:r>
      <w:r w:rsidRPr="00D018F4">
        <w:rPr>
          <w:rFonts w:ascii="Times New Roman" w:hAnsi="Times New Roman" w:cs="Times New Roman"/>
          <w:sz w:val="20"/>
          <w:szCs w:val="20"/>
          <w:lang w:val="en-GB"/>
        </w:rPr>
        <w:t xml:space="preserve">overnments, 5 </w:t>
      </w:r>
      <w:r w:rsidR="00165DBE" w:rsidRPr="00D018F4">
        <w:rPr>
          <w:rFonts w:ascii="Times New Roman" w:hAnsi="Times New Roman" w:cs="Times New Roman"/>
          <w:sz w:val="20"/>
          <w:szCs w:val="20"/>
          <w:lang w:val="en-GB"/>
        </w:rPr>
        <w:t>intergovernmental organizations</w:t>
      </w:r>
      <w:r w:rsidRPr="00D018F4">
        <w:rPr>
          <w:rFonts w:ascii="Times New Roman" w:hAnsi="Times New Roman" w:cs="Times New Roman"/>
          <w:sz w:val="20"/>
          <w:szCs w:val="20"/>
          <w:lang w:val="en-GB"/>
        </w:rPr>
        <w:t xml:space="preserve">, 55 </w:t>
      </w:r>
      <w:r w:rsidR="00165DBE" w:rsidRPr="00D018F4">
        <w:rPr>
          <w:rFonts w:ascii="Times New Roman" w:hAnsi="Times New Roman" w:cs="Times New Roman"/>
          <w:sz w:val="20"/>
          <w:szCs w:val="20"/>
          <w:lang w:val="en-GB"/>
        </w:rPr>
        <w:t xml:space="preserve">non-governmental organizations </w:t>
      </w:r>
      <w:r w:rsidRPr="00D018F4">
        <w:rPr>
          <w:rFonts w:ascii="Times New Roman" w:hAnsi="Times New Roman" w:cs="Times New Roman"/>
          <w:sz w:val="20"/>
          <w:szCs w:val="20"/>
          <w:lang w:val="en-GB"/>
        </w:rPr>
        <w:t xml:space="preserve">and 48 others. The </w:t>
      </w:r>
      <w:r w:rsidR="00165DBE" w:rsidRPr="00D018F4">
        <w:rPr>
          <w:rFonts w:ascii="Times New Roman" w:hAnsi="Times New Roman" w:cs="Times New Roman"/>
          <w:sz w:val="20"/>
          <w:szCs w:val="20"/>
          <w:lang w:val="en-GB"/>
        </w:rPr>
        <w:t xml:space="preserve">Partnership </w:t>
      </w:r>
      <w:r w:rsidRPr="00D018F4">
        <w:rPr>
          <w:rFonts w:ascii="Times New Roman" w:hAnsi="Times New Roman" w:cs="Times New Roman"/>
          <w:sz w:val="20"/>
          <w:szCs w:val="20"/>
          <w:lang w:val="en-GB"/>
        </w:rPr>
        <w:t>has played an important role in cataly</w:t>
      </w:r>
      <w:r w:rsidR="00165DBE" w:rsidRPr="00D018F4">
        <w:rPr>
          <w:rFonts w:ascii="Times New Roman" w:hAnsi="Times New Roman" w:cs="Times New Roman"/>
          <w:sz w:val="20"/>
          <w:szCs w:val="20"/>
          <w:lang w:val="en-GB"/>
        </w:rPr>
        <w:t>s</w:t>
      </w:r>
      <w:r w:rsidRPr="00D018F4">
        <w:rPr>
          <w:rFonts w:ascii="Times New Roman" w:hAnsi="Times New Roman" w:cs="Times New Roman"/>
          <w:sz w:val="20"/>
          <w:szCs w:val="20"/>
          <w:lang w:val="en-GB"/>
        </w:rPr>
        <w:t xml:space="preserve">ing global action on mercury and offering information, capacity-building and awareness-raising in support of international negotiations to establish a </w:t>
      </w:r>
      <w:r w:rsidR="00495D1E" w:rsidRPr="00D018F4">
        <w:rPr>
          <w:rFonts w:ascii="Times New Roman" w:hAnsi="Times New Roman" w:cs="Times New Roman"/>
          <w:sz w:val="20"/>
          <w:szCs w:val="20"/>
          <w:lang w:val="en-GB"/>
        </w:rPr>
        <w:br/>
      </w:r>
      <w:r w:rsidRPr="00D018F4">
        <w:rPr>
          <w:rFonts w:ascii="Times New Roman" w:hAnsi="Times New Roman" w:cs="Times New Roman"/>
          <w:sz w:val="20"/>
          <w:szCs w:val="20"/>
          <w:lang w:val="en-GB"/>
        </w:rPr>
        <w:t>legally</w:t>
      </w:r>
      <w:r w:rsidR="00C03657" w:rsidRPr="00D018F4">
        <w:rPr>
          <w:rFonts w:ascii="Times New Roman" w:hAnsi="Times New Roman" w:cs="Times New Roman"/>
          <w:sz w:val="20"/>
          <w:szCs w:val="20"/>
          <w:lang w:val="en-GB"/>
        </w:rPr>
        <w:t xml:space="preserve"> </w:t>
      </w:r>
      <w:r w:rsidRPr="00D018F4">
        <w:rPr>
          <w:rFonts w:ascii="Times New Roman" w:hAnsi="Times New Roman" w:cs="Times New Roman"/>
          <w:sz w:val="20"/>
          <w:szCs w:val="20"/>
          <w:lang w:val="en-GB"/>
        </w:rPr>
        <w:t xml:space="preserve">binding instrument on mercury. Today, the </w:t>
      </w:r>
      <w:r w:rsidR="00165DBE" w:rsidRPr="00D018F4">
        <w:rPr>
          <w:rFonts w:ascii="Times New Roman" w:hAnsi="Times New Roman" w:cs="Times New Roman"/>
          <w:sz w:val="20"/>
          <w:szCs w:val="20"/>
          <w:lang w:val="en-GB"/>
        </w:rPr>
        <w:t xml:space="preserve">Partnership </w:t>
      </w:r>
      <w:r w:rsidRPr="00D018F4">
        <w:rPr>
          <w:rFonts w:ascii="Times New Roman" w:hAnsi="Times New Roman" w:cs="Times New Roman"/>
          <w:sz w:val="20"/>
          <w:szCs w:val="20"/>
          <w:lang w:val="en-GB"/>
        </w:rPr>
        <w:t xml:space="preserve">is focusing its work on ensuring </w:t>
      </w:r>
      <w:r w:rsidR="00165DBE" w:rsidRPr="00D018F4">
        <w:rPr>
          <w:rFonts w:ascii="Times New Roman" w:hAnsi="Times New Roman" w:cs="Times New Roman"/>
          <w:sz w:val="20"/>
          <w:szCs w:val="20"/>
          <w:lang w:val="en-GB"/>
        </w:rPr>
        <w:t xml:space="preserve">the </w:t>
      </w:r>
      <w:r w:rsidRPr="00D018F4">
        <w:rPr>
          <w:rFonts w:ascii="Times New Roman" w:hAnsi="Times New Roman" w:cs="Times New Roman"/>
          <w:sz w:val="20"/>
          <w:szCs w:val="20"/>
          <w:lang w:val="en-GB"/>
        </w:rPr>
        <w:t>timely and effective implementation of the Minamata Convention and supports activities in eight partnership areas that reflect the major source of mercury release categories</w:t>
      </w:r>
      <w:r w:rsidR="00165DBE" w:rsidRPr="00D018F4">
        <w:rPr>
          <w:rFonts w:ascii="Times New Roman" w:hAnsi="Times New Roman" w:cs="Times New Roman"/>
          <w:sz w:val="20"/>
          <w:szCs w:val="20"/>
          <w:lang w:val="en-GB"/>
        </w:rPr>
        <w:t>.</w:t>
      </w:r>
      <w:r w:rsidRPr="00D018F4">
        <w:rPr>
          <w:rStyle w:val="FootnoteReference"/>
          <w:rFonts w:cs="Times New Roman"/>
          <w:szCs w:val="20"/>
          <w:lang w:val="en-GB"/>
        </w:rPr>
        <w:footnoteReference w:id="2"/>
      </w:r>
      <w:r w:rsidRPr="00D018F4">
        <w:rPr>
          <w:rFonts w:ascii="Times New Roman" w:hAnsi="Times New Roman" w:cs="Times New Roman"/>
          <w:sz w:val="20"/>
          <w:szCs w:val="20"/>
          <w:lang w:val="en-GB"/>
        </w:rPr>
        <w:t xml:space="preserve"> More specifically, partners </w:t>
      </w:r>
      <w:r w:rsidR="00165DBE" w:rsidRPr="00D018F4">
        <w:rPr>
          <w:rFonts w:ascii="Times New Roman" w:hAnsi="Times New Roman" w:cs="Times New Roman"/>
          <w:sz w:val="20"/>
          <w:szCs w:val="20"/>
          <w:lang w:val="en-GB"/>
        </w:rPr>
        <w:t xml:space="preserve">cooperate </w:t>
      </w:r>
      <w:r w:rsidRPr="00D018F4">
        <w:rPr>
          <w:rFonts w:ascii="Times New Roman" w:hAnsi="Times New Roman" w:cs="Times New Roman"/>
          <w:sz w:val="20"/>
          <w:szCs w:val="20"/>
          <w:lang w:val="en-GB"/>
        </w:rPr>
        <w:t xml:space="preserve">voluntarily to reduce the environmental and health risk of mercury by working in three main areas: </w:t>
      </w:r>
    </w:p>
    <w:p w14:paraId="72DBE43A" w14:textId="1F5A1A55" w:rsidR="004D7530" w:rsidRPr="00D018F4" w:rsidRDefault="00165DBE">
      <w:pPr>
        <w:pStyle w:val="MediumShading1-Accent11"/>
        <w:numPr>
          <w:ilvl w:val="0"/>
          <w:numId w:val="26"/>
        </w:numPr>
        <w:spacing w:after="120"/>
        <w:rPr>
          <w:rFonts w:ascii="Times New Roman" w:hAnsi="Times New Roman" w:cs="Times New Roman"/>
          <w:sz w:val="20"/>
          <w:szCs w:val="20"/>
          <w:lang w:val="en-GB"/>
        </w:rPr>
      </w:pPr>
      <w:r w:rsidRPr="00D018F4">
        <w:rPr>
          <w:rFonts w:ascii="Times New Roman" w:hAnsi="Times New Roman" w:cs="Times New Roman"/>
          <w:sz w:val="20"/>
          <w:szCs w:val="20"/>
          <w:lang w:val="en-GB"/>
        </w:rPr>
        <w:t>I</w:t>
      </w:r>
      <w:r w:rsidR="004D7530" w:rsidRPr="00D018F4">
        <w:rPr>
          <w:rFonts w:ascii="Times New Roman" w:hAnsi="Times New Roman" w:cs="Times New Roman"/>
          <w:sz w:val="20"/>
          <w:szCs w:val="20"/>
          <w:lang w:val="en-GB"/>
        </w:rPr>
        <w:t xml:space="preserve">ntentional use of mercury, in artisanal and small-scale gold mining; chlor-alkali processes; products; supply and storage; </w:t>
      </w:r>
      <w:r w:rsidR="00C03657" w:rsidRPr="00D018F4">
        <w:rPr>
          <w:rFonts w:ascii="Times New Roman" w:hAnsi="Times New Roman" w:cs="Times New Roman"/>
          <w:sz w:val="20"/>
          <w:szCs w:val="20"/>
          <w:lang w:val="en-GB"/>
        </w:rPr>
        <w:t xml:space="preserve">and </w:t>
      </w:r>
      <w:r w:rsidR="004D7530" w:rsidRPr="00D018F4">
        <w:rPr>
          <w:rFonts w:ascii="Times New Roman" w:hAnsi="Times New Roman" w:cs="Times New Roman"/>
          <w:sz w:val="20"/>
          <w:szCs w:val="20"/>
          <w:lang w:val="en-GB"/>
        </w:rPr>
        <w:t xml:space="preserve">waste management; </w:t>
      </w:r>
    </w:p>
    <w:p w14:paraId="78CF85F2" w14:textId="74E6F371" w:rsidR="004D7530" w:rsidRPr="00D018F4" w:rsidRDefault="00165DBE" w:rsidP="00EA48AA">
      <w:pPr>
        <w:pStyle w:val="MediumShading1-Accent11"/>
        <w:numPr>
          <w:ilvl w:val="0"/>
          <w:numId w:val="26"/>
        </w:numPr>
        <w:tabs>
          <w:tab w:val="clear" w:pos="1759"/>
          <w:tab w:val="num" w:pos="624"/>
        </w:tabs>
        <w:spacing w:after="120"/>
        <w:ind w:left="2495" w:hanging="624"/>
        <w:rPr>
          <w:rFonts w:ascii="Times New Roman" w:hAnsi="Times New Roman" w:cs="Times New Roman"/>
          <w:sz w:val="20"/>
          <w:szCs w:val="20"/>
          <w:lang w:val="en-GB"/>
        </w:rPr>
      </w:pPr>
      <w:r w:rsidRPr="00D018F4">
        <w:rPr>
          <w:rFonts w:ascii="Times New Roman" w:hAnsi="Times New Roman" w:cs="Times New Roman"/>
          <w:sz w:val="20"/>
          <w:szCs w:val="20"/>
          <w:lang w:val="en-GB"/>
        </w:rPr>
        <w:t>U</w:t>
      </w:r>
      <w:r w:rsidR="004D7530" w:rsidRPr="00D018F4">
        <w:rPr>
          <w:rFonts w:ascii="Times New Roman" w:hAnsi="Times New Roman" w:cs="Times New Roman"/>
          <w:sz w:val="20"/>
          <w:szCs w:val="20"/>
          <w:lang w:val="en-GB"/>
        </w:rPr>
        <w:t>nintentional emission, in coal com</w:t>
      </w:r>
      <w:r w:rsidR="00495D1E" w:rsidRPr="00D018F4">
        <w:rPr>
          <w:rFonts w:ascii="Times New Roman" w:hAnsi="Times New Roman" w:cs="Times New Roman"/>
          <w:sz w:val="20"/>
          <w:szCs w:val="20"/>
          <w:lang w:val="en-GB"/>
        </w:rPr>
        <w:t>bustion and cement production;</w:t>
      </w:r>
    </w:p>
    <w:p w14:paraId="4C527EF0" w14:textId="5266FC60" w:rsidR="004D7530" w:rsidRPr="00D018F4" w:rsidRDefault="00165DBE" w:rsidP="00EA48AA">
      <w:pPr>
        <w:pStyle w:val="MediumShading1-Accent11"/>
        <w:numPr>
          <w:ilvl w:val="0"/>
          <w:numId w:val="26"/>
        </w:numPr>
        <w:tabs>
          <w:tab w:val="clear" w:pos="1759"/>
          <w:tab w:val="num" w:pos="624"/>
        </w:tabs>
        <w:spacing w:after="120"/>
        <w:ind w:left="2495" w:hanging="624"/>
        <w:rPr>
          <w:rFonts w:ascii="Times New Roman" w:hAnsi="Times New Roman" w:cs="Times New Roman"/>
          <w:sz w:val="20"/>
          <w:szCs w:val="20"/>
          <w:lang w:val="en-GB"/>
        </w:rPr>
      </w:pPr>
      <w:r w:rsidRPr="00D018F4">
        <w:rPr>
          <w:rFonts w:ascii="Times New Roman" w:hAnsi="Times New Roman" w:cs="Times New Roman"/>
          <w:sz w:val="20"/>
          <w:szCs w:val="20"/>
          <w:lang w:val="en-GB"/>
        </w:rPr>
        <w:t>F</w:t>
      </w:r>
      <w:r w:rsidR="004D7530" w:rsidRPr="00D018F4">
        <w:rPr>
          <w:rFonts w:ascii="Times New Roman" w:hAnsi="Times New Roman" w:cs="Times New Roman"/>
          <w:sz w:val="20"/>
          <w:szCs w:val="20"/>
          <w:lang w:val="en-GB"/>
        </w:rPr>
        <w:t xml:space="preserve">ate and transport research. </w:t>
      </w:r>
    </w:p>
    <w:p w14:paraId="13DC97EE" w14:textId="5B0113D7" w:rsidR="004D7530" w:rsidRPr="00D018F4" w:rsidRDefault="00E32F3D" w:rsidP="004D7530">
      <w:pPr>
        <w:pStyle w:val="MediumShading1-Accent11"/>
        <w:numPr>
          <w:ilvl w:val="0"/>
          <w:numId w:val="10"/>
        </w:numPr>
        <w:spacing w:after="120"/>
        <w:rPr>
          <w:rFonts w:ascii="Times New Roman" w:hAnsi="Times New Roman" w:cs="Times New Roman"/>
          <w:sz w:val="20"/>
          <w:szCs w:val="20"/>
          <w:lang w:val="en-GB"/>
        </w:rPr>
      </w:pPr>
      <w:r w:rsidRPr="00D018F4">
        <w:rPr>
          <w:rFonts w:ascii="Times New Roman" w:hAnsi="Times New Roman" w:cs="Times New Roman"/>
          <w:sz w:val="20"/>
          <w:szCs w:val="20"/>
          <w:lang w:val="en-GB"/>
        </w:rPr>
        <w:t>Since its establishment</w:t>
      </w:r>
      <w:r w:rsidR="004D7530" w:rsidRPr="00D018F4">
        <w:rPr>
          <w:rFonts w:ascii="Times New Roman" w:hAnsi="Times New Roman" w:cs="Times New Roman"/>
          <w:sz w:val="20"/>
          <w:szCs w:val="20"/>
          <w:lang w:val="en-GB"/>
        </w:rPr>
        <w:t>, the Partnership has implemented demonstration projects, provided technical support and capacity</w:t>
      </w:r>
      <w:r w:rsidR="00165DBE" w:rsidRPr="00D018F4">
        <w:rPr>
          <w:rFonts w:ascii="Times New Roman" w:hAnsi="Times New Roman" w:cs="Times New Roman"/>
          <w:sz w:val="20"/>
          <w:szCs w:val="20"/>
          <w:lang w:val="en-GB"/>
        </w:rPr>
        <w:t>-</w:t>
      </w:r>
      <w:r w:rsidR="004D7530" w:rsidRPr="00D018F4">
        <w:rPr>
          <w:rFonts w:ascii="Times New Roman" w:hAnsi="Times New Roman" w:cs="Times New Roman"/>
          <w:sz w:val="20"/>
          <w:szCs w:val="20"/>
          <w:lang w:val="en-GB"/>
        </w:rPr>
        <w:t xml:space="preserve">building, </w:t>
      </w:r>
      <w:r w:rsidR="006A4343" w:rsidRPr="00D018F4">
        <w:rPr>
          <w:rFonts w:ascii="Times New Roman" w:hAnsi="Times New Roman" w:cs="Times New Roman"/>
          <w:sz w:val="20"/>
          <w:szCs w:val="20"/>
          <w:lang w:val="en-GB"/>
        </w:rPr>
        <w:t xml:space="preserve">and </w:t>
      </w:r>
      <w:r w:rsidR="004D7530" w:rsidRPr="00D018F4">
        <w:rPr>
          <w:rFonts w:ascii="Times New Roman" w:hAnsi="Times New Roman" w:cs="Times New Roman"/>
          <w:sz w:val="20"/>
          <w:szCs w:val="20"/>
          <w:lang w:val="en-GB"/>
        </w:rPr>
        <w:t>developed guidance documents and toolkits</w:t>
      </w:r>
      <w:r w:rsidR="00E00ABB" w:rsidRPr="00D018F4">
        <w:rPr>
          <w:rFonts w:ascii="Times New Roman" w:hAnsi="Times New Roman" w:cs="Times New Roman"/>
          <w:sz w:val="20"/>
          <w:szCs w:val="20"/>
          <w:lang w:val="en-GB"/>
        </w:rPr>
        <w:t xml:space="preserve"> as well as</w:t>
      </w:r>
      <w:r w:rsidR="004D7530" w:rsidRPr="00D018F4">
        <w:rPr>
          <w:rFonts w:ascii="Times New Roman" w:hAnsi="Times New Roman" w:cs="Times New Roman"/>
          <w:sz w:val="20"/>
          <w:szCs w:val="20"/>
          <w:lang w:val="en-GB"/>
        </w:rPr>
        <w:t xml:space="preserve"> awareness</w:t>
      </w:r>
      <w:r w:rsidR="0003456C" w:rsidRPr="00D018F4">
        <w:rPr>
          <w:rFonts w:ascii="Times New Roman" w:hAnsi="Times New Roman" w:cs="Times New Roman"/>
          <w:sz w:val="20"/>
          <w:szCs w:val="20"/>
          <w:lang w:val="en-GB"/>
        </w:rPr>
        <w:noBreakHyphen/>
      </w:r>
      <w:r w:rsidR="004D7530" w:rsidRPr="00D018F4">
        <w:rPr>
          <w:rFonts w:ascii="Times New Roman" w:hAnsi="Times New Roman" w:cs="Times New Roman"/>
          <w:sz w:val="20"/>
          <w:szCs w:val="20"/>
          <w:lang w:val="en-GB"/>
        </w:rPr>
        <w:t xml:space="preserve">raising materials that help </w:t>
      </w:r>
      <w:r w:rsidR="0003456C" w:rsidRPr="00D018F4">
        <w:rPr>
          <w:rFonts w:ascii="Times New Roman" w:hAnsi="Times New Roman" w:cs="Times New Roman"/>
          <w:sz w:val="20"/>
          <w:szCs w:val="20"/>
          <w:lang w:val="en-GB"/>
        </w:rPr>
        <w:t>G</w:t>
      </w:r>
      <w:r w:rsidR="004D7530" w:rsidRPr="00D018F4">
        <w:rPr>
          <w:rFonts w:ascii="Times New Roman" w:hAnsi="Times New Roman" w:cs="Times New Roman"/>
          <w:sz w:val="20"/>
          <w:szCs w:val="20"/>
          <w:lang w:val="en-GB"/>
        </w:rPr>
        <w:t>overnments take immediate action to reduce mercury pollution</w:t>
      </w:r>
      <w:r w:rsidR="0003456C" w:rsidRPr="00D018F4">
        <w:rPr>
          <w:rFonts w:ascii="Times New Roman" w:hAnsi="Times New Roman" w:cs="Times New Roman"/>
          <w:sz w:val="20"/>
          <w:szCs w:val="20"/>
          <w:lang w:val="en-GB"/>
        </w:rPr>
        <w:t>,</w:t>
      </w:r>
      <w:r w:rsidR="004D7530" w:rsidRPr="00D018F4">
        <w:rPr>
          <w:rFonts w:ascii="Times New Roman" w:hAnsi="Times New Roman" w:cs="Times New Roman"/>
          <w:sz w:val="20"/>
          <w:szCs w:val="20"/>
          <w:lang w:val="en-GB"/>
        </w:rPr>
        <w:t xml:space="preserve"> for instance</w:t>
      </w:r>
      <w:r w:rsidR="0003456C" w:rsidRPr="00D018F4">
        <w:rPr>
          <w:rFonts w:ascii="Times New Roman" w:hAnsi="Times New Roman" w:cs="Times New Roman"/>
          <w:sz w:val="20"/>
          <w:szCs w:val="20"/>
          <w:lang w:val="en-GB"/>
        </w:rPr>
        <w:t xml:space="preserve"> with</w:t>
      </w:r>
      <w:r w:rsidR="004D7530" w:rsidRPr="00D018F4">
        <w:rPr>
          <w:rFonts w:ascii="Times New Roman" w:hAnsi="Times New Roman" w:cs="Times New Roman"/>
          <w:sz w:val="20"/>
          <w:szCs w:val="20"/>
          <w:lang w:val="en-GB"/>
        </w:rPr>
        <w:t xml:space="preserve"> the development of the </w:t>
      </w:r>
      <w:r w:rsidR="004D7530" w:rsidRPr="00D018F4">
        <w:rPr>
          <w:rFonts w:ascii="Times New Roman" w:hAnsi="Times New Roman" w:cs="Times New Roman"/>
          <w:i/>
          <w:iCs/>
          <w:sz w:val="20"/>
          <w:szCs w:val="20"/>
          <w:lang w:val="en-GB"/>
        </w:rPr>
        <w:t>Practical Sourcebook on Mercury Waste Storage and Disposal</w:t>
      </w:r>
      <w:r w:rsidR="004D7530" w:rsidRPr="00D018F4">
        <w:rPr>
          <w:rFonts w:ascii="Times New Roman" w:hAnsi="Times New Roman" w:cs="Times New Roman"/>
          <w:sz w:val="20"/>
          <w:szCs w:val="20"/>
          <w:lang w:val="en-GB"/>
        </w:rPr>
        <w:t xml:space="preserve">, practical guides for reducing mercury use in </w:t>
      </w:r>
      <w:r w:rsidR="0003456C" w:rsidRPr="00D018F4">
        <w:rPr>
          <w:rFonts w:ascii="Times New Roman" w:hAnsi="Times New Roman" w:cs="Times New Roman"/>
          <w:sz w:val="20"/>
          <w:szCs w:val="20"/>
          <w:lang w:val="en-GB"/>
        </w:rPr>
        <w:t>artisanal and small-scale gold mining</w:t>
      </w:r>
      <w:r w:rsidR="004D7530" w:rsidRPr="00D018F4">
        <w:rPr>
          <w:rFonts w:ascii="Times New Roman" w:hAnsi="Times New Roman" w:cs="Times New Roman"/>
          <w:sz w:val="20"/>
          <w:szCs w:val="20"/>
          <w:lang w:val="en-GB"/>
        </w:rPr>
        <w:t xml:space="preserve"> </w:t>
      </w:r>
      <w:r w:rsidR="00E00ABB" w:rsidRPr="00D018F4">
        <w:rPr>
          <w:rFonts w:ascii="Times New Roman" w:hAnsi="Times New Roman" w:cs="Times New Roman"/>
          <w:sz w:val="20"/>
          <w:szCs w:val="20"/>
          <w:lang w:val="en-GB"/>
        </w:rPr>
        <w:t>and</w:t>
      </w:r>
      <w:r w:rsidR="004D7530" w:rsidRPr="00D018F4">
        <w:rPr>
          <w:rFonts w:ascii="Times New Roman" w:hAnsi="Times New Roman" w:cs="Times New Roman"/>
          <w:sz w:val="20"/>
          <w:szCs w:val="20"/>
          <w:lang w:val="en-GB"/>
        </w:rPr>
        <w:t xml:space="preserve"> </w:t>
      </w:r>
      <w:r w:rsidR="006A4343" w:rsidRPr="00D018F4">
        <w:rPr>
          <w:rFonts w:ascii="Times New Roman" w:hAnsi="Times New Roman" w:cs="Times New Roman"/>
          <w:sz w:val="20"/>
          <w:szCs w:val="20"/>
          <w:lang w:val="en-GB"/>
        </w:rPr>
        <w:t xml:space="preserve">a </w:t>
      </w:r>
      <w:r w:rsidR="004D7530" w:rsidRPr="00D018F4">
        <w:rPr>
          <w:rFonts w:ascii="Times New Roman" w:hAnsi="Times New Roman" w:cs="Times New Roman"/>
          <w:sz w:val="20"/>
          <w:szCs w:val="20"/>
          <w:lang w:val="en-GB"/>
        </w:rPr>
        <w:t xml:space="preserve">guidance document on </w:t>
      </w:r>
      <w:r w:rsidR="00753F41" w:rsidRPr="00D018F4">
        <w:rPr>
          <w:rFonts w:ascii="Times New Roman" w:hAnsi="Times New Roman" w:cs="Times New Roman"/>
          <w:sz w:val="20"/>
          <w:szCs w:val="20"/>
          <w:lang w:val="en-GB"/>
        </w:rPr>
        <w:t xml:space="preserve">national action plans </w:t>
      </w:r>
      <w:r w:rsidR="004D7530" w:rsidRPr="00D018F4">
        <w:rPr>
          <w:rFonts w:ascii="Times New Roman" w:hAnsi="Times New Roman" w:cs="Times New Roman"/>
          <w:sz w:val="20"/>
          <w:szCs w:val="20"/>
          <w:lang w:val="en-GB"/>
        </w:rPr>
        <w:t xml:space="preserve">for </w:t>
      </w:r>
      <w:r w:rsidR="00753F41" w:rsidRPr="00D018F4">
        <w:rPr>
          <w:rFonts w:ascii="Times New Roman" w:hAnsi="Times New Roman" w:cs="Times New Roman"/>
          <w:sz w:val="20"/>
          <w:szCs w:val="20"/>
          <w:lang w:val="en-GB"/>
        </w:rPr>
        <w:t>artisanal and small-scale gold mining</w:t>
      </w:r>
      <w:r w:rsidR="004D7530" w:rsidRPr="00D018F4">
        <w:rPr>
          <w:rFonts w:ascii="Times New Roman" w:hAnsi="Times New Roman" w:cs="Times New Roman"/>
          <w:sz w:val="20"/>
          <w:szCs w:val="20"/>
          <w:lang w:val="en-GB"/>
        </w:rPr>
        <w:t xml:space="preserve">. The Global Mercury Partnership has also engaged with several industry sectors whose activities generate a considerable share of global mercury emissions, including the coal industry, the cement industry and the chlor-alkali industry. Moreover, the Partnership has been active in collecting information and providing analyses on the state of global mercury pollution using the </w:t>
      </w:r>
      <w:r w:rsidR="004D7530" w:rsidRPr="00D018F4">
        <w:rPr>
          <w:rFonts w:ascii="Times New Roman" w:hAnsi="Times New Roman" w:cs="Times New Roman"/>
          <w:i/>
          <w:iCs/>
          <w:sz w:val="20"/>
          <w:szCs w:val="20"/>
          <w:lang w:val="en-GB"/>
        </w:rPr>
        <w:t>Toolkit for Identification and Quantification of Mercury Releases</w:t>
      </w:r>
      <w:r w:rsidR="004D7530" w:rsidRPr="00D018F4">
        <w:rPr>
          <w:rFonts w:ascii="Times New Roman" w:hAnsi="Times New Roman" w:cs="Times New Roman"/>
          <w:sz w:val="20"/>
          <w:szCs w:val="20"/>
          <w:lang w:val="en-GB"/>
        </w:rPr>
        <w:t>. The data collected ha</w:t>
      </w:r>
      <w:r w:rsidR="00C03657" w:rsidRPr="00D018F4">
        <w:rPr>
          <w:rFonts w:ascii="Times New Roman" w:hAnsi="Times New Roman" w:cs="Times New Roman"/>
          <w:sz w:val="20"/>
          <w:szCs w:val="20"/>
          <w:lang w:val="en-GB"/>
        </w:rPr>
        <w:t>ve</w:t>
      </w:r>
      <w:r w:rsidR="004D7530" w:rsidRPr="00D018F4">
        <w:rPr>
          <w:rFonts w:ascii="Times New Roman" w:hAnsi="Times New Roman" w:cs="Times New Roman"/>
          <w:sz w:val="20"/>
          <w:szCs w:val="20"/>
          <w:lang w:val="en-GB"/>
        </w:rPr>
        <w:t xml:space="preserve"> formed the basis </w:t>
      </w:r>
      <w:r w:rsidR="00E00ABB" w:rsidRPr="00D018F4">
        <w:rPr>
          <w:rFonts w:ascii="Times New Roman" w:hAnsi="Times New Roman" w:cs="Times New Roman"/>
          <w:sz w:val="20"/>
          <w:szCs w:val="20"/>
          <w:lang w:val="en-GB"/>
        </w:rPr>
        <w:t>of</w:t>
      </w:r>
      <w:r w:rsidR="004D7530" w:rsidRPr="00D018F4">
        <w:rPr>
          <w:rFonts w:ascii="Times New Roman" w:hAnsi="Times New Roman" w:cs="Times New Roman"/>
          <w:sz w:val="20"/>
          <w:szCs w:val="20"/>
          <w:lang w:val="en-GB"/>
        </w:rPr>
        <w:t xml:space="preserve"> the </w:t>
      </w:r>
      <w:r w:rsidR="004D7530" w:rsidRPr="00D018F4">
        <w:rPr>
          <w:rFonts w:ascii="Times New Roman" w:hAnsi="Times New Roman" w:cs="Times New Roman"/>
          <w:i/>
          <w:iCs/>
          <w:sz w:val="20"/>
          <w:szCs w:val="20"/>
          <w:lang w:val="en-GB"/>
        </w:rPr>
        <w:t>Global Mercury Assessment</w:t>
      </w:r>
      <w:r w:rsidR="004D7530" w:rsidRPr="00D018F4">
        <w:rPr>
          <w:rFonts w:ascii="Times New Roman" w:hAnsi="Times New Roman" w:cs="Times New Roman"/>
          <w:sz w:val="20"/>
          <w:szCs w:val="20"/>
          <w:lang w:val="en-GB"/>
        </w:rPr>
        <w:t xml:space="preserve"> reports</w:t>
      </w:r>
      <w:r w:rsidR="00C03657" w:rsidRPr="00D018F4">
        <w:rPr>
          <w:rFonts w:ascii="Times New Roman" w:hAnsi="Times New Roman" w:cs="Times New Roman"/>
          <w:sz w:val="20"/>
          <w:szCs w:val="20"/>
          <w:lang w:val="en-GB"/>
        </w:rPr>
        <w:t>,</w:t>
      </w:r>
      <w:r w:rsidR="004D7530" w:rsidRPr="00D018F4">
        <w:rPr>
          <w:rFonts w:ascii="Times New Roman" w:hAnsi="Times New Roman" w:cs="Times New Roman"/>
          <w:sz w:val="20"/>
          <w:szCs w:val="20"/>
          <w:lang w:val="en-GB"/>
        </w:rPr>
        <w:t xml:space="preserve"> a series of benchmark publications on global mercury pollution.</w:t>
      </w:r>
    </w:p>
    <w:p w14:paraId="10BD37AB" w14:textId="23A7F839" w:rsidR="004D7530" w:rsidRPr="00D018F4" w:rsidRDefault="00E00ABB" w:rsidP="00C03657">
      <w:pPr>
        <w:pStyle w:val="MediumShading1-Accent11"/>
        <w:numPr>
          <w:ilvl w:val="0"/>
          <w:numId w:val="10"/>
        </w:numPr>
        <w:spacing w:after="120"/>
        <w:ind w:left="1247" w:firstLine="29"/>
        <w:rPr>
          <w:rFonts w:ascii="Times New Roman" w:hAnsi="Times New Roman" w:cs="Times New Roman"/>
          <w:sz w:val="20"/>
          <w:szCs w:val="20"/>
          <w:lang w:val="en-GB"/>
        </w:rPr>
      </w:pPr>
      <w:r w:rsidRPr="00D018F4">
        <w:rPr>
          <w:rFonts w:ascii="Times New Roman" w:hAnsi="Times New Roman" w:cs="Times New Roman"/>
          <w:sz w:val="20"/>
          <w:szCs w:val="20"/>
          <w:lang w:val="en-GB"/>
        </w:rPr>
        <w:t>T</w:t>
      </w:r>
      <w:r w:rsidR="004D7530" w:rsidRPr="00D018F4">
        <w:rPr>
          <w:rFonts w:ascii="Times New Roman" w:hAnsi="Times New Roman" w:cs="Times New Roman"/>
          <w:sz w:val="20"/>
          <w:szCs w:val="20"/>
          <w:lang w:val="en-GB"/>
        </w:rPr>
        <w:t xml:space="preserve">he secretariat of the Special Programme, which was adopted </w:t>
      </w:r>
      <w:r w:rsidR="002141A9" w:rsidRPr="00D018F4">
        <w:rPr>
          <w:rFonts w:ascii="Times New Roman" w:hAnsi="Times New Roman" w:cs="Times New Roman"/>
          <w:sz w:val="20"/>
          <w:szCs w:val="20"/>
          <w:lang w:val="en-GB"/>
        </w:rPr>
        <w:t>by</w:t>
      </w:r>
      <w:r w:rsidR="004D7530" w:rsidRPr="00D018F4">
        <w:rPr>
          <w:rFonts w:ascii="Times New Roman" w:hAnsi="Times New Roman" w:cs="Times New Roman"/>
          <w:sz w:val="20"/>
          <w:szCs w:val="20"/>
          <w:lang w:val="en-GB"/>
        </w:rPr>
        <w:t xml:space="preserve"> the United Nations Environment Assembly</w:t>
      </w:r>
      <w:r w:rsidR="002141A9" w:rsidRPr="00D018F4">
        <w:rPr>
          <w:rFonts w:ascii="Times New Roman" w:hAnsi="Times New Roman" w:cs="Times New Roman"/>
          <w:sz w:val="20"/>
          <w:szCs w:val="20"/>
          <w:lang w:val="en-GB"/>
        </w:rPr>
        <w:t xml:space="preserve"> at its first session</w:t>
      </w:r>
      <w:r w:rsidR="00C03657" w:rsidRPr="00D018F4">
        <w:rPr>
          <w:rFonts w:ascii="Times New Roman" w:hAnsi="Times New Roman" w:cs="Times New Roman"/>
          <w:sz w:val="20"/>
          <w:szCs w:val="20"/>
          <w:lang w:val="en-GB"/>
        </w:rPr>
        <w:t>,</w:t>
      </w:r>
      <w:r w:rsidR="004D7530" w:rsidRPr="00D018F4">
        <w:rPr>
          <w:rFonts w:ascii="Times New Roman" w:hAnsi="Times New Roman" w:cs="Times New Roman"/>
          <w:sz w:val="20"/>
          <w:szCs w:val="20"/>
          <w:lang w:val="en-GB"/>
        </w:rPr>
        <w:t xml:space="preserve"> in June 2014</w:t>
      </w:r>
      <w:r w:rsidRPr="00D018F4">
        <w:rPr>
          <w:rFonts w:ascii="Times New Roman" w:hAnsi="Times New Roman" w:cs="Times New Roman"/>
          <w:sz w:val="20"/>
          <w:szCs w:val="20"/>
          <w:lang w:val="en-GB"/>
        </w:rPr>
        <w:t>, is another secretariat of particular relevance to the specific international programme</w:t>
      </w:r>
      <w:r w:rsidR="004D7530" w:rsidRPr="00D018F4">
        <w:rPr>
          <w:rFonts w:ascii="Times New Roman" w:hAnsi="Times New Roman" w:cs="Times New Roman"/>
          <w:sz w:val="20"/>
          <w:szCs w:val="20"/>
          <w:lang w:val="en-GB"/>
        </w:rPr>
        <w:t xml:space="preserve">. </w:t>
      </w:r>
      <w:r w:rsidRPr="00D018F4">
        <w:rPr>
          <w:rFonts w:ascii="Times New Roman" w:hAnsi="Times New Roman" w:cs="Times New Roman"/>
          <w:sz w:val="20"/>
          <w:szCs w:val="20"/>
          <w:lang w:val="en-GB"/>
        </w:rPr>
        <w:t>It</w:t>
      </w:r>
      <w:r w:rsidR="004D7530" w:rsidRPr="00D018F4">
        <w:rPr>
          <w:rFonts w:ascii="Times New Roman" w:hAnsi="Times New Roman" w:cs="Times New Roman"/>
          <w:sz w:val="20"/>
          <w:szCs w:val="20"/>
          <w:lang w:val="en-GB"/>
        </w:rPr>
        <w:t xml:space="preserve"> is also hosted within the Chemicals and Waste Branch.</w:t>
      </w:r>
      <w:r w:rsidR="004D7530" w:rsidRPr="00D018F4">
        <w:rPr>
          <w:rFonts w:ascii="Times New Roman" w:hAnsi="Times New Roman" w:cs="Times New Roman"/>
          <w:color w:val="333333"/>
          <w:sz w:val="20"/>
          <w:szCs w:val="20"/>
          <w:lang w:val="en-GB"/>
        </w:rPr>
        <w:t xml:space="preserve"> </w:t>
      </w:r>
      <w:r w:rsidR="004D7530" w:rsidRPr="00D018F4">
        <w:rPr>
          <w:rFonts w:ascii="Times New Roman" w:hAnsi="Times New Roman" w:cs="Times New Roman"/>
          <w:sz w:val="20"/>
          <w:szCs w:val="20"/>
          <w:lang w:val="en-GB"/>
        </w:rPr>
        <w:t xml:space="preserve">Through the Special Programme, financial support will be provided to developing countries and countries with economies in transition to enhance their sustainable institutional capacity to develop, adopt, monitor and enforce policy, legislation and regulation and to gain access to financial and other resources for effective frameworks for the implementation of legally binding chemicals and waste conventions, </w:t>
      </w:r>
      <w:r w:rsidR="00C03657" w:rsidRPr="00D018F4">
        <w:rPr>
          <w:rFonts w:ascii="Times New Roman" w:hAnsi="Times New Roman" w:cs="Times New Roman"/>
          <w:sz w:val="20"/>
          <w:szCs w:val="20"/>
          <w:lang w:val="en-GB"/>
        </w:rPr>
        <w:t>including</w:t>
      </w:r>
      <w:r w:rsidR="006D0496" w:rsidRPr="00D018F4">
        <w:rPr>
          <w:rFonts w:ascii="Times New Roman" w:hAnsi="Times New Roman" w:cs="Times New Roman"/>
          <w:sz w:val="20"/>
          <w:szCs w:val="20"/>
          <w:lang w:val="en-GB"/>
        </w:rPr>
        <w:t xml:space="preserve"> </w:t>
      </w:r>
      <w:r w:rsidR="004D7530" w:rsidRPr="00D018F4">
        <w:rPr>
          <w:rFonts w:ascii="Times New Roman" w:hAnsi="Times New Roman" w:cs="Times New Roman"/>
          <w:sz w:val="20"/>
          <w:szCs w:val="20"/>
          <w:lang w:val="en-GB"/>
        </w:rPr>
        <w:t>the Minamata Convention.</w:t>
      </w:r>
      <w:r w:rsidR="004D7530" w:rsidRPr="00D018F4">
        <w:rPr>
          <w:rFonts w:ascii="Times New Roman" w:hAnsi="Times New Roman" w:cs="Times New Roman"/>
          <w:color w:val="333333"/>
          <w:sz w:val="20"/>
          <w:szCs w:val="20"/>
          <w:lang w:val="en-GB"/>
        </w:rPr>
        <w:t xml:space="preserve"> </w:t>
      </w:r>
    </w:p>
    <w:p w14:paraId="460D430F" w14:textId="4D513C4F" w:rsidR="004D7530" w:rsidRPr="00D018F4" w:rsidRDefault="004D7530" w:rsidP="00E2494F">
      <w:pPr>
        <w:pStyle w:val="MediumShading1-Accent11"/>
        <w:numPr>
          <w:ilvl w:val="0"/>
          <w:numId w:val="10"/>
        </w:numPr>
        <w:spacing w:after="120"/>
        <w:ind w:left="1247" w:firstLine="29"/>
        <w:rPr>
          <w:rFonts w:ascii="Times New Roman" w:hAnsi="Times New Roman" w:cs="Times New Roman"/>
          <w:sz w:val="20"/>
          <w:szCs w:val="20"/>
          <w:lang w:val="en-GB"/>
        </w:rPr>
      </w:pPr>
      <w:r w:rsidRPr="00D018F4">
        <w:rPr>
          <w:rFonts w:ascii="Times New Roman" w:hAnsi="Times New Roman" w:cs="Times New Roman"/>
          <w:sz w:val="20"/>
          <w:szCs w:val="20"/>
          <w:lang w:val="en-GB"/>
        </w:rPr>
        <w:t xml:space="preserve">Should the Chemicals and Waste Branch be selected as the entity to host the specific international programme, the Branch would be able to support the programme with its scientific and technical expertise on mercury. The programme would be able to draw on the Branch’s experience in </w:t>
      </w:r>
      <w:r w:rsidR="009A2FE7" w:rsidRPr="00D018F4">
        <w:rPr>
          <w:rFonts w:ascii="Times New Roman" w:hAnsi="Times New Roman" w:cs="Times New Roman"/>
          <w:sz w:val="20"/>
          <w:szCs w:val="20"/>
          <w:lang w:val="en-GB"/>
        </w:rPr>
        <w:t>engaging with a large number of</w:t>
      </w:r>
      <w:r w:rsidRPr="00D018F4">
        <w:rPr>
          <w:rFonts w:ascii="Times New Roman" w:hAnsi="Times New Roman" w:cs="Times New Roman"/>
          <w:sz w:val="20"/>
          <w:szCs w:val="20"/>
          <w:lang w:val="en-GB"/>
        </w:rPr>
        <w:t xml:space="preserve"> </w:t>
      </w:r>
      <w:r w:rsidR="00E2494F" w:rsidRPr="00D018F4">
        <w:rPr>
          <w:rFonts w:ascii="Times New Roman" w:hAnsi="Times New Roman" w:cs="Times New Roman"/>
          <w:sz w:val="20"/>
          <w:szCs w:val="20"/>
          <w:lang w:val="en-GB"/>
        </w:rPr>
        <w:t>g</w:t>
      </w:r>
      <w:r w:rsidRPr="00D018F4">
        <w:rPr>
          <w:rFonts w:ascii="Times New Roman" w:hAnsi="Times New Roman" w:cs="Times New Roman"/>
          <w:sz w:val="20"/>
          <w:szCs w:val="20"/>
          <w:lang w:val="en-GB"/>
        </w:rPr>
        <w:t>overnment</w:t>
      </w:r>
      <w:r w:rsidR="00F06867" w:rsidRPr="00D018F4">
        <w:rPr>
          <w:rFonts w:ascii="Times New Roman" w:hAnsi="Times New Roman" w:cs="Times New Roman"/>
          <w:sz w:val="20"/>
          <w:szCs w:val="20"/>
          <w:lang w:val="en-GB"/>
        </w:rPr>
        <w:t xml:space="preserve"> </w:t>
      </w:r>
      <w:r w:rsidRPr="00D018F4">
        <w:rPr>
          <w:rFonts w:ascii="Times New Roman" w:hAnsi="Times New Roman" w:cs="Times New Roman"/>
          <w:sz w:val="20"/>
          <w:szCs w:val="20"/>
          <w:lang w:val="en-GB"/>
        </w:rPr>
        <w:t>and non-</w:t>
      </w:r>
      <w:r w:rsidR="00BD05C0" w:rsidRPr="00D018F4">
        <w:rPr>
          <w:rFonts w:ascii="Times New Roman" w:hAnsi="Times New Roman" w:cs="Times New Roman"/>
          <w:sz w:val="20"/>
          <w:szCs w:val="20"/>
          <w:lang w:val="en-GB"/>
        </w:rPr>
        <w:t>g</w:t>
      </w:r>
      <w:r w:rsidRPr="00D018F4">
        <w:rPr>
          <w:rFonts w:ascii="Times New Roman" w:hAnsi="Times New Roman" w:cs="Times New Roman"/>
          <w:sz w:val="20"/>
          <w:szCs w:val="20"/>
          <w:lang w:val="en-GB"/>
        </w:rPr>
        <w:t>overnment</w:t>
      </w:r>
      <w:r w:rsidR="00BD05C0" w:rsidRPr="00D018F4">
        <w:rPr>
          <w:rFonts w:ascii="Times New Roman" w:hAnsi="Times New Roman" w:cs="Times New Roman"/>
          <w:sz w:val="20"/>
          <w:szCs w:val="20"/>
          <w:lang w:val="en-GB"/>
        </w:rPr>
        <w:t>al</w:t>
      </w:r>
      <w:r w:rsidRPr="00D018F4">
        <w:rPr>
          <w:rFonts w:ascii="Times New Roman" w:hAnsi="Times New Roman" w:cs="Times New Roman"/>
          <w:sz w:val="20"/>
          <w:szCs w:val="20"/>
          <w:lang w:val="en-GB"/>
        </w:rPr>
        <w:t xml:space="preserve"> stakeholders in addressing a wide range of mercury issues</w:t>
      </w:r>
      <w:r w:rsidR="00BD05C0" w:rsidRPr="00D018F4">
        <w:rPr>
          <w:rFonts w:ascii="Times New Roman" w:hAnsi="Times New Roman" w:cs="Times New Roman"/>
          <w:sz w:val="20"/>
          <w:szCs w:val="20"/>
          <w:lang w:val="en-GB"/>
        </w:rPr>
        <w:t>,</w:t>
      </w:r>
      <w:r w:rsidR="00F564FB" w:rsidRPr="00D018F4">
        <w:rPr>
          <w:rFonts w:ascii="Times New Roman" w:hAnsi="Times New Roman" w:cs="Times New Roman"/>
          <w:sz w:val="20"/>
          <w:szCs w:val="20"/>
          <w:lang w:val="en-GB"/>
        </w:rPr>
        <w:t xml:space="preserve"> and </w:t>
      </w:r>
      <w:r w:rsidR="00E2494F" w:rsidRPr="00D018F4">
        <w:rPr>
          <w:rFonts w:ascii="Times New Roman" w:hAnsi="Times New Roman" w:cs="Times New Roman"/>
          <w:sz w:val="20"/>
          <w:szCs w:val="20"/>
          <w:lang w:val="en-GB"/>
        </w:rPr>
        <w:t xml:space="preserve">to </w:t>
      </w:r>
      <w:r w:rsidR="00F564FB" w:rsidRPr="00D018F4">
        <w:rPr>
          <w:rFonts w:ascii="Times New Roman" w:hAnsi="Times New Roman" w:cs="Times New Roman"/>
          <w:sz w:val="20"/>
          <w:szCs w:val="20"/>
          <w:lang w:val="en-GB"/>
        </w:rPr>
        <w:t>benefit from its</w:t>
      </w:r>
      <w:r w:rsidR="00236CE3" w:rsidRPr="00D018F4">
        <w:rPr>
          <w:rFonts w:ascii="Times New Roman" w:hAnsi="Times New Roman" w:cs="Times New Roman"/>
          <w:sz w:val="20"/>
          <w:szCs w:val="20"/>
          <w:lang w:val="en-GB"/>
        </w:rPr>
        <w:t xml:space="preserve"> </w:t>
      </w:r>
      <w:r w:rsidR="00F564FB" w:rsidRPr="00D018F4">
        <w:rPr>
          <w:rFonts w:ascii="Times New Roman" w:hAnsi="Times New Roman" w:cs="Times New Roman"/>
          <w:sz w:val="20"/>
          <w:szCs w:val="20"/>
          <w:lang w:val="en-GB"/>
        </w:rPr>
        <w:t xml:space="preserve">significant experience in soliciting and managing funds for chemicals-related activities. </w:t>
      </w:r>
      <w:r w:rsidRPr="00D018F4">
        <w:rPr>
          <w:rFonts w:ascii="Times New Roman" w:hAnsi="Times New Roman" w:cs="Times New Roman"/>
          <w:sz w:val="20"/>
          <w:szCs w:val="20"/>
          <w:lang w:val="en-GB"/>
        </w:rPr>
        <w:t xml:space="preserve">As </w:t>
      </w:r>
      <w:r w:rsidR="00E2494F" w:rsidRPr="00D018F4">
        <w:rPr>
          <w:rFonts w:ascii="Times New Roman" w:hAnsi="Times New Roman" w:cs="Times New Roman"/>
          <w:sz w:val="20"/>
          <w:szCs w:val="20"/>
          <w:lang w:val="en-GB"/>
        </w:rPr>
        <w:t xml:space="preserve">is </w:t>
      </w:r>
      <w:r w:rsidRPr="00D018F4">
        <w:rPr>
          <w:rFonts w:ascii="Times New Roman" w:hAnsi="Times New Roman" w:cs="Times New Roman"/>
          <w:sz w:val="20"/>
          <w:szCs w:val="20"/>
          <w:lang w:val="en-GB"/>
        </w:rPr>
        <w:t>highlighted above, it could benefit from the close relationship with</w:t>
      </w:r>
      <w:r w:rsidR="00BD05C0" w:rsidRPr="00D018F4">
        <w:rPr>
          <w:rFonts w:ascii="Times New Roman" w:hAnsi="Times New Roman" w:cs="Times New Roman"/>
          <w:sz w:val="20"/>
          <w:szCs w:val="20"/>
          <w:lang w:val="en-GB"/>
        </w:rPr>
        <w:t>,</w:t>
      </w:r>
      <w:r w:rsidRPr="00D018F4">
        <w:rPr>
          <w:rFonts w:ascii="Times New Roman" w:hAnsi="Times New Roman" w:cs="Times New Roman"/>
          <w:sz w:val="20"/>
          <w:szCs w:val="20"/>
          <w:lang w:val="en-GB"/>
        </w:rPr>
        <w:t xml:space="preserve"> and linkage</w:t>
      </w:r>
      <w:r w:rsidR="00BD05C0" w:rsidRPr="00D018F4">
        <w:rPr>
          <w:rFonts w:ascii="Times New Roman" w:hAnsi="Times New Roman" w:cs="Times New Roman"/>
          <w:sz w:val="20"/>
          <w:szCs w:val="20"/>
          <w:lang w:val="en-GB"/>
        </w:rPr>
        <w:t>s</w:t>
      </w:r>
      <w:r w:rsidRPr="00D018F4">
        <w:rPr>
          <w:rFonts w:ascii="Times New Roman" w:hAnsi="Times New Roman" w:cs="Times New Roman"/>
          <w:sz w:val="20"/>
          <w:szCs w:val="20"/>
          <w:lang w:val="en-GB"/>
        </w:rPr>
        <w:t xml:space="preserve"> of</w:t>
      </w:r>
      <w:r w:rsidR="00BD05C0" w:rsidRPr="00D018F4">
        <w:rPr>
          <w:rFonts w:ascii="Times New Roman" w:hAnsi="Times New Roman" w:cs="Times New Roman"/>
          <w:sz w:val="20"/>
          <w:szCs w:val="20"/>
          <w:lang w:val="en-GB"/>
        </w:rPr>
        <w:t>,</w:t>
      </w:r>
      <w:r w:rsidRPr="00D018F4">
        <w:rPr>
          <w:rFonts w:ascii="Times New Roman" w:hAnsi="Times New Roman" w:cs="Times New Roman"/>
          <w:sz w:val="20"/>
          <w:szCs w:val="20"/>
          <w:lang w:val="en-GB"/>
        </w:rPr>
        <w:t xml:space="preserve"> the </w:t>
      </w:r>
      <w:r w:rsidR="00236CE3" w:rsidRPr="00D018F4">
        <w:rPr>
          <w:rFonts w:ascii="Times New Roman" w:hAnsi="Times New Roman" w:cs="Times New Roman"/>
          <w:sz w:val="20"/>
          <w:szCs w:val="20"/>
          <w:lang w:val="en-GB"/>
        </w:rPr>
        <w:t xml:space="preserve">UNEP </w:t>
      </w:r>
      <w:r w:rsidRPr="00D018F4">
        <w:rPr>
          <w:rFonts w:ascii="Times New Roman" w:hAnsi="Times New Roman" w:cs="Times New Roman"/>
          <w:sz w:val="20"/>
          <w:szCs w:val="20"/>
          <w:lang w:val="en-GB"/>
        </w:rPr>
        <w:t>Global Mercury Partnership and its activities</w:t>
      </w:r>
      <w:r w:rsidR="009A2FE7" w:rsidRPr="00D018F4">
        <w:rPr>
          <w:rFonts w:ascii="Times New Roman" w:hAnsi="Times New Roman" w:cs="Times New Roman"/>
          <w:sz w:val="20"/>
          <w:szCs w:val="20"/>
          <w:lang w:val="en-GB"/>
        </w:rPr>
        <w:t xml:space="preserve"> linked</w:t>
      </w:r>
      <w:r w:rsidRPr="00D018F4">
        <w:rPr>
          <w:rFonts w:ascii="Times New Roman" w:hAnsi="Times New Roman" w:cs="Times New Roman"/>
          <w:sz w:val="20"/>
          <w:szCs w:val="20"/>
          <w:lang w:val="en-GB"/>
        </w:rPr>
        <w:t xml:space="preserve"> to the Minamata Convention, </w:t>
      </w:r>
      <w:r w:rsidR="00BD05C0" w:rsidRPr="00D018F4">
        <w:rPr>
          <w:rFonts w:ascii="Times New Roman" w:hAnsi="Times New Roman" w:cs="Times New Roman"/>
          <w:sz w:val="20"/>
          <w:szCs w:val="20"/>
          <w:lang w:val="en-GB"/>
        </w:rPr>
        <w:t xml:space="preserve">as well as </w:t>
      </w:r>
      <w:r w:rsidRPr="00D018F4">
        <w:rPr>
          <w:rFonts w:ascii="Times New Roman" w:hAnsi="Times New Roman" w:cs="Times New Roman"/>
          <w:sz w:val="20"/>
          <w:szCs w:val="20"/>
          <w:lang w:val="en-GB"/>
        </w:rPr>
        <w:t xml:space="preserve">its technical capacity, expertise and experience, </w:t>
      </w:r>
      <w:r w:rsidR="00BD05C0" w:rsidRPr="00D018F4">
        <w:rPr>
          <w:rFonts w:ascii="Times New Roman" w:hAnsi="Times New Roman" w:cs="Times New Roman"/>
          <w:sz w:val="20"/>
          <w:szCs w:val="20"/>
          <w:lang w:val="en-GB"/>
        </w:rPr>
        <w:t xml:space="preserve">and </w:t>
      </w:r>
      <w:r w:rsidRPr="00D018F4">
        <w:rPr>
          <w:rFonts w:ascii="Times New Roman" w:hAnsi="Times New Roman" w:cs="Times New Roman"/>
          <w:sz w:val="20"/>
          <w:szCs w:val="20"/>
          <w:lang w:val="en-GB"/>
        </w:rPr>
        <w:t xml:space="preserve">its broad range of contributors. The programme could also benefit from the financial and administrative structures put in place for the operation of the Special Programme and its </w:t>
      </w:r>
      <w:r w:rsidR="002141A9" w:rsidRPr="00D018F4">
        <w:rPr>
          <w:rFonts w:ascii="Times New Roman" w:hAnsi="Times New Roman" w:cs="Times New Roman"/>
          <w:sz w:val="20"/>
          <w:szCs w:val="20"/>
          <w:lang w:val="en-GB"/>
        </w:rPr>
        <w:t>trust fund</w:t>
      </w:r>
      <w:r w:rsidRPr="00D018F4">
        <w:rPr>
          <w:rFonts w:ascii="Times New Roman" w:hAnsi="Times New Roman" w:cs="Times New Roman"/>
          <w:sz w:val="20"/>
          <w:szCs w:val="20"/>
          <w:lang w:val="en-GB"/>
        </w:rPr>
        <w:t>. Depending on the type</w:t>
      </w:r>
      <w:r w:rsidR="0022580A" w:rsidRPr="00D018F4">
        <w:rPr>
          <w:rFonts w:ascii="Times New Roman" w:hAnsi="Times New Roman" w:cs="Times New Roman"/>
          <w:sz w:val="20"/>
          <w:szCs w:val="20"/>
          <w:lang w:val="en-GB"/>
        </w:rPr>
        <w:t>s</w:t>
      </w:r>
      <w:r w:rsidRPr="00D018F4">
        <w:rPr>
          <w:rFonts w:ascii="Times New Roman" w:hAnsi="Times New Roman" w:cs="Times New Roman"/>
          <w:sz w:val="20"/>
          <w:szCs w:val="20"/>
          <w:lang w:val="en-GB"/>
        </w:rPr>
        <w:t xml:space="preserve"> of projects supported by the </w:t>
      </w:r>
      <w:r w:rsidR="00AA1A3D" w:rsidRPr="00D018F4">
        <w:rPr>
          <w:rFonts w:ascii="Times New Roman" w:hAnsi="Times New Roman" w:cs="Times New Roman"/>
          <w:sz w:val="20"/>
          <w:szCs w:val="20"/>
          <w:lang w:val="en-GB"/>
        </w:rPr>
        <w:t xml:space="preserve">specific international </w:t>
      </w:r>
      <w:r w:rsidRPr="00D018F4">
        <w:rPr>
          <w:rFonts w:ascii="Times New Roman" w:hAnsi="Times New Roman" w:cs="Times New Roman"/>
          <w:sz w:val="20"/>
          <w:szCs w:val="20"/>
          <w:lang w:val="en-GB"/>
        </w:rPr>
        <w:t>programme, there may also be opportunities for structural and programmatic co-benefits and complementarities.</w:t>
      </w:r>
    </w:p>
    <w:p w14:paraId="05D2692D" w14:textId="497527AE" w:rsidR="004D7530" w:rsidRPr="00D018F4" w:rsidRDefault="002141A9" w:rsidP="004D7530">
      <w:pPr>
        <w:pStyle w:val="MediumShading1-Accent11"/>
        <w:numPr>
          <w:ilvl w:val="0"/>
          <w:numId w:val="10"/>
        </w:numPr>
        <w:spacing w:after="120"/>
        <w:ind w:left="1247" w:firstLine="29"/>
        <w:rPr>
          <w:rFonts w:ascii="Times New Roman" w:hAnsi="Times New Roman" w:cs="Times New Roman"/>
          <w:sz w:val="20"/>
          <w:szCs w:val="20"/>
          <w:lang w:val="en-GB"/>
        </w:rPr>
      </w:pPr>
      <w:r w:rsidRPr="00D018F4">
        <w:rPr>
          <w:rFonts w:ascii="Times New Roman" w:hAnsi="Times New Roman" w:cs="Times New Roman"/>
          <w:sz w:val="20"/>
          <w:szCs w:val="20"/>
          <w:lang w:val="en-GB"/>
        </w:rPr>
        <w:t xml:space="preserve">In terms of </w:t>
      </w:r>
      <w:r w:rsidR="004D7530" w:rsidRPr="00D018F4">
        <w:rPr>
          <w:rFonts w:ascii="Times New Roman" w:hAnsi="Times New Roman" w:cs="Times New Roman"/>
          <w:sz w:val="20"/>
          <w:szCs w:val="20"/>
          <w:lang w:val="en-GB"/>
        </w:rPr>
        <w:t>human resources, the Branch could draw on its internal administrative and</w:t>
      </w:r>
      <w:r w:rsidR="00BD05C0" w:rsidRPr="00D018F4">
        <w:rPr>
          <w:rFonts w:ascii="Times New Roman" w:hAnsi="Times New Roman" w:cs="Times New Roman"/>
          <w:sz w:val="20"/>
          <w:szCs w:val="20"/>
          <w:lang w:val="en-GB"/>
        </w:rPr>
        <w:t xml:space="preserve"> other</w:t>
      </w:r>
      <w:r w:rsidR="004D7530" w:rsidRPr="00D018F4">
        <w:rPr>
          <w:rFonts w:ascii="Times New Roman" w:hAnsi="Times New Roman" w:cs="Times New Roman"/>
          <w:sz w:val="20"/>
          <w:szCs w:val="20"/>
          <w:lang w:val="en-GB"/>
        </w:rPr>
        <w:t xml:space="preserve"> substantial resources, although additional staff </w:t>
      </w:r>
      <w:r w:rsidR="00BD05C0" w:rsidRPr="00D018F4">
        <w:rPr>
          <w:rFonts w:ascii="Times New Roman" w:hAnsi="Times New Roman" w:cs="Times New Roman"/>
          <w:sz w:val="20"/>
          <w:szCs w:val="20"/>
          <w:lang w:val="en-GB"/>
        </w:rPr>
        <w:t>would probably</w:t>
      </w:r>
      <w:r w:rsidR="004D7530" w:rsidRPr="00D018F4">
        <w:rPr>
          <w:rFonts w:ascii="Times New Roman" w:hAnsi="Times New Roman" w:cs="Times New Roman"/>
          <w:sz w:val="20"/>
          <w:szCs w:val="20"/>
          <w:lang w:val="en-GB"/>
        </w:rPr>
        <w:t xml:space="preserve"> be </w:t>
      </w:r>
      <w:r w:rsidR="00BD05C0" w:rsidRPr="00D018F4">
        <w:rPr>
          <w:rFonts w:ascii="Times New Roman" w:hAnsi="Times New Roman" w:cs="Times New Roman"/>
          <w:sz w:val="20"/>
          <w:szCs w:val="20"/>
          <w:lang w:val="en-GB"/>
        </w:rPr>
        <w:t xml:space="preserve">required </w:t>
      </w:r>
      <w:r w:rsidR="004D7530" w:rsidRPr="00D018F4">
        <w:rPr>
          <w:rFonts w:ascii="Times New Roman" w:hAnsi="Times New Roman" w:cs="Times New Roman"/>
          <w:sz w:val="20"/>
          <w:szCs w:val="20"/>
          <w:lang w:val="en-GB"/>
        </w:rPr>
        <w:t>to support the operation of the programme. Staffing needs would</w:t>
      </w:r>
      <w:r w:rsidR="00BD05C0" w:rsidRPr="00D018F4">
        <w:rPr>
          <w:rFonts w:ascii="Times New Roman" w:hAnsi="Times New Roman" w:cs="Times New Roman"/>
          <w:sz w:val="20"/>
          <w:szCs w:val="20"/>
          <w:lang w:val="en-GB"/>
        </w:rPr>
        <w:t>,</w:t>
      </w:r>
      <w:r w:rsidR="004D7530" w:rsidRPr="00D018F4">
        <w:rPr>
          <w:rFonts w:ascii="Times New Roman" w:hAnsi="Times New Roman" w:cs="Times New Roman"/>
          <w:sz w:val="20"/>
          <w:szCs w:val="20"/>
          <w:lang w:val="en-GB"/>
        </w:rPr>
        <w:t xml:space="preserve"> of course</w:t>
      </w:r>
      <w:r w:rsidR="00BD05C0" w:rsidRPr="00D018F4">
        <w:rPr>
          <w:rFonts w:ascii="Times New Roman" w:hAnsi="Times New Roman" w:cs="Times New Roman"/>
          <w:sz w:val="20"/>
          <w:szCs w:val="20"/>
          <w:lang w:val="en-GB"/>
        </w:rPr>
        <w:t>,</w:t>
      </w:r>
      <w:r w:rsidR="004D7530" w:rsidRPr="00D018F4">
        <w:rPr>
          <w:rFonts w:ascii="Times New Roman" w:hAnsi="Times New Roman" w:cs="Times New Roman"/>
          <w:sz w:val="20"/>
          <w:szCs w:val="20"/>
          <w:lang w:val="en-GB"/>
        </w:rPr>
        <w:t xml:space="preserve"> vary depending on the tasks required and would </w:t>
      </w:r>
      <w:r w:rsidR="0022580A" w:rsidRPr="00D018F4">
        <w:rPr>
          <w:rFonts w:ascii="Times New Roman" w:hAnsi="Times New Roman" w:cs="Times New Roman"/>
          <w:sz w:val="20"/>
          <w:szCs w:val="20"/>
          <w:lang w:val="en-GB"/>
        </w:rPr>
        <w:t>have</w:t>
      </w:r>
      <w:r w:rsidR="004D7530" w:rsidRPr="00D018F4">
        <w:rPr>
          <w:rFonts w:ascii="Times New Roman" w:hAnsi="Times New Roman" w:cs="Times New Roman"/>
          <w:sz w:val="20"/>
          <w:szCs w:val="20"/>
          <w:lang w:val="en-GB"/>
        </w:rPr>
        <w:t xml:space="preserve"> to be assessed on that basis.</w:t>
      </w:r>
    </w:p>
    <w:p w14:paraId="120A0D5E" w14:textId="22D9FDF5" w:rsidR="004D7530" w:rsidRPr="00D018F4" w:rsidRDefault="00A10E2B" w:rsidP="00EA48AA">
      <w:pPr>
        <w:pStyle w:val="CH1"/>
        <w:rPr>
          <w:bCs/>
        </w:rPr>
      </w:pPr>
      <w:r w:rsidRPr="00D018F4">
        <w:tab/>
      </w:r>
      <w:r w:rsidRPr="00D018F4">
        <w:rPr>
          <w:bCs/>
        </w:rPr>
        <w:t>II.</w:t>
      </w:r>
      <w:r w:rsidRPr="00D018F4">
        <w:rPr>
          <w:bCs/>
        </w:rPr>
        <w:tab/>
      </w:r>
      <w:r w:rsidR="004D7530" w:rsidRPr="00D018F4">
        <w:rPr>
          <w:bCs/>
        </w:rPr>
        <w:t xml:space="preserve">Hosting by the </w:t>
      </w:r>
      <w:r w:rsidR="00BD05C0" w:rsidRPr="00D018F4">
        <w:rPr>
          <w:bCs/>
        </w:rPr>
        <w:t>s</w:t>
      </w:r>
      <w:r w:rsidR="004D7530" w:rsidRPr="00D018F4">
        <w:rPr>
          <w:bCs/>
        </w:rPr>
        <w:t>ecretariat of the Minamata Convention</w:t>
      </w:r>
    </w:p>
    <w:p w14:paraId="26AF79EF" w14:textId="091B6484" w:rsidR="004D7530" w:rsidRPr="00D018F4" w:rsidRDefault="004D7530" w:rsidP="003D3618">
      <w:pPr>
        <w:pStyle w:val="Normalnumber"/>
        <w:numPr>
          <w:ilvl w:val="0"/>
          <w:numId w:val="10"/>
        </w:numPr>
        <w:tabs>
          <w:tab w:val="left" w:pos="624"/>
          <w:tab w:val="left" w:pos="1871"/>
          <w:tab w:val="left" w:pos="2495"/>
          <w:tab w:val="left" w:pos="3119"/>
        </w:tabs>
        <w:rPr>
          <w:rFonts w:eastAsia="MS Mincho"/>
        </w:rPr>
      </w:pPr>
      <w:r w:rsidRPr="00D018F4">
        <w:t>The</w:t>
      </w:r>
      <w:r w:rsidR="00AC49CB" w:rsidRPr="00D018F4">
        <w:t xml:space="preserve"> </w:t>
      </w:r>
      <w:r w:rsidR="00BD05C0" w:rsidRPr="00D018F4">
        <w:t>s</w:t>
      </w:r>
      <w:r w:rsidR="00C303BE" w:rsidRPr="00D018F4">
        <w:t xml:space="preserve">ecretariat of the </w:t>
      </w:r>
      <w:r w:rsidRPr="00D018F4">
        <w:t>Minamata Convention</w:t>
      </w:r>
      <w:r w:rsidR="009A2FE7" w:rsidRPr="00D018F4">
        <w:t xml:space="preserve"> </w:t>
      </w:r>
      <w:r w:rsidRPr="00D018F4">
        <w:t xml:space="preserve">represents another option within UNEP for hosting the specific international programme. When considering this option, </w:t>
      </w:r>
      <w:r w:rsidR="00BD05C0" w:rsidRPr="00D018F4">
        <w:t>a number of</w:t>
      </w:r>
      <w:r w:rsidRPr="00D018F4">
        <w:t xml:space="preserve"> different avenues </w:t>
      </w:r>
      <w:r w:rsidR="00BD05C0" w:rsidRPr="00D018F4">
        <w:t xml:space="preserve">are </w:t>
      </w:r>
      <w:r w:rsidRPr="00D018F4">
        <w:t xml:space="preserve">currently being discussed </w:t>
      </w:r>
      <w:r w:rsidR="00BD05C0" w:rsidRPr="00D018F4">
        <w:t xml:space="preserve">with regard to </w:t>
      </w:r>
      <w:r w:rsidRPr="00D018F4">
        <w:t xml:space="preserve">how </w:t>
      </w:r>
      <w:r w:rsidR="00CA3D66" w:rsidRPr="00D018F4">
        <w:t xml:space="preserve">the Executive Director of </w:t>
      </w:r>
      <w:r w:rsidRPr="00D018F4">
        <w:t>UNEP would p</w:t>
      </w:r>
      <w:r w:rsidRPr="00D018F4">
        <w:rPr>
          <w:rFonts w:eastAsia="MS Mincho"/>
        </w:rPr>
        <w:t xml:space="preserve">erform the </w:t>
      </w:r>
      <w:r w:rsidRPr="00D018F4">
        <w:rPr>
          <w:lang w:eastAsia="zh-CN"/>
        </w:rPr>
        <w:t>functions</w:t>
      </w:r>
      <w:r w:rsidRPr="00D018F4">
        <w:rPr>
          <w:rFonts w:eastAsia="MS Mincho"/>
        </w:rPr>
        <w:t xml:space="preserve"> of the permanent secretariat of the Convention</w:t>
      </w:r>
      <w:r w:rsidR="003D3618" w:rsidRPr="00D018F4">
        <w:rPr>
          <w:rFonts w:eastAsia="MS Mincho"/>
        </w:rPr>
        <w:t xml:space="preserve"> and these should be kept in mind. </w:t>
      </w:r>
      <w:r w:rsidR="00BD05C0" w:rsidRPr="00D018F4">
        <w:rPr>
          <w:rFonts w:eastAsia="MS Mincho"/>
        </w:rPr>
        <w:t xml:space="preserve">These </w:t>
      </w:r>
      <w:r w:rsidRPr="00D018F4">
        <w:rPr>
          <w:rFonts w:eastAsia="MS Mincho"/>
        </w:rPr>
        <w:t>includ</w:t>
      </w:r>
      <w:r w:rsidR="00BD05C0" w:rsidRPr="00D018F4">
        <w:rPr>
          <w:rFonts w:eastAsia="MS Mincho"/>
        </w:rPr>
        <w:t>e</w:t>
      </w:r>
      <w:r w:rsidRPr="00D018F4">
        <w:rPr>
          <w:rFonts w:eastAsia="MS Mincho"/>
        </w:rPr>
        <w:t xml:space="preserve"> the option of a merger </w:t>
      </w:r>
      <w:r w:rsidR="002141A9" w:rsidRPr="00D018F4">
        <w:rPr>
          <w:rFonts w:eastAsia="MS Mincho"/>
        </w:rPr>
        <w:t xml:space="preserve">of the Minamata Convention secretariat </w:t>
      </w:r>
      <w:r w:rsidRPr="00D018F4">
        <w:rPr>
          <w:rFonts w:eastAsia="MS Mincho"/>
        </w:rPr>
        <w:t xml:space="preserve">with the secretariat of the Basel, Rotterdam and Stockholm </w:t>
      </w:r>
      <w:r w:rsidR="00BD05C0" w:rsidRPr="00D018F4">
        <w:rPr>
          <w:rFonts w:eastAsia="MS Mincho"/>
        </w:rPr>
        <w:t>c</w:t>
      </w:r>
      <w:r w:rsidRPr="00D018F4">
        <w:rPr>
          <w:rFonts w:eastAsia="MS Mincho"/>
        </w:rPr>
        <w:t>onvention</w:t>
      </w:r>
      <w:r w:rsidR="00BD05C0" w:rsidRPr="00D018F4">
        <w:rPr>
          <w:rFonts w:eastAsia="MS Mincho"/>
        </w:rPr>
        <w:t>s</w:t>
      </w:r>
      <w:r w:rsidRPr="00D018F4">
        <w:rPr>
          <w:rFonts w:eastAsia="MS Mincho"/>
        </w:rPr>
        <w:t xml:space="preserve"> and that of utilizing the interim secretariat.</w:t>
      </w:r>
    </w:p>
    <w:p w14:paraId="34E594CD" w14:textId="3AA9CFDB" w:rsidR="004D7530" w:rsidRPr="00D018F4" w:rsidRDefault="000C6265" w:rsidP="00D018F4">
      <w:pPr>
        <w:pStyle w:val="Normalnumber"/>
        <w:numPr>
          <w:ilvl w:val="0"/>
          <w:numId w:val="10"/>
        </w:numPr>
        <w:tabs>
          <w:tab w:val="left" w:pos="624"/>
          <w:tab w:val="left" w:pos="1871"/>
          <w:tab w:val="left" w:pos="2495"/>
          <w:tab w:val="left" w:pos="3119"/>
        </w:tabs>
        <w:rPr>
          <w:rFonts w:eastAsia="MS Mincho"/>
        </w:rPr>
      </w:pPr>
      <w:r w:rsidRPr="00D018F4">
        <w:t>In hosting the specific international programme, t</w:t>
      </w:r>
      <w:r w:rsidR="009A2FE7" w:rsidRPr="00D018F4">
        <w:t xml:space="preserve">he </w:t>
      </w:r>
      <w:r w:rsidR="00BD05C0" w:rsidRPr="00D018F4">
        <w:t>s</w:t>
      </w:r>
      <w:r w:rsidR="004D7530" w:rsidRPr="00D018F4">
        <w:t xml:space="preserve">ecretariat </w:t>
      </w:r>
      <w:r w:rsidR="00BD05C0" w:rsidRPr="00D018F4">
        <w:t xml:space="preserve">of the Minamata Convention </w:t>
      </w:r>
      <w:r w:rsidRPr="00D018F4">
        <w:t xml:space="preserve">would </w:t>
      </w:r>
      <w:r w:rsidR="004D7530" w:rsidRPr="00D018F4">
        <w:t xml:space="preserve">build on the experience of the interim secretariat and </w:t>
      </w:r>
      <w:r w:rsidR="00BE25AF" w:rsidRPr="00D018F4">
        <w:t xml:space="preserve">the </w:t>
      </w:r>
      <w:r w:rsidR="004D7530" w:rsidRPr="00D018F4">
        <w:t xml:space="preserve">mercury programme, which </w:t>
      </w:r>
      <w:r w:rsidRPr="00D018F4">
        <w:t xml:space="preserve">jointly </w:t>
      </w:r>
      <w:r w:rsidR="004D7530" w:rsidRPr="00D018F4">
        <w:t xml:space="preserve">have </w:t>
      </w:r>
      <w:r w:rsidR="004D7530" w:rsidRPr="00D018F4">
        <w:rPr>
          <w:lang w:eastAsia="zh-CN"/>
        </w:rPr>
        <w:t>more</w:t>
      </w:r>
      <w:r w:rsidR="004D7530" w:rsidRPr="00D018F4">
        <w:t xml:space="preserve"> than </w:t>
      </w:r>
      <w:r w:rsidR="00BD05C0" w:rsidRPr="00D018F4">
        <w:t xml:space="preserve">10 </w:t>
      </w:r>
      <w:r w:rsidR="004D7530" w:rsidRPr="00D018F4">
        <w:t>years of experience in delivering services and distributing funds to support activities</w:t>
      </w:r>
      <w:r w:rsidR="00AC251C" w:rsidRPr="00D018F4">
        <w:t xml:space="preserve"> of parties</w:t>
      </w:r>
      <w:r w:rsidR="004D7530" w:rsidRPr="00D018F4">
        <w:t xml:space="preserve">, particularly through the small grants programme and other activities. The </w:t>
      </w:r>
      <w:r w:rsidR="00BD05C0" w:rsidRPr="00D018F4">
        <w:t>s</w:t>
      </w:r>
      <w:r w:rsidR="004D7530" w:rsidRPr="00D018F4">
        <w:t>ecretariat</w:t>
      </w:r>
      <w:r w:rsidR="00BD05C0" w:rsidRPr="00D018F4">
        <w:t>’s</w:t>
      </w:r>
      <w:r w:rsidR="004D7530" w:rsidRPr="00D018F4">
        <w:t xml:space="preserve"> tasks are set out in Article 24 of the Convention and include providing support to meetings</w:t>
      </w:r>
      <w:r w:rsidR="00F8465F" w:rsidRPr="00D018F4">
        <w:t xml:space="preserve"> of parties;</w:t>
      </w:r>
      <w:r w:rsidR="004D7530" w:rsidRPr="00D018F4">
        <w:t xml:space="preserve"> facilitating assistance</w:t>
      </w:r>
      <w:r w:rsidR="00BE25AF" w:rsidRPr="00D018F4">
        <w:t>, on request,</w:t>
      </w:r>
      <w:r w:rsidR="004D7530" w:rsidRPr="00D018F4">
        <w:t xml:space="preserve"> to </w:t>
      </w:r>
      <w:r w:rsidR="00BE25AF" w:rsidRPr="00D018F4">
        <w:t>p</w:t>
      </w:r>
      <w:r w:rsidR="004D7530" w:rsidRPr="00D018F4">
        <w:t>arties in the implementation of the Convention</w:t>
      </w:r>
      <w:r w:rsidR="00F8465F" w:rsidRPr="00D018F4">
        <w:t>;</w:t>
      </w:r>
      <w:r w:rsidR="004D7530" w:rsidRPr="00D018F4">
        <w:t xml:space="preserve"> coordinating activities with </w:t>
      </w:r>
      <w:r w:rsidR="00BE25AF" w:rsidRPr="00D018F4">
        <w:t xml:space="preserve">the </w:t>
      </w:r>
      <w:r w:rsidR="004D7530" w:rsidRPr="00D018F4">
        <w:t>secretariats of relevant international bodies</w:t>
      </w:r>
      <w:r w:rsidR="00F8465F" w:rsidRPr="00D018F4">
        <w:t>;</w:t>
      </w:r>
      <w:r w:rsidR="004D7530" w:rsidRPr="00D018F4">
        <w:t xml:space="preserve"> assisting with information exchange related to the implementation of the Convention</w:t>
      </w:r>
      <w:r w:rsidR="00F8465F" w:rsidRPr="00D018F4">
        <w:t>;</w:t>
      </w:r>
      <w:r w:rsidR="004D7530" w:rsidRPr="00D018F4">
        <w:t xml:space="preserve"> reporting on implementation </w:t>
      </w:r>
      <w:r w:rsidR="00BE25AF" w:rsidRPr="00D018F4">
        <w:t xml:space="preserve">of </w:t>
      </w:r>
      <w:r w:rsidR="004D7530" w:rsidRPr="00D018F4">
        <w:t xml:space="preserve">and compliance </w:t>
      </w:r>
      <w:r w:rsidR="00BE25AF" w:rsidRPr="00D018F4">
        <w:t xml:space="preserve">with </w:t>
      </w:r>
      <w:r w:rsidR="004D7530" w:rsidRPr="00D018F4">
        <w:t>the Convention as well as on other requirements of the Convention</w:t>
      </w:r>
      <w:r w:rsidR="00F8465F" w:rsidRPr="00D018F4">
        <w:t>;</w:t>
      </w:r>
      <w:r w:rsidR="004D7530" w:rsidRPr="00D018F4">
        <w:t xml:space="preserve"> enter</w:t>
      </w:r>
      <w:r w:rsidR="00BE25AF" w:rsidRPr="00D018F4">
        <w:t>ing</w:t>
      </w:r>
      <w:r w:rsidR="004D7530" w:rsidRPr="00D018F4">
        <w:t xml:space="preserve"> into </w:t>
      </w:r>
      <w:r w:rsidR="00BE25AF" w:rsidRPr="00D018F4">
        <w:t xml:space="preserve">such </w:t>
      </w:r>
      <w:r w:rsidR="004D7530" w:rsidRPr="00D018F4">
        <w:t xml:space="preserve">administrative and contractual arrangements </w:t>
      </w:r>
      <w:r w:rsidR="00BE25AF" w:rsidRPr="00D018F4">
        <w:t>as may be required for the effective discharge of</w:t>
      </w:r>
      <w:r w:rsidR="004D7530" w:rsidRPr="00D018F4">
        <w:t xml:space="preserve"> its functions</w:t>
      </w:r>
      <w:r w:rsidR="00F8465F" w:rsidRPr="00D018F4">
        <w:t>;</w:t>
      </w:r>
      <w:r w:rsidR="004D7530" w:rsidRPr="00D018F4">
        <w:t xml:space="preserve"> and </w:t>
      </w:r>
      <w:r w:rsidR="00BE25AF" w:rsidRPr="00D018F4">
        <w:t>performing</w:t>
      </w:r>
      <w:r w:rsidR="004D7530" w:rsidRPr="00D018F4">
        <w:t xml:space="preserve"> other functions as </w:t>
      </w:r>
      <w:r w:rsidR="00BE25AF" w:rsidRPr="00D018F4">
        <w:t xml:space="preserve">specified in the Convention and such other functions as may be </w:t>
      </w:r>
      <w:r w:rsidR="004D7530" w:rsidRPr="00D018F4">
        <w:t>determined by the Conference of the Parties to the Minamata Convention. To th</w:t>
      </w:r>
      <w:r w:rsidR="00BE25AF" w:rsidRPr="00D018F4">
        <w:t>at</w:t>
      </w:r>
      <w:r w:rsidR="004D7530" w:rsidRPr="00D018F4">
        <w:t xml:space="preserve"> end, </w:t>
      </w:r>
      <w:r w:rsidR="00BE25AF" w:rsidRPr="00D018F4">
        <w:t xml:space="preserve">it is expected that </w:t>
      </w:r>
      <w:r w:rsidR="004D7530" w:rsidRPr="00D018F4">
        <w:t xml:space="preserve">a </w:t>
      </w:r>
      <w:r w:rsidR="002539BE" w:rsidRPr="00D018F4">
        <w:t xml:space="preserve">voluntary </w:t>
      </w:r>
      <w:r w:rsidR="004D7530" w:rsidRPr="00D018F4">
        <w:t xml:space="preserve">trust fund </w:t>
      </w:r>
      <w:r w:rsidR="00BE25AF" w:rsidRPr="00D018F4">
        <w:t xml:space="preserve">will be </w:t>
      </w:r>
      <w:r w:rsidR="004D7530" w:rsidRPr="00D018F4">
        <w:t xml:space="preserve">established under UNEP to process voluntary contributions towards the Minamata Convention process. </w:t>
      </w:r>
      <w:r w:rsidR="00EF6235" w:rsidRPr="00D018F4">
        <w:t xml:space="preserve"> </w:t>
      </w:r>
    </w:p>
    <w:p w14:paraId="668A412E" w14:textId="37B9579D" w:rsidR="004D7530" w:rsidRPr="00D018F4" w:rsidRDefault="004D7530" w:rsidP="003D3618">
      <w:pPr>
        <w:pStyle w:val="Normalnumber"/>
        <w:numPr>
          <w:ilvl w:val="0"/>
          <w:numId w:val="10"/>
        </w:numPr>
        <w:tabs>
          <w:tab w:val="left" w:pos="624"/>
          <w:tab w:val="left" w:pos="1871"/>
          <w:tab w:val="left" w:pos="2495"/>
          <w:tab w:val="left" w:pos="3119"/>
        </w:tabs>
      </w:pPr>
      <w:r w:rsidRPr="00D018F4">
        <w:t xml:space="preserve">Once established, the </w:t>
      </w:r>
      <w:r w:rsidR="00326407" w:rsidRPr="00D018F4">
        <w:t>s</w:t>
      </w:r>
      <w:r w:rsidRPr="00D018F4">
        <w:t xml:space="preserve">ecretariat of the Minamata Convention will be governed by the Conference of the Parties </w:t>
      </w:r>
      <w:r w:rsidR="00326407" w:rsidRPr="00D018F4">
        <w:t xml:space="preserve">to </w:t>
      </w:r>
      <w:r w:rsidRPr="00D018F4">
        <w:t xml:space="preserve">the Convention. Should the </w:t>
      </w:r>
      <w:r w:rsidR="00326407" w:rsidRPr="00D018F4">
        <w:t>s</w:t>
      </w:r>
      <w:r w:rsidRPr="00D018F4">
        <w:t>ecretariat of the Convention be selected as the host for the specific international programme, day</w:t>
      </w:r>
      <w:r w:rsidR="00326407" w:rsidRPr="00D018F4">
        <w:t>-</w:t>
      </w:r>
      <w:r w:rsidRPr="00D018F4">
        <w:t>to</w:t>
      </w:r>
      <w:r w:rsidR="00326407" w:rsidRPr="00D018F4">
        <w:t>-</w:t>
      </w:r>
      <w:r w:rsidRPr="00D018F4">
        <w:t xml:space="preserve">day tasks, including the management of the specific international programme, would be carried out by the </w:t>
      </w:r>
      <w:r w:rsidR="00326407" w:rsidRPr="00D018F4">
        <w:t>s</w:t>
      </w:r>
      <w:r w:rsidRPr="00D018F4">
        <w:t xml:space="preserve">ecretariat staff. The trust fund set up for the </w:t>
      </w:r>
      <w:r w:rsidR="00326407" w:rsidRPr="00D018F4">
        <w:t>s</w:t>
      </w:r>
      <w:r w:rsidRPr="00D018F4">
        <w:t xml:space="preserve">ecretariat </w:t>
      </w:r>
      <w:r w:rsidR="009D14FC" w:rsidRPr="00D018F4">
        <w:t>a</w:t>
      </w:r>
      <w:r w:rsidR="00F8465F" w:rsidRPr="00D018F4">
        <w:t>nd</w:t>
      </w:r>
      <w:r w:rsidR="009D14FC" w:rsidRPr="00D018F4">
        <w:t xml:space="preserve"> the arrangements for its administration </w:t>
      </w:r>
      <w:r w:rsidRPr="00D018F4">
        <w:t xml:space="preserve">could also be used to administer the funds of the specific international programme. In addition, the network established between the </w:t>
      </w:r>
      <w:r w:rsidR="00326407" w:rsidRPr="00D018F4">
        <w:t>s</w:t>
      </w:r>
      <w:r w:rsidRPr="00D018F4">
        <w:t>ecretariat and Governments, intergovernm</w:t>
      </w:r>
      <w:r w:rsidR="009A2FE7" w:rsidRPr="00D018F4">
        <w:t>ental and non-g</w:t>
      </w:r>
      <w:r w:rsidRPr="00D018F4">
        <w:t xml:space="preserve">overnmental organizations and other entities would be a </w:t>
      </w:r>
      <w:r w:rsidR="00326407" w:rsidRPr="00D018F4">
        <w:t xml:space="preserve">useful </w:t>
      </w:r>
      <w:r w:rsidRPr="00D018F4">
        <w:t xml:space="preserve">resource </w:t>
      </w:r>
      <w:r w:rsidR="00326407" w:rsidRPr="00D018F4">
        <w:t>for</w:t>
      </w:r>
      <w:r w:rsidRPr="00D018F4">
        <w:t xml:space="preserve"> the specific international programme. </w:t>
      </w:r>
      <w:r w:rsidR="00326407" w:rsidRPr="00D018F4">
        <w:t>Lastly</w:t>
      </w:r>
      <w:r w:rsidRPr="00D018F4">
        <w:t xml:space="preserve">, the specific international programme could benefit from the expertise of the </w:t>
      </w:r>
      <w:r w:rsidR="00326407" w:rsidRPr="00D018F4">
        <w:t>s</w:t>
      </w:r>
      <w:r w:rsidRPr="00D018F4">
        <w:t>ecretariat.</w:t>
      </w:r>
    </w:p>
    <w:p w14:paraId="60F37134" w14:textId="2B3C7BB7" w:rsidR="004D7530" w:rsidRPr="00D018F4" w:rsidRDefault="00326407" w:rsidP="003D3618">
      <w:pPr>
        <w:pStyle w:val="Normalnumber"/>
        <w:numPr>
          <w:ilvl w:val="0"/>
          <w:numId w:val="10"/>
        </w:numPr>
        <w:tabs>
          <w:tab w:val="left" w:pos="624"/>
          <w:tab w:val="left" w:pos="1871"/>
          <w:tab w:val="left" w:pos="2495"/>
          <w:tab w:val="left" w:pos="3119"/>
        </w:tabs>
      </w:pPr>
      <w:r w:rsidRPr="00D018F4">
        <w:t>As in other cases</w:t>
      </w:r>
      <w:r w:rsidR="004D7530" w:rsidRPr="00D018F4">
        <w:t xml:space="preserve">, depending on the functions to be undertaken by the hosting institution for the specific international programme, recruitment of additional staff may be necessary. </w:t>
      </w:r>
    </w:p>
    <w:p w14:paraId="2C2F11FC" w14:textId="2F5D0911" w:rsidR="004D7530" w:rsidRPr="00D018F4" w:rsidRDefault="00A10E2B" w:rsidP="009E5FAA">
      <w:pPr>
        <w:pStyle w:val="CH1"/>
      </w:pPr>
      <w:r w:rsidRPr="00D018F4">
        <w:tab/>
        <w:t>III.</w:t>
      </w:r>
      <w:r w:rsidRPr="00D018F4">
        <w:tab/>
      </w:r>
      <w:r w:rsidR="004D7530" w:rsidRPr="00D018F4">
        <w:rPr>
          <w:bCs/>
        </w:rPr>
        <w:t xml:space="preserve">Hosting by the </w:t>
      </w:r>
      <w:r w:rsidR="00326407" w:rsidRPr="00D018F4">
        <w:rPr>
          <w:bCs/>
        </w:rPr>
        <w:t>s</w:t>
      </w:r>
      <w:r w:rsidR="004D7530" w:rsidRPr="00D018F4">
        <w:rPr>
          <w:bCs/>
        </w:rPr>
        <w:t xml:space="preserve">ecretariat of the Basel, Rotterdam and Stockholm </w:t>
      </w:r>
      <w:r w:rsidR="00326407" w:rsidRPr="00D018F4">
        <w:rPr>
          <w:bCs/>
        </w:rPr>
        <w:t>c</w:t>
      </w:r>
      <w:r w:rsidR="004D7530" w:rsidRPr="00D018F4">
        <w:rPr>
          <w:bCs/>
        </w:rPr>
        <w:t>onventions</w:t>
      </w:r>
      <w:r w:rsidR="004D7530" w:rsidRPr="00D018F4">
        <w:rPr>
          <w:b w:val="0"/>
        </w:rPr>
        <w:t xml:space="preserve"> </w:t>
      </w:r>
    </w:p>
    <w:p w14:paraId="24D1B81B" w14:textId="60461DFF" w:rsidR="004D7530" w:rsidRPr="00D018F4" w:rsidRDefault="004D7530" w:rsidP="009E5FAA">
      <w:pPr>
        <w:pStyle w:val="Normalnumber"/>
        <w:numPr>
          <w:ilvl w:val="0"/>
          <w:numId w:val="10"/>
        </w:numPr>
        <w:tabs>
          <w:tab w:val="left" w:pos="624"/>
          <w:tab w:val="left" w:pos="1871"/>
          <w:tab w:val="left" w:pos="2495"/>
          <w:tab w:val="left" w:pos="3119"/>
        </w:tabs>
      </w:pPr>
      <w:r w:rsidRPr="00D018F4">
        <w:t xml:space="preserve">The </w:t>
      </w:r>
      <w:r w:rsidR="00326407" w:rsidRPr="00D018F4">
        <w:t>s</w:t>
      </w:r>
      <w:r w:rsidRPr="00D018F4">
        <w:t xml:space="preserve">ecretariat of the Basel, Rotterdam and Stockholm </w:t>
      </w:r>
      <w:r w:rsidR="00326407" w:rsidRPr="00D018F4">
        <w:t>c</w:t>
      </w:r>
      <w:r w:rsidRPr="00D018F4">
        <w:t>onventions is another option</w:t>
      </w:r>
      <w:r w:rsidR="00466E7C" w:rsidRPr="00D018F4">
        <w:t xml:space="preserve"> </w:t>
      </w:r>
      <w:r w:rsidR="00326407" w:rsidRPr="00D018F4">
        <w:t xml:space="preserve">that exists </w:t>
      </w:r>
      <w:r w:rsidR="00466E7C" w:rsidRPr="00D018F4">
        <w:t>within UNEP</w:t>
      </w:r>
      <w:r w:rsidRPr="00D018F4">
        <w:t xml:space="preserve"> for </w:t>
      </w:r>
      <w:r w:rsidRPr="00D018F4">
        <w:rPr>
          <w:lang w:eastAsia="zh-CN"/>
        </w:rPr>
        <w:t>hosting</w:t>
      </w:r>
      <w:r w:rsidRPr="00D018F4">
        <w:t xml:space="preserve"> the specific international programme. Such hosting could occur in different contexts, depending on </w:t>
      </w:r>
      <w:r w:rsidR="00E521B6" w:rsidRPr="00D018F4">
        <w:t xml:space="preserve">a </w:t>
      </w:r>
      <w:r w:rsidRPr="00D018F4">
        <w:t xml:space="preserve">decision of the Conference of the Parties </w:t>
      </w:r>
      <w:r w:rsidR="00294ABA" w:rsidRPr="00D018F4">
        <w:t>to the Minamata Convention</w:t>
      </w:r>
      <w:r w:rsidRPr="00D018F4">
        <w:t xml:space="preserve"> with regard to the permanent </w:t>
      </w:r>
      <w:r w:rsidR="00326407" w:rsidRPr="00D018F4">
        <w:t>s</w:t>
      </w:r>
      <w:r w:rsidRPr="00D018F4">
        <w:t xml:space="preserve">ecretariat of the Convention as mentioned above. </w:t>
      </w:r>
    </w:p>
    <w:p w14:paraId="74B79E48" w14:textId="684DD228" w:rsidR="004D7530" w:rsidRPr="00D018F4" w:rsidRDefault="004D7530" w:rsidP="009E5FAA">
      <w:pPr>
        <w:pStyle w:val="Normalnumber"/>
        <w:numPr>
          <w:ilvl w:val="0"/>
          <w:numId w:val="10"/>
        </w:numPr>
        <w:tabs>
          <w:tab w:val="left" w:pos="624"/>
          <w:tab w:val="left" w:pos="1871"/>
          <w:tab w:val="left" w:pos="2495"/>
          <w:tab w:val="left" w:pos="3119"/>
        </w:tabs>
        <w:rPr>
          <w:lang w:eastAsia="zh-CN"/>
        </w:rPr>
      </w:pPr>
      <w:r w:rsidRPr="00D018F4">
        <w:rPr>
          <w:lang w:eastAsia="zh-CN"/>
        </w:rPr>
        <w:t xml:space="preserve">The </w:t>
      </w:r>
      <w:r w:rsidR="00326407" w:rsidRPr="00D018F4">
        <w:rPr>
          <w:lang w:eastAsia="zh-CN"/>
        </w:rPr>
        <w:t>s</w:t>
      </w:r>
      <w:r w:rsidRPr="00D018F4">
        <w:rPr>
          <w:lang w:eastAsia="zh-CN"/>
        </w:rPr>
        <w:t xml:space="preserve">ecretariat of the Basel, Rotterdam and Stockholm </w:t>
      </w:r>
      <w:r w:rsidR="00326407" w:rsidRPr="00D018F4">
        <w:rPr>
          <w:lang w:eastAsia="zh-CN"/>
        </w:rPr>
        <w:t>c</w:t>
      </w:r>
      <w:r w:rsidRPr="00D018F4">
        <w:rPr>
          <w:lang w:eastAsia="zh-CN"/>
        </w:rPr>
        <w:t xml:space="preserve">onventions has experience in managing trust funds </w:t>
      </w:r>
      <w:r w:rsidR="00285BF1" w:rsidRPr="00D018F4">
        <w:rPr>
          <w:lang w:eastAsia="zh-CN"/>
        </w:rPr>
        <w:t xml:space="preserve">established by the Executive Director of </w:t>
      </w:r>
      <w:r w:rsidRPr="00D018F4">
        <w:rPr>
          <w:lang w:eastAsia="zh-CN"/>
        </w:rPr>
        <w:t xml:space="preserve">UNEP </w:t>
      </w:r>
      <w:r w:rsidR="00285BF1" w:rsidRPr="00D018F4">
        <w:rPr>
          <w:lang w:eastAsia="zh-CN"/>
        </w:rPr>
        <w:t xml:space="preserve">that receive </w:t>
      </w:r>
      <w:r w:rsidRPr="00D018F4">
        <w:rPr>
          <w:lang w:eastAsia="zh-CN"/>
        </w:rPr>
        <w:t xml:space="preserve">voluntary contributions </w:t>
      </w:r>
      <w:r w:rsidR="00326407" w:rsidRPr="00D018F4">
        <w:rPr>
          <w:lang w:eastAsia="zh-CN"/>
        </w:rPr>
        <w:t xml:space="preserve">to fund the </w:t>
      </w:r>
      <w:r w:rsidR="00285BF1" w:rsidRPr="00D018F4">
        <w:rPr>
          <w:lang w:eastAsia="zh-CN"/>
        </w:rPr>
        <w:t xml:space="preserve">activities of the </w:t>
      </w:r>
      <w:r w:rsidR="00326407" w:rsidRPr="00D018F4">
        <w:rPr>
          <w:lang w:eastAsia="zh-CN"/>
        </w:rPr>
        <w:t xml:space="preserve">programmes of work </w:t>
      </w:r>
      <w:r w:rsidR="00285BF1" w:rsidRPr="00D018F4">
        <w:rPr>
          <w:lang w:eastAsia="zh-CN"/>
        </w:rPr>
        <w:t>of</w:t>
      </w:r>
      <w:r w:rsidRPr="00D018F4">
        <w:rPr>
          <w:lang w:eastAsia="zh-CN"/>
        </w:rPr>
        <w:t xml:space="preserve"> the </w:t>
      </w:r>
      <w:r w:rsidR="00326407" w:rsidRPr="00D018F4">
        <w:rPr>
          <w:lang w:eastAsia="zh-CN"/>
        </w:rPr>
        <w:t>three</w:t>
      </w:r>
      <w:r w:rsidRPr="00D018F4">
        <w:rPr>
          <w:lang w:eastAsia="zh-CN"/>
        </w:rPr>
        <w:t xml:space="preserve"> </w:t>
      </w:r>
      <w:r w:rsidR="00326407" w:rsidRPr="00D018F4">
        <w:rPr>
          <w:lang w:eastAsia="zh-CN"/>
        </w:rPr>
        <w:t>c</w:t>
      </w:r>
      <w:r w:rsidRPr="00D018F4">
        <w:rPr>
          <w:lang w:eastAsia="zh-CN"/>
        </w:rPr>
        <w:t xml:space="preserve">onventions. These trust funds have been operational for the past decade under the Rotterdam and Stockholm </w:t>
      </w:r>
      <w:r w:rsidR="00326407" w:rsidRPr="00D018F4">
        <w:rPr>
          <w:lang w:eastAsia="zh-CN"/>
        </w:rPr>
        <w:t>c</w:t>
      </w:r>
      <w:r w:rsidRPr="00D018F4">
        <w:rPr>
          <w:lang w:eastAsia="zh-CN"/>
        </w:rPr>
        <w:t xml:space="preserve">onventions and for over two decades under the Basel Convention. </w:t>
      </w:r>
    </w:p>
    <w:p w14:paraId="0C9B187E" w14:textId="0066C732" w:rsidR="004D7530" w:rsidRPr="00D018F4" w:rsidRDefault="00285BF1" w:rsidP="007F0FB8">
      <w:pPr>
        <w:pStyle w:val="Normalnumber"/>
        <w:numPr>
          <w:ilvl w:val="0"/>
          <w:numId w:val="10"/>
        </w:numPr>
        <w:tabs>
          <w:tab w:val="left" w:pos="624"/>
          <w:tab w:val="left" w:pos="1871"/>
          <w:tab w:val="left" w:pos="2495"/>
          <w:tab w:val="left" w:pos="3119"/>
        </w:tabs>
        <w:rPr>
          <w:lang w:eastAsia="zh-CN"/>
        </w:rPr>
      </w:pPr>
      <w:r w:rsidRPr="00D018F4">
        <w:rPr>
          <w:lang w:eastAsia="zh-CN"/>
        </w:rPr>
        <w:t>Among its activities, t</w:t>
      </w:r>
      <w:r w:rsidR="004D7530" w:rsidRPr="00D018F4">
        <w:rPr>
          <w:lang w:eastAsia="zh-CN"/>
        </w:rPr>
        <w:t xml:space="preserve">he </w:t>
      </w:r>
      <w:r w:rsidR="00326407" w:rsidRPr="00D018F4">
        <w:rPr>
          <w:lang w:eastAsia="zh-CN"/>
        </w:rPr>
        <w:t>s</w:t>
      </w:r>
      <w:r w:rsidR="004D7530" w:rsidRPr="00D018F4">
        <w:rPr>
          <w:lang w:eastAsia="zh-CN"/>
        </w:rPr>
        <w:t xml:space="preserve">ecretariat of the Basel, Rotterdam and Stockholm </w:t>
      </w:r>
      <w:r w:rsidR="00326407" w:rsidRPr="00D018F4">
        <w:rPr>
          <w:lang w:eastAsia="zh-CN"/>
        </w:rPr>
        <w:t>c</w:t>
      </w:r>
      <w:r w:rsidR="004D7530" w:rsidRPr="00D018F4">
        <w:rPr>
          <w:lang w:eastAsia="zh-CN"/>
        </w:rPr>
        <w:t xml:space="preserve">onventions </w:t>
      </w:r>
      <w:r w:rsidRPr="00D018F4">
        <w:rPr>
          <w:lang w:eastAsia="zh-CN"/>
        </w:rPr>
        <w:t>services</w:t>
      </w:r>
      <w:r w:rsidR="004D7530" w:rsidRPr="00D018F4">
        <w:rPr>
          <w:lang w:eastAsia="zh-CN"/>
        </w:rPr>
        <w:t xml:space="preserve">, </w:t>
      </w:r>
      <w:r w:rsidRPr="00D018F4">
        <w:rPr>
          <w:lang w:eastAsia="zh-CN"/>
        </w:rPr>
        <w:t>when relevant</w:t>
      </w:r>
      <w:r w:rsidRPr="00D018F4">
        <w:t xml:space="preserve"> </w:t>
      </w:r>
      <w:r w:rsidR="004D7530" w:rsidRPr="00D018F4">
        <w:t>in a synergi</w:t>
      </w:r>
      <w:r w:rsidRPr="00D018F4">
        <w:t>sti</w:t>
      </w:r>
      <w:r w:rsidR="004D7530" w:rsidRPr="00D018F4">
        <w:t xml:space="preserve">c manner, the </w:t>
      </w:r>
      <w:r w:rsidRPr="00D018F4">
        <w:t xml:space="preserve">meetings of the </w:t>
      </w:r>
      <w:r w:rsidR="004D7530" w:rsidRPr="00D018F4">
        <w:t xml:space="preserve">governing </w:t>
      </w:r>
      <w:r w:rsidRPr="00D018F4">
        <w:t xml:space="preserve">bodies of </w:t>
      </w:r>
      <w:r w:rsidR="004D7530" w:rsidRPr="00D018F4">
        <w:t xml:space="preserve">the </w:t>
      </w:r>
      <w:r w:rsidR="00326407" w:rsidRPr="00D018F4">
        <w:t>three c</w:t>
      </w:r>
      <w:r w:rsidR="004D7530" w:rsidRPr="00D018F4">
        <w:t>onventions</w:t>
      </w:r>
      <w:r w:rsidR="005253D4" w:rsidRPr="00D018F4">
        <w:t xml:space="preserve">. </w:t>
      </w:r>
      <w:r w:rsidR="00326407" w:rsidRPr="00D018F4">
        <w:t>It</w:t>
      </w:r>
      <w:r w:rsidR="005253D4" w:rsidRPr="00D018F4">
        <w:t xml:space="preserve"> also</w:t>
      </w:r>
      <w:r w:rsidR="004D7530" w:rsidRPr="00D018F4">
        <w:t xml:space="preserve"> provid</w:t>
      </w:r>
      <w:r w:rsidR="00C61DD5" w:rsidRPr="00D018F4">
        <w:t>es</w:t>
      </w:r>
      <w:r w:rsidR="00F8465F" w:rsidRPr="00D018F4">
        <w:t>,</w:t>
      </w:r>
      <w:r w:rsidR="00C61DD5" w:rsidRPr="00D018F4">
        <w:t xml:space="preserve"> </w:t>
      </w:r>
      <w:r w:rsidR="005253D4" w:rsidRPr="00D018F4">
        <w:t>or facilitates the provision of</w:t>
      </w:r>
      <w:r w:rsidR="00F8465F" w:rsidRPr="00D018F4">
        <w:t>,</w:t>
      </w:r>
      <w:r w:rsidR="004D7530" w:rsidRPr="00D018F4">
        <w:t xml:space="preserve"> technical assistance to </w:t>
      </w:r>
      <w:r w:rsidR="00326407" w:rsidRPr="00D018F4">
        <w:t>p</w:t>
      </w:r>
      <w:r w:rsidR="004D7530" w:rsidRPr="00D018F4">
        <w:t xml:space="preserve">arties </w:t>
      </w:r>
      <w:r w:rsidR="005C3874" w:rsidRPr="00D018F4">
        <w:t xml:space="preserve">for </w:t>
      </w:r>
      <w:r w:rsidR="004D7530" w:rsidRPr="00D018F4">
        <w:t xml:space="preserve">the implementation of the </w:t>
      </w:r>
      <w:r w:rsidR="00326407" w:rsidRPr="00D018F4">
        <w:t>c</w:t>
      </w:r>
      <w:r w:rsidR="004D7530" w:rsidRPr="00D018F4">
        <w:t xml:space="preserve">onventions </w:t>
      </w:r>
      <w:r w:rsidR="005253D4" w:rsidRPr="00D018F4">
        <w:t xml:space="preserve">on the basis of its joint technical assistance programme, including </w:t>
      </w:r>
      <w:r w:rsidR="004D7530" w:rsidRPr="00D018F4">
        <w:t xml:space="preserve">through the </w:t>
      </w:r>
      <w:r w:rsidR="00294ABA" w:rsidRPr="00D018F4">
        <w:t xml:space="preserve">Basel and Stockholm </w:t>
      </w:r>
      <w:r w:rsidR="00326407" w:rsidRPr="00D018F4">
        <w:t>c</w:t>
      </w:r>
      <w:r w:rsidR="005253D4" w:rsidRPr="00D018F4">
        <w:t>onvention</w:t>
      </w:r>
      <w:r w:rsidR="00326407" w:rsidRPr="00D018F4">
        <w:t xml:space="preserve"> r</w:t>
      </w:r>
      <w:r w:rsidR="005253D4" w:rsidRPr="00D018F4">
        <w:t xml:space="preserve">egional </w:t>
      </w:r>
      <w:r w:rsidR="00326407" w:rsidRPr="00D018F4">
        <w:t>c</w:t>
      </w:r>
      <w:r w:rsidR="005253D4" w:rsidRPr="00D018F4">
        <w:t>entres</w:t>
      </w:r>
      <w:r w:rsidR="004D7530" w:rsidRPr="00D018F4">
        <w:t>. Th</w:t>
      </w:r>
      <w:r w:rsidR="00E521B6" w:rsidRPr="00D018F4">
        <w:t>is</w:t>
      </w:r>
      <w:r w:rsidR="004D7530" w:rsidRPr="00D018F4">
        <w:t xml:space="preserve"> includes the </w:t>
      </w:r>
      <w:r w:rsidR="00E521B6" w:rsidRPr="00D018F4">
        <w:t>operation</w:t>
      </w:r>
      <w:r w:rsidR="004D7530" w:rsidRPr="00D018F4">
        <w:t xml:space="preserve"> of a small grants programme, which involves the implementation of activities through the </w:t>
      </w:r>
      <w:r w:rsidR="00326407" w:rsidRPr="00D018F4">
        <w:t xml:space="preserve">regional centres that are aligned with the programmes of work of the </w:t>
      </w:r>
      <w:r w:rsidR="004D7530" w:rsidRPr="00D018F4">
        <w:t xml:space="preserve">conventions. </w:t>
      </w:r>
      <w:r w:rsidR="005253D4" w:rsidRPr="00D018F4">
        <w:t xml:space="preserve">In addition, the </w:t>
      </w:r>
      <w:r w:rsidR="00326407" w:rsidRPr="00D018F4">
        <w:t>s</w:t>
      </w:r>
      <w:r w:rsidR="005253D4" w:rsidRPr="00D018F4">
        <w:t xml:space="preserve">ecretariat manages contributions to the Basel Convention technical cooperation trust fund aimed at supporting </w:t>
      </w:r>
      <w:r w:rsidR="00326407" w:rsidRPr="00D018F4">
        <w:t>p</w:t>
      </w:r>
      <w:r w:rsidR="005253D4" w:rsidRPr="00D018F4">
        <w:t xml:space="preserve">arties in cases of emergency and compensation for damage resulting from incidents arising from transboundary movements of hazardous wastes and </w:t>
      </w:r>
      <w:r w:rsidR="005253D4" w:rsidRPr="00D018F4">
        <w:rPr>
          <w:lang w:eastAsia="zh-CN"/>
        </w:rPr>
        <w:t xml:space="preserve">their disposal, as well as </w:t>
      </w:r>
      <w:r w:rsidR="00326407" w:rsidRPr="00D018F4">
        <w:rPr>
          <w:lang w:eastAsia="zh-CN"/>
        </w:rPr>
        <w:t>p</w:t>
      </w:r>
      <w:r w:rsidR="005253D4" w:rsidRPr="00D018F4">
        <w:rPr>
          <w:lang w:eastAsia="zh-CN"/>
        </w:rPr>
        <w:t xml:space="preserve">arties concerned by a submission to the </w:t>
      </w:r>
      <w:r w:rsidR="00326407" w:rsidRPr="00D018F4">
        <w:rPr>
          <w:lang w:eastAsia="zh-CN"/>
        </w:rPr>
        <w:t xml:space="preserve">Basel Convention </w:t>
      </w:r>
      <w:r w:rsidR="005253D4" w:rsidRPr="00D018F4">
        <w:rPr>
          <w:lang w:eastAsia="zh-CN"/>
        </w:rPr>
        <w:t>Implementation and Compliance Committee that may benefit from the implementation fund.</w:t>
      </w:r>
      <w:r w:rsidR="004D7530" w:rsidRPr="00D018F4">
        <w:rPr>
          <w:lang w:eastAsia="zh-CN"/>
        </w:rPr>
        <w:t xml:space="preserve"> </w:t>
      </w:r>
    </w:p>
    <w:p w14:paraId="72681639" w14:textId="14B01225" w:rsidR="004D7530" w:rsidRPr="00D018F4" w:rsidRDefault="004D7530" w:rsidP="009E5FAA">
      <w:pPr>
        <w:pStyle w:val="Normalnumber"/>
        <w:numPr>
          <w:ilvl w:val="0"/>
          <w:numId w:val="10"/>
        </w:numPr>
        <w:tabs>
          <w:tab w:val="left" w:pos="624"/>
          <w:tab w:val="left" w:pos="1871"/>
          <w:tab w:val="left" w:pos="2495"/>
          <w:tab w:val="left" w:pos="3119"/>
        </w:tabs>
        <w:rPr>
          <w:lang w:eastAsia="zh-CN"/>
        </w:rPr>
      </w:pPr>
      <w:r w:rsidRPr="00D018F4">
        <w:rPr>
          <w:lang w:eastAsia="zh-CN"/>
        </w:rPr>
        <w:t>On the substan</w:t>
      </w:r>
      <w:r w:rsidR="002E58C9" w:rsidRPr="00D018F4">
        <w:rPr>
          <w:lang w:eastAsia="zh-CN"/>
        </w:rPr>
        <w:t>tive</w:t>
      </w:r>
      <w:r w:rsidRPr="00D018F4">
        <w:rPr>
          <w:lang w:eastAsia="zh-CN"/>
        </w:rPr>
        <w:t xml:space="preserve"> side, the </w:t>
      </w:r>
      <w:r w:rsidR="00326407" w:rsidRPr="00D018F4">
        <w:rPr>
          <w:lang w:eastAsia="zh-CN"/>
        </w:rPr>
        <w:t>s</w:t>
      </w:r>
      <w:r w:rsidRPr="00D018F4">
        <w:rPr>
          <w:lang w:eastAsia="zh-CN"/>
        </w:rPr>
        <w:t>ecretariat ha</w:t>
      </w:r>
      <w:r w:rsidR="002E58C9" w:rsidRPr="00D018F4">
        <w:rPr>
          <w:lang w:eastAsia="zh-CN"/>
        </w:rPr>
        <w:t>s</w:t>
      </w:r>
      <w:r w:rsidRPr="00D018F4">
        <w:rPr>
          <w:lang w:eastAsia="zh-CN"/>
        </w:rPr>
        <w:t xml:space="preserve"> expertise on the issue of mercury wastes, in particular through the Basel Convention’s technical guidelines for the environmentally sound management of wastes consisting of elemental mercury and wastes containing or contaminated with mercury. Furthermore</w:t>
      </w:r>
      <w:r w:rsidR="002E58C9" w:rsidRPr="00D018F4">
        <w:rPr>
          <w:lang w:eastAsia="zh-CN"/>
        </w:rPr>
        <w:t>,</w:t>
      </w:r>
      <w:r w:rsidRPr="00D018F4">
        <w:rPr>
          <w:lang w:eastAsia="zh-CN"/>
        </w:rPr>
        <w:t xml:space="preserve"> and in line with the </w:t>
      </w:r>
      <w:r w:rsidR="002E58C9" w:rsidRPr="00D018F4">
        <w:rPr>
          <w:lang w:eastAsia="zh-CN"/>
        </w:rPr>
        <w:t>“</w:t>
      </w:r>
      <w:r w:rsidRPr="00D018F4">
        <w:rPr>
          <w:lang w:eastAsia="zh-CN"/>
        </w:rPr>
        <w:t>synergies decisions</w:t>
      </w:r>
      <w:r w:rsidR="002E58C9" w:rsidRPr="00D018F4">
        <w:rPr>
          <w:lang w:eastAsia="zh-CN"/>
        </w:rPr>
        <w:t>”</w:t>
      </w:r>
      <w:r w:rsidRPr="00D018F4">
        <w:rPr>
          <w:lang w:eastAsia="zh-CN"/>
        </w:rPr>
        <w:t xml:space="preserve"> adopted </w:t>
      </w:r>
      <w:r w:rsidR="00294ABA" w:rsidRPr="00D018F4">
        <w:rPr>
          <w:lang w:eastAsia="zh-CN"/>
        </w:rPr>
        <w:t xml:space="preserve">by </w:t>
      </w:r>
      <w:r w:rsidRPr="00D018F4">
        <w:rPr>
          <w:lang w:eastAsia="zh-CN"/>
        </w:rPr>
        <w:t>the</w:t>
      </w:r>
      <w:r w:rsidR="00E27623" w:rsidRPr="00D018F4">
        <w:rPr>
          <w:lang w:eastAsia="zh-CN"/>
        </w:rPr>
        <w:t xml:space="preserve"> conferences of the parties</w:t>
      </w:r>
      <w:r w:rsidR="002E58C9" w:rsidRPr="00D018F4">
        <w:rPr>
          <w:lang w:eastAsia="zh-CN"/>
        </w:rPr>
        <w:t xml:space="preserve"> to the three conventions in 2010</w:t>
      </w:r>
      <w:r w:rsidRPr="00D018F4">
        <w:rPr>
          <w:lang w:eastAsia="zh-CN"/>
        </w:rPr>
        <w:t xml:space="preserve">, the </w:t>
      </w:r>
      <w:r w:rsidR="002E58C9" w:rsidRPr="00D018F4">
        <w:rPr>
          <w:lang w:eastAsia="zh-CN"/>
        </w:rPr>
        <w:t>s</w:t>
      </w:r>
      <w:r w:rsidRPr="00D018F4">
        <w:rPr>
          <w:lang w:eastAsia="zh-CN"/>
        </w:rPr>
        <w:t xml:space="preserve">ecretariat has gained </w:t>
      </w:r>
      <w:r w:rsidR="002E58C9" w:rsidRPr="00D018F4">
        <w:rPr>
          <w:lang w:eastAsia="zh-CN"/>
        </w:rPr>
        <w:t xml:space="preserve">considerable </w:t>
      </w:r>
      <w:r w:rsidRPr="00D018F4">
        <w:rPr>
          <w:lang w:eastAsia="zh-CN"/>
        </w:rPr>
        <w:t xml:space="preserve">experience </w:t>
      </w:r>
      <w:r w:rsidR="00294ABA" w:rsidRPr="00D018F4">
        <w:rPr>
          <w:lang w:eastAsia="zh-CN"/>
        </w:rPr>
        <w:t>in</w:t>
      </w:r>
      <w:r w:rsidR="002E58C9" w:rsidRPr="00D018F4">
        <w:rPr>
          <w:lang w:eastAsia="zh-CN"/>
        </w:rPr>
        <w:t>,</w:t>
      </w:r>
      <w:r w:rsidR="00294ABA" w:rsidRPr="00D018F4">
        <w:rPr>
          <w:lang w:eastAsia="zh-CN"/>
        </w:rPr>
        <w:t xml:space="preserve"> </w:t>
      </w:r>
      <w:r w:rsidR="00CC066C" w:rsidRPr="00D018F4">
        <w:rPr>
          <w:lang w:eastAsia="zh-CN"/>
        </w:rPr>
        <w:t xml:space="preserve">and established structures </w:t>
      </w:r>
      <w:r w:rsidR="00294ABA" w:rsidRPr="00D018F4">
        <w:rPr>
          <w:lang w:eastAsia="zh-CN"/>
        </w:rPr>
        <w:t>for</w:t>
      </w:r>
      <w:r w:rsidR="002E58C9" w:rsidRPr="00D018F4">
        <w:rPr>
          <w:lang w:eastAsia="zh-CN"/>
        </w:rPr>
        <w:t>,</w:t>
      </w:r>
      <w:r w:rsidRPr="00D018F4">
        <w:rPr>
          <w:lang w:eastAsia="zh-CN"/>
        </w:rPr>
        <w:t xml:space="preserve"> coordinating activities with other multilateral environmental agreements and other relevant international bodies, such as the G</w:t>
      </w:r>
      <w:r w:rsidR="00E27623" w:rsidRPr="00D018F4">
        <w:rPr>
          <w:lang w:eastAsia="zh-CN"/>
        </w:rPr>
        <w:t xml:space="preserve">lobal </w:t>
      </w:r>
      <w:r w:rsidRPr="00D018F4">
        <w:rPr>
          <w:lang w:eastAsia="zh-CN"/>
        </w:rPr>
        <w:t>E</w:t>
      </w:r>
      <w:r w:rsidR="00E27623" w:rsidRPr="00D018F4">
        <w:rPr>
          <w:lang w:eastAsia="zh-CN"/>
        </w:rPr>
        <w:t xml:space="preserve">nvironment </w:t>
      </w:r>
      <w:r w:rsidRPr="00D018F4">
        <w:rPr>
          <w:lang w:eastAsia="zh-CN"/>
        </w:rPr>
        <w:t>F</w:t>
      </w:r>
      <w:r w:rsidR="00E27623" w:rsidRPr="00D018F4">
        <w:rPr>
          <w:lang w:eastAsia="zh-CN"/>
        </w:rPr>
        <w:t>acility</w:t>
      </w:r>
      <w:r w:rsidRPr="00D018F4">
        <w:rPr>
          <w:lang w:eastAsia="zh-CN"/>
        </w:rPr>
        <w:t xml:space="preserve">, thus facilitating information exchange and </w:t>
      </w:r>
      <w:r w:rsidR="002E58C9" w:rsidRPr="00D018F4">
        <w:rPr>
          <w:lang w:eastAsia="zh-CN"/>
        </w:rPr>
        <w:t xml:space="preserve">the </w:t>
      </w:r>
      <w:r w:rsidRPr="00D018F4">
        <w:rPr>
          <w:lang w:eastAsia="zh-CN"/>
        </w:rPr>
        <w:t>dissemination of best practices and lessons learned across the chemicals and waste cluster.</w:t>
      </w:r>
    </w:p>
    <w:p w14:paraId="399E8E04" w14:textId="624F0769" w:rsidR="004D7530" w:rsidRPr="00D018F4" w:rsidRDefault="004D7530" w:rsidP="009E5FAA">
      <w:pPr>
        <w:pStyle w:val="Normalnumber"/>
        <w:numPr>
          <w:ilvl w:val="0"/>
          <w:numId w:val="10"/>
        </w:numPr>
        <w:tabs>
          <w:tab w:val="left" w:pos="624"/>
          <w:tab w:val="left" w:pos="1871"/>
          <w:tab w:val="left" w:pos="2495"/>
          <w:tab w:val="left" w:pos="3119"/>
        </w:tabs>
        <w:rPr>
          <w:lang w:eastAsia="zh-CN"/>
        </w:rPr>
      </w:pPr>
      <w:r w:rsidRPr="00D018F4">
        <w:rPr>
          <w:lang w:eastAsia="zh-CN"/>
        </w:rPr>
        <w:t xml:space="preserve">Should the </w:t>
      </w:r>
      <w:r w:rsidR="002E58C9" w:rsidRPr="00D018F4">
        <w:rPr>
          <w:lang w:eastAsia="zh-CN"/>
        </w:rPr>
        <w:t>s</w:t>
      </w:r>
      <w:r w:rsidRPr="00D018F4">
        <w:rPr>
          <w:lang w:eastAsia="zh-CN"/>
        </w:rPr>
        <w:t xml:space="preserve">ecretariat of the Basel, Rotterdam and Stockholm </w:t>
      </w:r>
      <w:r w:rsidR="002E58C9" w:rsidRPr="00D018F4">
        <w:rPr>
          <w:lang w:eastAsia="zh-CN"/>
        </w:rPr>
        <w:t>c</w:t>
      </w:r>
      <w:r w:rsidRPr="00D018F4">
        <w:rPr>
          <w:lang w:eastAsia="zh-CN"/>
        </w:rPr>
        <w:t xml:space="preserve">onventions be selected as the host for the specific international programme, the latter could benefit from the </w:t>
      </w:r>
      <w:r w:rsidR="002E58C9" w:rsidRPr="00D018F4">
        <w:rPr>
          <w:lang w:eastAsia="zh-CN"/>
        </w:rPr>
        <w:t>s</w:t>
      </w:r>
      <w:r w:rsidRPr="00D018F4">
        <w:rPr>
          <w:lang w:eastAsia="zh-CN"/>
        </w:rPr>
        <w:t xml:space="preserve">ecretariat’s structures </w:t>
      </w:r>
      <w:r w:rsidR="00FF3E36" w:rsidRPr="00D018F4">
        <w:rPr>
          <w:lang w:eastAsia="zh-CN"/>
        </w:rPr>
        <w:t xml:space="preserve">for </w:t>
      </w:r>
      <w:r w:rsidR="00294ABA" w:rsidRPr="00D018F4">
        <w:rPr>
          <w:lang w:eastAsia="zh-CN"/>
        </w:rPr>
        <w:t xml:space="preserve">and experience </w:t>
      </w:r>
      <w:r w:rsidRPr="00D018F4">
        <w:rPr>
          <w:lang w:eastAsia="zh-CN"/>
        </w:rPr>
        <w:t xml:space="preserve">in trust fund administration, </w:t>
      </w:r>
      <w:r w:rsidR="002E58C9" w:rsidRPr="00D018F4">
        <w:rPr>
          <w:lang w:eastAsia="zh-CN"/>
        </w:rPr>
        <w:t xml:space="preserve">and </w:t>
      </w:r>
      <w:r w:rsidR="00FF3E36" w:rsidRPr="00D018F4">
        <w:rPr>
          <w:lang w:eastAsia="zh-CN"/>
        </w:rPr>
        <w:t xml:space="preserve">from </w:t>
      </w:r>
      <w:r w:rsidRPr="00D018F4">
        <w:rPr>
          <w:lang w:eastAsia="zh-CN"/>
        </w:rPr>
        <w:t xml:space="preserve">its </w:t>
      </w:r>
      <w:r w:rsidR="005C3874" w:rsidRPr="00D018F4">
        <w:rPr>
          <w:lang w:eastAsia="zh-CN"/>
        </w:rPr>
        <w:t>long</w:t>
      </w:r>
      <w:r w:rsidR="002E58C9" w:rsidRPr="00D018F4">
        <w:rPr>
          <w:lang w:eastAsia="zh-CN"/>
        </w:rPr>
        <w:t>-</w:t>
      </w:r>
      <w:r w:rsidR="005C3874" w:rsidRPr="00D018F4">
        <w:rPr>
          <w:lang w:eastAsia="zh-CN"/>
        </w:rPr>
        <w:t xml:space="preserve">standing </w:t>
      </w:r>
      <w:r w:rsidRPr="00D018F4">
        <w:rPr>
          <w:lang w:eastAsia="zh-CN"/>
        </w:rPr>
        <w:t>experience in servicing intergovernmental meetings</w:t>
      </w:r>
      <w:r w:rsidR="005C3874" w:rsidRPr="00D018F4">
        <w:rPr>
          <w:lang w:eastAsia="zh-CN"/>
        </w:rPr>
        <w:t>,</w:t>
      </w:r>
      <w:r w:rsidRPr="00D018F4">
        <w:rPr>
          <w:lang w:eastAsia="zh-CN"/>
        </w:rPr>
        <w:t xml:space="preserve"> </w:t>
      </w:r>
      <w:r w:rsidR="005C3874" w:rsidRPr="00D018F4">
        <w:rPr>
          <w:lang w:eastAsia="zh-CN"/>
        </w:rPr>
        <w:t>in</w:t>
      </w:r>
      <w:r w:rsidRPr="00D018F4">
        <w:rPr>
          <w:lang w:eastAsia="zh-CN"/>
        </w:rPr>
        <w:t xml:space="preserve"> providing technical assistance to </w:t>
      </w:r>
      <w:r w:rsidR="002E58C9" w:rsidRPr="00D018F4">
        <w:rPr>
          <w:lang w:eastAsia="zh-CN"/>
        </w:rPr>
        <w:t>p</w:t>
      </w:r>
      <w:r w:rsidRPr="00D018F4">
        <w:rPr>
          <w:lang w:eastAsia="zh-CN"/>
        </w:rPr>
        <w:t>arties</w:t>
      </w:r>
      <w:r w:rsidR="002E58C9" w:rsidRPr="00D018F4">
        <w:rPr>
          <w:lang w:eastAsia="zh-CN"/>
        </w:rPr>
        <w:t>,</w:t>
      </w:r>
      <w:r w:rsidR="005C3874" w:rsidRPr="00D018F4">
        <w:rPr>
          <w:lang w:eastAsia="zh-CN"/>
        </w:rPr>
        <w:t xml:space="preserve"> including through its network of regional centres, and in </w:t>
      </w:r>
      <w:r w:rsidR="00FF3E36" w:rsidRPr="00D018F4">
        <w:rPr>
          <w:lang w:eastAsia="zh-CN"/>
        </w:rPr>
        <w:t>help</w:t>
      </w:r>
      <w:r w:rsidR="005C3874" w:rsidRPr="00D018F4">
        <w:rPr>
          <w:lang w:eastAsia="zh-CN"/>
        </w:rPr>
        <w:t xml:space="preserve">ing </w:t>
      </w:r>
      <w:r w:rsidR="002E58C9" w:rsidRPr="00D018F4">
        <w:rPr>
          <w:lang w:eastAsia="zh-CN"/>
        </w:rPr>
        <w:t>p</w:t>
      </w:r>
      <w:r w:rsidR="005C3874" w:rsidRPr="00D018F4">
        <w:rPr>
          <w:lang w:eastAsia="zh-CN"/>
        </w:rPr>
        <w:t>arties to implement compliance action plans</w:t>
      </w:r>
      <w:r w:rsidRPr="00D018F4">
        <w:rPr>
          <w:lang w:eastAsia="zh-CN"/>
        </w:rPr>
        <w:t>, as well as from its technical expertise on</w:t>
      </w:r>
      <w:r w:rsidR="00C973B3" w:rsidRPr="00D018F4">
        <w:rPr>
          <w:lang w:eastAsia="zh-CN"/>
        </w:rPr>
        <w:t xml:space="preserve"> </w:t>
      </w:r>
      <w:r w:rsidRPr="00D018F4">
        <w:rPr>
          <w:lang w:eastAsia="zh-CN"/>
        </w:rPr>
        <w:t xml:space="preserve">mercury wastes in particular. The </w:t>
      </w:r>
      <w:r w:rsidR="002E58C9" w:rsidRPr="00D018F4">
        <w:rPr>
          <w:lang w:eastAsia="zh-CN"/>
        </w:rPr>
        <w:t>s</w:t>
      </w:r>
      <w:r w:rsidRPr="00D018F4">
        <w:rPr>
          <w:lang w:eastAsia="zh-CN"/>
        </w:rPr>
        <w:t xml:space="preserve">ecretariat </w:t>
      </w:r>
      <w:r w:rsidR="00294ABA" w:rsidRPr="00D018F4">
        <w:rPr>
          <w:lang w:eastAsia="zh-CN"/>
        </w:rPr>
        <w:t xml:space="preserve">also </w:t>
      </w:r>
      <w:r w:rsidRPr="00D018F4">
        <w:rPr>
          <w:lang w:eastAsia="zh-CN"/>
        </w:rPr>
        <w:t xml:space="preserve">has the </w:t>
      </w:r>
      <w:r w:rsidR="00294ABA" w:rsidRPr="00D018F4">
        <w:rPr>
          <w:lang w:eastAsia="zh-CN"/>
        </w:rPr>
        <w:t>capacity</w:t>
      </w:r>
      <w:r w:rsidRPr="00D018F4">
        <w:rPr>
          <w:lang w:eastAsia="zh-CN"/>
        </w:rPr>
        <w:t xml:space="preserve"> to enter into the administrative and contractual arrangements necessary to fulfil its functions</w:t>
      </w:r>
      <w:r w:rsidR="00952F57" w:rsidRPr="00D018F4">
        <w:rPr>
          <w:lang w:eastAsia="zh-CN"/>
        </w:rPr>
        <w:t>.</w:t>
      </w:r>
      <w:r w:rsidRPr="00D018F4">
        <w:rPr>
          <w:lang w:eastAsia="zh-CN"/>
        </w:rPr>
        <w:t xml:space="preserve"> The mandate to host the specific international programme within the </w:t>
      </w:r>
      <w:r w:rsidR="002E58C9" w:rsidRPr="00D018F4">
        <w:rPr>
          <w:lang w:eastAsia="zh-CN"/>
        </w:rPr>
        <w:t>s</w:t>
      </w:r>
      <w:r w:rsidRPr="00D018F4">
        <w:rPr>
          <w:lang w:eastAsia="zh-CN"/>
        </w:rPr>
        <w:t xml:space="preserve">ecretariat </w:t>
      </w:r>
      <w:r w:rsidR="00294ABA" w:rsidRPr="00D018F4">
        <w:rPr>
          <w:lang w:eastAsia="zh-CN"/>
        </w:rPr>
        <w:t xml:space="preserve">would </w:t>
      </w:r>
      <w:r w:rsidRPr="00D018F4">
        <w:rPr>
          <w:lang w:eastAsia="zh-CN"/>
        </w:rPr>
        <w:t xml:space="preserve">require specific decisions to be adopted by the </w:t>
      </w:r>
      <w:r w:rsidR="00294ABA" w:rsidRPr="00D018F4">
        <w:rPr>
          <w:lang w:eastAsia="zh-CN"/>
        </w:rPr>
        <w:t>respective</w:t>
      </w:r>
      <w:r w:rsidRPr="00D018F4">
        <w:rPr>
          <w:lang w:eastAsia="zh-CN"/>
        </w:rPr>
        <w:t xml:space="preserve"> </w:t>
      </w:r>
      <w:r w:rsidR="004767FC" w:rsidRPr="00D018F4">
        <w:rPr>
          <w:lang w:eastAsia="zh-CN"/>
        </w:rPr>
        <w:t>conferences of the parties</w:t>
      </w:r>
      <w:r w:rsidRPr="00D018F4">
        <w:rPr>
          <w:lang w:eastAsia="zh-CN"/>
        </w:rPr>
        <w:t xml:space="preserve"> </w:t>
      </w:r>
      <w:r w:rsidR="00294ABA" w:rsidRPr="00D018F4">
        <w:rPr>
          <w:lang w:eastAsia="zh-CN"/>
        </w:rPr>
        <w:t>to</w:t>
      </w:r>
      <w:r w:rsidRPr="00D018F4">
        <w:rPr>
          <w:lang w:eastAsia="zh-CN"/>
        </w:rPr>
        <w:t xml:space="preserve"> the three conventions at their meetings in 2017.</w:t>
      </w:r>
    </w:p>
    <w:p w14:paraId="2CA270F2" w14:textId="77777777" w:rsidR="00A10E2B" w:rsidRPr="00D018F4" w:rsidRDefault="00A10E2B" w:rsidP="00EA48AA">
      <w:pPr>
        <w:pStyle w:val="Normal-pool"/>
        <w:rPr>
          <w:lang w:eastAsia="zh-CN"/>
        </w:rPr>
      </w:pPr>
    </w:p>
    <w:tbl>
      <w:tblPr>
        <w:tblW w:w="0" w:type="auto"/>
        <w:tblLook w:val="04A0" w:firstRow="1" w:lastRow="0" w:firstColumn="1" w:lastColumn="0" w:noHBand="0" w:noVBand="1"/>
      </w:tblPr>
      <w:tblGrid>
        <w:gridCol w:w="1941"/>
        <w:gridCol w:w="1942"/>
        <w:gridCol w:w="1943"/>
        <w:gridCol w:w="1943"/>
        <w:gridCol w:w="1943"/>
      </w:tblGrid>
      <w:tr w:rsidR="00A10E2B" w:rsidRPr="00D018F4" w14:paraId="055AEF12" w14:textId="77777777" w:rsidTr="00DF456B">
        <w:tc>
          <w:tcPr>
            <w:tcW w:w="1942" w:type="dxa"/>
            <w:shd w:val="clear" w:color="auto" w:fill="auto"/>
          </w:tcPr>
          <w:p w14:paraId="6ED3BB3E" w14:textId="77777777" w:rsidR="00A10E2B" w:rsidRPr="00D018F4" w:rsidRDefault="00A10E2B" w:rsidP="00DF456B">
            <w:pPr>
              <w:pStyle w:val="Normal-pool"/>
              <w:spacing w:before="520"/>
            </w:pPr>
          </w:p>
        </w:tc>
        <w:tc>
          <w:tcPr>
            <w:tcW w:w="1942" w:type="dxa"/>
            <w:shd w:val="clear" w:color="auto" w:fill="auto"/>
          </w:tcPr>
          <w:p w14:paraId="4BC336BA" w14:textId="77777777" w:rsidR="00A10E2B" w:rsidRPr="00D018F4" w:rsidRDefault="00A10E2B" w:rsidP="00DF456B">
            <w:pPr>
              <w:pStyle w:val="Normal-pool"/>
              <w:spacing w:before="520"/>
            </w:pPr>
          </w:p>
        </w:tc>
        <w:tc>
          <w:tcPr>
            <w:tcW w:w="1943" w:type="dxa"/>
            <w:tcBorders>
              <w:bottom w:val="single" w:sz="4" w:space="0" w:color="auto"/>
            </w:tcBorders>
            <w:shd w:val="clear" w:color="auto" w:fill="auto"/>
          </w:tcPr>
          <w:p w14:paraId="1B176B7E" w14:textId="77777777" w:rsidR="00A10E2B" w:rsidRPr="00D018F4" w:rsidRDefault="00A10E2B" w:rsidP="00DF456B">
            <w:pPr>
              <w:pStyle w:val="Normal-pool"/>
              <w:spacing w:before="520"/>
            </w:pPr>
          </w:p>
        </w:tc>
        <w:tc>
          <w:tcPr>
            <w:tcW w:w="1943" w:type="dxa"/>
            <w:shd w:val="clear" w:color="auto" w:fill="auto"/>
          </w:tcPr>
          <w:p w14:paraId="6C838628" w14:textId="77777777" w:rsidR="00A10E2B" w:rsidRPr="00D018F4" w:rsidRDefault="00A10E2B" w:rsidP="00DF456B">
            <w:pPr>
              <w:pStyle w:val="Normal-pool"/>
              <w:spacing w:before="520"/>
            </w:pPr>
          </w:p>
        </w:tc>
        <w:tc>
          <w:tcPr>
            <w:tcW w:w="1943" w:type="dxa"/>
            <w:shd w:val="clear" w:color="auto" w:fill="auto"/>
          </w:tcPr>
          <w:p w14:paraId="0CBE8E04" w14:textId="77777777" w:rsidR="00A10E2B" w:rsidRPr="00D018F4" w:rsidRDefault="00A10E2B" w:rsidP="00DF456B">
            <w:pPr>
              <w:pStyle w:val="Normal-pool"/>
              <w:spacing w:before="520"/>
            </w:pPr>
          </w:p>
        </w:tc>
      </w:tr>
    </w:tbl>
    <w:p w14:paraId="61DB7207" w14:textId="77777777" w:rsidR="00A10E2B" w:rsidRPr="00D018F4" w:rsidRDefault="00A10E2B" w:rsidP="00EA48AA">
      <w:pPr>
        <w:pStyle w:val="Normal-pool"/>
        <w:rPr>
          <w:lang w:eastAsia="zh-CN"/>
        </w:rPr>
      </w:pPr>
    </w:p>
    <w:sectPr w:rsidR="00A10E2B" w:rsidRPr="00D018F4" w:rsidSect="004D753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6A91A" w14:textId="77777777" w:rsidR="00FD034C" w:rsidRDefault="00FD034C">
      <w:r>
        <w:separator/>
      </w:r>
    </w:p>
  </w:endnote>
  <w:endnote w:type="continuationSeparator" w:id="0">
    <w:p w14:paraId="283F6FA7" w14:textId="77777777" w:rsidR="00FD034C" w:rsidRDefault="00F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FFF3" w14:textId="77777777" w:rsidR="00FD034C" w:rsidRDefault="00FD034C">
    <w:pPr>
      <w:pStyle w:val="Footer"/>
    </w:pPr>
    <w:r>
      <w:rPr>
        <w:rStyle w:val="PageNumber"/>
      </w:rPr>
      <w:fldChar w:fldCharType="begin"/>
    </w:r>
    <w:r>
      <w:rPr>
        <w:rStyle w:val="PageNumber"/>
      </w:rPr>
      <w:instrText xml:space="preserve"> PAGE </w:instrText>
    </w:r>
    <w:r>
      <w:rPr>
        <w:rStyle w:val="PageNumber"/>
      </w:rPr>
      <w:fldChar w:fldCharType="separate"/>
    </w:r>
    <w:r w:rsidR="00D018F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229ED" w14:textId="77777777" w:rsidR="00FD034C" w:rsidRDefault="00FD034C" w:rsidP="004D7530">
    <w:pPr>
      <w:pStyle w:val="Footer"/>
      <w:jc w:val="right"/>
    </w:pPr>
    <w:r>
      <w:rPr>
        <w:rStyle w:val="PageNumber"/>
      </w:rPr>
      <w:fldChar w:fldCharType="begin"/>
    </w:r>
    <w:r>
      <w:rPr>
        <w:rStyle w:val="PageNumber"/>
      </w:rPr>
      <w:instrText xml:space="preserve"> PAGE </w:instrText>
    </w:r>
    <w:r>
      <w:rPr>
        <w:rStyle w:val="PageNumber"/>
      </w:rPr>
      <w:fldChar w:fldCharType="separate"/>
    </w:r>
    <w:r w:rsidR="00D018F4">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AF12A" w14:textId="0663B881" w:rsidR="00FD034C" w:rsidRPr="00C80167" w:rsidRDefault="00FD034C">
    <w:pPr>
      <w:pStyle w:val="Footer"/>
      <w:tabs>
        <w:tab w:val="clear" w:pos="1247"/>
        <w:tab w:val="clear" w:pos="1814"/>
        <w:tab w:val="clear" w:pos="2381"/>
        <w:tab w:val="clear" w:pos="2948"/>
        <w:tab w:val="clear" w:pos="3515"/>
        <w:tab w:val="clear" w:pos="4320"/>
        <w:tab w:val="clear" w:pos="8640"/>
        <w:tab w:val="left" w:pos="1418"/>
      </w:tabs>
      <w:rPr>
        <w:sz w:val="20"/>
      </w:rPr>
    </w:pPr>
    <w:r>
      <w:rPr>
        <w:sz w:val="20"/>
      </w:rPr>
      <w:t>K1600198</w:t>
    </w:r>
    <w:r>
      <w:rPr>
        <w:sz w:val="20"/>
      </w:rPr>
      <w:tab/>
    </w:r>
    <w:r w:rsidR="00D018F4">
      <w:rPr>
        <w:sz w:val="20"/>
      </w:rPr>
      <w:t>25</w:t>
    </w:r>
    <w:r>
      <w:rPr>
        <w:sz w:val="20"/>
      </w:rPr>
      <w:t>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686FB" w14:textId="77777777" w:rsidR="00FD034C" w:rsidRDefault="00FD034C" w:rsidP="004D7530">
      <w:pPr>
        <w:ind w:left="624"/>
      </w:pPr>
      <w:r>
        <w:separator/>
      </w:r>
    </w:p>
  </w:footnote>
  <w:footnote w:type="continuationSeparator" w:id="0">
    <w:p w14:paraId="132221A4" w14:textId="77777777" w:rsidR="00FD034C" w:rsidRDefault="00FD034C">
      <w:r>
        <w:continuationSeparator/>
      </w:r>
    </w:p>
  </w:footnote>
  <w:footnote w:id="1">
    <w:p w14:paraId="081434A0" w14:textId="77777777" w:rsidR="00FD034C" w:rsidRPr="009D14FC" w:rsidRDefault="00FD034C" w:rsidP="004D7530">
      <w:pPr>
        <w:tabs>
          <w:tab w:val="left" w:pos="624"/>
        </w:tabs>
        <w:spacing w:before="20" w:after="40"/>
        <w:ind w:left="1247"/>
        <w:rPr>
          <w:sz w:val="18"/>
          <w:szCs w:val="18"/>
          <w:lang w:val="fr-CH"/>
        </w:rPr>
      </w:pPr>
      <w:r w:rsidRPr="009D14FC">
        <w:rPr>
          <w:sz w:val="18"/>
          <w:szCs w:val="18"/>
          <w:lang w:val="fr-CH"/>
        </w:rPr>
        <w:t>* UNEP(DTIE)/Hg/INC.7/1.</w:t>
      </w:r>
    </w:p>
  </w:footnote>
  <w:footnote w:id="2">
    <w:p w14:paraId="0A33A5C3" w14:textId="77777777" w:rsidR="00FD034C" w:rsidRPr="00A10E2B" w:rsidRDefault="00FD034C" w:rsidP="004D7530">
      <w:pPr>
        <w:pStyle w:val="FootnoteText"/>
        <w:rPr>
          <w:szCs w:val="18"/>
          <w:lang w:val="fr-CH"/>
        </w:rPr>
      </w:pPr>
      <w:r w:rsidRPr="00A10E2B">
        <w:rPr>
          <w:rStyle w:val="FootnoteReference"/>
          <w:sz w:val="18"/>
        </w:rPr>
        <w:footnoteRef/>
      </w:r>
      <w:r w:rsidRPr="00A10E2B">
        <w:rPr>
          <w:szCs w:val="18"/>
          <w:lang w:val="fr-CH"/>
        </w:rPr>
        <w:t xml:space="preserve"> www.unep.org/chemicalsandwaste/Mercury/GlobalMercuryPartnership/PrioritiesforAction/tabid/4487/</w:t>
      </w:r>
      <w:r>
        <w:rPr>
          <w:szCs w:val="18"/>
          <w:lang w:val="fr-CH"/>
        </w:rPr>
        <w:br/>
      </w:r>
      <w:r w:rsidRPr="00A10E2B">
        <w:rPr>
          <w:szCs w:val="18"/>
          <w:lang w:val="fr-CH"/>
        </w:rPr>
        <w:t>Default.aspx</w:t>
      </w:r>
      <w:r>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9871A" w14:textId="2FABDE15" w:rsidR="00FD034C" w:rsidRPr="00DB0780" w:rsidRDefault="00FD034C" w:rsidP="00495D1E">
    <w:pPr>
      <w:pStyle w:val="Header"/>
      <w:pBdr>
        <w:bottom w:val="single" w:sz="4" w:space="0" w:color="auto"/>
      </w:pBdr>
      <w:rPr>
        <w:szCs w:val="18"/>
        <w:lang w:val="fr-CH"/>
      </w:rPr>
    </w:pPr>
    <w:r w:rsidRPr="00DB0780">
      <w:rPr>
        <w:bCs/>
        <w:szCs w:val="18"/>
        <w:lang w:val="fr-CH"/>
      </w:rPr>
      <w:t>UNEP</w:t>
    </w:r>
    <w:r w:rsidRPr="00DB0780">
      <w:rPr>
        <w:szCs w:val="18"/>
        <w:lang w:val="fr-CH"/>
      </w:rPr>
      <w:t>(DTIE)/Hg/INC</w:t>
    </w:r>
    <w:r>
      <w:rPr>
        <w:szCs w:val="18"/>
        <w:lang w:val="fr-CH"/>
      </w:rPr>
      <w:t>.7</w:t>
    </w:r>
    <w:r w:rsidRPr="00DB0780">
      <w:rPr>
        <w:szCs w:val="18"/>
        <w:lang w:val="fr-CH"/>
      </w:rPr>
      <w:t>/INF/</w:t>
    </w:r>
    <w:r>
      <w:rPr>
        <w:szCs w:val="18"/>
        <w:lang w:val="fr-CH"/>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475E" w14:textId="77777777" w:rsidR="00FD034C" w:rsidRPr="00DB0780" w:rsidRDefault="00FD034C" w:rsidP="004D7530">
    <w:pPr>
      <w:pStyle w:val="Header"/>
      <w:jc w:val="right"/>
      <w:rPr>
        <w:szCs w:val="18"/>
        <w:lang w:val="fr-CH"/>
      </w:rPr>
    </w:pPr>
    <w:r w:rsidRPr="00DB0780">
      <w:rPr>
        <w:bCs/>
        <w:szCs w:val="18"/>
        <w:lang w:val="fr-CH"/>
      </w:rPr>
      <w:t>UNEP</w:t>
    </w:r>
    <w:r w:rsidRPr="00DB0780">
      <w:rPr>
        <w:szCs w:val="18"/>
        <w:lang w:val="fr-CH"/>
      </w:rPr>
      <w:t>(DTIE)/Hg/INC.</w:t>
    </w:r>
    <w:r>
      <w:rPr>
        <w:szCs w:val="18"/>
        <w:lang w:val="fr-CH"/>
      </w:rPr>
      <w:t>7/INF/6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68AD" w14:textId="77777777" w:rsidR="00FD034C" w:rsidRDefault="00FD034C" w:rsidP="004D753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A1E"/>
    <w:multiLevelType w:val="hybridMultilevel"/>
    <w:tmpl w:val="ABC08728"/>
    <w:lvl w:ilvl="0" w:tplc="592A1E5A">
      <w:start w:val="1"/>
      <w:numFmt w:val="upperRoman"/>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
    <w:nsid w:val="0AB3251A"/>
    <w:multiLevelType w:val="multilevel"/>
    <w:tmpl w:val="042C59D6"/>
    <w:lvl w:ilvl="0">
      <w:start w:val="1"/>
      <w:numFmt w:val="upperRoman"/>
      <w:lvlText w:val="%1."/>
      <w:lvlJc w:val="left"/>
      <w:pPr>
        <w:tabs>
          <w:tab w:val="num" w:pos="1135"/>
        </w:tabs>
        <w:ind w:left="1248" w:firstLine="0"/>
      </w:pPr>
      <w:rPr>
        <w:rFonts w:hint="default"/>
        <w:bCs w:val="0"/>
        <w:iCs w:val="0"/>
      </w:rPr>
    </w:lvl>
    <w:lvl w:ilvl="1">
      <w:start w:val="1"/>
      <w:numFmt w:val="lowerLetter"/>
      <w:lvlText w:val="(%2)"/>
      <w:lvlJc w:val="left"/>
      <w:pPr>
        <w:tabs>
          <w:tab w:val="num" w:pos="1135"/>
        </w:tabs>
        <w:ind w:left="1248" w:firstLine="567"/>
      </w:pPr>
      <w:rPr>
        <w:rFonts w:hint="default"/>
      </w:rPr>
    </w:lvl>
    <w:lvl w:ilvl="2">
      <w:start w:val="1"/>
      <w:numFmt w:val="lowerRoman"/>
      <w:lvlText w:val="(%3)"/>
      <w:lvlJc w:val="left"/>
      <w:pPr>
        <w:tabs>
          <w:tab w:val="num" w:pos="1135"/>
        </w:tabs>
        <w:ind w:left="2949" w:hanging="567"/>
      </w:pPr>
      <w:rPr>
        <w:rFonts w:hint="default"/>
      </w:rPr>
    </w:lvl>
    <w:lvl w:ilvl="3">
      <w:start w:val="1"/>
      <w:numFmt w:val="lowerLetter"/>
      <w:lvlText w:val="%4."/>
      <w:lvlJc w:val="left"/>
      <w:pPr>
        <w:tabs>
          <w:tab w:val="num" w:pos="1135"/>
        </w:tabs>
        <w:ind w:left="3516" w:hanging="567"/>
      </w:pPr>
      <w:rPr>
        <w:rFonts w:hint="default"/>
      </w:rPr>
    </w:lvl>
    <w:lvl w:ilvl="4">
      <w:start w:val="1"/>
      <w:numFmt w:val="lowerRoman"/>
      <w:lvlText w:val="%5."/>
      <w:lvlJc w:val="left"/>
      <w:pPr>
        <w:tabs>
          <w:tab w:val="num" w:pos="1135"/>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
    <w:nsid w:val="10B238F9"/>
    <w:multiLevelType w:val="hybridMultilevel"/>
    <w:tmpl w:val="CD98E1CA"/>
    <w:lvl w:ilvl="0" w:tplc="625CC984">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3">
    <w:nsid w:val="11534218"/>
    <w:multiLevelType w:val="multilevel"/>
    <w:tmpl w:val="B1FA606A"/>
    <w:lvl w:ilvl="0">
      <w:start w:val="1"/>
      <w:numFmt w:val="upperRoman"/>
      <w:lvlText w:val="%1."/>
      <w:lvlJc w:val="left"/>
      <w:pPr>
        <w:tabs>
          <w:tab w:val="num" w:pos="1134"/>
        </w:tabs>
        <w:ind w:left="1247" w:firstLine="0"/>
      </w:pPr>
      <w:rPr>
        <w:rFonts w:hint="default"/>
        <w:bCs w:val="0"/>
        <w:iCs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197548CC"/>
    <w:multiLevelType w:val="hybridMultilevel"/>
    <w:tmpl w:val="F844F564"/>
    <w:lvl w:ilvl="0" w:tplc="625CC984">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nsid w:val="2A5422E4"/>
    <w:multiLevelType w:val="hybridMultilevel"/>
    <w:tmpl w:val="4886BDD6"/>
    <w:lvl w:ilvl="0" w:tplc="0809000F">
      <w:start w:val="1"/>
      <w:numFmt w:val="decimal"/>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nsid w:val="2EC31AF0"/>
    <w:multiLevelType w:val="multilevel"/>
    <w:tmpl w:val="D7CE9FA8"/>
    <w:lvl w:ilvl="0">
      <w:start w:val="1"/>
      <w:numFmt w:val="lowerLetter"/>
      <w:lvlText w:val="(%1)"/>
      <w:lvlJc w:val="left"/>
      <w:pPr>
        <w:tabs>
          <w:tab w:val="num" w:pos="1759"/>
        </w:tabs>
        <w:ind w:left="1872" w:firstLine="0"/>
      </w:pPr>
      <w:rPr>
        <w:rFonts w:ascii="Times New Roman" w:eastAsia="SimSun" w:hAnsi="Times New Roman" w:cs="Times New Roman"/>
        <w:bCs w:val="0"/>
        <w:iCs w:val="0"/>
      </w:rPr>
    </w:lvl>
    <w:lvl w:ilvl="1">
      <w:start w:val="1"/>
      <w:numFmt w:val="lowerLetter"/>
      <w:lvlText w:val="(%2)"/>
      <w:lvlJc w:val="left"/>
      <w:pPr>
        <w:tabs>
          <w:tab w:val="num" w:pos="1759"/>
        </w:tabs>
        <w:ind w:left="1872" w:firstLine="567"/>
      </w:pPr>
      <w:rPr>
        <w:rFonts w:hint="default"/>
      </w:rPr>
    </w:lvl>
    <w:lvl w:ilvl="2">
      <w:start w:val="1"/>
      <w:numFmt w:val="lowerRoman"/>
      <w:lvlText w:val="(%3)"/>
      <w:lvlJc w:val="left"/>
      <w:pPr>
        <w:tabs>
          <w:tab w:val="num" w:pos="1759"/>
        </w:tabs>
        <w:ind w:left="3573" w:hanging="567"/>
      </w:pPr>
      <w:rPr>
        <w:rFonts w:hint="default"/>
      </w:rPr>
    </w:lvl>
    <w:lvl w:ilvl="3">
      <w:start w:val="1"/>
      <w:numFmt w:val="lowerLetter"/>
      <w:lvlText w:val="%4."/>
      <w:lvlJc w:val="left"/>
      <w:pPr>
        <w:tabs>
          <w:tab w:val="num" w:pos="1759"/>
        </w:tabs>
        <w:ind w:left="4140" w:hanging="567"/>
      </w:pPr>
      <w:rPr>
        <w:rFonts w:hint="default"/>
      </w:rPr>
    </w:lvl>
    <w:lvl w:ilvl="4">
      <w:start w:val="1"/>
      <w:numFmt w:val="lowerRoman"/>
      <w:lvlText w:val="%5."/>
      <w:lvlJc w:val="left"/>
      <w:pPr>
        <w:tabs>
          <w:tab w:val="num" w:pos="1759"/>
        </w:tabs>
        <w:ind w:left="4707" w:hanging="567"/>
      </w:pPr>
      <w:rPr>
        <w:rFonts w:hint="default"/>
      </w:rPr>
    </w:lvl>
    <w:lvl w:ilvl="5">
      <w:start w:val="1"/>
      <w:numFmt w:val="lowerRoman"/>
      <w:lvlText w:val="%6."/>
      <w:lvlJc w:val="right"/>
      <w:pPr>
        <w:tabs>
          <w:tab w:val="num" w:pos="8460"/>
        </w:tabs>
        <w:ind w:left="8460" w:hanging="180"/>
      </w:pPr>
      <w:rPr>
        <w:rFonts w:hint="default"/>
      </w:rPr>
    </w:lvl>
    <w:lvl w:ilvl="6">
      <w:start w:val="1"/>
      <w:numFmt w:val="decimal"/>
      <w:lvlText w:val="%7."/>
      <w:lvlJc w:val="left"/>
      <w:pPr>
        <w:tabs>
          <w:tab w:val="num" w:pos="9180"/>
        </w:tabs>
        <w:ind w:left="9180" w:hanging="360"/>
      </w:pPr>
      <w:rPr>
        <w:rFonts w:hint="default"/>
      </w:rPr>
    </w:lvl>
    <w:lvl w:ilvl="7">
      <w:start w:val="1"/>
      <w:numFmt w:val="lowerLetter"/>
      <w:lvlText w:val="%8."/>
      <w:lvlJc w:val="left"/>
      <w:pPr>
        <w:tabs>
          <w:tab w:val="num" w:pos="9900"/>
        </w:tabs>
        <w:ind w:left="9900" w:hanging="360"/>
      </w:pPr>
      <w:rPr>
        <w:rFonts w:hint="default"/>
      </w:rPr>
    </w:lvl>
    <w:lvl w:ilvl="8">
      <w:start w:val="1"/>
      <w:numFmt w:val="lowerRoman"/>
      <w:lvlText w:val="%9."/>
      <w:lvlJc w:val="right"/>
      <w:pPr>
        <w:tabs>
          <w:tab w:val="num" w:pos="10620"/>
        </w:tabs>
        <w:ind w:left="10620" w:hanging="180"/>
      </w:pPr>
      <w:rPr>
        <w:rFonts w:hint="default"/>
      </w:r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37A14EBF"/>
    <w:multiLevelType w:val="multilevel"/>
    <w:tmpl w:val="E6362CF8"/>
    <w:lvl w:ilvl="0">
      <w:start w:val="3"/>
      <w:numFmt w:val="upperRoman"/>
      <w:lvlText w:val="%1."/>
      <w:lvlJc w:val="left"/>
      <w:pPr>
        <w:tabs>
          <w:tab w:val="num" w:pos="1135"/>
        </w:tabs>
        <w:ind w:left="1248" w:firstLine="0"/>
      </w:pPr>
      <w:rPr>
        <w:rFonts w:hint="default"/>
        <w:bCs w:val="0"/>
        <w:iCs w:val="0"/>
      </w:rPr>
    </w:lvl>
    <w:lvl w:ilvl="1">
      <w:start w:val="1"/>
      <w:numFmt w:val="lowerLetter"/>
      <w:lvlText w:val="(%2)"/>
      <w:lvlJc w:val="left"/>
      <w:pPr>
        <w:tabs>
          <w:tab w:val="num" w:pos="1135"/>
        </w:tabs>
        <w:ind w:left="1248" w:firstLine="567"/>
      </w:pPr>
      <w:rPr>
        <w:rFonts w:hint="default"/>
      </w:rPr>
    </w:lvl>
    <w:lvl w:ilvl="2">
      <w:start w:val="1"/>
      <w:numFmt w:val="lowerRoman"/>
      <w:lvlText w:val="(%3)"/>
      <w:lvlJc w:val="left"/>
      <w:pPr>
        <w:tabs>
          <w:tab w:val="num" w:pos="1135"/>
        </w:tabs>
        <w:ind w:left="2949" w:hanging="567"/>
      </w:pPr>
      <w:rPr>
        <w:rFonts w:hint="default"/>
      </w:rPr>
    </w:lvl>
    <w:lvl w:ilvl="3">
      <w:start w:val="1"/>
      <w:numFmt w:val="lowerLetter"/>
      <w:lvlText w:val="%4."/>
      <w:lvlJc w:val="left"/>
      <w:pPr>
        <w:tabs>
          <w:tab w:val="num" w:pos="1135"/>
        </w:tabs>
        <w:ind w:left="3516" w:hanging="567"/>
      </w:pPr>
      <w:rPr>
        <w:rFonts w:hint="default"/>
      </w:rPr>
    </w:lvl>
    <w:lvl w:ilvl="4">
      <w:start w:val="1"/>
      <w:numFmt w:val="lowerRoman"/>
      <w:lvlText w:val="%5."/>
      <w:lvlJc w:val="left"/>
      <w:pPr>
        <w:tabs>
          <w:tab w:val="num" w:pos="1135"/>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0">
    <w:nsid w:val="4E41489A"/>
    <w:multiLevelType w:val="multilevel"/>
    <w:tmpl w:val="EC5AE008"/>
    <w:lvl w:ilvl="0">
      <w:start w:val="1"/>
      <w:numFmt w:val="decimal"/>
      <w:lvlText w:val="(%1)"/>
      <w:lvlJc w:val="left"/>
      <w:pPr>
        <w:tabs>
          <w:tab w:val="num" w:pos="1135"/>
        </w:tabs>
        <w:ind w:left="1248" w:firstLine="0"/>
      </w:pPr>
      <w:rPr>
        <w:rFonts w:hint="default"/>
        <w:bCs w:val="0"/>
        <w:iCs w:val="0"/>
      </w:rPr>
    </w:lvl>
    <w:lvl w:ilvl="1">
      <w:start w:val="1"/>
      <w:numFmt w:val="lowerLetter"/>
      <w:lvlText w:val="(%2)"/>
      <w:lvlJc w:val="left"/>
      <w:pPr>
        <w:tabs>
          <w:tab w:val="num" w:pos="1135"/>
        </w:tabs>
        <w:ind w:left="1248" w:firstLine="567"/>
      </w:pPr>
      <w:rPr>
        <w:rFonts w:hint="default"/>
      </w:rPr>
    </w:lvl>
    <w:lvl w:ilvl="2">
      <w:start w:val="1"/>
      <w:numFmt w:val="lowerRoman"/>
      <w:lvlText w:val="(%3)"/>
      <w:lvlJc w:val="left"/>
      <w:pPr>
        <w:tabs>
          <w:tab w:val="num" w:pos="1135"/>
        </w:tabs>
        <w:ind w:left="2949" w:hanging="567"/>
      </w:pPr>
      <w:rPr>
        <w:rFonts w:hint="default"/>
      </w:rPr>
    </w:lvl>
    <w:lvl w:ilvl="3">
      <w:start w:val="1"/>
      <w:numFmt w:val="lowerLetter"/>
      <w:lvlText w:val="%4."/>
      <w:lvlJc w:val="left"/>
      <w:pPr>
        <w:tabs>
          <w:tab w:val="num" w:pos="1135"/>
        </w:tabs>
        <w:ind w:left="3516" w:hanging="567"/>
      </w:pPr>
      <w:rPr>
        <w:rFonts w:hint="default"/>
      </w:rPr>
    </w:lvl>
    <w:lvl w:ilvl="4">
      <w:start w:val="1"/>
      <w:numFmt w:val="lowerRoman"/>
      <w:lvlText w:val="%5."/>
      <w:lvlJc w:val="left"/>
      <w:pPr>
        <w:tabs>
          <w:tab w:val="num" w:pos="1135"/>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nsid w:val="4F5356C8"/>
    <w:multiLevelType w:val="hybridMultilevel"/>
    <w:tmpl w:val="CE288DFA"/>
    <w:lvl w:ilvl="0" w:tplc="592A1E5A">
      <w:start w:val="1"/>
      <w:numFmt w:val="upperRoman"/>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2">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7DF504F"/>
    <w:multiLevelType w:val="multilevel"/>
    <w:tmpl w:val="C5D2C49C"/>
    <w:lvl w:ilvl="0">
      <w:start w:val="1"/>
      <w:numFmt w:val="decimal"/>
      <w:lvlText w:val="%1."/>
      <w:lvlJc w:val="left"/>
      <w:pPr>
        <w:tabs>
          <w:tab w:val="num" w:pos="1135"/>
        </w:tabs>
        <w:ind w:left="1248" w:firstLine="0"/>
      </w:pPr>
      <w:rPr>
        <w:rFonts w:hint="default"/>
        <w:bCs w:val="0"/>
        <w:iCs w:val="0"/>
      </w:rPr>
    </w:lvl>
    <w:lvl w:ilvl="1">
      <w:start w:val="1"/>
      <w:numFmt w:val="lowerLetter"/>
      <w:lvlText w:val="(%2)"/>
      <w:lvlJc w:val="left"/>
      <w:pPr>
        <w:tabs>
          <w:tab w:val="num" w:pos="1135"/>
        </w:tabs>
        <w:ind w:left="1248" w:firstLine="567"/>
      </w:pPr>
      <w:rPr>
        <w:rFonts w:hint="default"/>
      </w:rPr>
    </w:lvl>
    <w:lvl w:ilvl="2">
      <w:start w:val="1"/>
      <w:numFmt w:val="lowerRoman"/>
      <w:lvlText w:val="(%3)"/>
      <w:lvlJc w:val="left"/>
      <w:pPr>
        <w:tabs>
          <w:tab w:val="num" w:pos="1135"/>
        </w:tabs>
        <w:ind w:left="2949" w:hanging="567"/>
      </w:pPr>
      <w:rPr>
        <w:rFonts w:hint="default"/>
      </w:rPr>
    </w:lvl>
    <w:lvl w:ilvl="3">
      <w:start w:val="1"/>
      <w:numFmt w:val="lowerLetter"/>
      <w:lvlText w:val="%4."/>
      <w:lvlJc w:val="left"/>
      <w:pPr>
        <w:tabs>
          <w:tab w:val="num" w:pos="1135"/>
        </w:tabs>
        <w:ind w:left="3516" w:hanging="567"/>
      </w:pPr>
      <w:rPr>
        <w:rFonts w:hint="default"/>
      </w:rPr>
    </w:lvl>
    <w:lvl w:ilvl="4">
      <w:start w:val="1"/>
      <w:numFmt w:val="lowerRoman"/>
      <w:lvlText w:val="%5."/>
      <w:lvlJc w:val="left"/>
      <w:pPr>
        <w:tabs>
          <w:tab w:val="num" w:pos="1135"/>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nsid w:val="617E6FB2"/>
    <w:multiLevelType w:val="hybridMultilevel"/>
    <w:tmpl w:val="88A2218A"/>
    <w:lvl w:ilvl="0" w:tplc="08090017">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5">
    <w:nsid w:val="62291BF8"/>
    <w:multiLevelType w:val="multilevel"/>
    <w:tmpl w:val="D07A6E4C"/>
    <w:numStyleLink w:val="Normallist"/>
  </w:abstractNum>
  <w:abstractNum w:abstractNumId="16">
    <w:nsid w:val="6AC60E54"/>
    <w:multiLevelType w:val="multilevel"/>
    <w:tmpl w:val="C62AEFE8"/>
    <w:lvl w:ilvl="0">
      <w:start w:val="2"/>
      <w:numFmt w:val="upperRoman"/>
      <w:lvlText w:val="%1."/>
      <w:lvlJc w:val="left"/>
      <w:pPr>
        <w:tabs>
          <w:tab w:val="num" w:pos="1135"/>
        </w:tabs>
        <w:ind w:left="1248" w:firstLine="0"/>
      </w:pPr>
      <w:rPr>
        <w:rFonts w:hint="default"/>
        <w:bCs w:val="0"/>
        <w:iCs w:val="0"/>
      </w:rPr>
    </w:lvl>
    <w:lvl w:ilvl="1">
      <w:start w:val="1"/>
      <w:numFmt w:val="lowerLetter"/>
      <w:lvlText w:val="(%2)"/>
      <w:lvlJc w:val="left"/>
      <w:pPr>
        <w:tabs>
          <w:tab w:val="num" w:pos="1135"/>
        </w:tabs>
        <w:ind w:left="1248" w:firstLine="567"/>
      </w:pPr>
      <w:rPr>
        <w:rFonts w:hint="default"/>
      </w:rPr>
    </w:lvl>
    <w:lvl w:ilvl="2">
      <w:start w:val="1"/>
      <w:numFmt w:val="lowerRoman"/>
      <w:lvlText w:val="(%3)"/>
      <w:lvlJc w:val="left"/>
      <w:pPr>
        <w:tabs>
          <w:tab w:val="num" w:pos="1135"/>
        </w:tabs>
        <w:ind w:left="2949" w:hanging="567"/>
      </w:pPr>
      <w:rPr>
        <w:rFonts w:hint="default"/>
      </w:rPr>
    </w:lvl>
    <w:lvl w:ilvl="3">
      <w:start w:val="1"/>
      <w:numFmt w:val="lowerLetter"/>
      <w:lvlText w:val="%4."/>
      <w:lvlJc w:val="left"/>
      <w:pPr>
        <w:tabs>
          <w:tab w:val="num" w:pos="1135"/>
        </w:tabs>
        <w:ind w:left="3516" w:hanging="567"/>
      </w:pPr>
      <w:rPr>
        <w:rFonts w:hint="default"/>
      </w:rPr>
    </w:lvl>
    <w:lvl w:ilvl="4">
      <w:start w:val="1"/>
      <w:numFmt w:val="lowerRoman"/>
      <w:lvlText w:val="%5."/>
      <w:lvlJc w:val="left"/>
      <w:pPr>
        <w:tabs>
          <w:tab w:val="num" w:pos="1135"/>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7">
    <w:nsid w:val="70941D88"/>
    <w:multiLevelType w:val="hybridMultilevel"/>
    <w:tmpl w:val="61FA088E"/>
    <w:lvl w:ilvl="0" w:tplc="625CC984">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num w:numId="1">
    <w:abstractNumId w:val="5"/>
  </w:num>
  <w:num w:numId="2">
    <w:abstractNumId w:val="8"/>
  </w:num>
  <w:num w:numId="3">
    <w:abstractNumId w:val="12"/>
  </w:num>
  <w:num w:numId="4">
    <w:abstractNumId w:val="12"/>
  </w:num>
  <w:num w:numId="5">
    <w:abstractNumId w:val="12"/>
    <w:lvlOverride w:ilvl="1">
      <w:lvl w:ilvl="1">
        <w:start w:val="1"/>
        <w:numFmt w:val="lowerLetter"/>
        <w:lvlText w:val="(%2)"/>
        <w:lvlJc w:val="left"/>
        <w:pPr>
          <w:tabs>
            <w:tab w:val="num" w:pos="1758"/>
          </w:tabs>
          <w:ind w:left="1871" w:firstLine="567"/>
        </w:pPr>
        <w:rPr>
          <w:rFonts w:hint="default"/>
          <w:sz w:val="20"/>
          <w:szCs w:val="20"/>
        </w:rPr>
      </w:lvl>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lvlOverride w:ilvl="0">
      <w:startOverride w:val="1"/>
      <w:lvl w:ilvl="0">
        <w:start w:val="1"/>
        <w:numFmt w:val="decimal"/>
        <w:pStyle w:val="Normalnumber"/>
        <w:lvlText w:val=""/>
        <w:lvlJc w:val="left"/>
      </w:lvl>
    </w:lvlOverride>
    <w:lvlOverride w:ilvl="1">
      <w:startOverride w:val="1"/>
      <w:lvl w:ilvl="1">
        <w:start w:val="1"/>
        <w:numFmt w:val="lowerLetter"/>
        <w:lvlText w:val="(%2)"/>
        <w:lvlJc w:val="left"/>
        <w:pPr>
          <w:tabs>
            <w:tab w:val="num" w:pos="1758"/>
          </w:tabs>
          <w:ind w:left="1871" w:firstLine="567"/>
        </w:pPr>
        <w:rPr>
          <w:rFonts w:hint="default"/>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2"/>
    <w:lvlOverride w:ilvl="0">
      <w:startOverride w:val="1"/>
      <w:lvl w:ilvl="0">
        <w:start w:val="1"/>
        <w:numFmt w:val="decimal"/>
        <w:pStyle w:val="Normalnumber"/>
        <w:lvlText w:val=""/>
        <w:lvlJc w:val="left"/>
      </w:lvl>
    </w:lvlOverride>
    <w:lvlOverride w:ilvl="1">
      <w:startOverride w:val="1"/>
      <w:lvl w:ilvl="1">
        <w:start w:val="1"/>
        <w:numFmt w:val="lowerLetter"/>
        <w:lvlText w:val="(%2)"/>
        <w:lvlJc w:val="left"/>
        <w:pPr>
          <w:tabs>
            <w:tab w:val="num" w:pos="1758"/>
          </w:tabs>
          <w:ind w:left="1871" w:firstLine="567"/>
        </w:pPr>
        <w:rPr>
          <w:rFonts w:hint="default"/>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3"/>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lvlOverride w:ilvl="1">
      <w:lvl w:ilvl="1">
        <w:start w:val="1"/>
        <w:numFmt w:val="lowerLetter"/>
        <w:lvlText w:val="(%2)"/>
        <w:lvlJc w:val="left"/>
        <w:pPr>
          <w:tabs>
            <w:tab w:val="num" w:pos="6970"/>
          </w:tabs>
          <w:ind w:left="7083" w:firstLine="567"/>
        </w:pPr>
        <w:rPr>
          <w:rFonts w:hint="default"/>
          <w:sz w:val="20"/>
          <w:szCs w:val="20"/>
        </w:rPr>
      </w:lvl>
    </w:lvlOverride>
  </w:num>
  <w:num w:numId="15">
    <w:abstractNumId w:val="0"/>
  </w:num>
  <w:num w:numId="16">
    <w:abstractNumId w:val="2"/>
  </w:num>
  <w:num w:numId="17">
    <w:abstractNumId w:val="14"/>
  </w:num>
  <w:num w:numId="18">
    <w:abstractNumId w:val="17"/>
  </w:num>
  <w:num w:numId="19">
    <w:abstractNumId w:val="4"/>
  </w:num>
  <w:num w:numId="20">
    <w:abstractNumId w:val="1"/>
  </w:num>
  <w:num w:numId="21">
    <w:abstractNumId w:val="9"/>
  </w:num>
  <w:num w:numId="22">
    <w:abstractNumId w:val="16"/>
  </w:num>
  <w:num w:numId="23">
    <w:abstractNumId w:val="6"/>
  </w:num>
  <w:num w:numId="24">
    <w:abstractNumId w:val="1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10"/>
  </w:num>
  <w:num w:numId="26">
    <w:abstractNumId w:val="7"/>
  </w:num>
  <w:num w:numId="27">
    <w:abstractNumId w:val="12"/>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28">
    <w:abstractNumId w:val="12"/>
    <w:lvlOverride w:ilvl="0">
      <w:startOverride w:val="1"/>
      <w:lvl w:ilvl="0">
        <w:start w:val="1"/>
        <w:numFmt w:val="decimal"/>
        <w:pStyle w:val="Normalnumber"/>
        <w:lvlText w:val=""/>
        <w:lvlJc w:val="left"/>
      </w:lvl>
    </w:lvlOverride>
    <w:lvlOverride w:ilvl="1">
      <w:startOverride w:val="1"/>
      <w:lvl w:ilvl="1">
        <w:start w:val="1"/>
        <w:numFmt w:val="lowerLetter"/>
        <w:lvlText w:val="(%2)"/>
        <w:lvlJc w:val="left"/>
        <w:pPr>
          <w:tabs>
            <w:tab w:val="num" w:pos="1758"/>
          </w:tabs>
          <w:ind w:left="1871" w:firstLine="567"/>
        </w:pPr>
        <w:rPr>
          <w:rFonts w:hint="default"/>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2"/>
    <w:lvlOverride w:ilvl="0">
      <w:startOverride w:val="1"/>
      <w:lvl w:ilvl="0">
        <w:start w:val="1"/>
        <w:numFmt w:val="decimal"/>
        <w:pStyle w:val="Normalnumber"/>
        <w:lvlText w:val=""/>
        <w:lvlJc w:val="left"/>
      </w:lvl>
    </w:lvlOverride>
    <w:lvlOverride w:ilvl="1">
      <w:startOverride w:val="1"/>
      <w:lvl w:ilvl="1">
        <w:start w:val="1"/>
        <w:numFmt w:val="lowerLetter"/>
        <w:lvlText w:val="(%2)"/>
        <w:lvlJc w:val="left"/>
        <w:pPr>
          <w:tabs>
            <w:tab w:val="num" w:pos="1758"/>
          </w:tabs>
          <w:ind w:left="1871" w:firstLine="567"/>
        </w:pPr>
        <w:rPr>
          <w:rFonts w:hint="default"/>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2"/>
    <w:lvlOverride w:ilvl="0">
      <w:lvl w:ilvl="0">
        <w:numFmt w:val="decimal"/>
        <w:pStyle w:val="Normalnumber"/>
        <w:lvlText w:val=""/>
        <w:lvlJc w:val="left"/>
      </w:lvl>
    </w:lvlOverride>
    <w:lvlOverride w:ilvl="1">
      <w:lvl w:ilvl="1">
        <w:start w:val="1"/>
        <w:numFmt w:val="lowerLetter"/>
        <w:lvlText w:val="(%2)"/>
        <w:lvlJc w:val="left"/>
        <w:pPr>
          <w:tabs>
            <w:tab w:val="num" w:pos="6970"/>
          </w:tabs>
          <w:ind w:left="7083" w:firstLine="567"/>
        </w:pPr>
        <w:rPr>
          <w:rFonts w:hint="default"/>
          <w:sz w:val="20"/>
          <w:szCs w:val="20"/>
        </w:rPr>
      </w:lvl>
    </w:lvlOverride>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15F8F"/>
    <w:rsid w:val="000259C0"/>
    <w:rsid w:val="0003456C"/>
    <w:rsid w:val="000754C2"/>
    <w:rsid w:val="000C6265"/>
    <w:rsid w:val="000D2BE6"/>
    <w:rsid w:val="000E6C44"/>
    <w:rsid w:val="000F00DB"/>
    <w:rsid w:val="0010406A"/>
    <w:rsid w:val="00111068"/>
    <w:rsid w:val="001116DA"/>
    <w:rsid w:val="0011413C"/>
    <w:rsid w:val="00117775"/>
    <w:rsid w:val="00165DBE"/>
    <w:rsid w:val="00176984"/>
    <w:rsid w:val="00196832"/>
    <w:rsid w:val="001B31B8"/>
    <w:rsid w:val="001F7859"/>
    <w:rsid w:val="00206599"/>
    <w:rsid w:val="00206BEA"/>
    <w:rsid w:val="002141A9"/>
    <w:rsid w:val="0022580A"/>
    <w:rsid w:val="0023486F"/>
    <w:rsid w:val="00234A89"/>
    <w:rsid w:val="00236CE3"/>
    <w:rsid w:val="002539BE"/>
    <w:rsid w:val="00255468"/>
    <w:rsid w:val="00261F1C"/>
    <w:rsid w:val="00285BF1"/>
    <w:rsid w:val="00294ABA"/>
    <w:rsid w:val="002C4E01"/>
    <w:rsid w:val="002C5BBC"/>
    <w:rsid w:val="002E58C9"/>
    <w:rsid w:val="00300585"/>
    <w:rsid w:val="00326407"/>
    <w:rsid w:val="00354F0C"/>
    <w:rsid w:val="00365F45"/>
    <w:rsid w:val="003B38D9"/>
    <w:rsid w:val="003D3618"/>
    <w:rsid w:val="003E13F7"/>
    <w:rsid w:val="00416BE9"/>
    <w:rsid w:val="00420924"/>
    <w:rsid w:val="0043667E"/>
    <w:rsid w:val="004557F0"/>
    <w:rsid w:val="00466E7C"/>
    <w:rsid w:val="004767FC"/>
    <w:rsid w:val="00481B5A"/>
    <w:rsid w:val="00495D1E"/>
    <w:rsid w:val="004C35C9"/>
    <w:rsid w:val="004D29E9"/>
    <w:rsid w:val="004D3A51"/>
    <w:rsid w:val="004D7530"/>
    <w:rsid w:val="004F1EB2"/>
    <w:rsid w:val="004F312B"/>
    <w:rsid w:val="004F583F"/>
    <w:rsid w:val="00504197"/>
    <w:rsid w:val="005253D4"/>
    <w:rsid w:val="00530F9C"/>
    <w:rsid w:val="00545FFD"/>
    <w:rsid w:val="00555F8E"/>
    <w:rsid w:val="0056017A"/>
    <w:rsid w:val="0057595B"/>
    <w:rsid w:val="0058677D"/>
    <w:rsid w:val="005957A8"/>
    <w:rsid w:val="00597384"/>
    <w:rsid w:val="005A3765"/>
    <w:rsid w:val="005C1412"/>
    <w:rsid w:val="005C3874"/>
    <w:rsid w:val="005E6E16"/>
    <w:rsid w:val="005E7926"/>
    <w:rsid w:val="006069E6"/>
    <w:rsid w:val="00607E05"/>
    <w:rsid w:val="00617AA1"/>
    <w:rsid w:val="00664A9D"/>
    <w:rsid w:val="006868E0"/>
    <w:rsid w:val="0069246C"/>
    <w:rsid w:val="006A4343"/>
    <w:rsid w:val="006B15C3"/>
    <w:rsid w:val="006C0971"/>
    <w:rsid w:val="006D0496"/>
    <w:rsid w:val="006D2254"/>
    <w:rsid w:val="006F1937"/>
    <w:rsid w:val="006F7984"/>
    <w:rsid w:val="00702D3E"/>
    <w:rsid w:val="00730A17"/>
    <w:rsid w:val="007367B9"/>
    <w:rsid w:val="00753F41"/>
    <w:rsid w:val="0078387F"/>
    <w:rsid w:val="0078757E"/>
    <w:rsid w:val="00794C57"/>
    <w:rsid w:val="007C1E86"/>
    <w:rsid w:val="007E29D5"/>
    <w:rsid w:val="007F0FB8"/>
    <w:rsid w:val="00812567"/>
    <w:rsid w:val="00814555"/>
    <w:rsid w:val="0082499C"/>
    <w:rsid w:val="008323A3"/>
    <w:rsid w:val="008A0280"/>
    <w:rsid w:val="008A27D1"/>
    <w:rsid w:val="008A2BD2"/>
    <w:rsid w:val="008B70B5"/>
    <w:rsid w:val="008C6B49"/>
    <w:rsid w:val="008E7756"/>
    <w:rsid w:val="00904A7A"/>
    <w:rsid w:val="00912937"/>
    <w:rsid w:val="009135EA"/>
    <w:rsid w:val="00951CAC"/>
    <w:rsid w:val="00952F57"/>
    <w:rsid w:val="0095567B"/>
    <w:rsid w:val="00982B47"/>
    <w:rsid w:val="009A2FE7"/>
    <w:rsid w:val="009D14FC"/>
    <w:rsid w:val="009E1136"/>
    <w:rsid w:val="009E5FAA"/>
    <w:rsid w:val="00A10E2B"/>
    <w:rsid w:val="00A37418"/>
    <w:rsid w:val="00A44479"/>
    <w:rsid w:val="00A7214D"/>
    <w:rsid w:val="00A846CA"/>
    <w:rsid w:val="00AA1A3D"/>
    <w:rsid w:val="00AB31E3"/>
    <w:rsid w:val="00AB4E4B"/>
    <w:rsid w:val="00AB5A49"/>
    <w:rsid w:val="00AC251C"/>
    <w:rsid w:val="00AC37A5"/>
    <w:rsid w:val="00AC49CB"/>
    <w:rsid w:val="00AD3A14"/>
    <w:rsid w:val="00AF0C78"/>
    <w:rsid w:val="00B14986"/>
    <w:rsid w:val="00B32611"/>
    <w:rsid w:val="00B51086"/>
    <w:rsid w:val="00B93FE9"/>
    <w:rsid w:val="00BC420F"/>
    <w:rsid w:val="00BD05C0"/>
    <w:rsid w:val="00BD0FFD"/>
    <w:rsid w:val="00BD3215"/>
    <w:rsid w:val="00BE25AF"/>
    <w:rsid w:val="00BF1B81"/>
    <w:rsid w:val="00C00028"/>
    <w:rsid w:val="00C00965"/>
    <w:rsid w:val="00C03657"/>
    <w:rsid w:val="00C06B96"/>
    <w:rsid w:val="00C24781"/>
    <w:rsid w:val="00C303BE"/>
    <w:rsid w:val="00C328DD"/>
    <w:rsid w:val="00C35C70"/>
    <w:rsid w:val="00C35CA7"/>
    <w:rsid w:val="00C43AA8"/>
    <w:rsid w:val="00C61DD5"/>
    <w:rsid w:val="00C973B3"/>
    <w:rsid w:val="00CA3D66"/>
    <w:rsid w:val="00CA5CA9"/>
    <w:rsid w:val="00CC066C"/>
    <w:rsid w:val="00CC6F54"/>
    <w:rsid w:val="00D018F4"/>
    <w:rsid w:val="00D10F65"/>
    <w:rsid w:val="00D366DC"/>
    <w:rsid w:val="00D50EC0"/>
    <w:rsid w:val="00D52EF0"/>
    <w:rsid w:val="00D64DB9"/>
    <w:rsid w:val="00D70120"/>
    <w:rsid w:val="00D76EF0"/>
    <w:rsid w:val="00D81F15"/>
    <w:rsid w:val="00D910D8"/>
    <w:rsid w:val="00DA45A2"/>
    <w:rsid w:val="00DB1AF5"/>
    <w:rsid w:val="00DB4F96"/>
    <w:rsid w:val="00DB7F3B"/>
    <w:rsid w:val="00DE621E"/>
    <w:rsid w:val="00DF456B"/>
    <w:rsid w:val="00E00ABB"/>
    <w:rsid w:val="00E02382"/>
    <w:rsid w:val="00E22FEA"/>
    <w:rsid w:val="00E236FD"/>
    <w:rsid w:val="00E2494F"/>
    <w:rsid w:val="00E2606C"/>
    <w:rsid w:val="00E27623"/>
    <w:rsid w:val="00E31AD4"/>
    <w:rsid w:val="00E32F3D"/>
    <w:rsid w:val="00E34560"/>
    <w:rsid w:val="00E42F25"/>
    <w:rsid w:val="00E521B6"/>
    <w:rsid w:val="00E64050"/>
    <w:rsid w:val="00E92CBF"/>
    <w:rsid w:val="00EA48AA"/>
    <w:rsid w:val="00ED2C99"/>
    <w:rsid w:val="00EF6235"/>
    <w:rsid w:val="00F039B5"/>
    <w:rsid w:val="00F045B8"/>
    <w:rsid w:val="00F06867"/>
    <w:rsid w:val="00F564FB"/>
    <w:rsid w:val="00F60A76"/>
    <w:rsid w:val="00F8465F"/>
    <w:rsid w:val="00F90DD9"/>
    <w:rsid w:val="00FD034C"/>
    <w:rsid w:val="00FF3E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40D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7"/>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859"/>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1F7859"/>
    <w:pPr>
      <w:keepNext/>
      <w:spacing w:before="240" w:after="120"/>
      <w:ind w:left="1247" w:hanging="680"/>
      <w:outlineLvl w:val="0"/>
    </w:pPr>
    <w:rPr>
      <w:b/>
      <w:sz w:val="28"/>
    </w:rPr>
  </w:style>
  <w:style w:type="paragraph" w:styleId="Heading2">
    <w:name w:val="heading 2"/>
    <w:basedOn w:val="Normal"/>
    <w:next w:val="Normalnumber"/>
    <w:qFormat/>
    <w:rsid w:val="001F7859"/>
    <w:pPr>
      <w:keepNext/>
      <w:spacing w:before="240" w:after="120"/>
      <w:ind w:left="1247" w:hanging="680"/>
      <w:outlineLvl w:val="1"/>
    </w:pPr>
    <w:rPr>
      <w:b/>
      <w:sz w:val="24"/>
      <w:szCs w:val="24"/>
    </w:rPr>
  </w:style>
  <w:style w:type="paragraph" w:styleId="Heading3">
    <w:name w:val="heading 3"/>
    <w:basedOn w:val="Normal"/>
    <w:next w:val="Normalnumber"/>
    <w:qFormat/>
    <w:rsid w:val="001F7859"/>
    <w:pPr>
      <w:spacing w:after="120"/>
      <w:ind w:left="1247" w:hanging="680"/>
      <w:outlineLvl w:val="2"/>
    </w:pPr>
    <w:rPr>
      <w:b/>
    </w:rPr>
  </w:style>
  <w:style w:type="paragraph" w:styleId="Heading4">
    <w:name w:val="heading 4"/>
    <w:basedOn w:val="Heading3"/>
    <w:next w:val="Normalnumber"/>
    <w:qFormat/>
    <w:rsid w:val="001F7859"/>
    <w:pPr>
      <w:keepNext/>
      <w:outlineLvl w:val="3"/>
    </w:pPr>
  </w:style>
  <w:style w:type="paragraph" w:styleId="Heading5">
    <w:name w:val="heading 5"/>
    <w:basedOn w:val="Normal"/>
    <w:next w:val="Normal"/>
    <w:qFormat/>
    <w:rsid w:val="001F7859"/>
    <w:pPr>
      <w:keepNext/>
      <w:outlineLvl w:val="4"/>
    </w:pPr>
    <w:rPr>
      <w:rFonts w:ascii="Univers" w:hAnsi="Univers"/>
      <w:b/>
      <w:sz w:val="24"/>
    </w:rPr>
  </w:style>
  <w:style w:type="paragraph" w:styleId="Heading6">
    <w:name w:val="heading 6"/>
    <w:basedOn w:val="Normal"/>
    <w:next w:val="Normal"/>
    <w:qFormat/>
    <w:rsid w:val="001F7859"/>
    <w:pPr>
      <w:keepNext/>
      <w:ind w:left="578"/>
      <w:outlineLvl w:val="5"/>
    </w:pPr>
    <w:rPr>
      <w:b/>
      <w:bCs/>
      <w:sz w:val="24"/>
    </w:rPr>
  </w:style>
  <w:style w:type="paragraph" w:styleId="Heading7">
    <w:name w:val="heading 7"/>
    <w:basedOn w:val="Normal"/>
    <w:next w:val="Normal"/>
    <w:qFormat/>
    <w:rsid w:val="001F7859"/>
    <w:pPr>
      <w:keepNext/>
      <w:widowControl w:val="0"/>
      <w:jc w:val="center"/>
      <w:outlineLvl w:val="6"/>
    </w:pPr>
    <w:rPr>
      <w:snapToGrid w:val="0"/>
      <w:u w:val="single"/>
      <w:lang w:val="en-US"/>
    </w:rPr>
  </w:style>
  <w:style w:type="paragraph" w:styleId="Heading8">
    <w:name w:val="heading 8"/>
    <w:basedOn w:val="Normal"/>
    <w:next w:val="Normal"/>
    <w:qFormat/>
    <w:rsid w:val="001F7859"/>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1F7859"/>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1F7859"/>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1F7859"/>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1F7859"/>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1F7859"/>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1F7859"/>
    <w:pPr>
      <w:tabs>
        <w:tab w:val="clear" w:pos="1814"/>
        <w:tab w:val="clear" w:pos="2381"/>
        <w:tab w:val="clear" w:pos="2948"/>
        <w:tab w:val="clear" w:pos="3515"/>
      </w:tabs>
      <w:ind w:left="1814" w:hanging="567"/>
    </w:pPr>
  </w:style>
  <w:style w:type="paragraph" w:customStyle="1" w:styleId="CH1">
    <w:name w:val="CH1"/>
    <w:basedOn w:val="Normalpool"/>
    <w:next w:val="CH2"/>
    <w:rsid w:val="001F7859"/>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F7859"/>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F7859"/>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F7859"/>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F7859"/>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1F7859"/>
    <w:pPr>
      <w:tabs>
        <w:tab w:val="left" w:pos="4321"/>
        <w:tab w:val="right" w:pos="8641"/>
      </w:tabs>
      <w:spacing w:before="60" w:after="120"/>
    </w:pPr>
    <w:rPr>
      <w:b/>
      <w:sz w:val="18"/>
    </w:rPr>
  </w:style>
  <w:style w:type="paragraph" w:customStyle="1" w:styleId="Headerpool">
    <w:name w:val="Header_pool"/>
    <w:basedOn w:val="Normal"/>
    <w:next w:val="Normal"/>
    <w:semiHidden/>
    <w:rsid w:val="001F785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1F7859"/>
    <w:pPr>
      <w:tabs>
        <w:tab w:val="left" w:pos="4321"/>
        <w:tab w:val="right" w:pos="8641"/>
      </w:tabs>
      <w:spacing w:before="60" w:after="120"/>
    </w:pPr>
    <w:rPr>
      <w:b/>
      <w:sz w:val="18"/>
    </w:rPr>
  </w:style>
  <w:style w:type="paragraph" w:customStyle="1" w:styleId="Header-pool">
    <w:name w:val="Header-pool"/>
    <w:basedOn w:val="Normal-pool"/>
    <w:next w:val="Normal-pool"/>
    <w:rsid w:val="001F785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1F7859"/>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1F7859"/>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1F7859"/>
    <w:rPr>
      <w:rFonts w:ascii="Tahoma" w:hAnsi="Tahoma"/>
      <w:sz w:val="16"/>
      <w:szCs w:val="16"/>
    </w:rPr>
  </w:style>
  <w:style w:type="character" w:customStyle="1" w:styleId="BalloonTextChar">
    <w:name w:val="Balloon Text Char"/>
    <w:link w:val="BalloonText"/>
    <w:rsid w:val="003929B8"/>
    <w:rPr>
      <w:rFonts w:ascii="Tahoma" w:hAnsi="Tahoma"/>
      <w:sz w:val="16"/>
      <w:szCs w:val="16"/>
      <w:lang w:eastAsia="en-US"/>
    </w:rPr>
  </w:style>
  <w:style w:type="paragraph" w:customStyle="1" w:styleId="Headingunnumbered">
    <w:name w:val="Heading unnumbered"/>
    <w:basedOn w:val="Normal"/>
    <w:next w:val="Normal"/>
    <w:rsid w:val="001F7859"/>
    <w:pPr>
      <w:keepNext/>
      <w:spacing w:after="240"/>
    </w:pPr>
    <w:rPr>
      <w:b/>
    </w:rPr>
  </w:style>
  <w:style w:type="table" w:styleId="TableGrid">
    <w:name w:val="Table Grid"/>
    <w:basedOn w:val="TableNormal"/>
    <w:rsid w:val="00C80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AnxheaderChar">
    <w:name w:val="ZZ_Anx_header Char"/>
    <w:link w:val="ZZAnxheader"/>
    <w:rsid w:val="00A501F1"/>
    <w:rPr>
      <w:b/>
      <w:bCs/>
      <w:sz w:val="28"/>
      <w:szCs w:val="22"/>
      <w:lang w:eastAsia="en-US"/>
    </w:rPr>
  </w:style>
  <w:style w:type="paragraph" w:customStyle="1" w:styleId="MediumGrid1-Accent21">
    <w:name w:val="Medium Grid 1 - Accent 21"/>
    <w:basedOn w:val="Normal"/>
    <w:uiPriority w:val="34"/>
    <w:qFormat/>
    <w:rsid w:val="00B47794"/>
    <w:pPr>
      <w:ind w:left="720"/>
      <w:contextualSpacing/>
    </w:pPr>
  </w:style>
  <w:style w:type="paragraph" w:customStyle="1" w:styleId="MediumShading1-Accent11">
    <w:name w:val="Medium Shading 1 - Accent 11"/>
    <w:uiPriority w:val="1"/>
    <w:qFormat/>
    <w:rsid w:val="00857DE6"/>
    <w:rPr>
      <w:rFonts w:ascii="Calibri" w:eastAsia="SimSun" w:hAnsi="Calibri" w:cs="Arial"/>
      <w:sz w:val="22"/>
      <w:szCs w:val="22"/>
      <w:lang w:val="en-US" w:eastAsia="zh-CN"/>
    </w:rPr>
  </w:style>
  <w:style w:type="table" w:styleId="Table3Deffects2">
    <w:name w:val="Table 3D effects 2"/>
    <w:basedOn w:val="TableNormal"/>
    <w:rsid w:val="00C164E0"/>
    <w:pPr>
      <w:tabs>
        <w:tab w:val="left" w:pos="1247"/>
        <w:tab w:val="left" w:pos="1814"/>
        <w:tab w:val="left" w:pos="2381"/>
        <w:tab w:val="left" w:pos="2948"/>
        <w:tab w:val="left" w:pos="351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164E0"/>
    <w:pPr>
      <w:tabs>
        <w:tab w:val="left" w:pos="1247"/>
        <w:tab w:val="left" w:pos="1814"/>
        <w:tab w:val="left" w:pos="2381"/>
        <w:tab w:val="left" w:pos="2948"/>
        <w:tab w:val="left" w:pos="351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164E0"/>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Shading-Accent2">
    <w:name w:val="Colorful Shading Accent 2"/>
    <w:basedOn w:val="TableNormal"/>
    <w:uiPriority w:val="67"/>
    <w:rsid w:val="00C164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FootnoteTextChar">
    <w:name w:val="Footnote Text Char"/>
    <w:link w:val="FootnoteText"/>
    <w:uiPriority w:val="99"/>
    <w:rsid w:val="00330478"/>
    <w:rPr>
      <w:sz w:val="18"/>
      <w:lang w:val="fr-FR" w:eastAsia="en-US"/>
    </w:rPr>
  </w:style>
  <w:style w:type="paragraph" w:styleId="NormalWeb">
    <w:name w:val="Normal (Web)"/>
    <w:basedOn w:val="Normal"/>
    <w:rsid w:val="001F7859"/>
    <w:rPr>
      <w:sz w:val="24"/>
      <w:szCs w:val="24"/>
    </w:rPr>
  </w:style>
  <w:style w:type="paragraph" w:styleId="Revision">
    <w:name w:val="Revision"/>
    <w:hidden/>
    <w:uiPriority w:val="99"/>
    <w:semiHidden/>
    <w:rsid w:val="008323A3"/>
    <w:rPr>
      <w:lang w:eastAsia="en-US"/>
    </w:rPr>
  </w:style>
  <w:style w:type="paragraph" w:customStyle="1" w:styleId="MediumGrid1-Accent210">
    <w:name w:val="Medium Grid 1 - Accent 21"/>
    <w:basedOn w:val="Normal"/>
    <w:uiPriority w:val="34"/>
    <w:qFormat/>
    <w:rsid w:val="001F7859"/>
    <w:pPr>
      <w:ind w:left="720"/>
      <w:contextualSpacing/>
    </w:pPr>
  </w:style>
  <w:style w:type="paragraph" w:customStyle="1" w:styleId="MediumShading1-Accent110">
    <w:name w:val="Medium Shading 1 - Accent 11"/>
    <w:uiPriority w:val="1"/>
    <w:qFormat/>
    <w:rsid w:val="001F7859"/>
    <w:rPr>
      <w:rFonts w:ascii="Calibri" w:eastAsia="SimSun" w:hAnsi="Calibri" w:cs="Arial"/>
      <w:sz w:val="22"/>
      <w:szCs w:val="22"/>
      <w:lang w:val="en-US" w:eastAsia="zh-CN"/>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F7859"/>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1F7859"/>
    <w:pPr>
      <w:tabs>
        <w:tab w:val="center" w:pos="4320"/>
        <w:tab w:val="right" w:pos="8640"/>
      </w:tabs>
      <w:spacing w:before="60" w:after="120"/>
    </w:pPr>
    <w:rPr>
      <w:sz w:val="18"/>
    </w:rPr>
  </w:style>
  <w:style w:type="paragraph" w:styleId="Header">
    <w:name w:val="header"/>
    <w:basedOn w:val="Normal"/>
    <w:semiHidden/>
    <w:rsid w:val="001F785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1F7859"/>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1F7859"/>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A10E2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7"/>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859"/>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1F7859"/>
    <w:pPr>
      <w:keepNext/>
      <w:spacing w:before="240" w:after="120"/>
      <w:ind w:left="1247" w:hanging="680"/>
      <w:outlineLvl w:val="0"/>
    </w:pPr>
    <w:rPr>
      <w:b/>
      <w:sz w:val="28"/>
    </w:rPr>
  </w:style>
  <w:style w:type="paragraph" w:styleId="Heading2">
    <w:name w:val="heading 2"/>
    <w:basedOn w:val="Normal"/>
    <w:next w:val="Normalnumber"/>
    <w:qFormat/>
    <w:rsid w:val="001F7859"/>
    <w:pPr>
      <w:keepNext/>
      <w:spacing w:before="240" w:after="120"/>
      <w:ind w:left="1247" w:hanging="680"/>
      <w:outlineLvl w:val="1"/>
    </w:pPr>
    <w:rPr>
      <w:b/>
      <w:sz w:val="24"/>
      <w:szCs w:val="24"/>
    </w:rPr>
  </w:style>
  <w:style w:type="paragraph" w:styleId="Heading3">
    <w:name w:val="heading 3"/>
    <w:basedOn w:val="Normal"/>
    <w:next w:val="Normalnumber"/>
    <w:qFormat/>
    <w:rsid w:val="001F7859"/>
    <w:pPr>
      <w:spacing w:after="120"/>
      <w:ind w:left="1247" w:hanging="680"/>
      <w:outlineLvl w:val="2"/>
    </w:pPr>
    <w:rPr>
      <w:b/>
    </w:rPr>
  </w:style>
  <w:style w:type="paragraph" w:styleId="Heading4">
    <w:name w:val="heading 4"/>
    <w:basedOn w:val="Heading3"/>
    <w:next w:val="Normalnumber"/>
    <w:qFormat/>
    <w:rsid w:val="001F7859"/>
    <w:pPr>
      <w:keepNext/>
      <w:outlineLvl w:val="3"/>
    </w:pPr>
  </w:style>
  <w:style w:type="paragraph" w:styleId="Heading5">
    <w:name w:val="heading 5"/>
    <w:basedOn w:val="Normal"/>
    <w:next w:val="Normal"/>
    <w:qFormat/>
    <w:rsid w:val="001F7859"/>
    <w:pPr>
      <w:keepNext/>
      <w:outlineLvl w:val="4"/>
    </w:pPr>
    <w:rPr>
      <w:rFonts w:ascii="Univers" w:hAnsi="Univers"/>
      <w:b/>
      <w:sz w:val="24"/>
    </w:rPr>
  </w:style>
  <w:style w:type="paragraph" w:styleId="Heading6">
    <w:name w:val="heading 6"/>
    <w:basedOn w:val="Normal"/>
    <w:next w:val="Normal"/>
    <w:qFormat/>
    <w:rsid w:val="001F7859"/>
    <w:pPr>
      <w:keepNext/>
      <w:ind w:left="578"/>
      <w:outlineLvl w:val="5"/>
    </w:pPr>
    <w:rPr>
      <w:b/>
      <w:bCs/>
      <w:sz w:val="24"/>
    </w:rPr>
  </w:style>
  <w:style w:type="paragraph" w:styleId="Heading7">
    <w:name w:val="heading 7"/>
    <w:basedOn w:val="Normal"/>
    <w:next w:val="Normal"/>
    <w:qFormat/>
    <w:rsid w:val="001F7859"/>
    <w:pPr>
      <w:keepNext/>
      <w:widowControl w:val="0"/>
      <w:jc w:val="center"/>
      <w:outlineLvl w:val="6"/>
    </w:pPr>
    <w:rPr>
      <w:snapToGrid w:val="0"/>
      <w:u w:val="single"/>
      <w:lang w:val="en-US"/>
    </w:rPr>
  </w:style>
  <w:style w:type="paragraph" w:styleId="Heading8">
    <w:name w:val="heading 8"/>
    <w:basedOn w:val="Normal"/>
    <w:next w:val="Normal"/>
    <w:qFormat/>
    <w:rsid w:val="001F7859"/>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1F7859"/>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1F7859"/>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1F7859"/>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1F7859"/>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1F7859"/>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1F7859"/>
    <w:pPr>
      <w:tabs>
        <w:tab w:val="clear" w:pos="1814"/>
        <w:tab w:val="clear" w:pos="2381"/>
        <w:tab w:val="clear" w:pos="2948"/>
        <w:tab w:val="clear" w:pos="3515"/>
      </w:tabs>
      <w:ind w:left="1814" w:hanging="567"/>
    </w:pPr>
  </w:style>
  <w:style w:type="paragraph" w:customStyle="1" w:styleId="CH1">
    <w:name w:val="CH1"/>
    <w:basedOn w:val="Normalpool"/>
    <w:next w:val="CH2"/>
    <w:rsid w:val="001F7859"/>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F7859"/>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F7859"/>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F7859"/>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F7859"/>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1F7859"/>
    <w:pPr>
      <w:tabs>
        <w:tab w:val="left" w:pos="4321"/>
        <w:tab w:val="right" w:pos="8641"/>
      </w:tabs>
      <w:spacing w:before="60" w:after="120"/>
    </w:pPr>
    <w:rPr>
      <w:b/>
      <w:sz w:val="18"/>
    </w:rPr>
  </w:style>
  <w:style w:type="paragraph" w:customStyle="1" w:styleId="Headerpool">
    <w:name w:val="Header_pool"/>
    <w:basedOn w:val="Normal"/>
    <w:next w:val="Normal"/>
    <w:semiHidden/>
    <w:rsid w:val="001F785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1F7859"/>
    <w:pPr>
      <w:tabs>
        <w:tab w:val="left" w:pos="4321"/>
        <w:tab w:val="right" w:pos="8641"/>
      </w:tabs>
      <w:spacing w:before="60" w:after="120"/>
    </w:pPr>
    <w:rPr>
      <w:b/>
      <w:sz w:val="18"/>
    </w:rPr>
  </w:style>
  <w:style w:type="paragraph" w:customStyle="1" w:styleId="Header-pool">
    <w:name w:val="Header-pool"/>
    <w:basedOn w:val="Normal-pool"/>
    <w:next w:val="Normal-pool"/>
    <w:rsid w:val="001F785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1F7859"/>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1F7859"/>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1F7859"/>
    <w:rPr>
      <w:rFonts w:ascii="Tahoma" w:hAnsi="Tahoma"/>
      <w:sz w:val="16"/>
      <w:szCs w:val="16"/>
    </w:rPr>
  </w:style>
  <w:style w:type="character" w:customStyle="1" w:styleId="BalloonTextChar">
    <w:name w:val="Balloon Text Char"/>
    <w:link w:val="BalloonText"/>
    <w:rsid w:val="003929B8"/>
    <w:rPr>
      <w:rFonts w:ascii="Tahoma" w:hAnsi="Tahoma"/>
      <w:sz w:val="16"/>
      <w:szCs w:val="16"/>
      <w:lang w:eastAsia="en-US"/>
    </w:rPr>
  </w:style>
  <w:style w:type="paragraph" w:customStyle="1" w:styleId="Headingunnumbered">
    <w:name w:val="Heading unnumbered"/>
    <w:basedOn w:val="Normal"/>
    <w:next w:val="Normal"/>
    <w:rsid w:val="001F7859"/>
    <w:pPr>
      <w:keepNext/>
      <w:spacing w:after="240"/>
    </w:pPr>
    <w:rPr>
      <w:b/>
    </w:rPr>
  </w:style>
  <w:style w:type="table" w:styleId="TableGrid">
    <w:name w:val="Table Grid"/>
    <w:basedOn w:val="TableNormal"/>
    <w:rsid w:val="00C80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AnxheaderChar">
    <w:name w:val="ZZ_Anx_header Char"/>
    <w:link w:val="ZZAnxheader"/>
    <w:rsid w:val="00A501F1"/>
    <w:rPr>
      <w:b/>
      <w:bCs/>
      <w:sz w:val="28"/>
      <w:szCs w:val="22"/>
      <w:lang w:eastAsia="en-US"/>
    </w:rPr>
  </w:style>
  <w:style w:type="paragraph" w:customStyle="1" w:styleId="MediumGrid1-Accent21">
    <w:name w:val="Medium Grid 1 - Accent 21"/>
    <w:basedOn w:val="Normal"/>
    <w:uiPriority w:val="34"/>
    <w:qFormat/>
    <w:rsid w:val="00B47794"/>
    <w:pPr>
      <w:ind w:left="720"/>
      <w:contextualSpacing/>
    </w:pPr>
  </w:style>
  <w:style w:type="paragraph" w:customStyle="1" w:styleId="MediumShading1-Accent11">
    <w:name w:val="Medium Shading 1 - Accent 11"/>
    <w:uiPriority w:val="1"/>
    <w:qFormat/>
    <w:rsid w:val="00857DE6"/>
    <w:rPr>
      <w:rFonts w:ascii="Calibri" w:eastAsia="SimSun" w:hAnsi="Calibri" w:cs="Arial"/>
      <w:sz w:val="22"/>
      <w:szCs w:val="22"/>
      <w:lang w:val="en-US" w:eastAsia="zh-CN"/>
    </w:rPr>
  </w:style>
  <w:style w:type="table" w:styleId="Table3Deffects2">
    <w:name w:val="Table 3D effects 2"/>
    <w:basedOn w:val="TableNormal"/>
    <w:rsid w:val="00C164E0"/>
    <w:pPr>
      <w:tabs>
        <w:tab w:val="left" w:pos="1247"/>
        <w:tab w:val="left" w:pos="1814"/>
        <w:tab w:val="left" w:pos="2381"/>
        <w:tab w:val="left" w:pos="2948"/>
        <w:tab w:val="left" w:pos="351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164E0"/>
    <w:pPr>
      <w:tabs>
        <w:tab w:val="left" w:pos="1247"/>
        <w:tab w:val="left" w:pos="1814"/>
        <w:tab w:val="left" w:pos="2381"/>
        <w:tab w:val="left" w:pos="2948"/>
        <w:tab w:val="left" w:pos="351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164E0"/>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Shading-Accent2">
    <w:name w:val="Colorful Shading Accent 2"/>
    <w:basedOn w:val="TableNormal"/>
    <w:uiPriority w:val="67"/>
    <w:rsid w:val="00C164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FootnoteTextChar">
    <w:name w:val="Footnote Text Char"/>
    <w:link w:val="FootnoteText"/>
    <w:uiPriority w:val="99"/>
    <w:rsid w:val="00330478"/>
    <w:rPr>
      <w:sz w:val="18"/>
      <w:lang w:val="fr-FR" w:eastAsia="en-US"/>
    </w:rPr>
  </w:style>
  <w:style w:type="paragraph" w:styleId="NormalWeb">
    <w:name w:val="Normal (Web)"/>
    <w:basedOn w:val="Normal"/>
    <w:rsid w:val="001F7859"/>
    <w:rPr>
      <w:sz w:val="24"/>
      <w:szCs w:val="24"/>
    </w:rPr>
  </w:style>
  <w:style w:type="paragraph" w:styleId="Revision">
    <w:name w:val="Revision"/>
    <w:hidden/>
    <w:uiPriority w:val="99"/>
    <w:semiHidden/>
    <w:rsid w:val="008323A3"/>
    <w:rPr>
      <w:lang w:eastAsia="en-US"/>
    </w:rPr>
  </w:style>
  <w:style w:type="paragraph" w:customStyle="1" w:styleId="MediumGrid1-Accent210">
    <w:name w:val="Medium Grid 1 - Accent 21"/>
    <w:basedOn w:val="Normal"/>
    <w:uiPriority w:val="34"/>
    <w:qFormat/>
    <w:rsid w:val="001F7859"/>
    <w:pPr>
      <w:ind w:left="720"/>
      <w:contextualSpacing/>
    </w:pPr>
  </w:style>
  <w:style w:type="paragraph" w:customStyle="1" w:styleId="MediumShading1-Accent110">
    <w:name w:val="Medium Shading 1 - Accent 11"/>
    <w:uiPriority w:val="1"/>
    <w:qFormat/>
    <w:rsid w:val="001F7859"/>
    <w:rPr>
      <w:rFonts w:ascii="Calibri" w:eastAsia="SimSun" w:hAnsi="Calibri" w:cs="Arial"/>
      <w:sz w:val="22"/>
      <w:szCs w:val="22"/>
      <w:lang w:val="en-US" w:eastAsia="zh-CN"/>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F7859"/>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1F7859"/>
    <w:pPr>
      <w:tabs>
        <w:tab w:val="center" w:pos="4320"/>
        <w:tab w:val="right" w:pos="8640"/>
      </w:tabs>
      <w:spacing w:before="60" w:after="120"/>
    </w:pPr>
    <w:rPr>
      <w:sz w:val="18"/>
    </w:rPr>
  </w:style>
  <w:style w:type="paragraph" w:styleId="Header">
    <w:name w:val="header"/>
    <w:basedOn w:val="Normal"/>
    <w:semiHidden/>
    <w:rsid w:val="001F785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1F7859"/>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1F7859"/>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A10E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892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866598963">
      <w:bodyDiv w:val="1"/>
      <w:marLeft w:val="0"/>
      <w:marRight w:val="0"/>
      <w:marTop w:val="0"/>
      <w:marBottom w:val="0"/>
      <w:divBdr>
        <w:top w:val="none" w:sz="0" w:space="0" w:color="auto"/>
        <w:left w:val="none" w:sz="0" w:space="0" w:color="auto"/>
        <w:bottom w:val="none" w:sz="0" w:space="0" w:color="auto"/>
        <w:right w:val="none" w:sz="0" w:space="0" w:color="auto"/>
      </w:divBdr>
    </w:div>
    <w:div w:id="106938331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210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C505-E697-49B1-8A23-EA4CD865C046}">
  <ds:schemaRefs>
    <ds:schemaRef ds:uri="http://schemas.openxmlformats.org/officeDocument/2006/bibliography"/>
  </ds:schemaRefs>
</ds:datastoreItem>
</file>

<file path=customXml/itemProps2.xml><?xml version="1.0" encoding="utf-8"?>
<ds:datastoreItem xmlns:ds="http://schemas.openxmlformats.org/officeDocument/2006/customXml" ds:itemID="{99B2B927-EBE6-404A-81E8-18D56E3A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Nikki Criticos</cp:lastModifiedBy>
  <cp:revision>2</cp:revision>
  <cp:lastPrinted>2016-02-05T10:08:00Z</cp:lastPrinted>
  <dcterms:created xsi:type="dcterms:W3CDTF">2016-02-25T12:25:00Z</dcterms:created>
  <dcterms:modified xsi:type="dcterms:W3CDTF">2016-02-25T12:25:00Z</dcterms:modified>
</cp:coreProperties>
</file>