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Layout w:type="fixed"/>
        <w:tblLook w:val="0000" w:firstRow="0" w:lastRow="0" w:firstColumn="0" w:lastColumn="0" w:noHBand="0" w:noVBand="0"/>
      </w:tblPr>
      <w:tblGrid>
        <w:gridCol w:w="1560"/>
        <w:gridCol w:w="4785"/>
        <w:gridCol w:w="3435"/>
      </w:tblGrid>
      <w:tr w:rsidR="00032E4E" w:rsidRPr="00C611F5" w:rsidTr="00833327">
        <w:trPr>
          <w:cantSplit/>
          <w:trHeight w:val="850"/>
        </w:trPr>
        <w:tc>
          <w:tcPr>
            <w:tcW w:w="1560" w:type="dxa"/>
          </w:tcPr>
          <w:p w:rsidR="00032E4E" w:rsidRPr="00C611F5" w:rsidRDefault="00032E4E" w:rsidP="00023DA9">
            <w:pPr>
              <w:rPr>
                <w:rFonts w:ascii="Univers" w:hAnsi="Univers"/>
                <w:b/>
                <w:noProof/>
                <w:sz w:val="27"/>
                <w:szCs w:val="27"/>
              </w:rPr>
            </w:pPr>
            <w:bookmarkStart w:id="0" w:name="_GoBack"/>
            <w:bookmarkEnd w:id="0"/>
            <w:r w:rsidRPr="00C611F5">
              <w:rPr>
                <w:rFonts w:ascii="Arial" w:hAnsi="Arial" w:cs="Arial"/>
                <w:b/>
                <w:noProof/>
                <w:sz w:val="27"/>
                <w:szCs w:val="27"/>
              </w:rPr>
              <w:t>UNITED</w:t>
            </w:r>
            <w:r w:rsidRPr="00C611F5">
              <w:rPr>
                <w:rFonts w:ascii="Arial" w:hAnsi="Arial" w:cs="Arial"/>
                <w:b/>
                <w:noProof/>
                <w:sz w:val="27"/>
                <w:szCs w:val="27"/>
              </w:rPr>
              <w:br/>
              <w:t>NATIONS</w:t>
            </w:r>
          </w:p>
        </w:tc>
        <w:tc>
          <w:tcPr>
            <w:tcW w:w="4785" w:type="dxa"/>
          </w:tcPr>
          <w:p w:rsidR="00032E4E" w:rsidRPr="00C611F5" w:rsidRDefault="00032E4E" w:rsidP="00023DA9">
            <w:pPr>
              <w:rPr>
                <w:rFonts w:ascii="Univers" w:hAnsi="Univers"/>
                <w:b/>
                <w:sz w:val="27"/>
                <w:szCs w:val="27"/>
              </w:rPr>
            </w:pPr>
          </w:p>
        </w:tc>
        <w:tc>
          <w:tcPr>
            <w:tcW w:w="3435" w:type="dxa"/>
          </w:tcPr>
          <w:p w:rsidR="00032E4E" w:rsidRPr="00C611F5" w:rsidRDefault="00032E4E" w:rsidP="00023DA9">
            <w:pPr>
              <w:jc w:val="right"/>
              <w:rPr>
                <w:rFonts w:ascii="Arial" w:hAnsi="Arial" w:cs="Arial"/>
                <w:b/>
                <w:sz w:val="64"/>
                <w:szCs w:val="64"/>
              </w:rPr>
            </w:pPr>
            <w:r w:rsidRPr="00C611F5">
              <w:rPr>
                <w:rFonts w:ascii="Arial" w:hAnsi="Arial" w:cs="Arial"/>
                <w:b/>
                <w:sz w:val="64"/>
                <w:szCs w:val="64"/>
              </w:rPr>
              <w:t>EP</w:t>
            </w:r>
          </w:p>
        </w:tc>
      </w:tr>
      <w:tr w:rsidR="00032E4E" w:rsidRPr="00C611F5" w:rsidTr="00833327">
        <w:trPr>
          <w:cantSplit/>
          <w:trHeight w:val="281"/>
        </w:trPr>
        <w:tc>
          <w:tcPr>
            <w:tcW w:w="1560" w:type="dxa"/>
            <w:tcBorders>
              <w:bottom w:val="single" w:sz="4" w:space="0" w:color="auto"/>
            </w:tcBorders>
          </w:tcPr>
          <w:p w:rsidR="00032E4E" w:rsidRPr="00C611F5" w:rsidRDefault="00032E4E" w:rsidP="00023DA9">
            <w:pPr>
              <w:rPr>
                <w:noProof/>
                <w:sz w:val="18"/>
                <w:szCs w:val="18"/>
              </w:rPr>
            </w:pPr>
          </w:p>
        </w:tc>
        <w:tc>
          <w:tcPr>
            <w:tcW w:w="4785" w:type="dxa"/>
            <w:tcBorders>
              <w:bottom w:val="single" w:sz="4" w:space="0" w:color="auto"/>
            </w:tcBorders>
          </w:tcPr>
          <w:p w:rsidR="00032E4E" w:rsidRPr="00C611F5" w:rsidRDefault="00032E4E" w:rsidP="00023DA9">
            <w:pPr>
              <w:rPr>
                <w:rFonts w:ascii="Univers" w:hAnsi="Univers"/>
                <w:b/>
                <w:sz w:val="18"/>
                <w:szCs w:val="18"/>
              </w:rPr>
            </w:pPr>
          </w:p>
        </w:tc>
        <w:tc>
          <w:tcPr>
            <w:tcW w:w="3435" w:type="dxa"/>
            <w:tcBorders>
              <w:bottom w:val="single" w:sz="4" w:space="0" w:color="auto"/>
            </w:tcBorders>
          </w:tcPr>
          <w:p w:rsidR="00032E4E" w:rsidRPr="00C611F5" w:rsidRDefault="00032E4E" w:rsidP="003C1E71">
            <w:pPr>
              <w:rPr>
                <w:noProof/>
                <w:sz w:val="18"/>
                <w:szCs w:val="18"/>
              </w:rPr>
            </w:pPr>
            <w:r w:rsidRPr="00C611F5">
              <w:rPr>
                <w:b/>
                <w:bCs/>
                <w:sz w:val="28"/>
              </w:rPr>
              <w:t>UNEP</w:t>
            </w:r>
            <w:r w:rsidRPr="00C611F5">
              <w:t>(DTIE)/</w:t>
            </w:r>
            <w:bookmarkStart w:id="1" w:name="OLE_LINK1"/>
            <w:bookmarkStart w:id="2" w:name="OLE_LINK2"/>
            <w:r w:rsidRPr="00C611F5">
              <w:t>Hg/</w:t>
            </w:r>
            <w:bookmarkEnd w:id="1"/>
            <w:bookmarkEnd w:id="2"/>
            <w:r w:rsidRPr="00C611F5">
              <w:t>INC.</w:t>
            </w:r>
            <w:r w:rsidR="004B7E47" w:rsidRPr="00C611F5">
              <w:t>7</w:t>
            </w:r>
            <w:r w:rsidRPr="00C611F5">
              <w:t>/</w:t>
            </w:r>
            <w:r w:rsidR="00833327" w:rsidRPr="00C611F5">
              <w:t>1</w:t>
            </w:r>
            <w:r w:rsidR="003C1E71" w:rsidRPr="00C611F5">
              <w:t>5</w:t>
            </w:r>
          </w:p>
        </w:tc>
      </w:tr>
      <w:bookmarkStart w:id="3" w:name="_MON_1021710482"/>
      <w:bookmarkEnd w:id="3"/>
      <w:bookmarkStart w:id="4" w:name="_MON_1021710510"/>
      <w:bookmarkEnd w:id="4"/>
      <w:tr w:rsidR="00032E4E" w:rsidRPr="00C611F5" w:rsidTr="00833327">
        <w:trPr>
          <w:cantSplit/>
          <w:trHeight w:val="2549"/>
        </w:trPr>
        <w:tc>
          <w:tcPr>
            <w:tcW w:w="1560" w:type="dxa"/>
            <w:tcBorders>
              <w:top w:val="single" w:sz="4" w:space="0" w:color="auto"/>
              <w:bottom w:val="single" w:sz="24" w:space="0" w:color="auto"/>
            </w:tcBorders>
          </w:tcPr>
          <w:p w:rsidR="00032E4E" w:rsidRPr="00C611F5" w:rsidRDefault="00032E4E" w:rsidP="00023DA9">
            <w:pPr>
              <w:rPr>
                <w:noProof/>
              </w:rPr>
            </w:pPr>
            <w:r w:rsidRPr="00C611F5">
              <w:rPr>
                <w:noProof/>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9pt;height:59.7pt" o:ole="" fillcolor="window">
                  <v:imagedata r:id="rId12" o:title=""/>
                </v:shape>
                <o:OLEObject Type="Embed" ProgID="Word.Picture.8" ShapeID="_x0000_i1025" DrawAspect="Content" ObjectID="_1516097019" r:id="rId13"/>
              </w:object>
            </w:r>
            <w:r w:rsidR="00197E61">
              <w:rPr>
                <w:noProof/>
                <w:lang w:eastAsia="zh-CN"/>
              </w:rPr>
              <w:drawing>
                <wp:inline distT="0" distB="0" distL="0" distR="0">
                  <wp:extent cx="708660" cy="76581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8660" cy="765810"/>
                          </a:xfrm>
                          <a:prstGeom prst="rect">
                            <a:avLst/>
                          </a:prstGeom>
                          <a:noFill/>
                          <a:ln>
                            <a:noFill/>
                          </a:ln>
                        </pic:spPr>
                      </pic:pic>
                    </a:graphicData>
                  </a:graphic>
                </wp:inline>
              </w:drawing>
            </w:r>
          </w:p>
        </w:tc>
        <w:tc>
          <w:tcPr>
            <w:tcW w:w="4785" w:type="dxa"/>
            <w:tcBorders>
              <w:top w:val="single" w:sz="4" w:space="0" w:color="auto"/>
              <w:bottom w:val="single" w:sz="24" w:space="0" w:color="auto"/>
            </w:tcBorders>
          </w:tcPr>
          <w:p w:rsidR="00032E4E" w:rsidRPr="00C611F5" w:rsidRDefault="00032E4E" w:rsidP="00023DA9">
            <w:pPr>
              <w:spacing w:before="1200"/>
              <w:rPr>
                <w:rFonts w:ascii="Arial" w:hAnsi="Arial" w:cs="Arial"/>
                <w:b/>
                <w:sz w:val="28"/>
              </w:rPr>
            </w:pPr>
            <w:r w:rsidRPr="00C611F5">
              <w:rPr>
                <w:rFonts w:ascii="Arial" w:hAnsi="Arial" w:cs="Arial"/>
                <w:b/>
                <w:sz w:val="32"/>
                <w:szCs w:val="32"/>
              </w:rPr>
              <w:t>United Nations</w:t>
            </w:r>
            <w:r w:rsidRPr="00C611F5">
              <w:rPr>
                <w:rFonts w:ascii="Arial" w:hAnsi="Arial" w:cs="Arial"/>
                <w:b/>
                <w:sz w:val="32"/>
                <w:szCs w:val="32"/>
              </w:rPr>
              <w:br w:type="textWrapping" w:clear="all"/>
              <w:t>Environment</w:t>
            </w:r>
            <w:r w:rsidRPr="00C611F5">
              <w:rPr>
                <w:rFonts w:ascii="Arial" w:hAnsi="Arial" w:cs="Arial"/>
                <w:b/>
                <w:sz w:val="32"/>
                <w:szCs w:val="32"/>
              </w:rPr>
              <w:br w:type="textWrapping" w:clear="all"/>
              <w:t>Programme</w:t>
            </w:r>
          </w:p>
        </w:tc>
        <w:tc>
          <w:tcPr>
            <w:tcW w:w="3435" w:type="dxa"/>
            <w:tcBorders>
              <w:top w:val="single" w:sz="4" w:space="0" w:color="auto"/>
              <w:bottom w:val="single" w:sz="24" w:space="0" w:color="auto"/>
            </w:tcBorders>
          </w:tcPr>
          <w:p w:rsidR="00032E4E" w:rsidRPr="00C611F5" w:rsidRDefault="00032E4E" w:rsidP="002E4680">
            <w:pPr>
              <w:spacing w:before="120"/>
            </w:pPr>
            <w:r w:rsidRPr="00C611F5">
              <w:t>Distr.: General</w:t>
            </w:r>
            <w:r w:rsidRPr="00C611F5">
              <w:br w:type="textWrapping" w:clear="all"/>
            </w:r>
            <w:r w:rsidR="001B1DA1" w:rsidRPr="00C611F5">
              <w:t>29 December</w:t>
            </w:r>
            <w:r w:rsidR="002E4680" w:rsidRPr="00C611F5">
              <w:t xml:space="preserve"> </w:t>
            </w:r>
            <w:r w:rsidR="004B7E47" w:rsidRPr="00C611F5">
              <w:t>2015</w:t>
            </w:r>
          </w:p>
          <w:p w:rsidR="00032E4E" w:rsidRPr="00C611F5" w:rsidRDefault="00032E4E" w:rsidP="00B1765B">
            <w:pPr>
              <w:spacing w:before="120"/>
            </w:pPr>
            <w:r w:rsidRPr="00C611F5">
              <w:t>Original: English</w:t>
            </w:r>
          </w:p>
        </w:tc>
      </w:tr>
    </w:tbl>
    <w:p w:rsidR="00032E4E" w:rsidRPr="00C611F5" w:rsidRDefault="00032E4E" w:rsidP="00F3465A">
      <w:pPr>
        <w:pStyle w:val="AATitle"/>
        <w:keepNext w:val="0"/>
        <w:keepLines w:val="0"/>
      </w:pPr>
      <w:r w:rsidRPr="00C611F5">
        <w:t>Intergovernmental negotiating committee</w:t>
      </w:r>
      <w:r w:rsidRPr="00C611F5">
        <w:br/>
      </w:r>
      <w:r w:rsidR="006B06A8" w:rsidRPr="00C611F5">
        <w:t>to prepare a global legally binding instrument</w:t>
      </w:r>
      <w:r w:rsidR="00EB44AC" w:rsidRPr="00C611F5">
        <w:br/>
      </w:r>
      <w:r w:rsidR="006B06A8" w:rsidRPr="00C611F5">
        <w:t>on m</w:t>
      </w:r>
      <w:r w:rsidR="00F3465A" w:rsidRPr="00C611F5">
        <w:t>ercury</w:t>
      </w:r>
    </w:p>
    <w:p w:rsidR="00032E4E" w:rsidRPr="00C611F5" w:rsidRDefault="004B7E47" w:rsidP="00FF6B71">
      <w:pPr>
        <w:pStyle w:val="AATitle"/>
        <w:keepNext w:val="0"/>
        <w:keepLines w:val="0"/>
        <w:tabs>
          <w:tab w:val="clear" w:pos="1814"/>
          <w:tab w:val="clear" w:pos="2381"/>
          <w:tab w:val="clear" w:pos="2948"/>
          <w:tab w:val="clear" w:pos="3515"/>
          <w:tab w:val="clear" w:pos="4082"/>
          <w:tab w:val="center" w:pos="2196"/>
        </w:tabs>
        <w:outlineLvl w:val="0"/>
        <w:rPr>
          <w:b w:val="0"/>
        </w:rPr>
      </w:pPr>
      <w:r w:rsidRPr="00C611F5">
        <w:t xml:space="preserve">Seventh </w:t>
      </w:r>
      <w:r w:rsidR="00032E4E" w:rsidRPr="00C611F5">
        <w:t>session</w:t>
      </w:r>
      <w:r w:rsidR="00F5014A" w:rsidRPr="00C611F5">
        <w:t xml:space="preserve"> </w:t>
      </w:r>
    </w:p>
    <w:p w:rsidR="00032E4E" w:rsidRPr="00C611F5" w:rsidRDefault="004B7E47" w:rsidP="00085A13">
      <w:pPr>
        <w:pStyle w:val="AATitle"/>
        <w:keepNext w:val="0"/>
        <w:keepLines w:val="0"/>
        <w:outlineLvl w:val="0"/>
        <w:rPr>
          <w:b w:val="0"/>
        </w:rPr>
      </w:pPr>
      <w:r w:rsidRPr="00C611F5">
        <w:rPr>
          <w:b w:val="0"/>
        </w:rPr>
        <w:t xml:space="preserve">Dead Sea, Jordan, </w:t>
      </w:r>
      <w:r w:rsidR="00085A13" w:rsidRPr="00C611F5">
        <w:rPr>
          <w:b w:val="0"/>
        </w:rPr>
        <w:t>10</w:t>
      </w:r>
      <w:r w:rsidRPr="00C611F5">
        <w:rPr>
          <w:b w:val="0"/>
        </w:rPr>
        <w:t>–1</w:t>
      </w:r>
      <w:r w:rsidR="00085A13" w:rsidRPr="00C611F5">
        <w:rPr>
          <w:b w:val="0"/>
        </w:rPr>
        <w:t>5</w:t>
      </w:r>
      <w:r w:rsidRPr="00C611F5">
        <w:rPr>
          <w:b w:val="0"/>
        </w:rPr>
        <w:t xml:space="preserve"> March 2016</w:t>
      </w:r>
    </w:p>
    <w:p w:rsidR="00732C8E" w:rsidRPr="00C611F5" w:rsidRDefault="00732C8E" w:rsidP="00732C8E">
      <w:pPr>
        <w:pStyle w:val="AATitle"/>
        <w:keepNext w:val="0"/>
        <w:keepLines w:val="0"/>
        <w:rPr>
          <w:b w:val="0"/>
        </w:rPr>
      </w:pPr>
      <w:r w:rsidRPr="00C611F5">
        <w:rPr>
          <w:b w:val="0"/>
        </w:rPr>
        <w:t>Item</w:t>
      </w:r>
      <w:r w:rsidR="001D1529" w:rsidRPr="00C611F5">
        <w:rPr>
          <w:b w:val="0"/>
        </w:rPr>
        <w:t xml:space="preserve"> 3 (b</w:t>
      </w:r>
      <w:r w:rsidRPr="00C611F5">
        <w:rPr>
          <w:b w:val="0"/>
        </w:rPr>
        <w:t>) of the provisional agenda</w:t>
      </w:r>
      <w:r w:rsidRPr="00C611F5">
        <w:rPr>
          <w:b w:val="0"/>
        </w:rPr>
        <w:footnoteReference w:customMarkFollows="1" w:id="2"/>
        <w:t>*</w:t>
      </w:r>
    </w:p>
    <w:p w:rsidR="00732C8E" w:rsidRPr="00C611F5" w:rsidRDefault="00012F87" w:rsidP="001D1529">
      <w:pPr>
        <w:pStyle w:val="AATitle2"/>
        <w:keepNext w:val="0"/>
        <w:keepLines w:val="0"/>
        <w:spacing w:before="60" w:after="0"/>
        <w:outlineLvl w:val="0"/>
      </w:pPr>
      <w:r w:rsidRPr="00C611F5">
        <w:t>Work to prepare for the entry into force of the Minamata Convention on Mercury and for the first meeting of the Conference of the Parties</w:t>
      </w:r>
      <w:r w:rsidR="00E27B95" w:rsidRPr="00C611F5">
        <w:t xml:space="preserve"> to the Convention</w:t>
      </w:r>
      <w:r w:rsidRPr="00C611F5">
        <w:t>:</w:t>
      </w:r>
      <w:r w:rsidR="00732C8E" w:rsidRPr="00C611F5">
        <w:t xml:space="preserve"> </w:t>
      </w:r>
      <w:r w:rsidR="001D1529" w:rsidRPr="00C611F5">
        <w:t>matters required by the Convention to be decided upon by the Conference of the Parties at its first meeting</w:t>
      </w:r>
    </w:p>
    <w:p w:rsidR="001310A9" w:rsidRPr="00C611F5" w:rsidRDefault="008D49F6" w:rsidP="00FF6B71">
      <w:pPr>
        <w:pStyle w:val="BBTitle"/>
      </w:pPr>
      <w:r w:rsidRPr="00C611F5">
        <w:t xml:space="preserve">Report on proposals on how the Executive Director of </w:t>
      </w:r>
      <w:r w:rsidR="008E45DF" w:rsidRPr="00C611F5">
        <w:t xml:space="preserve">the </w:t>
      </w:r>
      <w:r w:rsidRPr="00C611F5">
        <w:t>U</w:t>
      </w:r>
      <w:r w:rsidR="008E45DF" w:rsidRPr="00C611F5">
        <w:t xml:space="preserve">nited </w:t>
      </w:r>
      <w:r w:rsidRPr="00C611F5">
        <w:t>N</w:t>
      </w:r>
      <w:r w:rsidR="008E45DF" w:rsidRPr="00C611F5">
        <w:t xml:space="preserve">ations </w:t>
      </w:r>
      <w:r w:rsidRPr="00C611F5">
        <w:t>E</w:t>
      </w:r>
      <w:r w:rsidR="008E45DF" w:rsidRPr="00C611F5">
        <w:t xml:space="preserve">nvironment </w:t>
      </w:r>
      <w:r w:rsidRPr="00C611F5">
        <w:t>P</w:t>
      </w:r>
      <w:r w:rsidR="008E45DF" w:rsidRPr="00C611F5">
        <w:t>rogramme</w:t>
      </w:r>
      <w:r w:rsidRPr="00C611F5">
        <w:t xml:space="preserve"> will perform the functions of the permanent secretariat for the </w:t>
      </w:r>
      <w:r w:rsidR="008E45DF" w:rsidRPr="00C611F5">
        <w:t>Minamata Convention on Mercury</w:t>
      </w:r>
    </w:p>
    <w:p w:rsidR="00732C8E" w:rsidRPr="00C611F5" w:rsidRDefault="001310A9" w:rsidP="006B66DC">
      <w:pPr>
        <w:pStyle w:val="CH2"/>
      </w:pPr>
      <w:r w:rsidRPr="00C611F5">
        <w:tab/>
      </w:r>
      <w:r w:rsidRPr="00C611F5">
        <w:tab/>
      </w:r>
      <w:r w:rsidR="00732C8E" w:rsidRPr="00C611F5">
        <w:t xml:space="preserve">Note by </w:t>
      </w:r>
      <w:r w:rsidR="00EE49A2" w:rsidRPr="00C611F5">
        <w:t xml:space="preserve">the </w:t>
      </w:r>
      <w:r w:rsidR="00527290" w:rsidRPr="00C611F5">
        <w:t>secretariat</w:t>
      </w:r>
    </w:p>
    <w:p w:rsidR="002E4680" w:rsidRPr="001136CF" w:rsidRDefault="00B434A8" w:rsidP="001136CF">
      <w:pPr>
        <w:pStyle w:val="Normalnumber"/>
      </w:pPr>
      <w:r w:rsidRPr="001136CF">
        <w:t xml:space="preserve">In paragraph 9 of </w:t>
      </w:r>
      <w:r w:rsidR="00FE0F46" w:rsidRPr="001136CF">
        <w:t xml:space="preserve">the </w:t>
      </w:r>
      <w:r w:rsidRPr="001136CF">
        <w:t>resolution on arrangements in the interim period, adopted within the Final Act (UNEP(DTIE)/Hg/CONF/4, annex I), t</w:t>
      </w:r>
      <w:r w:rsidR="001310A9" w:rsidRPr="001136CF">
        <w:t>he Conference of Plenipotentiaries</w:t>
      </w:r>
      <w:r w:rsidR="00CE7044" w:rsidRPr="001136CF">
        <w:t xml:space="preserve"> on the Minamata Convention</w:t>
      </w:r>
      <w:r w:rsidR="0015419D" w:rsidRPr="001136CF">
        <w:t xml:space="preserve"> on Mercury</w:t>
      </w:r>
      <w:r w:rsidR="00CE7044" w:rsidRPr="001136CF">
        <w:t>, held in Kumamoto, Japan, on 10 and 11 October 2013</w:t>
      </w:r>
      <w:r w:rsidR="001310A9" w:rsidRPr="001136CF">
        <w:t xml:space="preserve">, </w:t>
      </w:r>
      <w:r w:rsidR="00CE7044" w:rsidRPr="001136CF">
        <w:t>requested</w:t>
      </w:r>
      <w:r w:rsidR="008E45DF" w:rsidRPr="001136CF">
        <w:t xml:space="preserve"> </w:t>
      </w:r>
      <w:r w:rsidR="00D51F34" w:rsidRPr="001136CF">
        <w:t>“</w:t>
      </w:r>
      <w:r w:rsidR="001310A9" w:rsidRPr="001136CF">
        <w:rPr>
          <w:rFonts w:eastAsia="MS Mincho"/>
        </w:rPr>
        <w:t xml:space="preserve">the Executive Director to present and the Committee to consider, before the first meeting of the </w:t>
      </w:r>
      <w:r w:rsidR="001310A9" w:rsidRPr="001136CF">
        <w:t>Conference</w:t>
      </w:r>
      <w:r w:rsidR="001310A9" w:rsidRPr="001136CF">
        <w:rPr>
          <w:rFonts w:eastAsia="MS Mincho"/>
        </w:rPr>
        <w:t xml:space="preserve"> of the Parties, a report on proposals on how he or she will perform the functions of the permanent secretariat for the Convention, including an analysis of options that, inter alia, addresses effectiveness, cost-benefit, different locations for the secretariat, merging the secretariat with the secretariat of the Basel Convention on the Control of Transboundary Movements of Hazardous Wastes and Their Disposal, the Rotterdam Convention on the Prior Informed Consent Procedure for Certain Hazardous Chemicals and Pesticides in International Trade and the Stockholm Convention on Persistent Organic Pollutants and utilizing the interim secretariat</w:t>
      </w:r>
      <w:r w:rsidR="00CE7044" w:rsidRPr="001136CF">
        <w:rPr>
          <w:rFonts w:eastAsia="MS Mincho"/>
        </w:rPr>
        <w:t>”.</w:t>
      </w:r>
    </w:p>
    <w:p w:rsidR="008730B6" w:rsidRPr="00C611F5" w:rsidRDefault="008730B6" w:rsidP="00FF6B71">
      <w:pPr>
        <w:pStyle w:val="Normalnumber"/>
        <w:tabs>
          <w:tab w:val="clear" w:pos="624"/>
          <w:tab w:val="clear" w:pos="1247"/>
          <w:tab w:val="num" w:pos="625"/>
        </w:tabs>
      </w:pPr>
      <w:r w:rsidRPr="00C611F5">
        <w:t>At its sixth session</w:t>
      </w:r>
      <w:r w:rsidR="002F12CF" w:rsidRPr="00C611F5">
        <w:t>,</w:t>
      </w:r>
      <w:r w:rsidR="00CE7044" w:rsidRPr="00C611F5">
        <w:t xml:space="preserve"> held in Bangkok </w:t>
      </w:r>
      <w:r w:rsidR="009772E7">
        <w:t xml:space="preserve">on </w:t>
      </w:r>
      <w:r w:rsidR="00CE7044" w:rsidRPr="00C611F5">
        <w:t>3</w:t>
      </w:r>
      <w:r w:rsidR="008C38AD" w:rsidRPr="00C611F5">
        <w:t>–</w:t>
      </w:r>
      <w:r w:rsidR="00CE7044" w:rsidRPr="00C611F5">
        <w:t>7 November 2014</w:t>
      </w:r>
      <w:r w:rsidRPr="00C611F5">
        <w:t xml:space="preserve">, the intergovernmental negotiating committee </w:t>
      </w:r>
      <w:r w:rsidR="00CE7044" w:rsidRPr="00C611F5">
        <w:t xml:space="preserve">to prepare a global legally binding instrument on mercury </w:t>
      </w:r>
      <w:r w:rsidRPr="00C611F5">
        <w:t>requested the interim secretariat to invite offers by Governments interested in hosting the permanent secretariat of the Minamata Convention and to compile and analyse any such offers for consideration by the committee at its seventh session. An offer has been received from the Government of Switzerland to physically host the secretariat</w:t>
      </w:r>
      <w:r w:rsidR="00B45BFD" w:rsidRPr="00C611F5">
        <w:t xml:space="preserve"> in Geneva</w:t>
      </w:r>
      <w:r w:rsidRPr="00C611F5">
        <w:t>. Th</w:t>
      </w:r>
      <w:r w:rsidR="0015419D" w:rsidRPr="00C611F5">
        <w:t>e</w:t>
      </w:r>
      <w:r w:rsidRPr="00C611F5">
        <w:t xml:space="preserve"> offer provides financial support to the Convention in the case of an integrated secretariat with the </w:t>
      </w:r>
      <w:r w:rsidR="0063468B" w:rsidRPr="00C611F5">
        <w:t xml:space="preserve">secretariat of the </w:t>
      </w:r>
      <w:r w:rsidRPr="00C611F5">
        <w:t xml:space="preserve">Basel, Rotterdam and Stockholm </w:t>
      </w:r>
      <w:r w:rsidR="0063468B" w:rsidRPr="00C611F5">
        <w:t xml:space="preserve">conventions. </w:t>
      </w:r>
      <w:r w:rsidRPr="00C611F5">
        <w:t xml:space="preserve">The offer as received is </w:t>
      </w:r>
      <w:r w:rsidR="0015419D" w:rsidRPr="00C611F5">
        <w:t xml:space="preserve">set out </w:t>
      </w:r>
      <w:r w:rsidRPr="00C611F5">
        <w:t>in document UNEP(DTIE)/Hg/INC.7/INF</w:t>
      </w:r>
      <w:r w:rsidR="00B91FD7" w:rsidRPr="00C611F5">
        <w:t>/</w:t>
      </w:r>
      <w:r w:rsidRPr="00C611F5">
        <w:t xml:space="preserve">5 and </w:t>
      </w:r>
      <w:r w:rsidR="0063468B" w:rsidRPr="00C611F5">
        <w:t xml:space="preserve">an </w:t>
      </w:r>
      <w:r w:rsidRPr="00C611F5">
        <w:t>analysis is provided in document UNEP(DTIE)/Hg/INC.7/16.</w:t>
      </w:r>
    </w:p>
    <w:p w:rsidR="002E4680" w:rsidRPr="00C611F5" w:rsidRDefault="001310A9" w:rsidP="00FF6B71">
      <w:pPr>
        <w:pStyle w:val="Normalnumber"/>
        <w:tabs>
          <w:tab w:val="clear" w:pos="624"/>
          <w:tab w:val="clear" w:pos="1247"/>
          <w:tab w:val="num" w:pos="625"/>
        </w:tabs>
      </w:pPr>
      <w:r w:rsidRPr="00C611F5">
        <w:lastRenderedPageBreak/>
        <w:t>A</w:t>
      </w:r>
      <w:r w:rsidR="00B45BFD" w:rsidRPr="00C611F5">
        <w:t>s request</w:t>
      </w:r>
      <w:r w:rsidR="00527086" w:rsidRPr="00C611F5">
        <w:t>ed by</w:t>
      </w:r>
      <w:r w:rsidR="00B45BFD" w:rsidRPr="00C611F5">
        <w:t xml:space="preserve"> the Conference of Plenipotentiaries</w:t>
      </w:r>
      <w:r w:rsidRPr="00C611F5">
        <w:t xml:space="preserve">, </w:t>
      </w:r>
      <w:r w:rsidR="00EF3767" w:rsidRPr="00C611F5">
        <w:t xml:space="preserve">the Executive Director </w:t>
      </w:r>
      <w:r w:rsidR="00B45BFD" w:rsidRPr="00C611F5">
        <w:t xml:space="preserve">of </w:t>
      </w:r>
      <w:r w:rsidR="00B434A8" w:rsidRPr="00C611F5">
        <w:t>the United</w:t>
      </w:r>
      <w:r w:rsidR="000A68CB" w:rsidRPr="00C611F5">
        <w:t> </w:t>
      </w:r>
      <w:r w:rsidR="00B434A8" w:rsidRPr="00C611F5">
        <w:t>Nations Environment Programme (</w:t>
      </w:r>
      <w:r w:rsidR="00B45BFD" w:rsidRPr="00C611F5">
        <w:t>UNEP</w:t>
      </w:r>
      <w:r w:rsidR="00B434A8" w:rsidRPr="00C611F5">
        <w:t>)</w:t>
      </w:r>
      <w:r w:rsidR="004767F8" w:rsidRPr="00C611F5">
        <w:t>,</w:t>
      </w:r>
      <w:r w:rsidR="00B45BFD" w:rsidRPr="00C611F5">
        <w:t xml:space="preserve"> </w:t>
      </w:r>
      <w:r w:rsidR="00EF3767" w:rsidRPr="00C611F5">
        <w:t xml:space="preserve">through </w:t>
      </w:r>
      <w:r w:rsidRPr="00C611F5">
        <w:t>the interim secretariat</w:t>
      </w:r>
      <w:r w:rsidR="004767F8" w:rsidRPr="00C611F5">
        <w:t xml:space="preserve"> and</w:t>
      </w:r>
      <w:r w:rsidRPr="00C611F5">
        <w:t xml:space="preserve"> in close consultation with the secretariat of the Basel, Rotterdam and Stockholm </w:t>
      </w:r>
      <w:r w:rsidR="000F0C49" w:rsidRPr="00C611F5">
        <w:t>conventions</w:t>
      </w:r>
      <w:r w:rsidR="00EF3767" w:rsidRPr="00C611F5">
        <w:t>,</w:t>
      </w:r>
      <w:r w:rsidRPr="00C611F5">
        <w:t xml:space="preserve"> has prepare</w:t>
      </w:r>
      <w:r w:rsidR="00102802" w:rsidRPr="00C611F5">
        <w:t>d</w:t>
      </w:r>
      <w:r w:rsidRPr="00C611F5">
        <w:t xml:space="preserve"> </w:t>
      </w:r>
      <w:r w:rsidR="004767F8" w:rsidRPr="00C611F5">
        <w:t xml:space="preserve">for consideration by the intergovernmental negotiating committee </w:t>
      </w:r>
      <w:r w:rsidRPr="00C611F5">
        <w:t>a report</w:t>
      </w:r>
      <w:r w:rsidR="00EF3767" w:rsidRPr="00C611F5">
        <w:t xml:space="preserve"> on proposals on how the Executive Director will perform the functions of the permanent secretariat of the Convention</w:t>
      </w:r>
      <w:r w:rsidR="006A2246" w:rsidRPr="00C611F5">
        <w:t>.</w:t>
      </w:r>
    </w:p>
    <w:p w:rsidR="001310A9" w:rsidRPr="00C611F5" w:rsidRDefault="001310A9" w:rsidP="00FF6B71">
      <w:pPr>
        <w:pStyle w:val="Normalnumber"/>
        <w:tabs>
          <w:tab w:val="clear" w:pos="624"/>
          <w:tab w:val="clear" w:pos="1247"/>
          <w:tab w:val="num" w:pos="625"/>
        </w:tabs>
      </w:pPr>
      <w:r w:rsidRPr="00C611F5">
        <w:t xml:space="preserve">The report is </w:t>
      </w:r>
      <w:r w:rsidR="004767F8" w:rsidRPr="00C611F5">
        <w:t xml:space="preserve">set out </w:t>
      </w:r>
      <w:r w:rsidRPr="00C611F5">
        <w:t xml:space="preserve">in the annex to </w:t>
      </w:r>
      <w:r w:rsidR="0015419D" w:rsidRPr="00C611F5">
        <w:t xml:space="preserve">the present </w:t>
      </w:r>
      <w:r w:rsidRPr="00C611F5">
        <w:t>note.</w:t>
      </w:r>
      <w:r w:rsidR="008C2603" w:rsidRPr="00C611F5">
        <w:t xml:space="preserve"> </w:t>
      </w:r>
      <w:r w:rsidRPr="00C611F5">
        <w:t xml:space="preserve">The </w:t>
      </w:r>
      <w:r w:rsidR="00CE1FD8" w:rsidRPr="00C611F5">
        <w:t xml:space="preserve">committee </w:t>
      </w:r>
      <w:r w:rsidRPr="00C611F5">
        <w:t>may wish to consider th</w:t>
      </w:r>
      <w:r w:rsidR="000F0C49" w:rsidRPr="00C611F5">
        <w:t>e</w:t>
      </w:r>
      <w:r w:rsidRPr="00C611F5">
        <w:t xml:space="preserve"> report</w:t>
      </w:r>
      <w:r w:rsidR="00090B65" w:rsidRPr="00C611F5">
        <w:t xml:space="preserve"> and</w:t>
      </w:r>
      <w:r w:rsidRPr="00C611F5">
        <w:t xml:space="preserve"> forward the </w:t>
      </w:r>
      <w:r w:rsidR="005C6DC8" w:rsidRPr="00C611F5">
        <w:t xml:space="preserve">outcome of </w:t>
      </w:r>
      <w:r w:rsidR="00360D2B" w:rsidRPr="00C611F5">
        <w:t xml:space="preserve">its </w:t>
      </w:r>
      <w:r w:rsidR="005C6DC8" w:rsidRPr="00C611F5">
        <w:t xml:space="preserve">deliberations </w:t>
      </w:r>
      <w:r w:rsidRPr="00C611F5">
        <w:t xml:space="preserve">to </w:t>
      </w:r>
      <w:r w:rsidR="000F0C49" w:rsidRPr="00C611F5">
        <w:t xml:space="preserve">the Conference of the Parties at its </w:t>
      </w:r>
      <w:r w:rsidRPr="00C611F5">
        <w:t>first meeting</w:t>
      </w:r>
      <w:r w:rsidR="005C6DC8" w:rsidRPr="00C611F5">
        <w:t xml:space="preserve">. </w:t>
      </w:r>
    </w:p>
    <w:p w:rsidR="001B1DA1" w:rsidRPr="00C611F5" w:rsidRDefault="001B1DA1" w:rsidP="00FF6B71">
      <w:pPr>
        <w:pStyle w:val="Normal-pool"/>
      </w:pPr>
    </w:p>
    <w:p w:rsidR="002E4680" w:rsidRPr="00C611F5" w:rsidRDefault="002E4680" w:rsidP="002E4680">
      <w:pPr>
        <w:pStyle w:val="Normalnumber"/>
        <w:numPr>
          <w:ilvl w:val="0"/>
          <w:numId w:val="0"/>
        </w:numPr>
        <w:ind w:left="1247"/>
        <w:rPr>
          <w:szCs w:val="28"/>
        </w:rPr>
        <w:sectPr w:rsidR="002E4680" w:rsidRPr="00C611F5" w:rsidSect="006E6722">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907" w:right="992" w:bottom="1418" w:left="1418" w:header="539" w:footer="975" w:gutter="0"/>
          <w:cols w:space="539"/>
          <w:titlePg/>
          <w:docGrid w:linePitch="360"/>
        </w:sectPr>
      </w:pPr>
    </w:p>
    <w:p w:rsidR="00032E4E" w:rsidRPr="00C611F5" w:rsidRDefault="001C7784" w:rsidP="00FF6B71">
      <w:pPr>
        <w:pStyle w:val="ZZAnxheader"/>
      </w:pPr>
      <w:r w:rsidRPr="00C611F5">
        <w:t>Annex</w:t>
      </w:r>
    </w:p>
    <w:p w:rsidR="00102802" w:rsidRPr="00C611F5" w:rsidRDefault="00102802" w:rsidP="00FF6B71">
      <w:pPr>
        <w:pStyle w:val="ZZAnxtitle"/>
        <w:rPr>
          <w:rFonts w:eastAsia="MS Mincho"/>
        </w:rPr>
      </w:pPr>
      <w:r w:rsidRPr="00C611F5">
        <w:rPr>
          <w:rFonts w:eastAsia="MS Mincho"/>
        </w:rPr>
        <w:t>Report on proposals on how the Executive Director of the United</w:t>
      </w:r>
      <w:r w:rsidR="001B1DA1" w:rsidRPr="00C611F5">
        <w:rPr>
          <w:rFonts w:eastAsia="MS Mincho"/>
        </w:rPr>
        <w:t> </w:t>
      </w:r>
      <w:r w:rsidRPr="00C611F5">
        <w:rPr>
          <w:rFonts w:eastAsia="MS Mincho"/>
        </w:rPr>
        <w:t xml:space="preserve">Nations Environment Programme will perform the functions of the permanent secretariat for the </w:t>
      </w:r>
      <w:r w:rsidR="00D43505" w:rsidRPr="00C611F5">
        <w:rPr>
          <w:rFonts w:eastAsia="MS Mincho"/>
        </w:rPr>
        <w:t xml:space="preserve">Minamata </w:t>
      </w:r>
      <w:r w:rsidRPr="00C611F5">
        <w:rPr>
          <w:rFonts w:eastAsia="MS Mincho"/>
        </w:rPr>
        <w:t>Convention</w:t>
      </w:r>
      <w:r w:rsidR="00D43505" w:rsidRPr="00C611F5">
        <w:rPr>
          <w:rFonts w:eastAsia="MS Mincho"/>
        </w:rPr>
        <w:t xml:space="preserve"> on Mercury</w:t>
      </w:r>
    </w:p>
    <w:p w:rsidR="005D09A5" w:rsidRPr="00C611F5" w:rsidRDefault="001B1DA1" w:rsidP="00FF6B71">
      <w:pPr>
        <w:pStyle w:val="CH2"/>
        <w:rPr>
          <w:rFonts w:eastAsia="MS Mincho"/>
        </w:rPr>
      </w:pPr>
      <w:r w:rsidRPr="00C611F5">
        <w:rPr>
          <w:rFonts w:eastAsia="MS Mincho"/>
        </w:rPr>
        <w:tab/>
        <w:t>A.</w:t>
      </w:r>
      <w:r w:rsidRPr="00C611F5">
        <w:rPr>
          <w:rFonts w:eastAsia="MS Mincho"/>
        </w:rPr>
        <w:tab/>
      </w:r>
      <w:r w:rsidR="00102802" w:rsidRPr="00C611F5">
        <w:rPr>
          <w:rFonts w:eastAsia="MS Mincho"/>
        </w:rPr>
        <w:t>Background</w:t>
      </w:r>
    </w:p>
    <w:p w:rsidR="005D09A5" w:rsidRPr="00C611F5" w:rsidRDefault="00102802" w:rsidP="00FF6B71">
      <w:pPr>
        <w:pStyle w:val="Normalnumber"/>
        <w:numPr>
          <w:ilvl w:val="0"/>
          <w:numId w:val="5"/>
        </w:numPr>
        <w:tabs>
          <w:tab w:val="clear" w:pos="1247"/>
        </w:tabs>
        <w:ind w:left="1247" w:firstLine="0"/>
        <w:rPr>
          <w:rFonts w:eastAsia="MS Mincho"/>
        </w:rPr>
      </w:pPr>
      <w:r w:rsidRPr="00C611F5">
        <w:rPr>
          <w:rFonts w:eastAsia="MS Mincho"/>
        </w:rPr>
        <w:t>The Minamata Convention on Mercury was adopted and opened for signature</w:t>
      </w:r>
      <w:r w:rsidR="00A317DA" w:rsidRPr="00C611F5">
        <w:rPr>
          <w:rFonts w:eastAsia="MS Mincho"/>
        </w:rPr>
        <w:t xml:space="preserve"> at the Conference of Plenipotentiaries</w:t>
      </w:r>
      <w:r w:rsidR="00313E40" w:rsidRPr="00C611F5">
        <w:rPr>
          <w:rFonts w:eastAsia="MS Mincho"/>
        </w:rPr>
        <w:t>,</w:t>
      </w:r>
      <w:r w:rsidR="00A317DA" w:rsidRPr="00C611F5">
        <w:rPr>
          <w:rFonts w:eastAsia="MS Mincho"/>
        </w:rPr>
        <w:t xml:space="preserve"> held</w:t>
      </w:r>
      <w:r w:rsidRPr="00C611F5">
        <w:rPr>
          <w:rFonts w:eastAsia="MS Mincho"/>
        </w:rPr>
        <w:t xml:space="preserve"> in </w:t>
      </w:r>
      <w:r w:rsidR="00A317DA" w:rsidRPr="00C611F5">
        <w:rPr>
          <w:rFonts w:eastAsia="MS Mincho"/>
        </w:rPr>
        <w:t xml:space="preserve">Kumamoto, </w:t>
      </w:r>
      <w:r w:rsidRPr="00C611F5">
        <w:rPr>
          <w:rFonts w:eastAsia="MS Mincho"/>
        </w:rPr>
        <w:t>Japan</w:t>
      </w:r>
      <w:r w:rsidR="000F0C49" w:rsidRPr="00C611F5">
        <w:rPr>
          <w:rFonts w:eastAsia="MS Mincho"/>
        </w:rPr>
        <w:t>,</w:t>
      </w:r>
      <w:r w:rsidRPr="00C611F5">
        <w:rPr>
          <w:rFonts w:eastAsia="MS Mincho"/>
        </w:rPr>
        <w:t xml:space="preserve"> on </w:t>
      </w:r>
      <w:r w:rsidR="00A16101" w:rsidRPr="00C611F5">
        <w:rPr>
          <w:rFonts w:eastAsia="MS Mincho"/>
        </w:rPr>
        <w:t xml:space="preserve">10 </w:t>
      </w:r>
      <w:r w:rsidRPr="00C611F5">
        <w:rPr>
          <w:rFonts w:eastAsia="MS Mincho"/>
        </w:rPr>
        <w:t>October 2013. Throughout the negotiating process, the work of the intergovernmental negotiating committee to prepare a global legally binding instrument on mercury</w:t>
      </w:r>
      <w:r w:rsidR="00753D8A" w:rsidRPr="00C611F5">
        <w:rPr>
          <w:rFonts w:eastAsia="MS Mincho"/>
        </w:rPr>
        <w:t xml:space="preserve"> </w:t>
      </w:r>
      <w:r w:rsidR="00321980" w:rsidRPr="00C611F5">
        <w:rPr>
          <w:rFonts w:eastAsia="MS Mincho"/>
        </w:rPr>
        <w:t xml:space="preserve">has been </w:t>
      </w:r>
      <w:r w:rsidRPr="00C611F5">
        <w:rPr>
          <w:rFonts w:eastAsia="MS Mincho"/>
        </w:rPr>
        <w:t>supported by secretariat services provided by the United Nations Environment Programme</w:t>
      </w:r>
      <w:r w:rsidR="00313E40" w:rsidRPr="00C611F5">
        <w:rPr>
          <w:rFonts w:eastAsia="MS Mincho"/>
        </w:rPr>
        <w:t xml:space="preserve"> (UNEP)</w:t>
      </w:r>
      <w:r w:rsidRPr="00C611F5">
        <w:rPr>
          <w:rFonts w:eastAsia="MS Mincho"/>
        </w:rPr>
        <w:t xml:space="preserve">, through </w:t>
      </w:r>
      <w:r w:rsidR="00321980" w:rsidRPr="00C611F5">
        <w:rPr>
          <w:rFonts w:eastAsia="MS Mincho"/>
        </w:rPr>
        <w:t xml:space="preserve">its </w:t>
      </w:r>
      <w:r w:rsidRPr="00C611F5">
        <w:rPr>
          <w:rFonts w:eastAsia="MS Mincho"/>
        </w:rPr>
        <w:t xml:space="preserve">Chemicals </w:t>
      </w:r>
      <w:r w:rsidR="006A4491" w:rsidRPr="00C611F5">
        <w:rPr>
          <w:rFonts w:eastAsia="MS Mincho"/>
        </w:rPr>
        <w:t xml:space="preserve">and Waste </w:t>
      </w:r>
      <w:r w:rsidRPr="00C611F5">
        <w:rPr>
          <w:rFonts w:eastAsia="MS Mincho"/>
        </w:rPr>
        <w:t xml:space="preserve">Branch within the Division of Technology, Industry and Economics. </w:t>
      </w:r>
      <w:r w:rsidR="00321980" w:rsidRPr="00C611F5">
        <w:rPr>
          <w:rFonts w:eastAsia="MS Mincho"/>
        </w:rPr>
        <w:t xml:space="preserve">Upon entry into force, the </w:t>
      </w:r>
      <w:r w:rsidR="00A56EA9" w:rsidRPr="00C611F5">
        <w:rPr>
          <w:rFonts w:eastAsia="MS Mincho"/>
        </w:rPr>
        <w:t xml:space="preserve">functions of the </w:t>
      </w:r>
      <w:r w:rsidR="00321980" w:rsidRPr="00C611F5">
        <w:rPr>
          <w:rFonts w:eastAsia="MS Mincho"/>
        </w:rPr>
        <w:t>permanent secretariat f</w:t>
      </w:r>
      <w:r w:rsidR="00A317DA" w:rsidRPr="00C611F5">
        <w:rPr>
          <w:rFonts w:eastAsia="MS Mincho"/>
        </w:rPr>
        <w:t>or</w:t>
      </w:r>
      <w:r w:rsidR="00321980" w:rsidRPr="00C611F5">
        <w:rPr>
          <w:rFonts w:eastAsia="MS Mincho"/>
        </w:rPr>
        <w:t xml:space="preserve"> the Minamata Convention on Mercury will be performed by the Executive Director of UNEP</w:t>
      </w:r>
      <w:r w:rsidR="006A2246" w:rsidRPr="00C611F5">
        <w:rPr>
          <w:rFonts w:eastAsia="MS Mincho"/>
        </w:rPr>
        <w:t xml:space="preserve">, as </w:t>
      </w:r>
      <w:r w:rsidR="00950FAB" w:rsidRPr="00C611F5">
        <w:rPr>
          <w:rFonts w:eastAsia="MS Mincho"/>
        </w:rPr>
        <w:t xml:space="preserve">set out </w:t>
      </w:r>
      <w:r w:rsidR="006A2246" w:rsidRPr="00C611F5">
        <w:rPr>
          <w:rFonts w:eastAsia="MS Mincho"/>
        </w:rPr>
        <w:t xml:space="preserve">in paragraph 3 of </w:t>
      </w:r>
      <w:r w:rsidR="00945D13" w:rsidRPr="00C611F5">
        <w:rPr>
          <w:rFonts w:eastAsia="MS Mincho"/>
        </w:rPr>
        <w:t>a</w:t>
      </w:r>
      <w:r w:rsidR="006A2246" w:rsidRPr="00C611F5">
        <w:rPr>
          <w:rFonts w:eastAsia="MS Mincho"/>
        </w:rPr>
        <w:t>rticle 24 of the Convention</w:t>
      </w:r>
      <w:r w:rsidR="00090B65" w:rsidRPr="00C611F5">
        <w:rPr>
          <w:rFonts w:eastAsia="MS Mincho"/>
        </w:rPr>
        <w:t xml:space="preserve">, </w:t>
      </w:r>
      <w:r w:rsidRPr="00C611F5">
        <w:rPr>
          <w:rFonts w:eastAsia="MS Mincho"/>
        </w:rPr>
        <w:t xml:space="preserve">unless the Conference of the Parties decides, by a three-fourths majority of the </w:t>
      </w:r>
      <w:r w:rsidR="00A56EA9" w:rsidRPr="00C611F5">
        <w:rPr>
          <w:rFonts w:eastAsia="MS Mincho"/>
        </w:rPr>
        <w:t xml:space="preserve">parties </w:t>
      </w:r>
      <w:r w:rsidRPr="00C611F5">
        <w:rPr>
          <w:rFonts w:eastAsia="MS Mincho"/>
        </w:rPr>
        <w:t xml:space="preserve">present and voting, to entrust the secretariat functions to one or more other international organizations. </w:t>
      </w:r>
    </w:p>
    <w:p w:rsidR="005D09A5" w:rsidRPr="00C611F5" w:rsidRDefault="00102802" w:rsidP="00FF6B71">
      <w:pPr>
        <w:pStyle w:val="Normalnumber"/>
        <w:numPr>
          <w:ilvl w:val="0"/>
          <w:numId w:val="5"/>
        </w:numPr>
        <w:tabs>
          <w:tab w:val="clear" w:pos="1247"/>
        </w:tabs>
        <w:ind w:left="1247" w:firstLine="0"/>
        <w:rPr>
          <w:rFonts w:eastAsia="MS Mincho"/>
        </w:rPr>
      </w:pPr>
      <w:r w:rsidRPr="00C611F5">
        <w:rPr>
          <w:rFonts w:eastAsia="MS Mincho"/>
        </w:rPr>
        <w:t xml:space="preserve">At the Conference of Plenipotentiaries, further consideration was given to </w:t>
      </w:r>
      <w:r w:rsidR="00E02566" w:rsidRPr="00C611F5">
        <w:rPr>
          <w:rFonts w:eastAsia="MS Mincho"/>
        </w:rPr>
        <w:t xml:space="preserve">how the Executive Director of UNEP could perform the functions </w:t>
      </w:r>
      <w:r w:rsidR="00090B65" w:rsidRPr="00C611F5">
        <w:rPr>
          <w:rFonts w:eastAsia="MS Mincho"/>
        </w:rPr>
        <w:t>of the</w:t>
      </w:r>
      <w:r w:rsidR="00E02566" w:rsidRPr="00C611F5">
        <w:rPr>
          <w:rFonts w:eastAsia="MS Mincho"/>
        </w:rPr>
        <w:t xml:space="preserve"> permanent </w:t>
      </w:r>
      <w:r w:rsidRPr="00C611F5">
        <w:rPr>
          <w:rFonts w:eastAsia="MS Mincho"/>
        </w:rPr>
        <w:t>secretariat for the Convention</w:t>
      </w:r>
      <w:r w:rsidR="00E02566" w:rsidRPr="00C611F5">
        <w:rPr>
          <w:rFonts w:eastAsia="MS Mincho"/>
        </w:rPr>
        <w:t xml:space="preserve">. Through the Final Act, </w:t>
      </w:r>
      <w:r w:rsidR="00A56EA9" w:rsidRPr="00C611F5">
        <w:rPr>
          <w:rFonts w:eastAsia="MS Mincho"/>
        </w:rPr>
        <w:t>G</w:t>
      </w:r>
      <w:r w:rsidRPr="00C611F5">
        <w:rPr>
          <w:rFonts w:eastAsia="MS Mincho"/>
        </w:rPr>
        <w:t>overnments request</w:t>
      </w:r>
      <w:r w:rsidR="00E02566" w:rsidRPr="00C611F5">
        <w:rPr>
          <w:rFonts w:eastAsia="MS Mincho"/>
        </w:rPr>
        <w:t xml:space="preserve">ed </w:t>
      </w:r>
      <w:r w:rsidRPr="00C611F5">
        <w:rPr>
          <w:rFonts w:eastAsia="MS Mincho"/>
        </w:rPr>
        <w:t xml:space="preserve">the Executive Director to present and the </w:t>
      </w:r>
      <w:r w:rsidR="00CE1FD8" w:rsidRPr="00C611F5">
        <w:rPr>
          <w:rFonts w:eastAsia="MS Mincho"/>
        </w:rPr>
        <w:t xml:space="preserve">committee </w:t>
      </w:r>
      <w:r w:rsidRPr="00C611F5">
        <w:rPr>
          <w:rFonts w:eastAsia="MS Mincho"/>
        </w:rPr>
        <w:t>to consider, before the first meeting of the Conference of the Parties, a report on proposals on how he or she will perform the functions of the permanent secretariat for the Convention, including an analysis of options that, inter alia, addresses effectiveness, cost</w:t>
      </w:r>
      <w:r w:rsidR="003206B8">
        <w:rPr>
          <w:rFonts w:eastAsia="MS Mincho"/>
        </w:rPr>
        <w:t>-</w:t>
      </w:r>
      <w:r w:rsidRPr="00C611F5">
        <w:rPr>
          <w:rFonts w:eastAsia="MS Mincho"/>
        </w:rPr>
        <w:t>benefit, different locations for the secretariat, merging the secretariat with the secretariat of the Basel Convention on the Control of Transboundary Movements of Hazardous Wastes and Their Disposal, the Rotterdam Convention on the Prior Informed Consent Procedure for Certain Hazardous Chemicals and Pesticides in International Trade and the Stockholm Convention on Persistent Organic Pollutants and utilizing the interim secretariat.</w:t>
      </w:r>
    </w:p>
    <w:p w:rsidR="00527342" w:rsidRPr="00C611F5" w:rsidRDefault="001B1DA1" w:rsidP="00FF6B71">
      <w:pPr>
        <w:pStyle w:val="CH2"/>
        <w:rPr>
          <w:rFonts w:eastAsia="MS Mincho"/>
        </w:rPr>
      </w:pPr>
      <w:r w:rsidRPr="00C611F5">
        <w:rPr>
          <w:rFonts w:eastAsia="MS Mincho"/>
        </w:rPr>
        <w:tab/>
      </w:r>
      <w:r w:rsidR="000F2E41" w:rsidRPr="00C611F5">
        <w:rPr>
          <w:rFonts w:eastAsia="MS Mincho"/>
        </w:rPr>
        <w:t>B</w:t>
      </w:r>
      <w:r w:rsidR="007C399F" w:rsidRPr="00C611F5">
        <w:rPr>
          <w:rFonts w:eastAsia="MS Mincho"/>
        </w:rPr>
        <w:t>.</w:t>
      </w:r>
      <w:r w:rsidR="000F2E41" w:rsidRPr="00C611F5">
        <w:rPr>
          <w:rFonts w:eastAsia="MS Mincho"/>
        </w:rPr>
        <w:tab/>
      </w:r>
      <w:r w:rsidR="00527342" w:rsidRPr="00C611F5">
        <w:rPr>
          <w:rFonts w:eastAsia="MS Mincho"/>
        </w:rPr>
        <w:t xml:space="preserve">Functions of the </w:t>
      </w:r>
      <w:r w:rsidR="00BB72E8" w:rsidRPr="00C611F5">
        <w:rPr>
          <w:rFonts w:eastAsia="MS Mincho"/>
        </w:rPr>
        <w:t>secretariat</w:t>
      </w:r>
    </w:p>
    <w:p w:rsidR="005D09A5" w:rsidRPr="00C611F5" w:rsidRDefault="00950FAB" w:rsidP="00FF6B71">
      <w:pPr>
        <w:pStyle w:val="Normalnumber"/>
        <w:numPr>
          <w:ilvl w:val="0"/>
          <w:numId w:val="5"/>
        </w:numPr>
        <w:tabs>
          <w:tab w:val="clear" w:pos="1247"/>
        </w:tabs>
        <w:ind w:left="1247" w:firstLine="0"/>
        <w:rPr>
          <w:rFonts w:eastAsia="MS Mincho"/>
        </w:rPr>
      </w:pPr>
      <w:r w:rsidRPr="00C611F5">
        <w:rPr>
          <w:rFonts w:eastAsia="MS Mincho"/>
        </w:rPr>
        <w:t>The functions of the secretariat are set out in article 24 of t</w:t>
      </w:r>
      <w:r w:rsidR="00527342" w:rsidRPr="00C611F5">
        <w:rPr>
          <w:rFonts w:eastAsia="MS Mincho"/>
        </w:rPr>
        <w:t xml:space="preserve">he Convention </w:t>
      </w:r>
      <w:r w:rsidR="00D03917" w:rsidRPr="00C611F5">
        <w:rPr>
          <w:rFonts w:eastAsia="MS Mincho"/>
        </w:rPr>
        <w:t xml:space="preserve">as follows: </w:t>
      </w:r>
    </w:p>
    <w:p w:rsidR="00527342" w:rsidRPr="00C611F5" w:rsidRDefault="00527342" w:rsidP="00FF6B71">
      <w:pPr>
        <w:pStyle w:val="Normalnumber"/>
        <w:numPr>
          <w:ilvl w:val="1"/>
          <w:numId w:val="23"/>
        </w:numPr>
        <w:tabs>
          <w:tab w:val="clear" w:pos="1247"/>
        </w:tabs>
        <w:ind w:left="1247" w:firstLine="624"/>
        <w:rPr>
          <w:rFonts w:eastAsia="MS Mincho"/>
        </w:rPr>
      </w:pPr>
      <w:r w:rsidRPr="00C611F5">
        <w:rPr>
          <w:rFonts w:eastAsia="MS Mincho"/>
        </w:rPr>
        <w:t>To make arrangements for meetings of the Conference of the Parties and its subsidiary bodies and to provide them with services as required;</w:t>
      </w:r>
    </w:p>
    <w:p w:rsidR="00527342" w:rsidRPr="00C611F5" w:rsidRDefault="00527342" w:rsidP="00FF6B71">
      <w:pPr>
        <w:pStyle w:val="Normalnumber"/>
        <w:numPr>
          <w:ilvl w:val="1"/>
          <w:numId w:val="23"/>
        </w:numPr>
        <w:tabs>
          <w:tab w:val="clear" w:pos="1247"/>
        </w:tabs>
        <w:ind w:left="1247" w:firstLine="624"/>
        <w:rPr>
          <w:rFonts w:eastAsia="MS Mincho"/>
        </w:rPr>
      </w:pPr>
      <w:r w:rsidRPr="00C611F5">
        <w:rPr>
          <w:rFonts w:eastAsia="MS Mincho"/>
        </w:rPr>
        <w:t xml:space="preserve">To facilitate assistance to </w:t>
      </w:r>
      <w:r w:rsidR="004D1997" w:rsidRPr="00C611F5">
        <w:rPr>
          <w:rFonts w:eastAsia="MS Mincho"/>
        </w:rPr>
        <w:t>p</w:t>
      </w:r>
      <w:r w:rsidRPr="00C611F5">
        <w:rPr>
          <w:rFonts w:eastAsia="MS Mincho"/>
        </w:rPr>
        <w:t xml:space="preserve">arties, particularly developing country </w:t>
      </w:r>
      <w:r w:rsidR="004D1997" w:rsidRPr="00C611F5">
        <w:rPr>
          <w:rFonts w:eastAsia="MS Mincho"/>
        </w:rPr>
        <w:t xml:space="preserve">parties </w:t>
      </w:r>
      <w:r w:rsidRPr="00C611F5">
        <w:rPr>
          <w:rFonts w:eastAsia="MS Mincho"/>
        </w:rPr>
        <w:t xml:space="preserve">and </w:t>
      </w:r>
      <w:r w:rsidR="004D1997" w:rsidRPr="00C611F5">
        <w:rPr>
          <w:rFonts w:eastAsia="MS Mincho"/>
        </w:rPr>
        <w:t>p</w:t>
      </w:r>
      <w:r w:rsidRPr="00C611F5">
        <w:rPr>
          <w:rFonts w:eastAsia="MS Mincho"/>
        </w:rPr>
        <w:t>arties with economies in transition, on request, in the implementation of th</w:t>
      </w:r>
      <w:r w:rsidR="004D1997" w:rsidRPr="00C611F5">
        <w:rPr>
          <w:rFonts w:eastAsia="MS Mincho"/>
        </w:rPr>
        <w:t>e</w:t>
      </w:r>
      <w:r w:rsidRPr="00C611F5">
        <w:rPr>
          <w:rFonts w:eastAsia="MS Mincho"/>
        </w:rPr>
        <w:t xml:space="preserve"> Convention;</w:t>
      </w:r>
    </w:p>
    <w:p w:rsidR="00527342" w:rsidRPr="00C611F5" w:rsidRDefault="00527342" w:rsidP="00FF6B71">
      <w:pPr>
        <w:pStyle w:val="Normalnumber"/>
        <w:numPr>
          <w:ilvl w:val="1"/>
          <w:numId w:val="23"/>
        </w:numPr>
        <w:tabs>
          <w:tab w:val="clear" w:pos="1247"/>
        </w:tabs>
        <w:ind w:left="1247" w:firstLine="624"/>
        <w:rPr>
          <w:rFonts w:eastAsia="MS Mincho"/>
        </w:rPr>
      </w:pPr>
      <w:r w:rsidRPr="00C611F5">
        <w:rPr>
          <w:rFonts w:eastAsia="MS Mincho"/>
        </w:rPr>
        <w:t>To coordinate, as appropriate, with the secretariats of relevant international bodies, particularly other chemicals and waste conventions;</w:t>
      </w:r>
    </w:p>
    <w:p w:rsidR="00527342" w:rsidRPr="00C611F5" w:rsidRDefault="00527342" w:rsidP="00FF6B71">
      <w:pPr>
        <w:pStyle w:val="Normalnumber"/>
        <w:numPr>
          <w:ilvl w:val="1"/>
          <w:numId w:val="23"/>
        </w:numPr>
        <w:tabs>
          <w:tab w:val="clear" w:pos="1247"/>
        </w:tabs>
        <w:ind w:left="1247" w:firstLine="624"/>
        <w:rPr>
          <w:rFonts w:eastAsia="MS Mincho"/>
        </w:rPr>
      </w:pPr>
      <w:r w:rsidRPr="00C611F5">
        <w:rPr>
          <w:rFonts w:eastAsia="MS Mincho"/>
        </w:rPr>
        <w:t xml:space="preserve">To assist </w:t>
      </w:r>
      <w:r w:rsidR="004D1997" w:rsidRPr="00C611F5">
        <w:rPr>
          <w:rFonts w:eastAsia="MS Mincho"/>
        </w:rPr>
        <w:t>p</w:t>
      </w:r>
      <w:r w:rsidRPr="00C611F5">
        <w:rPr>
          <w:rFonts w:eastAsia="MS Mincho"/>
        </w:rPr>
        <w:t>arties in the exchange of information related to the implementation of th</w:t>
      </w:r>
      <w:r w:rsidR="004D1997" w:rsidRPr="00C611F5">
        <w:rPr>
          <w:rFonts w:eastAsia="MS Mincho"/>
        </w:rPr>
        <w:t>e</w:t>
      </w:r>
      <w:r w:rsidRPr="00C611F5">
        <w:rPr>
          <w:rFonts w:eastAsia="MS Mincho"/>
        </w:rPr>
        <w:t xml:space="preserve"> Convention;</w:t>
      </w:r>
    </w:p>
    <w:p w:rsidR="00527342" w:rsidRPr="00C611F5" w:rsidRDefault="00527342" w:rsidP="00FF6B71">
      <w:pPr>
        <w:pStyle w:val="Normalnumber"/>
        <w:numPr>
          <w:ilvl w:val="1"/>
          <w:numId w:val="23"/>
        </w:numPr>
        <w:tabs>
          <w:tab w:val="clear" w:pos="1247"/>
        </w:tabs>
        <w:ind w:left="1247" w:firstLine="624"/>
        <w:rPr>
          <w:rFonts w:eastAsia="MS Mincho"/>
        </w:rPr>
      </w:pPr>
      <w:r w:rsidRPr="00C611F5">
        <w:rPr>
          <w:rFonts w:eastAsia="MS Mincho"/>
        </w:rPr>
        <w:t xml:space="preserve">To prepare and make available to the </w:t>
      </w:r>
      <w:r w:rsidR="004D1997" w:rsidRPr="00C611F5">
        <w:rPr>
          <w:rFonts w:eastAsia="MS Mincho"/>
        </w:rPr>
        <w:t>p</w:t>
      </w:r>
      <w:r w:rsidRPr="00C611F5">
        <w:rPr>
          <w:rFonts w:eastAsia="MS Mincho"/>
        </w:rPr>
        <w:t xml:space="preserve">arties periodic reports based on information received pursuant to </w:t>
      </w:r>
      <w:r w:rsidR="00945D13" w:rsidRPr="00C611F5">
        <w:rPr>
          <w:rFonts w:eastAsia="MS Mincho"/>
        </w:rPr>
        <w:t xml:space="preserve">articles </w:t>
      </w:r>
      <w:r w:rsidRPr="00C611F5">
        <w:rPr>
          <w:rFonts w:eastAsia="MS Mincho"/>
        </w:rPr>
        <w:t>15 and 21 and other available information;</w:t>
      </w:r>
    </w:p>
    <w:p w:rsidR="00527342" w:rsidRPr="00C611F5" w:rsidRDefault="00527342" w:rsidP="00FF6B71">
      <w:pPr>
        <w:pStyle w:val="Normalnumber"/>
        <w:numPr>
          <w:ilvl w:val="1"/>
          <w:numId w:val="23"/>
        </w:numPr>
        <w:tabs>
          <w:tab w:val="clear" w:pos="1247"/>
        </w:tabs>
        <w:ind w:left="1247" w:firstLine="624"/>
        <w:rPr>
          <w:rFonts w:eastAsia="MS Mincho"/>
        </w:rPr>
      </w:pPr>
      <w:r w:rsidRPr="00C611F5">
        <w:rPr>
          <w:rFonts w:eastAsia="MS Mincho"/>
        </w:rPr>
        <w:t>To enter, under the overall guidance of the Conference of the Parties, into such administrative and contractual arrangements as may be required for the effective discharge of its functions; and</w:t>
      </w:r>
    </w:p>
    <w:p w:rsidR="00527342" w:rsidRPr="00C611F5" w:rsidRDefault="00527342" w:rsidP="00FF6B71">
      <w:pPr>
        <w:pStyle w:val="Normalnumber"/>
        <w:numPr>
          <w:ilvl w:val="1"/>
          <w:numId w:val="23"/>
        </w:numPr>
        <w:tabs>
          <w:tab w:val="clear" w:pos="1247"/>
        </w:tabs>
        <w:ind w:left="1247" w:firstLine="624"/>
        <w:rPr>
          <w:kern w:val="1"/>
        </w:rPr>
      </w:pPr>
      <w:r w:rsidRPr="00C611F5">
        <w:rPr>
          <w:rFonts w:eastAsia="MS Mincho"/>
        </w:rPr>
        <w:t xml:space="preserve">To perform the other secretariat functions specified in </w:t>
      </w:r>
      <w:r w:rsidR="00430F97" w:rsidRPr="00C611F5">
        <w:rPr>
          <w:rFonts w:eastAsia="MS Mincho"/>
        </w:rPr>
        <w:t xml:space="preserve">the </w:t>
      </w:r>
      <w:r w:rsidRPr="00C611F5">
        <w:rPr>
          <w:rFonts w:eastAsia="MS Mincho"/>
        </w:rPr>
        <w:t>Convention and such other functions as may be determined by</w:t>
      </w:r>
      <w:r w:rsidRPr="00C611F5">
        <w:rPr>
          <w:kern w:val="1"/>
        </w:rPr>
        <w:t xml:space="preserve"> the Conference of the Parties.</w:t>
      </w:r>
    </w:p>
    <w:p w:rsidR="005D09A5" w:rsidRPr="00C611F5" w:rsidRDefault="00527342" w:rsidP="00FF6B71">
      <w:pPr>
        <w:pStyle w:val="Normalnumber"/>
        <w:numPr>
          <w:ilvl w:val="0"/>
          <w:numId w:val="5"/>
        </w:numPr>
        <w:tabs>
          <w:tab w:val="clear" w:pos="1247"/>
        </w:tabs>
        <w:ind w:left="1247" w:firstLine="0"/>
        <w:rPr>
          <w:rFonts w:eastAsia="MS Mincho"/>
        </w:rPr>
      </w:pPr>
      <w:r w:rsidRPr="00C611F5">
        <w:t>In the interim period</w:t>
      </w:r>
      <w:r w:rsidR="009E1553" w:rsidRPr="00C611F5">
        <w:t xml:space="preserve"> since the adoption of the </w:t>
      </w:r>
      <w:r w:rsidR="00C909A4" w:rsidRPr="00C611F5">
        <w:t>C</w:t>
      </w:r>
      <w:r w:rsidR="009E1553" w:rsidRPr="00C611F5">
        <w:t xml:space="preserve">onvention </w:t>
      </w:r>
      <w:r w:rsidR="00817DD3" w:rsidRPr="00C611F5">
        <w:t xml:space="preserve">and as requested in paragraph 11 of </w:t>
      </w:r>
      <w:r w:rsidR="00302750" w:rsidRPr="00C611F5">
        <w:t xml:space="preserve">the </w:t>
      </w:r>
      <w:r w:rsidR="004D1997" w:rsidRPr="00C611F5">
        <w:t>r</w:t>
      </w:r>
      <w:r w:rsidR="00817DD3" w:rsidRPr="00C611F5">
        <w:t>esolution</w:t>
      </w:r>
      <w:r w:rsidR="00302750" w:rsidRPr="00C611F5">
        <w:t xml:space="preserve"> </w:t>
      </w:r>
      <w:r w:rsidR="00302750" w:rsidRPr="00C611F5">
        <w:rPr>
          <w:color w:val="000000"/>
          <w:lang w:eastAsia="zh-CN"/>
        </w:rPr>
        <w:t>on arrangements in the interim period</w:t>
      </w:r>
      <w:r w:rsidRPr="00C611F5">
        <w:t xml:space="preserve">, the functions of the secretariat have continued to be delivered by the interim </w:t>
      </w:r>
      <w:r w:rsidRPr="00C611F5">
        <w:rPr>
          <w:rFonts w:eastAsia="MS Mincho"/>
        </w:rPr>
        <w:t>secretariat</w:t>
      </w:r>
      <w:r w:rsidR="00C909A4" w:rsidRPr="00C611F5">
        <w:t xml:space="preserve"> of the Minamata Convention</w:t>
      </w:r>
      <w:r w:rsidRPr="00C611F5">
        <w:t xml:space="preserve">, building on its work and </w:t>
      </w:r>
      <w:r w:rsidRPr="00C611F5">
        <w:rPr>
          <w:rFonts w:eastAsia="MS Mincho"/>
        </w:rPr>
        <w:t xml:space="preserve">through staff based in the Chemicals </w:t>
      </w:r>
      <w:r w:rsidR="009E1553" w:rsidRPr="00C611F5">
        <w:rPr>
          <w:rFonts w:eastAsia="MS Mincho"/>
        </w:rPr>
        <w:t xml:space="preserve">and Waste </w:t>
      </w:r>
      <w:r w:rsidRPr="00C611F5">
        <w:rPr>
          <w:rFonts w:eastAsia="MS Mincho"/>
        </w:rPr>
        <w:t xml:space="preserve">Branch </w:t>
      </w:r>
      <w:r w:rsidR="00CB0BAE" w:rsidRPr="00C611F5">
        <w:rPr>
          <w:rFonts w:eastAsia="MS Mincho"/>
        </w:rPr>
        <w:t xml:space="preserve">of </w:t>
      </w:r>
      <w:r w:rsidRPr="00C611F5">
        <w:rPr>
          <w:rFonts w:eastAsia="MS Mincho"/>
        </w:rPr>
        <w:t xml:space="preserve">the Division of Technology, Industry and Economics. The </w:t>
      </w:r>
      <w:r w:rsidR="005D2700" w:rsidRPr="00C611F5">
        <w:rPr>
          <w:rFonts w:eastAsia="MS Mincho"/>
        </w:rPr>
        <w:t>work of the interim secretariat has included many of the functions of the secretariat</w:t>
      </w:r>
      <w:r w:rsidR="00950FAB" w:rsidRPr="00C611F5">
        <w:rPr>
          <w:rFonts w:eastAsia="MS Mincho"/>
        </w:rPr>
        <w:t xml:space="preserve"> that are</w:t>
      </w:r>
      <w:r w:rsidR="005D2700" w:rsidRPr="00C611F5">
        <w:rPr>
          <w:rFonts w:eastAsia="MS Mincho"/>
        </w:rPr>
        <w:t xml:space="preserve"> set out in article 24 of the Convention, and is</w:t>
      </w:r>
      <w:r w:rsidR="007F239C" w:rsidRPr="00C611F5">
        <w:rPr>
          <w:rFonts w:eastAsia="MS Mincho"/>
        </w:rPr>
        <w:t xml:space="preserve"> contained in an </w:t>
      </w:r>
      <w:r w:rsidRPr="00C611F5">
        <w:rPr>
          <w:rFonts w:eastAsia="MS Mincho"/>
        </w:rPr>
        <w:t xml:space="preserve">approved project document within the UNEP programme of work. </w:t>
      </w:r>
      <w:r w:rsidR="00EC4D6C" w:rsidRPr="00C611F5">
        <w:rPr>
          <w:rFonts w:eastAsia="MS Mincho"/>
        </w:rPr>
        <w:t>A</w:t>
      </w:r>
      <w:r w:rsidRPr="00C611F5">
        <w:rPr>
          <w:rFonts w:eastAsia="MS Mincho"/>
        </w:rPr>
        <w:t xml:space="preserve"> detailed description of the activities and staffing of the </w:t>
      </w:r>
      <w:r w:rsidR="0052201F" w:rsidRPr="00C611F5">
        <w:rPr>
          <w:rFonts w:eastAsia="MS Mincho"/>
        </w:rPr>
        <w:t xml:space="preserve">interim </w:t>
      </w:r>
      <w:r w:rsidRPr="00C611F5">
        <w:rPr>
          <w:rFonts w:eastAsia="MS Mincho"/>
        </w:rPr>
        <w:t xml:space="preserve">secretariat </w:t>
      </w:r>
      <w:r w:rsidR="000E1B17" w:rsidRPr="00C611F5">
        <w:rPr>
          <w:rFonts w:eastAsia="MS Mincho"/>
        </w:rPr>
        <w:t xml:space="preserve">is </w:t>
      </w:r>
      <w:r w:rsidRPr="00C611F5">
        <w:rPr>
          <w:rFonts w:eastAsia="MS Mincho"/>
        </w:rPr>
        <w:t xml:space="preserve">provided </w:t>
      </w:r>
      <w:r w:rsidR="004D1997" w:rsidRPr="00C611F5">
        <w:rPr>
          <w:rFonts w:eastAsia="MS Mincho"/>
        </w:rPr>
        <w:t xml:space="preserve">in </w:t>
      </w:r>
      <w:r w:rsidRPr="00C611F5">
        <w:rPr>
          <w:rFonts w:eastAsia="MS Mincho"/>
        </w:rPr>
        <w:t>appendix 1 to th</w:t>
      </w:r>
      <w:r w:rsidR="004D1997" w:rsidRPr="00C611F5">
        <w:rPr>
          <w:rFonts w:eastAsia="MS Mincho"/>
        </w:rPr>
        <w:t>e present</w:t>
      </w:r>
      <w:r w:rsidRPr="00C611F5">
        <w:rPr>
          <w:rFonts w:eastAsia="MS Mincho"/>
        </w:rPr>
        <w:t xml:space="preserve"> document</w:t>
      </w:r>
      <w:r w:rsidR="004D1997" w:rsidRPr="00C611F5">
        <w:rPr>
          <w:rFonts w:eastAsia="MS Mincho"/>
        </w:rPr>
        <w:t>,</w:t>
      </w:r>
      <w:r w:rsidR="00A317DA" w:rsidRPr="00C611F5">
        <w:rPr>
          <w:rFonts w:eastAsia="MS Mincho"/>
        </w:rPr>
        <w:t xml:space="preserve"> as well as in </w:t>
      </w:r>
      <w:r w:rsidR="00753D8A" w:rsidRPr="00C611F5">
        <w:rPr>
          <w:rFonts w:eastAsia="MS Mincho"/>
        </w:rPr>
        <w:t xml:space="preserve">the </w:t>
      </w:r>
      <w:r w:rsidR="00753D8A" w:rsidRPr="00C611F5">
        <w:t>progress reports on the work of the interim secretariat prepared for the sixth and seventh session</w:t>
      </w:r>
      <w:r w:rsidR="00950FAB" w:rsidRPr="00C611F5">
        <w:t>s</w:t>
      </w:r>
      <w:r w:rsidR="00753D8A" w:rsidRPr="00C611F5">
        <w:t xml:space="preserve"> of the </w:t>
      </w:r>
      <w:r w:rsidR="000F0C49" w:rsidRPr="00C611F5">
        <w:rPr>
          <w:rFonts w:eastAsia="MS Mincho"/>
        </w:rPr>
        <w:t>intergovernmental negotiating committee.</w:t>
      </w:r>
      <w:r w:rsidR="00753D8A" w:rsidRPr="00C611F5">
        <w:rPr>
          <w:rStyle w:val="FootnoteReference"/>
        </w:rPr>
        <w:footnoteReference w:id="3"/>
      </w:r>
      <w:r w:rsidRPr="00C611F5">
        <w:rPr>
          <w:rFonts w:eastAsia="MS Mincho"/>
        </w:rPr>
        <w:t xml:space="preserve"> </w:t>
      </w:r>
    </w:p>
    <w:p w:rsidR="005D09A5" w:rsidRPr="00C611F5" w:rsidRDefault="00527342" w:rsidP="00945D13">
      <w:pPr>
        <w:pStyle w:val="Normalnumber"/>
        <w:numPr>
          <w:ilvl w:val="0"/>
          <w:numId w:val="5"/>
        </w:numPr>
        <w:ind w:left="1276" w:firstLine="0"/>
      </w:pPr>
      <w:r w:rsidRPr="00C611F5">
        <w:t xml:space="preserve">In considering the work of the </w:t>
      </w:r>
      <w:r w:rsidR="00DE130E" w:rsidRPr="00C611F5">
        <w:t xml:space="preserve">future </w:t>
      </w:r>
      <w:r w:rsidRPr="00C611F5">
        <w:t>permanent secretariat</w:t>
      </w:r>
      <w:r w:rsidR="00753D8A" w:rsidRPr="00C611F5">
        <w:t xml:space="preserve"> under each function set out in article 24</w:t>
      </w:r>
      <w:r w:rsidRPr="00C611F5">
        <w:t>,</w:t>
      </w:r>
      <w:r w:rsidR="00EC4D6C" w:rsidRPr="00C611F5">
        <w:t xml:space="preserve"> the</w:t>
      </w:r>
      <w:r w:rsidR="00382A20" w:rsidRPr="00C611F5">
        <w:t xml:space="preserve"> anticipated </w:t>
      </w:r>
      <w:r w:rsidR="00090B65" w:rsidRPr="00C611F5">
        <w:t>requirements of the Convention are</w:t>
      </w:r>
      <w:r w:rsidR="00382A20" w:rsidRPr="00C611F5">
        <w:t xml:space="preserve"> </w:t>
      </w:r>
      <w:r w:rsidR="00EC4D6C" w:rsidRPr="00C611F5">
        <w:t xml:space="preserve">used as a basis. </w:t>
      </w:r>
      <w:r w:rsidR="00976A87" w:rsidRPr="00C611F5">
        <w:t xml:space="preserve">Information on the delivery of </w:t>
      </w:r>
      <w:r w:rsidR="00F962CF" w:rsidRPr="00C611F5">
        <w:t xml:space="preserve">those </w:t>
      </w:r>
      <w:r w:rsidR="00976A87" w:rsidRPr="00C611F5">
        <w:t xml:space="preserve">functions, with a statement </w:t>
      </w:r>
      <w:r w:rsidR="00817DD3" w:rsidRPr="00C611F5">
        <w:t xml:space="preserve">considering </w:t>
      </w:r>
      <w:r w:rsidR="00976A87" w:rsidRPr="00C611F5">
        <w:t xml:space="preserve">the </w:t>
      </w:r>
      <w:r w:rsidR="00817DD3" w:rsidRPr="00C611F5">
        <w:t xml:space="preserve">personnel </w:t>
      </w:r>
      <w:r w:rsidR="00976A87" w:rsidRPr="00C611F5">
        <w:t>requirements of the permanent secretariat</w:t>
      </w:r>
      <w:r w:rsidR="00F962CF" w:rsidRPr="00C611F5">
        <w:t>,</w:t>
      </w:r>
      <w:r w:rsidR="00976A87" w:rsidRPr="00C611F5">
        <w:t xml:space="preserve"> </w:t>
      </w:r>
      <w:r w:rsidR="00F962CF" w:rsidRPr="00C611F5">
        <w:t>is set out below</w:t>
      </w:r>
      <w:r w:rsidR="00976A87" w:rsidRPr="00C611F5">
        <w:t xml:space="preserve">. </w:t>
      </w:r>
      <w:r w:rsidR="00817DD3" w:rsidRPr="00C611F5">
        <w:rPr>
          <w:rFonts w:eastAsia="MS Mincho"/>
        </w:rPr>
        <w:t>Staffing</w:t>
      </w:r>
      <w:r w:rsidR="00817DD3" w:rsidRPr="00C611F5">
        <w:t xml:space="preserve"> requirements to undertake the core tasks of the permanent secretariat are seen as independent of the mode of delivery of the activities.</w:t>
      </w:r>
    </w:p>
    <w:p w:rsidR="005D09A5" w:rsidRPr="00C611F5" w:rsidRDefault="00672A8A" w:rsidP="00672A8A">
      <w:pPr>
        <w:pStyle w:val="CH3"/>
      </w:pPr>
      <w:r w:rsidRPr="00C611F5">
        <w:tab/>
        <w:t>1.</w:t>
      </w:r>
      <w:r w:rsidRPr="00C611F5">
        <w:tab/>
      </w:r>
      <w:r w:rsidR="00EC4D6C" w:rsidRPr="00C611F5">
        <w:t>To make arrangements for meetings of the Conference of the Parties and its subsidiary bodies and to provide them with services as required</w:t>
      </w:r>
      <w:r w:rsidR="00CA083B" w:rsidRPr="00C611F5">
        <w:t xml:space="preserve"> </w:t>
      </w:r>
    </w:p>
    <w:p w:rsidR="005D09A5" w:rsidRPr="00C611F5" w:rsidRDefault="00527342" w:rsidP="00425917">
      <w:pPr>
        <w:pStyle w:val="Normalnumber"/>
        <w:numPr>
          <w:ilvl w:val="0"/>
          <w:numId w:val="5"/>
        </w:numPr>
        <w:tabs>
          <w:tab w:val="clear" w:pos="1247"/>
        </w:tabs>
        <w:ind w:left="1247" w:firstLine="0"/>
      </w:pPr>
      <w:r w:rsidRPr="00C611F5">
        <w:t xml:space="preserve">While the details are not yet elaborated, it is anticipated that </w:t>
      </w:r>
      <w:r w:rsidR="00F962CF" w:rsidRPr="00C611F5">
        <w:t xml:space="preserve">parties </w:t>
      </w:r>
      <w:r w:rsidRPr="00C611F5">
        <w:t xml:space="preserve">will request an annual meeting of the Conference for the first few meetings to enable rapid adoption of guidance </w:t>
      </w:r>
      <w:r w:rsidR="00F962CF" w:rsidRPr="00C611F5">
        <w:t xml:space="preserve">that </w:t>
      </w:r>
      <w:r w:rsidRPr="00C611F5">
        <w:t xml:space="preserve">was not adopted at the first meeting of the Conference. Experience with </w:t>
      </w:r>
      <w:r w:rsidR="00762135" w:rsidRPr="00C611F5">
        <w:t xml:space="preserve">the </w:t>
      </w:r>
      <w:r w:rsidRPr="00C611F5">
        <w:t xml:space="preserve">Basel, Rotterdam and </w:t>
      </w:r>
      <w:r w:rsidR="00BB72E8" w:rsidRPr="00C611F5">
        <w:t>Stockholm conventions</w:t>
      </w:r>
      <w:r w:rsidR="00762135" w:rsidRPr="00C611F5">
        <w:t xml:space="preserve"> </w:t>
      </w:r>
      <w:r w:rsidRPr="00C611F5">
        <w:t xml:space="preserve">would indicate that it is likely that the first three </w:t>
      </w:r>
      <w:r w:rsidR="00CB0BAE" w:rsidRPr="00C611F5">
        <w:t xml:space="preserve">meetings of the </w:t>
      </w:r>
      <w:r w:rsidRPr="00C611F5">
        <w:t>Conference</w:t>
      </w:r>
      <w:r w:rsidR="00CB0BAE" w:rsidRPr="00C611F5">
        <w:t xml:space="preserve"> of the Parties</w:t>
      </w:r>
      <w:r w:rsidR="009B78F2" w:rsidRPr="00C611F5">
        <w:t xml:space="preserve"> </w:t>
      </w:r>
      <w:r w:rsidRPr="00C611F5">
        <w:t xml:space="preserve">will be held on an annual basis and that </w:t>
      </w:r>
      <w:r w:rsidR="00F962CF" w:rsidRPr="00C611F5">
        <w:t>p</w:t>
      </w:r>
      <w:r w:rsidRPr="00C611F5">
        <w:t xml:space="preserve">arties may then decide to move to a </w:t>
      </w:r>
      <w:r w:rsidR="00F962CF" w:rsidRPr="00C611F5">
        <w:t>two-</w:t>
      </w:r>
      <w:r w:rsidRPr="00C611F5">
        <w:t>year cycle. However</w:t>
      </w:r>
      <w:r w:rsidR="00232D0E" w:rsidRPr="00C611F5">
        <w:t>,</w:t>
      </w:r>
      <w:r w:rsidRPr="00C611F5">
        <w:t xml:space="preserve"> </w:t>
      </w:r>
      <w:r w:rsidR="00232D0E" w:rsidRPr="00C611F5">
        <w:t>p</w:t>
      </w:r>
      <w:r w:rsidRPr="00C611F5">
        <w:t xml:space="preserve">arties may determine that </w:t>
      </w:r>
      <w:r w:rsidRPr="00C611F5">
        <w:rPr>
          <w:rFonts w:eastAsia="MS Mincho"/>
        </w:rPr>
        <w:t>less</w:t>
      </w:r>
      <w:r w:rsidRPr="00C611F5">
        <w:t xml:space="preserve"> frequent meetings of the Conference may be appropriate</w:t>
      </w:r>
      <w:r w:rsidR="00817DD3" w:rsidRPr="00C611F5">
        <w:t>, depending on the work to be undertaken</w:t>
      </w:r>
      <w:r w:rsidRPr="00C611F5">
        <w:t xml:space="preserve">. </w:t>
      </w:r>
      <w:r w:rsidR="00090B65" w:rsidRPr="00C611F5">
        <w:t>Some meetings</w:t>
      </w:r>
      <w:r w:rsidR="00EC4D6C" w:rsidRPr="00C611F5">
        <w:t xml:space="preserve"> of the Conference of the Parties</w:t>
      </w:r>
      <w:r w:rsidR="007E0A98" w:rsidRPr="00C611F5">
        <w:t xml:space="preserve"> may include a </w:t>
      </w:r>
      <w:r w:rsidR="00EC4D6C" w:rsidRPr="00C611F5">
        <w:t>high-level segment</w:t>
      </w:r>
      <w:r w:rsidR="007E0A98" w:rsidRPr="00C611F5">
        <w:t>.</w:t>
      </w:r>
      <w:r w:rsidR="00EC4D6C" w:rsidRPr="00C611F5">
        <w:t xml:space="preserve"> </w:t>
      </w:r>
    </w:p>
    <w:p w:rsidR="005D09A5" w:rsidRPr="00C611F5" w:rsidRDefault="00A33396" w:rsidP="00425917">
      <w:pPr>
        <w:pStyle w:val="Normalnumber"/>
        <w:numPr>
          <w:ilvl w:val="0"/>
          <w:numId w:val="5"/>
        </w:numPr>
        <w:tabs>
          <w:tab w:val="clear" w:pos="1247"/>
        </w:tabs>
        <w:ind w:left="1247" w:firstLine="0"/>
      </w:pPr>
      <w:r w:rsidRPr="00C611F5">
        <w:t xml:space="preserve">In addition, </w:t>
      </w:r>
      <w:r w:rsidR="00232D0E" w:rsidRPr="00C611F5">
        <w:t xml:space="preserve">the Conference of the Parties at its </w:t>
      </w:r>
      <w:r w:rsidRPr="00C611F5">
        <w:t xml:space="preserve">first meeting will identify the membership of the implementation and compliance committee, which will meet intersessionally, and will need to elaborate its rules </w:t>
      </w:r>
      <w:r w:rsidRPr="00C611F5">
        <w:rPr>
          <w:rFonts w:eastAsia="MS Mincho"/>
        </w:rPr>
        <w:t>of</w:t>
      </w:r>
      <w:r w:rsidRPr="00C611F5">
        <w:t xml:space="preserve"> procedure </w:t>
      </w:r>
      <w:r w:rsidR="00232D0E" w:rsidRPr="00C611F5">
        <w:t>and</w:t>
      </w:r>
      <w:r w:rsidRPr="00C611F5">
        <w:t xml:space="preserve"> commence </w:t>
      </w:r>
      <w:r w:rsidR="00CB0BAE" w:rsidRPr="00C611F5">
        <w:t xml:space="preserve">its </w:t>
      </w:r>
      <w:r w:rsidRPr="00C611F5">
        <w:t xml:space="preserve">work. </w:t>
      </w:r>
      <w:r w:rsidR="002920E7" w:rsidRPr="00C611F5">
        <w:t>T</w:t>
      </w:r>
      <w:r w:rsidRPr="00C611F5">
        <w:t>h</w:t>
      </w:r>
      <w:r w:rsidR="00232D0E" w:rsidRPr="00C611F5">
        <w:t>e</w:t>
      </w:r>
      <w:r w:rsidRPr="00C611F5">
        <w:t xml:space="preserve"> committee is </w:t>
      </w:r>
      <w:r w:rsidR="002920E7" w:rsidRPr="00C611F5">
        <w:t xml:space="preserve">considered somewhat </w:t>
      </w:r>
      <w:r w:rsidRPr="00C611F5">
        <w:t>small (15 members)</w:t>
      </w:r>
      <w:r w:rsidR="002920E7" w:rsidRPr="00C611F5">
        <w:t xml:space="preserve">. </w:t>
      </w:r>
      <w:r w:rsidR="00417302" w:rsidRPr="00C611F5">
        <w:t xml:space="preserve">At </w:t>
      </w:r>
      <w:r w:rsidR="00232D0E" w:rsidRPr="00C611F5">
        <w:t xml:space="preserve">the first meeting of the Conference of the Parties, </w:t>
      </w:r>
      <w:r w:rsidR="00417302" w:rsidRPr="00C611F5">
        <w:t xml:space="preserve">additional subsidiary bodies of the Convention could be established for which secretariat services </w:t>
      </w:r>
      <w:r w:rsidR="00CB0BAE" w:rsidRPr="00C611F5">
        <w:t xml:space="preserve">will be </w:t>
      </w:r>
      <w:r w:rsidR="00417302" w:rsidRPr="00C611F5">
        <w:t xml:space="preserve">required. </w:t>
      </w:r>
    </w:p>
    <w:p w:rsidR="00E938B0" w:rsidRPr="00C611F5" w:rsidRDefault="002920E7" w:rsidP="00425917">
      <w:pPr>
        <w:pStyle w:val="Normalnumber"/>
        <w:numPr>
          <w:ilvl w:val="0"/>
          <w:numId w:val="5"/>
        </w:numPr>
        <w:tabs>
          <w:tab w:val="clear" w:pos="1247"/>
        </w:tabs>
        <w:ind w:left="1247" w:firstLine="0"/>
      </w:pPr>
      <w:r w:rsidRPr="00C611F5">
        <w:t xml:space="preserve">The generic </w:t>
      </w:r>
      <w:r w:rsidR="00D617FC" w:rsidRPr="00C611F5">
        <w:t>arrangements</w:t>
      </w:r>
      <w:r w:rsidRPr="00C611F5">
        <w:t xml:space="preserve"> to be undertaken by the secretariat for the </w:t>
      </w:r>
      <w:r w:rsidR="00232D0E" w:rsidRPr="00C611F5">
        <w:t>Conference of the Parties</w:t>
      </w:r>
      <w:r w:rsidRPr="00C611F5">
        <w:t xml:space="preserve"> and its subsidiary bodies includ</w:t>
      </w:r>
      <w:r w:rsidR="00D617FC" w:rsidRPr="00C611F5">
        <w:t>e</w:t>
      </w:r>
      <w:r w:rsidR="008C2603" w:rsidRPr="00C611F5">
        <w:t xml:space="preserve"> </w:t>
      </w:r>
      <w:r w:rsidR="00232D0E" w:rsidRPr="00C611F5">
        <w:t xml:space="preserve">the </w:t>
      </w:r>
      <w:r w:rsidR="008730B6" w:rsidRPr="00C611F5">
        <w:rPr>
          <w:rFonts w:eastAsia="MS Mincho"/>
        </w:rPr>
        <w:t>issuing</w:t>
      </w:r>
      <w:r w:rsidR="008730B6" w:rsidRPr="00C611F5">
        <w:t xml:space="preserve"> of invitation letters to </w:t>
      </w:r>
      <w:r w:rsidR="00232D0E" w:rsidRPr="00C611F5">
        <w:t>p</w:t>
      </w:r>
      <w:r w:rsidR="008730B6" w:rsidRPr="00C611F5">
        <w:t>arties and observers</w:t>
      </w:r>
      <w:r w:rsidR="002F431D" w:rsidRPr="00C611F5">
        <w:t xml:space="preserve">, </w:t>
      </w:r>
      <w:r w:rsidR="008730B6" w:rsidRPr="00C611F5">
        <w:t>including countries, intergovernmental organization</w:t>
      </w:r>
      <w:r w:rsidR="00232D0E" w:rsidRPr="00C611F5">
        <w:t>s</w:t>
      </w:r>
      <w:r w:rsidR="008730B6" w:rsidRPr="00C611F5">
        <w:t xml:space="preserve"> and non-governmental organizations</w:t>
      </w:r>
      <w:r w:rsidR="002F431D" w:rsidRPr="00C611F5">
        <w:t>;</w:t>
      </w:r>
      <w:r w:rsidR="008730B6" w:rsidRPr="00C611F5">
        <w:t xml:space="preserve"> compilation of the list of participants</w:t>
      </w:r>
      <w:r w:rsidR="002F431D" w:rsidRPr="00C611F5">
        <w:t>;</w:t>
      </w:r>
      <w:r w:rsidR="008730B6" w:rsidRPr="00C611F5">
        <w:t xml:space="preserve"> </w:t>
      </w:r>
      <w:r w:rsidR="006241EC" w:rsidRPr="00C611F5">
        <w:t xml:space="preserve">possibly negotiating a legal instrument with the country hosting the meeting if the meeting is held outside </w:t>
      </w:r>
      <w:r w:rsidR="001D5F99" w:rsidRPr="00C611F5">
        <w:t xml:space="preserve">a </w:t>
      </w:r>
      <w:r w:rsidR="001306B9" w:rsidRPr="00C611F5">
        <w:t>United Nations</w:t>
      </w:r>
      <w:r w:rsidR="001D5F99" w:rsidRPr="00C611F5">
        <w:t xml:space="preserve"> headquarters venue</w:t>
      </w:r>
      <w:r w:rsidR="002F431D" w:rsidRPr="00C611F5">
        <w:t>,</w:t>
      </w:r>
      <w:r w:rsidR="001D5F99" w:rsidRPr="00C611F5">
        <w:t xml:space="preserve"> such as Geneva, Nairobi </w:t>
      </w:r>
      <w:r w:rsidR="00CB0BAE" w:rsidRPr="00C611F5">
        <w:t xml:space="preserve">or </w:t>
      </w:r>
      <w:r w:rsidR="001D5F99" w:rsidRPr="00C611F5">
        <w:t>Bangkok</w:t>
      </w:r>
      <w:r w:rsidR="002F431D" w:rsidRPr="00C611F5">
        <w:t>;</w:t>
      </w:r>
      <w:r w:rsidR="006241EC" w:rsidRPr="00C611F5">
        <w:t xml:space="preserve"> </w:t>
      </w:r>
      <w:r w:rsidR="008730B6" w:rsidRPr="00C611F5">
        <w:t xml:space="preserve">arrangements for travel </w:t>
      </w:r>
      <w:r w:rsidR="00A5684E" w:rsidRPr="00C611F5">
        <w:t xml:space="preserve">and payment of daily subsistence allowances </w:t>
      </w:r>
      <w:r w:rsidR="008730B6" w:rsidRPr="00C611F5">
        <w:t>for sponsored participants from developing countries and countries with economies in transition</w:t>
      </w:r>
      <w:r w:rsidR="002F431D" w:rsidRPr="00C611F5">
        <w:t xml:space="preserve">, </w:t>
      </w:r>
      <w:r w:rsidR="008730B6" w:rsidRPr="00C611F5">
        <w:t>including facilitating visas</w:t>
      </w:r>
      <w:r w:rsidR="00930078" w:rsidRPr="00C611F5">
        <w:t xml:space="preserve"> and mobilizing resources in order to be able to support travel</w:t>
      </w:r>
      <w:r w:rsidR="002F431D" w:rsidRPr="00C611F5">
        <w:t>;</w:t>
      </w:r>
      <w:r w:rsidR="008730B6" w:rsidRPr="00C611F5">
        <w:t xml:space="preserve"> booking of conference facilities</w:t>
      </w:r>
      <w:r w:rsidR="002F431D" w:rsidRPr="00C611F5">
        <w:t xml:space="preserve">, </w:t>
      </w:r>
      <w:r w:rsidR="008730B6" w:rsidRPr="00C611F5">
        <w:t>including all logistical arrangements</w:t>
      </w:r>
      <w:r w:rsidR="00232D0E" w:rsidRPr="00C611F5">
        <w:t>,</w:t>
      </w:r>
      <w:r w:rsidR="008730B6" w:rsidRPr="00C611F5">
        <w:t xml:space="preserve"> such as </w:t>
      </w:r>
      <w:r w:rsidR="002F431D" w:rsidRPr="00C611F5">
        <w:t xml:space="preserve">the </w:t>
      </w:r>
      <w:r w:rsidR="008730B6" w:rsidRPr="00C611F5">
        <w:t>provision of security, set</w:t>
      </w:r>
      <w:r w:rsidR="00232D0E" w:rsidRPr="00C611F5">
        <w:t>-</w:t>
      </w:r>
      <w:r w:rsidR="008730B6" w:rsidRPr="00C611F5">
        <w:t>up of conference rooms, requests for suitable technology to support the meeting</w:t>
      </w:r>
      <w:r w:rsidR="00A5684E" w:rsidRPr="00C611F5">
        <w:t>, side events and exhibition</w:t>
      </w:r>
      <w:r w:rsidR="00930078" w:rsidRPr="00C611F5">
        <w:t>, media and outreach</w:t>
      </w:r>
      <w:r w:rsidR="002F431D" w:rsidRPr="00C611F5">
        <w:t>;</w:t>
      </w:r>
      <w:r w:rsidR="008730B6" w:rsidRPr="00C611F5">
        <w:t xml:space="preserve"> and arrangements at the local level, including in non-headquarters duty stations</w:t>
      </w:r>
      <w:r w:rsidR="00D54908" w:rsidRPr="00C611F5">
        <w:t xml:space="preserve"> (</w:t>
      </w:r>
      <w:r w:rsidR="008730B6" w:rsidRPr="00C611F5">
        <w:t>identification of suitable</w:t>
      </w:r>
      <w:r w:rsidR="008C148E" w:rsidRPr="00C611F5">
        <w:t xml:space="preserve"> </w:t>
      </w:r>
      <w:r w:rsidR="008730B6" w:rsidRPr="00C611F5">
        <w:t>hotels</w:t>
      </w:r>
      <w:r w:rsidR="00D54908" w:rsidRPr="00C611F5">
        <w:t>)</w:t>
      </w:r>
      <w:r w:rsidR="008730B6" w:rsidRPr="00C611F5">
        <w:t xml:space="preserve">. On a technical level, the secretariat is responsible for the preparation of all meeting documents, including liaison and coordination with relevant actors, and working with </w:t>
      </w:r>
      <w:r w:rsidR="00CB0BAE" w:rsidRPr="00C611F5">
        <w:t>C</w:t>
      </w:r>
      <w:r w:rsidR="008730B6" w:rsidRPr="00C611F5">
        <w:t xml:space="preserve">onference </w:t>
      </w:r>
      <w:r w:rsidR="00CB0BAE" w:rsidRPr="00C611F5">
        <w:t>S</w:t>
      </w:r>
      <w:r w:rsidR="008730B6" w:rsidRPr="00C611F5">
        <w:t xml:space="preserve">ervices to ensure </w:t>
      </w:r>
      <w:r w:rsidR="00CB0BAE" w:rsidRPr="00C611F5">
        <w:t xml:space="preserve">that </w:t>
      </w:r>
      <w:r w:rsidR="008730B6" w:rsidRPr="00C611F5">
        <w:t>edited and translated documents are available in a timely manner.</w:t>
      </w:r>
      <w:r w:rsidR="008C2603" w:rsidRPr="00C611F5">
        <w:t xml:space="preserve"> </w:t>
      </w:r>
      <w:r w:rsidR="008730B6" w:rsidRPr="00C611F5">
        <w:t xml:space="preserve">For </w:t>
      </w:r>
      <w:r w:rsidR="000A68CB" w:rsidRPr="00C611F5">
        <w:br/>
      </w:r>
      <w:r w:rsidR="008730B6" w:rsidRPr="00C611F5">
        <w:t>high</w:t>
      </w:r>
      <w:r w:rsidR="00232D0E" w:rsidRPr="00C611F5">
        <w:t>-</w:t>
      </w:r>
      <w:r w:rsidR="008730B6" w:rsidRPr="00C611F5">
        <w:t xml:space="preserve">level meetings, there may be special arrangements to support the attendance of senior representatives (such as </w:t>
      </w:r>
      <w:r w:rsidR="0015269F" w:rsidRPr="00C611F5">
        <w:t>ministers</w:t>
      </w:r>
      <w:r w:rsidR="008730B6" w:rsidRPr="00C611F5">
        <w:t xml:space="preserve">), including formal requests for travel </w:t>
      </w:r>
      <w:r w:rsidR="0015269F" w:rsidRPr="00C611F5">
        <w:t xml:space="preserve">and </w:t>
      </w:r>
      <w:r w:rsidR="008730B6" w:rsidRPr="00C611F5">
        <w:t>arrangements to facilitate access to the venue.</w:t>
      </w:r>
      <w:r w:rsidR="008C2603" w:rsidRPr="00C611F5">
        <w:t xml:space="preserve"> </w:t>
      </w:r>
    </w:p>
    <w:p w:rsidR="005D09A5" w:rsidRPr="00C611F5" w:rsidRDefault="000A68CB" w:rsidP="000A68CB">
      <w:pPr>
        <w:pStyle w:val="CH3"/>
      </w:pPr>
      <w:r w:rsidRPr="00C611F5">
        <w:tab/>
        <w:t>2.</w:t>
      </w:r>
      <w:r w:rsidRPr="00C611F5">
        <w:tab/>
      </w:r>
      <w:r w:rsidR="00EC4D6C" w:rsidRPr="00C611F5">
        <w:t xml:space="preserve">To facilitate assistance to </w:t>
      </w:r>
      <w:r w:rsidR="0015269F" w:rsidRPr="00C611F5">
        <w:t>parties</w:t>
      </w:r>
      <w:r w:rsidR="00EC4D6C" w:rsidRPr="00C611F5">
        <w:t xml:space="preserve">, particularly developing country </w:t>
      </w:r>
      <w:r w:rsidR="0015269F" w:rsidRPr="00C611F5">
        <w:t>p</w:t>
      </w:r>
      <w:r w:rsidR="00EC4D6C" w:rsidRPr="00C611F5">
        <w:t xml:space="preserve">arties and </w:t>
      </w:r>
      <w:r w:rsidR="0015269F" w:rsidRPr="00C611F5">
        <w:t>p</w:t>
      </w:r>
      <w:r w:rsidR="00EC4D6C" w:rsidRPr="00C611F5">
        <w:t>arties with economies in transition, on request, in the implementation of this Convention</w:t>
      </w:r>
    </w:p>
    <w:p w:rsidR="005D09A5" w:rsidRPr="00C611F5" w:rsidRDefault="0015269F" w:rsidP="00425917">
      <w:pPr>
        <w:pStyle w:val="Normalnumber"/>
        <w:numPr>
          <w:ilvl w:val="0"/>
          <w:numId w:val="5"/>
        </w:numPr>
        <w:tabs>
          <w:tab w:val="clear" w:pos="1247"/>
        </w:tabs>
        <w:ind w:left="1247" w:firstLine="0"/>
      </w:pPr>
      <w:r w:rsidRPr="00C611F5">
        <w:t>Capacity-</w:t>
      </w:r>
      <w:r w:rsidR="00EC4D6C" w:rsidRPr="00C611F5">
        <w:t xml:space="preserve">building and technical assistance work will </w:t>
      </w:r>
      <w:r w:rsidR="004D153C" w:rsidRPr="00C611F5">
        <w:t xml:space="preserve">be required to </w:t>
      </w:r>
      <w:r w:rsidR="00EC4D6C" w:rsidRPr="00C611F5">
        <w:t>support parties in their efforts to</w:t>
      </w:r>
      <w:r w:rsidR="00CB0BAE" w:rsidRPr="00C611F5">
        <w:t xml:space="preserve"> achieve</w:t>
      </w:r>
      <w:r w:rsidR="00EC4D6C" w:rsidRPr="00C611F5">
        <w:t xml:space="preserve"> </w:t>
      </w:r>
      <w:r w:rsidR="00EC4D6C" w:rsidRPr="00C611F5">
        <w:rPr>
          <w:rFonts w:eastAsia="MS Mincho"/>
        </w:rPr>
        <w:t>full</w:t>
      </w:r>
      <w:r w:rsidR="00EC4D6C" w:rsidRPr="00C611F5">
        <w:t xml:space="preserve"> implementation of the Convention and to support non-parties </w:t>
      </w:r>
      <w:r w:rsidR="00CB0BAE" w:rsidRPr="00C611F5">
        <w:t xml:space="preserve">in achieving </w:t>
      </w:r>
      <w:r w:rsidR="00EC4D6C" w:rsidRPr="00C611F5">
        <w:t xml:space="preserve">early implementation and ratification. </w:t>
      </w:r>
      <w:r w:rsidR="004D153C" w:rsidRPr="00C611F5">
        <w:t>T</w:t>
      </w:r>
      <w:r w:rsidR="00EC4D6C" w:rsidRPr="00C611F5">
        <w:t xml:space="preserve">his work is expected to be more focused </w:t>
      </w:r>
      <w:r w:rsidR="002F431D" w:rsidRPr="00C611F5">
        <w:t xml:space="preserve">on </w:t>
      </w:r>
      <w:r w:rsidR="00EC4D6C" w:rsidRPr="00C611F5">
        <w:t>needs identified through work on the Minamata Initial Assessment</w:t>
      </w:r>
      <w:r w:rsidR="00A5684E" w:rsidRPr="00C611F5">
        <w:t>s</w:t>
      </w:r>
      <w:r w:rsidR="00EC4D6C" w:rsidRPr="00C611F5">
        <w:t xml:space="preserve"> undertaken under the </w:t>
      </w:r>
      <w:r w:rsidRPr="00C611F5">
        <w:t>Global Environment Facility</w:t>
      </w:r>
      <w:r w:rsidR="00534A14" w:rsidRPr="00C611F5">
        <w:t xml:space="preserve"> (GEF)</w:t>
      </w:r>
      <w:r w:rsidR="004D153C" w:rsidRPr="00C611F5">
        <w:t>.</w:t>
      </w:r>
      <w:r w:rsidR="00D70AE2" w:rsidRPr="00C611F5">
        <w:t xml:space="preserve"> </w:t>
      </w:r>
    </w:p>
    <w:p w:rsidR="005D09A5" w:rsidRPr="00C611F5" w:rsidRDefault="00D70AE2" w:rsidP="0015269F">
      <w:pPr>
        <w:pStyle w:val="Normalnumber"/>
        <w:numPr>
          <w:ilvl w:val="0"/>
          <w:numId w:val="5"/>
        </w:numPr>
        <w:ind w:left="1276" w:firstLine="0"/>
      </w:pPr>
      <w:r w:rsidRPr="00C611F5">
        <w:t>Work may</w:t>
      </w:r>
      <w:r w:rsidR="00090B65" w:rsidRPr="00C611F5">
        <w:t xml:space="preserve"> be</w:t>
      </w:r>
      <w:r w:rsidRPr="00C611F5">
        <w:t xml:space="preserve"> requested from the secretariat on all obligations under the Convention, including providing assistance </w:t>
      </w:r>
      <w:r w:rsidR="00CB0BAE" w:rsidRPr="00C611F5">
        <w:t>with regard</w:t>
      </w:r>
      <w:r w:rsidRPr="00C611F5">
        <w:t xml:space="preserve"> to supply and trade in mercury in relation to article 3 of the Convention, as well as trade in mercury-added products in relation to article 4 of the Convention.</w:t>
      </w:r>
      <w:r w:rsidR="008C2603" w:rsidRPr="00C611F5">
        <w:t xml:space="preserve"> </w:t>
      </w:r>
    </w:p>
    <w:p w:rsidR="005D09A5" w:rsidRPr="00C611F5" w:rsidRDefault="00D70AE2" w:rsidP="001D197C">
      <w:pPr>
        <w:pStyle w:val="Normalnumber"/>
        <w:numPr>
          <w:ilvl w:val="0"/>
          <w:numId w:val="5"/>
        </w:numPr>
        <w:tabs>
          <w:tab w:val="clear" w:pos="1247"/>
        </w:tabs>
        <w:ind w:left="1247" w:firstLine="0"/>
      </w:pPr>
      <w:r w:rsidRPr="00C611F5">
        <w:t xml:space="preserve">Parties may </w:t>
      </w:r>
      <w:r w:rsidR="004243C6" w:rsidRPr="00C611F5">
        <w:t xml:space="preserve">also </w:t>
      </w:r>
      <w:r w:rsidRPr="00C611F5">
        <w:t xml:space="preserve">require assistance in the development and maintenance of inventories, including those </w:t>
      </w:r>
      <w:r w:rsidRPr="00C611F5">
        <w:rPr>
          <w:rFonts w:eastAsia="MS Mincho"/>
        </w:rPr>
        <w:t>needed</w:t>
      </w:r>
      <w:r w:rsidRPr="00C611F5">
        <w:t xml:space="preserve"> to identify stocks of mercury (article 3), sources of supply of mercury (article</w:t>
      </w:r>
      <w:r w:rsidR="001B1DA1" w:rsidRPr="00C611F5">
        <w:t> </w:t>
      </w:r>
      <w:r w:rsidRPr="00C611F5">
        <w:t xml:space="preserve">3), the manufacture of mercury-added products (article 4), facilities </w:t>
      </w:r>
      <w:r w:rsidR="00B46619" w:rsidRPr="00C611F5">
        <w:t xml:space="preserve">that </w:t>
      </w:r>
      <w:r w:rsidRPr="00C611F5">
        <w:t xml:space="preserve">use mercury </w:t>
      </w:r>
      <w:r w:rsidR="00A5684E" w:rsidRPr="00C611F5">
        <w:t xml:space="preserve">or mercury compounds </w:t>
      </w:r>
      <w:r w:rsidRPr="00C611F5">
        <w:t xml:space="preserve">in manufacturing processes (article 5), artisanal and small-scale gold mining (article 7), emissions (article 8), releases (article 9), </w:t>
      </w:r>
      <w:r w:rsidR="00A5684E" w:rsidRPr="00C611F5">
        <w:t xml:space="preserve">management of </w:t>
      </w:r>
      <w:r w:rsidRPr="00C611F5">
        <w:t>mercury waste</w:t>
      </w:r>
      <w:r w:rsidR="00A5684E" w:rsidRPr="00C611F5">
        <w:t>s</w:t>
      </w:r>
      <w:r w:rsidRPr="00C611F5">
        <w:t xml:space="preserve"> (article 11) and contaminated sites (article 12).</w:t>
      </w:r>
      <w:r w:rsidR="008C2603" w:rsidRPr="00C611F5">
        <w:t xml:space="preserve"> </w:t>
      </w:r>
    </w:p>
    <w:p w:rsidR="005D09A5" w:rsidRPr="00C611F5" w:rsidRDefault="00D70AE2" w:rsidP="001D197C">
      <w:pPr>
        <w:pStyle w:val="Normalnumber"/>
        <w:numPr>
          <w:ilvl w:val="0"/>
          <w:numId w:val="5"/>
        </w:numPr>
        <w:tabs>
          <w:tab w:val="clear" w:pos="1247"/>
        </w:tabs>
        <w:ind w:left="1247" w:firstLine="0"/>
      </w:pPr>
      <w:r w:rsidRPr="00C611F5">
        <w:t xml:space="preserve">Parties may also require assistance in their obligations to control, and where feasible reduce, emissions of mercury from sources listed in </w:t>
      </w:r>
      <w:r w:rsidR="002F431D" w:rsidRPr="00C611F5">
        <w:t xml:space="preserve">Annex </w:t>
      </w:r>
      <w:r w:rsidRPr="00C611F5">
        <w:t xml:space="preserve">D </w:t>
      </w:r>
      <w:r w:rsidR="00B46619" w:rsidRPr="00C611F5">
        <w:t xml:space="preserve">to </w:t>
      </w:r>
      <w:r w:rsidRPr="00C611F5">
        <w:t xml:space="preserve">the Convention as required in article 8, as well as releases from identified sources as required in article 9. They may also require assistance in developing suitable interim storage for mercury intended for a use allowed to a party under the Convention, as well as in the environmentally sound management of mercury wastes. </w:t>
      </w:r>
    </w:p>
    <w:p w:rsidR="005D09A5" w:rsidRPr="00C611F5" w:rsidRDefault="00D70AE2" w:rsidP="001D197C">
      <w:pPr>
        <w:pStyle w:val="Normalnumber"/>
        <w:numPr>
          <w:ilvl w:val="0"/>
          <w:numId w:val="5"/>
        </w:numPr>
        <w:tabs>
          <w:tab w:val="clear" w:pos="1247"/>
        </w:tabs>
        <w:ind w:left="1247" w:firstLine="0"/>
      </w:pPr>
      <w:r w:rsidRPr="00C611F5">
        <w:t>Assistance may also be required to facilitate relevant work under article 17 (information exchange), article 18 (public information, awareness and education)</w:t>
      </w:r>
      <w:r w:rsidR="005744B5" w:rsidRPr="00C611F5">
        <w:t xml:space="preserve"> and</w:t>
      </w:r>
      <w:r w:rsidRPr="00C611F5">
        <w:t xml:space="preserve"> article 19 (research, development and monitoring).</w:t>
      </w:r>
      <w:r w:rsidR="008C2603" w:rsidRPr="00C611F5">
        <w:t xml:space="preserve"> </w:t>
      </w:r>
      <w:r w:rsidRPr="00C611F5">
        <w:t>Collaborative work with the World Health Organization may be required to assist in the implementation of article 16 (</w:t>
      </w:r>
      <w:r w:rsidR="00B46619" w:rsidRPr="00C611F5">
        <w:t xml:space="preserve">health </w:t>
      </w:r>
      <w:r w:rsidRPr="00C611F5">
        <w:t>aspects</w:t>
      </w:r>
      <w:r w:rsidR="00855A67" w:rsidRPr="00C611F5">
        <w:t>)</w:t>
      </w:r>
      <w:r w:rsidRPr="00C611F5">
        <w:t xml:space="preserve">. </w:t>
      </w:r>
    </w:p>
    <w:p w:rsidR="005D09A5" w:rsidRPr="00C611F5" w:rsidRDefault="00C167DC" w:rsidP="001D197C">
      <w:pPr>
        <w:pStyle w:val="Normalnumber"/>
        <w:numPr>
          <w:ilvl w:val="0"/>
          <w:numId w:val="5"/>
        </w:numPr>
        <w:tabs>
          <w:tab w:val="clear" w:pos="1247"/>
        </w:tabs>
        <w:ind w:left="1247" w:firstLine="0"/>
      </w:pPr>
      <w:r w:rsidRPr="00C611F5">
        <w:t>T</w:t>
      </w:r>
      <w:r w:rsidR="00D70AE2" w:rsidRPr="00C611F5">
        <w:t>he above</w:t>
      </w:r>
      <w:r w:rsidRPr="00C611F5">
        <w:t xml:space="preserve"> areas of </w:t>
      </w:r>
      <w:r w:rsidR="00D70AE2" w:rsidRPr="00C611F5">
        <w:t xml:space="preserve">activities will be </w:t>
      </w:r>
      <w:r w:rsidRPr="00C611F5">
        <w:t xml:space="preserve">facilitated </w:t>
      </w:r>
      <w:r w:rsidR="00D70AE2" w:rsidRPr="00C611F5">
        <w:t xml:space="preserve">by the secretariat, </w:t>
      </w:r>
      <w:r w:rsidR="009A0477" w:rsidRPr="00C611F5">
        <w:t>in partnership with relevant</w:t>
      </w:r>
      <w:r w:rsidR="00117F28" w:rsidRPr="00C611F5">
        <w:t xml:space="preserve"> </w:t>
      </w:r>
      <w:r w:rsidR="009E4676" w:rsidRPr="00C611F5">
        <w:t>actors</w:t>
      </w:r>
      <w:r w:rsidR="00B46619" w:rsidRPr="00C611F5">
        <w:t>,</w:t>
      </w:r>
      <w:r w:rsidR="009E4676" w:rsidRPr="00C611F5">
        <w:t xml:space="preserve"> </w:t>
      </w:r>
      <w:r w:rsidR="009A0477" w:rsidRPr="00C611F5">
        <w:t xml:space="preserve">including, inter alia, UNEP regional offices and the </w:t>
      </w:r>
      <w:r w:rsidR="00090B65" w:rsidRPr="00C611F5">
        <w:t>Basel</w:t>
      </w:r>
      <w:r w:rsidR="009A0477" w:rsidRPr="00C611F5">
        <w:t xml:space="preserve"> and Stockholm regional centres, as well as </w:t>
      </w:r>
      <w:r w:rsidR="009D2E91" w:rsidRPr="00C611F5">
        <w:t>GEF</w:t>
      </w:r>
      <w:r w:rsidR="0035051E" w:rsidRPr="00C611F5">
        <w:t xml:space="preserve"> and</w:t>
      </w:r>
      <w:r w:rsidR="00F25CD7" w:rsidRPr="00C611F5">
        <w:t xml:space="preserve"> </w:t>
      </w:r>
      <w:r w:rsidR="008E3CD0" w:rsidRPr="00C611F5">
        <w:t xml:space="preserve">its </w:t>
      </w:r>
      <w:r w:rsidR="009A0477" w:rsidRPr="00C611F5">
        <w:t>implementing agencies</w:t>
      </w:r>
      <w:r w:rsidR="008730B6" w:rsidRPr="00C611F5">
        <w:t xml:space="preserve">, including the United Nations Development </w:t>
      </w:r>
      <w:r w:rsidR="00D54908" w:rsidRPr="00C611F5">
        <w:t>Programme</w:t>
      </w:r>
      <w:r w:rsidR="008730B6" w:rsidRPr="00C611F5">
        <w:t>, UNEP and the United Nations Industrial Development Organization.</w:t>
      </w:r>
      <w:r w:rsidR="008C2603" w:rsidRPr="00C611F5">
        <w:t xml:space="preserve"> </w:t>
      </w:r>
      <w:r w:rsidR="008730B6" w:rsidRPr="00C611F5">
        <w:t>Other international agencies involved in the work include the World Health Organization, the International Labo</w:t>
      </w:r>
      <w:r w:rsidR="00B46619" w:rsidRPr="00C611F5">
        <w:t>u</w:t>
      </w:r>
      <w:r w:rsidR="008730B6" w:rsidRPr="00C611F5">
        <w:t xml:space="preserve">r Organization, the World Customs Organization and the World Trade </w:t>
      </w:r>
      <w:r w:rsidR="008730B6" w:rsidRPr="00C611F5">
        <w:rPr>
          <w:rFonts w:eastAsia="MS Mincho"/>
        </w:rPr>
        <w:t>Organization</w:t>
      </w:r>
      <w:r w:rsidR="008730B6" w:rsidRPr="00C611F5">
        <w:t>.</w:t>
      </w:r>
      <w:r w:rsidR="008C2603" w:rsidRPr="00C611F5">
        <w:t xml:space="preserve"> </w:t>
      </w:r>
      <w:r w:rsidR="008730B6" w:rsidRPr="00C611F5">
        <w:t xml:space="preserve">As relevant, work may be facilitated by cooperation with the secretariat of the Basel, Rotterdam and </w:t>
      </w:r>
      <w:r w:rsidR="00BB72E8" w:rsidRPr="00C611F5">
        <w:t>Stockholm conventions</w:t>
      </w:r>
      <w:r w:rsidR="008730B6" w:rsidRPr="00C611F5">
        <w:t>, and technical cooperation may be established with the UNEP Global Mercury Partnership</w:t>
      </w:r>
      <w:r w:rsidR="0035051E" w:rsidRPr="00C611F5">
        <w:t xml:space="preserve"> and the United</w:t>
      </w:r>
      <w:r w:rsidR="005974D6">
        <w:t> </w:t>
      </w:r>
      <w:r w:rsidR="0035051E" w:rsidRPr="00C611F5">
        <w:t>Nations Institute for Training and Research</w:t>
      </w:r>
      <w:r w:rsidR="008730B6" w:rsidRPr="00C611F5">
        <w:t>.</w:t>
      </w:r>
    </w:p>
    <w:p w:rsidR="005D09A5" w:rsidRPr="00C611F5" w:rsidRDefault="000A68CB" w:rsidP="000A68CB">
      <w:pPr>
        <w:pStyle w:val="CH3"/>
      </w:pPr>
      <w:r w:rsidRPr="00C611F5">
        <w:tab/>
        <w:t>3.</w:t>
      </w:r>
      <w:r w:rsidRPr="00C611F5">
        <w:tab/>
      </w:r>
      <w:r w:rsidR="00EC4D6C" w:rsidRPr="00C611F5">
        <w:t>To coordinate, as appropriate, with the secretariats of relevant international bodies, particularly other chemicals and waste conventions</w:t>
      </w:r>
    </w:p>
    <w:p w:rsidR="005D09A5" w:rsidRPr="00C611F5" w:rsidRDefault="00CD7BA2" w:rsidP="001D197C">
      <w:pPr>
        <w:pStyle w:val="Normalnumber"/>
        <w:numPr>
          <w:ilvl w:val="0"/>
          <w:numId w:val="5"/>
        </w:numPr>
        <w:tabs>
          <w:tab w:val="clear" w:pos="1247"/>
        </w:tabs>
        <w:ind w:left="1247" w:firstLine="0"/>
      </w:pPr>
      <w:r w:rsidRPr="00C611F5">
        <w:t>C</w:t>
      </w:r>
      <w:r w:rsidR="00EC4D6C" w:rsidRPr="00C611F5">
        <w:t xml:space="preserve">oordination </w:t>
      </w:r>
      <w:r w:rsidR="008E4D20" w:rsidRPr="00C611F5">
        <w:t xml:space="preserve">of </w:t>
      </w:r>
      <w:r w:rsidR="00EC4D6C" w:rsidRPr="00C611F5">
        <w:t xml:space="preserve">activities </w:t>
      </w:r>
      <w:r w:rsidR="005D2700" w:rsidRPr="00C611F5">
        <w:t>has</w:t>
      </w:r>
      <w:r w:rsidR="00EC4D6C" w:rsidRPr="00C611F5">
        <w:t xml:space="preserve"> been integral to much of the work of the secretariat </w:t>
      </w:r>
      <w:r w:rsidR="0035051E" w:rsidRPr="00C611F5">
        <w:t xml:space="preserve">during </w:t>
      </w:r>
      <w:r w:rsidR="00EC4D6C" w:rsidRPr="00C611F5">
        <w:t>the negotiating process and to that of the interim secretariat</w:t>
      </w:r>
      <w:r w:rsidR="000D4650" w:rsidRPr="00C611F5">
        <w:t xml:space="preserve"> of the Minamata Convention</w:t>
      </w:r>
      <w:r w:rsidR="00EC4D6C" w:rsidRPr="00C611F5">
        <w:t>.</w:t>
      </w:r>
      <w:r w:rsidR="008C2603" w:rsidRPr="00C611F5">
        <w:t xml:space="preserve"> </w:t>
      </w:r>
      <w:r w:rsidR="005D2700" w:rsidRPr="00C611F5">
        <w:t>Such coordination</w:t>
      </w:r>
      <w:r w:rsidR="00EC4D6C" w:rsidRPr="00C611F5">
        <w:t xml:space="preserve"> is </w:t>
      </w:r>
      <w:r w:rsidR="00EC4D6C" w:rsidRPr="00C611F5">
        <w:rPr>
          <w:rFonts w:eastAsia="MS Mincho"/>
        </w:rPr>
        <w:t>expected</w:t>
      </w:r>
      <w:r w:rsidR="00EC4D6C" w:rsidRPr="00C611F5">
        <w:t xml:space="preserve"> to be extended, particularly in the deliver</w:t>
      </w:r>
      <w:r w:rsidR="008E3CD0" w:rsidRPr="00C611F5">
        <w:t>y</w:t>
      </w:r>
      <w:r w:rsidR="00EC4D6C" w:rsidRPr="00C611F5">
        <w:t xml:space="preserve"> of aspects of the financial mechanism following entry into force. </w:t>
      </w:r>
    </w:p>
    <w:p w:rsidR="005D09A5" w:rsidRPr="00C611F5" w:rsidRDefault="00FC4029" w:rsidP="001D197C">
      <w:pPr>
        <w:pStyle w:val="Normalnumber"/>
        <w:numPr>
          <w:ilvl w:val="0"/>
          <w:numId w:val="5"/>
        </w:numPr>
        <w:tabs>
          <w:tab w:val="clear" w:pos="1247"/>
        </w:tabs>
        <w:ind w:left="1247" w:firstLine="0"/>
      </w:pPr>
      <w:r w:rsidRPr="00C611F5">
        <w:t xml:space="preserve">Such coordination </w:t>
      </w:r>
      <w:r w:rsidR="00166230" w:rsidRPr="00C611F5">
        <w:t xml:space="preserve">of </w:t>
      </w:r>
      <w:r w:rsidRPr="00C611F5">
        <w:t>activities include</w:t>
      </w:r>
      <w:r w:rsidR="0039411C" w:rsidRPr="00C611F5">
        <w:t>s</w:t>
      </w:r>
      <w:r w:rsidRPr="00C611F5">
        <w:t xml:space="preserve"> but </w:t>
      </w:r>
      <w:r w:rsidR="0039411C" w:rsidRPr="00C611F5">
        <w:t xml:space="preserve">is </w:t>
      </w:r>
      <w:r w:rsidRPr="00C611F5">
        <w:t xml:space="preserve">not limited to </w:t>
      </w:r>
      <w:r w:rsidR="00B97EC3" w:rsidRPr="00C611F5">
        <w:t xml:space="preserve">activities on </w:t>
      </w:r>
      <w:r w:rsidR="00083982" w:rsidRPr="00C611F5">
        <w:t>capacity-building</w:t>
      </w:r>
      <w:r w:rsidR="00B97EC3" w:rsidRPr="00C611F5">
        <w:t xml:space="preserve"> and technical assistance in cooperation with the secretariat of the Basel, Rotterdam and </w:t>
      </w:r>
      <w:r w:rsidR="00BB72E8" w:rsidRPr="00C611F5">
        <w:t>Stockholm conventions</w:t>
      </w:r>
      <w:r w:rsidR="00083982" w:rsidRPr="00C611F5">
        <w:t>,</w:t>
      </w:r>
      <w:r w:rsidR="003B4A9A" w:rsidRPr="00C611F5">
        <w:t xml:space="preserve"> as well as other relevant secretariats of international bodies</w:t>
      </w:r>
      <w:r w:rsidR="00B97EC3" w:rsidRPr="00C611F5">
        <w:t>. Efforts will also be made with th</w:t>
      </w:r>
      <w:r w:rsidR="008E3CD0" w:rsidRPr="00C611F5">
        <w:t>e Basel, Rotterdam and Stockholm convention</w:t>
      </w:r>
      <w:r w:rsidR="00B97EC3" w:rsidRPr="00C611F5">
        <w:t xml:space="preserve"> secretariat to ensure coordination in other activities, such as </w:t>
      </w:r>
      <w:r w:rsidR="00207E0C" w:rsidRPr="00C611F5">
        <w:t xml:space="preserve">the planning of meetings and development of calendars, to ensure maximum efficiency in the delivery of activities, as well as </w:t>
      </w:r>
      <w:r w:rsidR="008E3CD0" w:rsidRPr="00C611F5">
        <w:t xml:space="preserve">to </w:t>
      </w:r>
      <w:r w:rsidR="00207E0C" w:rsidRPr="00C611F5">
        <w:t>avoid</w:t>
      </w:r>
      <w:r w:rsidR="00A67524" w:rsidRPr="00C611F5">
        <w:t xml:space="preserve"> </w:t>
      </w:r>
      <w:r w:rsidR="00207E0C" w:rsidRPr="00C611F5">
        <w:t xml:space="preserve">any overlap or challenges for attendance at relevant meetings. </w:t>
      </w:r>
      <w:r w:rsidR="00BD3FBC" w:rsidRPr="00C611F5">
        <w:t xml:space="preserve">Coordination will also take place </w:t>
      </w:r>
      <w:r w:rsidR="00F60A23" w:rsidRPr="00C611F5">
        <w:t xml:space="preserve">in relation to the work of </w:t>
      </w:r>
      <w:r w:rsidR="00D47106" w:rsidRPr="00C611F5">
        <w:t>th</w:t>
      </w:r>
      <w:r w:rsidR="00F60A23" w:rsidRPr="00C611F5">
        <w:t>e implementation and compliance committee</w:t>
      </w:r>
      <w:r w:rsidR="00A168F6" w:rsidRPr="00C611F5">
        <w:t>.</w:t>
      </w:r>
      <w:r w:rsidR="00F60A23" w:rsidRPr="00C611F5">
        <w:t xml:space="preserve"> </w:t>
      </w:r>
    </w:p>
    <w:p w:rsidR="005D09A5" w:rsidRPr="00C611F5" w:rsidRDefault="00B97EC3" w:rsidP="001D197C">
      <w:pPr>
        <w:pStyle w:val="Normalnumber"/>
        <w:numPr>
          <w:ilvl w:val="0"/>
          <w:numId w:val="5"/>
        </w:numPr>
        <w:tabs>
          <w:tab w:val="clear" w:pos="1247"/>
        </w:tabs>
        <w:ind w:left="1247" w:firstLine="0"/>
      </w:pPr>
      <w:r w:rsidRPr="00C611F5">
        <w:t xml:space="preserve">Coordination is </w:t>
      </w:r>
      <w:r w:rsidR="00083982" w:rsidRPr="00C611F5">
        <w:t xml:space="preserve">also </w:t>
      </w:r>
      <w:r w:rsidRPr="00C611F5">
        <w:t>required with other secretariats</w:t>
      </w:r>
      <w:r w:rsidR="00083982" w:rsidRPr="00C611F5">
        <w:t>,</w:t>
      </w:r>
      <w:r w:rsidRPr="00C611F5">
        <w:t xml:space="preserve"> such as the </w:t>
      </w:r>
      <w:r w:rsidR="00A67524" w:rsidRPr="00C611F5">
        <w:t xml:space="preserve">GEF </w:t>
      </w:r>
      <w:r w:rsidRPr="00C611F5">
        <w:t xml:space="preserve">secretariat, in developing workplans and implementing the guidance provided by the Conference of the Parties to </w:t>
      </w:r>
      <w:r w:rsidR="00A67524" w:rsidRPr="00C611F5">
        <w:t>GEF</w:t>
      </w:r>
      <w:r w:rsidRPr="00C611F5">
        <w:t>.</w:t>
      </w:r>
      <w:r w:rsidR="008C2603" w:rsidRPr="00C611F5">
        <w:t xml:space="preserve"> </w:t>
      </w:r>
    </w:p>
    <w:p w:rsidR="005D09A5" w:rsidRPr="00C611F5" w:rsidRDefault="000A68CB" w:rsidP="000A68CB">
      <w:pPr>
        <w:pStyle w:val="CH3"/>
      </w:pPr>
      <w:r w:rsidRPr="00C611F5">
        <w:tab/>
        <w:t>4.</w:t>
      </w:r>
      <w:r w:rsidRPr="00C611F5">
        <w:tab/>
      </w:r>
      <w:r w:rsidR="00EC4D6C" w:rsidRPr="00C611F5">
        <w:t xml:space="preserve">To assist </w:t>
      </w:r>
      <w:r w:rsidR="00F81043" w:rsidRPr="00C611F5">
        <w:t xml:space="preserve">parties </w:t>
      </w:r>
      <w:r w:rsidR="00EC4D6C" w:rsidRPr="00C611F5">
        <w:t>in the exchange of information related to the implementation of this Convention</w:t>
      </w:r>
    </w:p>
    <w:p w:rsidR="005D09A5" w:rsidRPr="00C611F5" w:rsidRDefault="00F23AD7" w:rsidP="001D197C">
      <w:pPr>
        <w:pStyle w:val="Normalnumber"/>
        <w:numPr>
          <w:ilvl w:val="0"/>
          <w:numId w:val="5"/>
        </w:numPr>
        <w:tabs>
          <w:tab w:val="clear" w:pos="1247"/>
        </w:tabs>
        <w:ind w:left="1247" w:firstLine="0"/>
      </w:pPr>
      <w:r w:rsidRPr="00C611F5">
        <w:t xml:space="preserve">Information exchange will require the establishment and maintenance of a </w:t>
      </w:r>
      <w:r w:rsidR="00EC4D6C" w:rsidRPr="00C611F5">
        <w:t>formal structure</w:t>
      </w:r>
      <w:r w:rsidR="00F81043" w:rsidRPr="00C611F5">
        <w:t>,</w:t>
      </w:r>
      <w:r w:rsidR="00EC4D6C" w:rsidRPr="00C611F5">
        <w:t xml:space="preserve"> </w:t>
      </w:r>
      <w:r w:rsidR="009A0477" w:rsidRPr="00C611F5">
        <w:t xml:space="preserve">which will be </w:t>
      </w:r>
      <w:r w:rsidR="0035051E" w:rsidRPr="00C611F5">
        <w:rPr>
          <w:rFonts w:eastAsia="MS Mincho"/>
        </w:rPr>
        <w:t>necessary</w:t>
      </w:r>
      <w:r w:rsidR="0035051E" w:rsidRPr="00C611F5">
        <w:t xml:space="preserve"> for </w:t>
      </w:r>
      <w:r w:rsidR="00F81043" w:rsidRPr="00C611F5">
        <w:t xml:space="preserve">parties </w:t>
      </w:r>
      <w:r w:rsidR="009A0477" w:rsidRPr="00C611F5">
        <w:t>to meet the</w:t>
      </w:r>
      <w:r w:rsidR="0035051E" w:rsidRPr="00C611F5">
        <w:t>ir</w:t>
      </w:r>
      <w:r w:rsidR="009A0477" w:rsidRPr="00C611F5">
        <w:t xml:space="preserve"> obligations </w:t>
      </w:r>
      <w:r w:rsidR="00DA2C1B" w:rsidRPr="00C611F5">
        <w:t xml:space="preserve">under </w:t>
      </w:r>
      <w:r w:rsidR="009A0477" w:rsidRPr="00C611F5">
        <w:t>the Convention</w:t>
      </w:r>
      <w:r w:rsidR="00351844" w:rsidRPr="00C611F5">
        <w:t xml:space="preserve">. In </w:t>
      </w:r>
      <w:r w:rsidR="00EC4D6C" w:rsidRPr="00C611F5">
        <w:t xml:space="preserve">particular during </w:t>
      </w:r>
      <w:r w:rsidR="00351844" w:rsidRPr="00C611F5">
        <w:t xml:space="preserve">its </w:t>
      </w:r>
      <w:r w:rsidR="00EC4D6C" w:rsidRPr="00C611F5">
        <w:t>establishment phase</w:t>
      </w:r>
      <w:r w:rsidR="00351844" w:rsidRPr="00C611F5">
        <w:t xml:space="preserve">, such information exchange platform </w:t>
      </w:r>
      <w:r w:rsidR="009A0477" w:rsidRPr="00C611F5">
        <w:t>is likely to require the allocation of resources</w:t>
      </w:r>
      <w:r w:rsidR="00EC4D6C" w:rsidRPr="00C611F5">
        <w:t>.</w:t>
      </w:r>
    </w:p>
    <w:p w:rsidR="005D09A5" w:rsidRPr="00C611F5" w:rsidRDefault="00F23AD7" w:rsidP="001D197C">
      <w:pPr>
        <w:pStyle w:val="Normalnumber"/>
        <w:numPr>
          <w:ilvl w:val="0"/>
          <w:numId w:val="5"/>
        </w:numPr>
        <w:tabs>
          <w:tab w:val="clear" w:pos="1247"/>
        </w:tabs>
        <w:ind w:left="1247" w:firstLine="0"/>
      </w:pPr>
      <w:r w:rsidRPr="00C611F5">
        <w:t>More concretely</w:t>
      </w:r>
      <w:r w:rsidR="00F81043" w:rsidRPr="00C611F5">
        <w:t>,</w:t>
      </w:r>
      <w:r w:rsidRPr="00C611F5">
        <w:t xml:space="preserve"> the </w:t>
      </w:r>
      <w:r w:rsidR="00351844" w:rsidRPr="00C611F5">
        <w:t xml:space="preserve">secretariat is requested under </w:t>
      </w:r>
      <w:r w:rsidR="00945D13" w:rsidRPr="00C611F5">
        <w:t xml:space="preserve">article </w:t>
      </w:r>
      <w:r w:rsidR="00351844" w:rsidRPr="00C611F5">
        <w:t>17 to facilitate cooperation in the exchange of information on a number of issues, as well as with relevant organizations, including the secretariats of multilateral environmental organizations and other international initiatives</w:t>
      </w:r>
      <w:r w:rsidR="00F81043" w:rsidRPr="00C611F5">
        <w:t>,</w:t>
      </w:r>
      <w:r w:rsidR="00351844" w:rsidRPr="00C611F5">
        <w:t xml:space="preserve"> in addition to information from </w:t>
      </w:r>
      <w:r w:rsidR="00F81043" w:rsidRPr="00C611F5">
        <w:t>p</w:t>
      </w:r>
      <w:r w:rsidR="00351844" w:rsidRPr="00C611F5">
        <w:t>arties</w:t>
      </w:r>
      <w:r w:rsidR="00F81043" w:rsidRPr="00C611F5">
        <w:t>. T</w:t>
      </w:r>
      <w:r w:rsidR="00351844" w:rsidRPr="00C611F5">
        <w:t>h</w:t>
      </w:r>
      <w:r w:rsidR="00F81043" w:rsidRPr="00C611F5">
        <w:t>at</w:t>
      </w:r>
      <w:r w:rsidR="00351844" w:rsidRPr="00C611F5">
        <w:t xml:space="preserve"> information </w:t>
      </w:r>
      <w:r w:rsidR="00F81043" w:rsidRPr="00C611F5">
        <w:t xml:space="preserve">will </w:t>
      </w:r>
      <w:r w:rsidR="00351844" w:rsidRPr="00C611F5">
        <w:t xml:space="preserve">include information from intergovernmental and non-governmental organizations with expertise in the area of mercury, and from national and international institutions with such expertise. </w:t>
      </w:r>
      <w:r w:rsidR="00F81043" w:rsidRPr="00C611F5">
        <w:t>I</w:t>
      </w:r>
      <w:r w:rsidRPr="00C611F5">
        <w:t>nformation exchange as it relates to article</w:t>
      </w:r>
      <w:r w:rsidR="00B97EC3" w:rsidRPr="00C611F5">
        <w:t xml:space="preserve"> 1</w:t>
      </w:r>
      <w:r w:rsidR="00351844" w:rsidRPr="00C611F5">
        <w:t>7</w:t>
      </w:r>
      <w:r w:rsidR="00B97EC3" w:rsidRPr="00C611F5">
        <w:t xml:space="preserve"> </w:t>
      </w:r>
      <w:r w:rsidR="00351844" w:rsidRPr="00C611F5">
        <w:t>cover</w:t>
      </w:r>
      <w:r w:rsidR="001230DF" w:rsidRPr="00C611F5">
        <w:t>s</w:t>
      </w:r>
      <w:r w:rsidR="00F81043" w:rsidRPr="00C611F5">
        <w:t xml:space="preserve"> the following:</w:t>
      </w:r>
    </w:p>
    <w:p w:rsidR="005D09A5" w:rsidRPr="00C611F5" w:rsidRDefault="00B97EC3" w:rsidP="001D197C">
      <w:pPr>
        <w:pStyle w:val="Normalnumber"/>
        <w:numPr>
          <w:ilvl w:val="1"/>
          <w:numId w:val="41"/>
        </w:numPr>
        <w:tabs>
          <w:tab w:val="clear" w:pos="1247"/>
        </w:tabs>
        <w:ind w:left="1247" w:firstLine="624"/>
        <w:rPr>
          <w:rFonts w:eastAsia="MS Mincho"/>
        </w:rPr>
      </w:pPr>
      <w:r w:rsidRPr="00C611F5">
        <w:rPr>
          <w:rFonts w:eastAsia="MS Mincho"/>
        </w:rPr>
        <w:t xml:space="preserve"> </w:t>
      </w:r>
      <w:r w:rsidR="00F81043" w:rsidRPr="00C611F5">
        <w:rPr>
          <w:rFonts w:eastAsia="MS Mincho"/>
        </w:rPr>
        <w:t>S</w:t>
      </w:r>
      <w:r w:rsidRPr="00C611F5">
        <w:rPr>
          <w:rFonts w:eastAsia="MS Mincho"/>
        </w:rPr>
        <w:t>cientific, technical, economic and legal information concerning mercury and mercury compounds, including toxicological, ecotoxicological and safety information</w:t>
      </w:r>
      <w:r w:rsidR="00351844" w:rsidRPr="00C611F5">
        <w:rPr>
          <w:rFonts w:eastAsia="MS Mincho"/>
        </w:rPr>
        <w:t>;</w:t>
      </w:r>
    </w:p>
    <w:p w:rsidR="005D09A5" w:rsidRPr="00C611F5" w:rsidRDefault="00B97EC3" w:rsidP="001D197C">
      <w:pPr>
        <w:pStyle w:val="Normalnumber"/>
        <w:numPr>
          <w:ilvl w:val="1"/>
          <w:numId w:val="41"/>
        </w:numPr>
        <w:tabs>
          <w:tab w:val="clear" w:pos="1247"/>
        </w:tabs>
        <w:ind w:left="1247" w:firstLine="624"/>
        <w:rPr>
          <w:rFonts w:eastAsia="MS Mincho"/>
        </w:rPr>
      </w:pPr>
      <w:r w:rsidRPr="00C611F5">
        <w:rPr>
          <w:rFonts w:eastAsia="MS Mincho"/>
        </w:rPr>
        <w:t>Information on the reduction or elimination</w:t>
      </w:r>
      <w:r w:rsidR="008C2603" w:rsidRPr="00C611F5">
        <w:rPr>
          <w:rFonts w:eastAsia="MS Mincho"/>
        </w:rPr>
        <w:t xml:space="preserve"> </w:t>
      </w:r>
      <w:r w:rsidRPr="00C611F5">
        <w:rPr>
          <w:rFonts w:eastAsia="MS Mincho"/>
        </w:rPr>
        <w:t>of the production, use, trade, emissions and releases of mercury and mercury compounds</w:t>
      </w:r>
      <w:r w:rsidR="00351844" w:rsidRPr="00C611F5">
        <w:rPr>
          <w:rFonts w:eastAsia="MS Mincho"/>
        </w:rPr>
        <w:t>;</w:t>
      </w:r>
    </w:p>
    <w:p w:rsidR="005D09A5" w:rsidRPr="00C611F5" w:rsidRDefault="00B97EC3" w:rsidP="001D197C">
      <w:pPr>
        <w:pStyle w:val="Normalnumber"/>
        <w:numPr>
          <w:ilvl w:val="1"/>
          <w:numId w:val="41"/>
        </w:numPr>
        <w:tabs>
          <w:tab w:val="clear" w:pos="1247"/>
        </w:tabs>
        <w:ind w:left="1247" w:firstLine="624"/>
      </w:pPr>
      <w:r w:rsidRPr="00C611F5">
        <w:rPr>
          <w:rFonts w:eastAsia="MS Mincho"/>
        </w:rPr>
        <w:t>Information on technically and economically viable alternatives to</w:t>
      </w:r>
      <w:r w:rsidRPr="00C611F5">
        <w:t>:</w:t>
      </w:r>
    </w:p>
    <w:p w:rsidR="005D09A5" w:rsidRPr="00C611F5" w:rsidRDefault="00B97EC3" w:rsidP="001D197C">
      <w:pPr>
        <w:pStyle w:val="Normalnumber"/>
        <w:numPr>
          <w:ilvl w:val="2"/>
          <w:numId w:val="43"/>
        </w:numPr>
        <w:tabs>
          <w:tab w:val="clear" w:pos="1247"/>
          <w:tab w:val="left" w:pos="3119"/>
        </w:tabs>
        <w:ind w:left="3119" w:hanging="425"/>
      </w:pPr>
      <w:r w:rsidRPr="00C611F5">
        <w:t>Mercury-added products</w:t>
      </w:r>
      <w:r w:rsidR="00351844" w:rsidRPr="00C611F5">
        <w:t>;</w:t>
      </w:r>
    </w:p>
    <w:p w:rsidR="005D09A5" w:rsidRPr="00C611F5" w:rsidRDefault="00B97EC3" w:rsidP="001D197C">
      <w:pPr>
        <w:pStyle w:val="Normalnumber"/>
        <w:numPr>
          <w:ilvl w:val="2"/>
          <w:numId w:val="43"/>
        </w:numPr>
        <w:tabs>
          <w:tab w:val="clear" w:pos="1247"/>
          <w:tab w:val="left" w:pos="3119"/>
        </w:tabs>
        <w:ind w:left="3119" w:hanging="425"/>
      </w:pPr>
      <w:r w:rsidRPr="00C611F5">
        <w:t>Manufacturing processes in which mercury or mercury compounds are used; and</w:t>
      </w:r>
    </w:p>
    <w:p w:rsidR="005D09A5" w:rsidRPr="00C611F5" w:rsidRDefault="00B97EC3" w:rsidP="001D197C">
      <w:pPr>
        <w:pStyle w:val="Normalnumber"/>
        <w:numPr>
          <w:ilvl w:val="2"/>
          <w:numId w:val="43"/>
        </w:numPr>
        <w:tabs>
          <w:tab w:val="clear" w:pos="1247"/>
          <w:tab w:val="left" w:pos="3119"/>
        </w:tabs>
        <w:ind w:left="3119" w:hanging="425"/>
      </w:pPr>
      <w:r w:rsidRPr="00C611F5">
        <w:t>Activities and process that emit or release mercury or mercury compoun</w:t>
      </w:r>
      <w:r w:rsidR="00EC4C0F" w:rsidRPr="00C611F5">
        <w:t>d</w:t>
      </w:r>
      <w:r w:rsidRPr="00C611F5">
        <w:t>s</w:t>
      </w:r>
      <w:r w:rsidR="00351844" w:rsidRPr="00C611F5">
        <w:t>.</w:t>
      </w:r>
    </w:p>
    <w:p w:rsidR="00B97EC3" w:rsidRPr="00D16CB3" w:rsidRDefault="00233724" w:rsidP="00D431B9">
      <w:pPr>
        <w:pStyle w:val="Normalnumber"/>
        <w:numPr>
          <w:ilvl w:val="0"/>
          <w:numId w:val="0"/>
        </w:numPr>
        <w:tabs>
          <w:tab w:val="clear" w:pos="1247"/>
        </w:tabs>
        <w:ind w:left="1276"/>
      </w:pPr>
      <w:r w:rsidRPr="00C611F5">
        <w:tab/>
      </w:r>
      <w:r w:rsidR="00B97EC3" w:rsidRPr="00D16CB3">
        <w:t>including information on the health and environmental risks and economic and social costs and benefits of such alternatives; and</w:t>
      </w:r>
    </w:p>
    <w:p w:rsidR="005D09A5" w:rsidRPr="00D16CB3" w:rsidRDefault="00B97EC3" w:rsidP="001D197C">
      <w:pPr>
        <w:pStyle w:val="Normalnumber"/>
        <w:numPr>
          <w:ilvl w:val="1"/>
          <w:numId w:val="41"/>
        </w:numPr>
        <w:tabs>
          <w:tab w:val="clear" w:pos="1247"/>
        </w:tabs>
        <w:ind w:left="1247" w:firstLine="624"/>
      </w:pPr>
      <w:r w:rsidRPr="00D16CB3">
        <w:rPr>
          <w:rFonts w:eastAsia="MS Mincho"/>
        </w:rPr>
        <w:t xml:space="preserve">Epidemiological information </w:t>
      </w:r>
      <w:r w:rsidRPr="00D16CB3">
        <w:t xml:space="preserve">concerning health impacts associated with exposure to mercury and mercury compounds, in close cooperation with the World Health Organization and other relevant organizations, as appropriate. </w:t>
      </w:r>
    </w:p>
    <w:p w:rsidR="005D09A5" w:rsidRPr="00C611F5" w:rsidRDefault="001230DF" w:rsidP="001D197C">
      <w:pPr>
        <w:pStyle w:val="Normalnumber"/>
        <w:numPr>
          <w:ilvl w:val="0"/>
          <w:numId w:val="5"/>
        </w:numPr>
        <w:tabs>
          <w:tab w:val="clear" w:pos="1247"/>
        </w:tabs>
        <w:ind w:left="1247" w:firstLine="0"/>
      </w:pPr>
      <w:r w:rsidRPr="00C611F5">
        <w:t>In addition, other provisions of the Convention will require the secretariat to facilitate the exchange of information, such as provisions under</w:t>
      </w:r>
      <w:r w:rsidR="000900D1" w:rsidRPr="00C611F5">
        <w:t xml:space="preserve"> the following articles</w:t>
      </w:r>
      <w:r w:rsidRPr="00C611F5">
        <w:t>:</w:t>
      </w:r>
    </w:p>
    <w:p w:rsidR="005D09A5" w:rsidRPr="00C611F5" w:rsidRDefault="001230DF" w:rsidP="001D197C">
      <w:pPr>
        <w:pStyle w:val="Normalnumber"/>
        <w:numPr>
          <w:ilvl w:val="0"/>
          <w:numId w:val="108"/>
        </w:numPr>
        <w:tabs>
          <w:tab w:val="clear" w:pos="1247"/>
        </w:tabs>
        <w:rPr>
          <w:rFonts w:eastAsia="MS Mincho"/>
        </w:rPr>
      </w:pPr>
      <w:r w:rsidRPr="00C611F5">
        <w:rPr>
          <w:rFonts w:eastAsia="MS Mincho"/>
        </w:rPr>
        <w:t>Article 3, w</w:t>
      </w:r>
      <w:r w:rsidR="009C3D5E" w:rsidRPr="00C611F5">
        <w:rPr>
          <w:rFonts w:eastAsia="MS Mincho"/>
        </w:rPr>
        <w:t xml:space="preserve">hich requires the secretariat to maintain </w:t>
      </w:r>
      <w:r w:rsidRPr="00C611F5">
        <w:rPr>
          <w:rFonts w:eastAsia="MS Mincho"/>
        </w:rPr>
        <w:t>a public register of notifications of consent;</w:t>
      </w:r>
      <w:r w:rsidR="00C00AD0" w:rsidRPr="00C611F5">
        <w:rPr>
          <w:rFonts w:eastAsia="MS Mincho"/>
        </w:rPr>
        <w:t xml:space="preserve"> </w:t>
      </w:r>
    </w:p>
    <w:p w:rsidR="005D09A5" w:rsidRPr="00C611F5" w:rsidRDefault="001230DF" w:rsidP="001D197C">
      <w:pPr>
        <w:pStyle w:val="Normalnumber"/>
        <w:numPr>
          <w:ilvl w:val="0"/>
          <w:numId w:val="108"/>
        </w:numPr>
        <w:tabs>
          <w:tab w:val="clear" w:pos="1247"/>
        </w:tabs>
        <w:rPr>
          <w:rFonts w:eastAsia="MS Mincho"/>
        </w:rPr>
      </w:pPr>
      <w:r w:rsidRPr="00C611F5">
        <w:rPr>
          <w:rFonts w:eastAsia="MS Mincho"/>
        </w:rPr>
        <w:t xml:space="preserve">Article 4, which requires the secretariat, on the basis of information provided by </w:t>
      </w:r>
      <w:r w:rsidR="000900D1" w:rsidRPr="00C611F5">
        <w:rPr>
          <w:rFonts w:eastAsia="MS Mincho"/>
        </w:rPr>
        <w:t>parties</w:t>
      </w:r>
      <w:r w:rsidRPr="00C611F5">
        <w:rPr>
          <w:rFonts w:eastAsia="MS Mincho"/>
        </w:rPr>
        <w:t xml:space="preserve">, to collect and maintain information on mercury-added products and their alternatives, and to make such information publicly available, as well as </w:t>
      </w:r>
      <w:r w:rsidR="009C3D5E" w:rsidRPr="00C611F5">
        <w:rPr>
          <w:rFonts w:eastAsia="MS Mincho"/>
        </w:rPr>
        <w:t xml:space="preserve">information provided by a </w:t>
      </w:r>
      <w:r w:rsidR="00CE1FD8" w:rsidRPr="00C611F5">
        <w:rPr>
          <w:rFonts w:eastAsia="MS Mincho"/>
        </w:rPr>
        <w:t>p</w:t>
      </w:r>
      <w:r w:rsidR="009C3D5E" w:rsidRPr="00C611F5">
        <w:rPr>
          <w:rFonts w:eastAsia="MS Mincho"/>
        </w:rPr>
        <w:t>arty on mercury</w:t>
      </w:r>
      <w:r w:rsidR="009C3D5E" w:rsidRPr="00C611F5">
        <w:rPr>
          <w:rFonts w:eastAsia="MS Mincho"/>
        </w:rPr>
        <w:noBreakHyphen/>
        <w:t xml:space="preserve">added products not covered by any known use of mercury-added products prior to the date of entry into force of the Convention for it and </w:t>
      </w:r>
      <w:r w:rsidRPr="00C611F5">
        <w:rPr>
          <w:rFonts w:eastAsia="MS Mincho"/>
        </w:rPr>
        <w:t xml:space="preserve">any other relevant information submitted by </w:t>
      </w:r>
      <w:r w:rsidR="00CE1FD8" w:rsidRPr="00C611F5">
        <w:rPr>
          <w:rFonts w:eastAsia="MS Mincho"/>
        </w:rPr>
        <w:t>parties</w:t>
      </w:r>
      <w:r w:rsidRPr="00C611F5">
        <w:rPr>
          <w:rFonts w:eastAsia="MS Mincho"/>
        </w:rPr>
        <w:t xml:space="preserve">. </w:t>
      </w:r>
    </w:p>
    <w:p w:rsidR="005D09A5" w:rsidRPr="00C611F5" w:rsidRDefault="009C3D5E" w:rsidP="001D197C">
      <w:pPr>
        <w:pStyle w:val="Normalnumber"/>
        <w:numPr>
          <w:ilvl w:val="0"/>
          <w:numId w:val="108"/>
        </w:numPr>
        <w:tabs>
          <w:tab w:val="clear" w:pos="1247"/>
        </w:tabs>
        <w:rPr>
          <w:rFonts w:eastAsia="MS Mincho"/>
        </w:rPr>
      </w:pPr>
      <w:r w:rsidRPr="00C611F5">
        <w:rPr>
          <w:rFonts w:eastAsia="MS Mincho"/>
        </w:rPr>
        <w:t xml:space="preserve">Article 5, which requires the secretariat, on the basis of information provided by </w:t>
      </w:r>
      <w:r w:rsidR="00CE1FD8" w:rsidRPr="00C611F5">
        <w:rPr>
          <w:rFonts w:eastAsia="MS Mincho"/>
        </w:rPr>
        <w:t>p</w:t>
      </w:r>
      <w:r w:rsidRPr="00C611F5">
        <w:rPr>
          <w:rFonts w:eastAsia="MS Mincho"/>
        </w:rPr>
        <w:t xml:space="preserve">arties, to collect and maintain information on mercury-added products and their alternatives, and to make such information publicly available, as well as information provided by a </w:t>
      </w:r>
      <w:r w:rsidR="00CE1FD8" w:rsidRPr="00C611F5">
        <w:rPr>
          <w:rFonts w:eastAsia="MS Mincho"/>
        </w:rPr>
        <w:t>p</w:t>
      </w:r>
      <w:r w:rsidRPr="00C611F5">
        <w:rPr>
          <w:rFonts w:eastAsia="MS Mincho"/>
        </w:rPr>
        <w:t xml:space="preserve">arty on the number and types of facilities within its territory that use mercury or mercury compounds for processes listed in Annex B and the estimated annual amount of mercury or mercury compounds used in those facilities and any other relevant information submitted by </w:t>
      </w:r>
      <w:r w:rsidR="00CE1FD8" w:rsidRPr="00C611F5">
        <w:rPr>
          <w:rFonts w:eastAsia="MS Mincho"/>
        </w:rPr>
        <w:t>p</w:t>
      </w:r>
      <w:r w:rsidRPr="00C611F5">
        <w:rPr>
          <w:rFonts w:eastAsia="MS Mincho"/>
        </w:rPr>
        <w:t>arties;</w:t>
      </w:r>
    </w:p>
    <w:p w:rsidR="005D09A5" w:rsidRPr="00C611F5" w:rsidRDefault="009C3D5E" w:rsidP="001D197C">
      <w:pPr>
        <w:pStyle w:val="Normalnumber"/>
        <w:numPr>
          <w:ilvl w:val="0"/>
          <w:numId w:val="108"/>
        </w:numPr>
        <w:tabs>
          <w:tab w:val="clear" w:pos="1247"/>
        </w:tabs>
        <w:rPr>
          <w:rFonts w:eastAsia="MS Mincho"/>
        </w:rPr>
      </w:pPr>
      <w:r w:rsidRPr="00C611F5">
        <w:rPr>
          <w:rFonts w:eastAsia="MS Mincho"/>
        </w:rPr>
        <w:t xml:space="preserve">Article 6, which requires the secretariat to maintain a register </w:t>
      </w:r>
      <w:r w:rsidR="00CE1FD8" w:rsidRPr="00C611F5">
        <w:rPr>
          <w:rFonts w:eastAsia="MS Mincho"/>
        </w:rPr>
        <w:t xml:space="preserve">of </w:t>
      </w:r>
      <w:r w:rsidRPr="00C611F5">
        <w:rPr>
          <w:rFonts w:eastAsia="MS Mincho"/>
        </w:rPr>
        <w:t>exemptions.</w:t>
      </w:r>
    </w:p>
    <w:p w:rsidR="00EC4D6C" w:rsidRPr="00C611F5" w:rsidRDefault="009C3D5E" w:rsidP="007504EE">
      <w:pPr>
        <w:pStyle w:val="Normalnumber"/>
        <w:numPr>
          <w:ilvl w:val="0"/>
          <w:numId w:val="5"/>
        </w:numPr>
        <w:tabs>
          <w:tab w:val="clear" w:pos="1247"/>
        </w:tabs>
        <w:ind w:left="1247" w:firstLine="0"/>
      </w:pPr>
      <w:r w:rsidRPr="00C611F5">
        <w:t xml:space="preserve">Finally, the assistance of the secretariat may also be felt necessary in other areas where </w:t>
      </w:r>
      <w:r w:rsidR="008E3CD0" w:rsidRPr="00C611F5">
        <w:t xml:space="preserve">the </w:t>
      </w:r>
      <w:r w:rsidRPr="00C611F5">
        <w:t xml:space="preserve">exchange of information is called for, for instance under </w:t>
      </w:r>
      <w:r w:rsidR="00945D13" w:rsidRPr="00C611F5">
        <w:t xml:space="preserve">article </w:t>
      </w:r>
      <w:r w:rsidRPr="00C611F5">
        <w:t>5</w:t>
      </w:r>
      <w:r w:rsidR="001D510B" w:rsidRPr="00C611F5">
        <w:t>,</w:t>
      </w:r>
      <w:r w:rsidRPr="00C611F5">
        <w:t xml:space="preserve"> where </w:t>
      </w:r>
      <w:r w:rsidR="00CE1FD8" w:rsidRPr="00C611F5">
        <w:t xml:space="preserve">parties </w:t>
      </w:r>
      <w:r w:rsidRPr="00C611F5">
        <w:t xml:space="preserve">are encouraged to exchange information on relevant new technological developments, economically and technically feasible mercury-free alternatives, and possible measures and techniques to reduce and where feasible to eliminate the use of mercury and mercury compounds in, and emissions and releases of mercury and mercury compounds from, the manufacturing processes listed in Annex B or under </w:t>
      </w:r>
      <w:r w:rsidR="00945D13" w:rsidRPr="00C611F5">
        <w:t xml:space="preserve">article </w:t>
      </w:r>
      <w:r w:rsidRPr="00C611F5">
        <w:t>18.</w:t>
      </w:r>
      <w:r w:rsidR="00E308CE" w:rsidRPr="00C611F5">
        <w:t xml:space="preserve"> </w:t>
      </w:r>
    </w:p>
    <w:p w:rsidR="005D09A5" w:rsidRPr="00C611F5" w:rsidRDefault="00A575C7" w:rsidP="00A575C7">
      <w:pPr>
        <w:pStyle w:val="CH3"/>
      </w:pPr>
      <w:r w:rsidRPr="00C611F5">
        <w:tab/>
        <w:t>5.</w:t>
      </w:r>
      <w:r w:rsidRPr="00C611F5">
        <w:tab/>
      </w:r>
      <w:r w:rsidR="00A33396" w:rsidRPr="00C611F5">
        <w:t xml:space="preserve">To prepare and make available to the </w:t>
      </w:r>
      <w:r w:rsidR="00CE1FD8" w:rsidRPr="00C611F5">
        <w:t xml:space="preserve">parties </w:t>
      </w:r>
      <w:r w:rsidR="00A33396" w:rsidRPr="00C611F5">
        <w:t xml:space="preserve">periodic reports based on information received pursuant to </w:t>
      </w:r>
      <w:r w:rsidR="00945D13" w:rsidRPr="00C611F5">
        <w:t xml:space="preserve">articles </w:t>
      </w:r>
      <w:r w:rsidR="00A33396" w:rsidRPr="00C611F5">
        <w:t>15 and 21 and other available information</w:t>
      </w:r>
    </w:p>
    <w:p w:rsidR="005D09A5" w:rsidRPr="00C611F5" w:rsidRDefault="009A0477">
      <w:pPr>
        <w:pStyle w:val="Normalnumber"/>
        <w:numPr>
          <w:ilvl w:val="0"/>
          <w:numId w:val="5"/>
        </w:numPr>
        <w:ind w:left="1276" w:firstLine="0"/>
        <w:rPr>
          <w:kern w:val="1"/>
        </w:rPr>
      </w:pPr>
      <w:r w:rsidRPr="00C611F5">
        <w:rPr>
          <w:kern w:val="1"/>
        </w:rPr>
        <w:t xml:space="preserve">The work </w:t>
      </w:r>
      <w:r w:rsidR="00164A0D" w:rsidRPr="00C611F5">
        <w:rPr>
          <w:kern w:val="1"/>
        </w:rPr>
        <w:t>t</w:t>
      </w:r>
      <w:r w:rsidR="00164A0D" w:rsidRPr="00C611F5">
        <w:t xml:space="preserve">o prepare and make available to the </w:t>
      </w:r>
      <w:r w:rsidR="00CE1FD8" w:rsidRPr="00C611F5">
        <w:t xml:space="preserve">parties </w:t>
      </w:r>
      <w:r w:rsidR="00164A0D" w:rsidRPr="00C611F5">
        <w:t xml:space="preserve">periodic reports based on information received pursuant to </w:t>
      </w:r>
      <w:r w:rsidR="00945D13" w:rsidRPr="00C611F5">
        <w:t xml:space="preserve">articles </w:t>
      </w:r>
      <w:r w:rsidR="00164A0D" w:rsidRPr="00C611F5">
        <w:t>15 and 21 and other available information</w:t>
      </w:r>
      <w:r w:rsidR="00164A0D" w:rsidRPr="00C611F5">
        <w:rPr>
          <w:kern w:val="1"/>
        </w:rPr>
        <w:t xml:space="preserve"> </w:t>
      </w:r>
      <w:r w:rsidRPr="00C611F5">
        <w:rPr>
          <w:kern w:val="1"/>
        </w:rPr>
        <w:t xml:space="preserve">is likely to involve outreach and communication with </w:t>
      </w:r>
      <w:r w:rsidR="00CE1FD8" w:rsidRPr="00C611F5">
        <w:rPr>
          <w:kern w:val="1"/>
        </w:rPr>
        <w:t>p</w:t>
      </w:r>
      <w:r w:rsidRPr="00C611F5">
        <w:rPr>
          <w:kern w:val="1"/>
        </w:rPr>
        <w:t>arties, including reminders in relation to reporting requirements, the circulation of the format for reporting and the provision of advice on completing the reports.</w:t>
      </w:r>
      <w:r w:rsidR="008C2603" w:rsidRPr="00C611F5">
        <w:rPr>
          <w:kern w:val="1"/>
        </w:rPr>
        <w:t xml:space="preserve"> </w:t>
      </w:r>
      <w:r w:rsidR="00B30A5E" w:rsidRPr="00C611F5">
        <w:rPr>
          <w:kern w:val="1"/>
        </w:rPr>
        <w:t>As it is intended, as presented</w:t>
      </w:r>
      <w:r w:rsidR="0022675A" w:rsidRPr="00C611F5">
        <w:rPr>
          <w:kern w:val="1"/>
        </w:rPr>
        <w:t xml:space="preserve"> and discussed</w:t>
      </w:r>
      <w:r w:rsidR="00B30A5E" w:rsidRPr="00C611F5">
        <w:rPr>
          <w:kern w:val="1"/>
        </w:rPr>
        <w:t xml:space="preserve"> </w:t>
      </w:r>
      <w:r w:rsidR="003A0D9B" w:rsidRPr="00C611F5">
        <w:rPr>
          <w:kern w:val="1"/>
        </w:rPr>
        <w:t xml:space="preserve">by the committee </w:t>
      </w:r>
      <w:r w:rsidR="00B30A5E" w:rsidRPr="00C611F5">
        <w:rPr>
          <w:kern w:val="1"/>
        </w:rPr>
        <w:t xml:space="preserve">at </w:t>
      </w:r>
      <w:r w:rsidR="003A0D9B" w:rsidRPr="00C611F5">
        <w:rPr>
          <w:kern w:val="1"/>
        </w:rPr>
        <w:t xml:space="preserve">its </w:t>
      </w:r>
      <w:r w:rsidR="00B30A5E" w:rsidRPr="00C611F5">
        <w:rPr>
          <w:kern w:val="1"/>
        </w:rPr>
        <w:t>sixth session, to maintain electronic reporting to the extent possible, activities to set up the online structure</w:t>
      </w:r>
      <w:r w:rsidR="003A0D9B" w:rsidRPr="00C611F5">
        <w:rPr>
          <w:kern w:val="1"/>
        </w:rPr>
        <w:t>,</w:t>
      </w:r>
      <w:r w:rsidR="00B30A5E" w:rsidRPr="00C611F5">
        <w:rPr>
          <w:kern w:val="1"/>
        </w:rPr>
        <w:t xml:space="preserve"> </w:t>
      </w:r>
      <w:r w:rsidR="003A0D9B" w:rsidRPr="00C611F5">
        <w:rPr>
          <w:kern w:val="1"/>
        </w:rPr>
        <w:t>as well as ongoing maintenance of th</w:t>
      </w:r>
      <w:r w:rsidR="001D510B" w:rsidRPr="00C611F5">
        <w:rPr>
          <w:kern w:val="1"/>
        </w:rPr>
        <w:t>e</w:t>
      </w:r>
      <w:r w:rsidR="003A0D9B" w:rsidRPr="00C611F5">
        <w:rPr>
          <w:kern w:val="1"/>
        </w:rPr>
        <w:t xml:space="preserve"> structure, </w:t>
      </w:r>
      <w:r w:rsidR="00B30A5E" w:rsidRPr="00C611F5">
        <w:rPr>
          <w:kern w:val="1"/>
        </w:rPr>
        <w:t>would be required.</w:t>
      </w:r>
      <w:r w:rsidR="008C2603" w:rsidRPr="00C611F5">
        <w:rPr>
          <w:kern w:val="1"/>
        </w:rPr>
        <w:t xml:space="preserve"> </w:t>
      </w:r>
      <w:r w:rsidR="00B30A5E" w:rsidRPr="00C611F5">
        <w:rPr>
          <w:kern w:val="1"/>
        </w:rPr>
        <w:t xml:space="preserve">Following the receipt of reports from </w:t>
      </w:r>
      <w:r w:rsidR="003A0D9B" w:rsidRPr="00C611F5">
        <w:rPr>
          <w:kern w:val="1"/>
        </w:rPr>
        <w:t>p</w:t>
      </w:r>
      <w:r w:rsidR="00B30A5E" w:rsidRPr="00C611F5">
        <w:rPr>
          <w:kern w:val="1"/>
        </w:rPr>
        <w:t xml:space="preserve">arties, the secretariat would need to confirm the completeness of the reports, and follow up with the submitting </w:t>
      </w:r>
      <w:r w:rsidR="003A0D9B" w:rsidRPr="00C611F5">
        <w:rPr>
          <w:kern w:val="1"/>
        </w:rPr>
        <w:t>p</w:t>
      </w:r>
      <w:r w:rsidR="00B30A5E" w:rsidRPr="00C611F5">
        <w:rPr>
          <w:kern w:val="1"/>
        </w:rPr>
        <w:t>arty should any information not be provided.</w:t>
      </w:r>
      <w:r w:rsidR="008C2603" w:rsidRPr="00C611F5">
        <w:rPr>
          <w:kern w:val="1"/>
        </w:rPr>
        <w:t xml:space="preserve"> </w:t>
      </w:r>
      <w:r w:rsidR="00B30A5E" w:rsidRPr="00C611F5">
        <w:rPr>
          <w:kern w:val="1"/>
        </w:rPr>
        <w:t xml:space="preserve">The development of periodic reports to the </w:t>
      </w:r>
      <w:r w:rsidR="003A0D9B" w:rsidRPr="00C611F5">
        <w:rPr>
          <w:kern w:val="1"/>
        </w:rPr>
        <w:t>p</w:t>
      </w:r>
      <w:r w:rsidR="00B30A5E" w:rsidRPr="00C611F5">
        <w:rPr>
          <w:kern w:val="1"/>
        </w:rPr>
        <w:t>arties will require the compilation and analysis of submitted information.</w:t>
      </w:r>
      <w:r w:rsidR="008C2603" w:rsidRPr="00C611F5">
        <w:rPr>
          <w:kern w:val="1"/>
        </w:rPr>
        <w:t xml:space="preserve"> </w:t>
      </w:r>
    </w:p>
    <w:p w:rsidR="005D09A5" w:rsidRPr="00C611F5" w:rsidRDefault="00A575C7" w:rsidP="00A575C7">
      <w:pPr>
        <w:pStyle w:val="CH3"/>
      </w:pPr>
      <w:r w:rsidRPr="00C611F5">
        <w:tab/>
        <w:t>6.</w:t>
      </w:r>
      <w:r w:rsidRPr="00C611F5">
        <w:tab/>
      </w:r>
      <w:r w:rsidR="00A33396" w:rsidRPr="00C611F5">
        <w:t>To enter, under the overall guidance of the Conference of the Parties, into such administrative and contractual arrangements as may be required for the effective discharge of its functions</w:t>
      </w:r>
    </w:p>
    <w:p w:rsidR="005D09A5" w:rsidRPr="00C611F5" w:rsidRDefault="00B97EC3" w:rsidP="001D197C">
      <w:pPr>
        <w:pStyle w:val="Normalnumber"/>
        <w:numPr>
          <w:ilvl w:val="0"/>
          <w:numId w:val="5"/>
        </w:numPr>
        <w:tabs>
          <w:tab w:val="clear" w:pos="1247"/>
        </w:tabs>
        <w:ind w:left="1247" w:firstLine="0"/>
        <w:rPr>
          <w:kern w:val="1"/>
        </w:rPr>
      </w:pPr>
      <w:r w:rsidRPr="00C611F5">
        <w:rPr>
          <w:kern w:val="1"/>
        </w:rPr>
        <w:t xml:space="preserve">The administrative and contractual arrangements </w:t>
      </w:r>
      <w:r w:rsidR="003A0D9B" w:rsidRPr="00C611F5">
        <w:rPr>
          <w:kern w:val="1"/>
        </w:rPr>
        <w:t xml:space="preserve">that </w:t>
      </w:r>
      <w:r w:rsidRPr="00C611F5">
        <w:rPr>
          <w:kern w:val="1"/>
        </w:rPr>
        <w:t>will be required for the performance of the functions of the secretariat will be influenced to some extent by the location of the secretariat</w:t>
      </w:r>
      <w:r w:rsidR="003A0D9B" w:rsidRPr="00C611F5">
        <w:rPr>
          <w:kern w:val="1"/>
        </w:rPr>
        <w:t>, in addition to the following</w:t>
      </w:r>
      <w:r w:rsidRPr="00C611F5">
        <w:rPr>
          <w:kern w:val="1"/>
        </w:rPr>
        <w:t>, inter alia:</w:t>
      </w:r>
    </w:p>
    <w:p w:rsidR="005D09A5" w:rsidRPr="00C611F5" w:rsidRDefault="003A0D9B" w:rsidP="001D197C">
      <w:pPr>
        <w:pStyle w:val="Normalnumber"/>
        <w:numPr>
          <w:ilvl w:val="1"/>
          <w:numId w:val="95"/>
        </w:numPr>
        <w:tabs>
          <w:tab w:val="clear" w:pos="1247"/>
        </w:tabs>
        <w:ind w:left="1247" w:firstLine="624"/>
        <w:rPr>
          <w:kern w:val="1"/>
        </w:rPr>
      </w:pPr>
      <w:r w:rsidRPr="00C611F5">
        <w:rPr>
          <w:kern w:val="1"/>
        </w:rPr>
        <w:t>D</w:t>
      </w:r>
      <w:r w:rsidR="001E76D0" w:rsidRPr="00C611F5">
        <w:rPr>
          <w:kern w:val="1"/>
        </w:rPr>
        <w:t>evelopment of agreements related</w:t>
      </w:r>
      <w:r w:rsidR="008C2603" w:rsidRPr="00C611F5">
        <w:rPr>
          <w:kern w:val="1"/>
        </w:rPr>
        <w:t xml:space="preserve"> </w:t>
      </w:r>
      <w:r w:rsidR="001E76D0" w:rsidRPr="00C611F5">
        <w:rPr>
          <w:kern w:val="1"/>
        </w:rPr>
        <w:t>to the provision of suitable office facilities for the secretariat;</w:t>
      </w:r>
    </w:p>
    <w:p w:rsidR="005D09A5" w:rsidRPr="00C611F5" w:rsidRDefault="003A0D9B" w:rsidP="001D197C">
      <w:pPr>
        <w:pStyle w:val="Normalnumber"/>
        <w:numPr>
          <w:ilvl w:val="1"/>
          <w:numId w:val="95"/>
        </w:numPr>
        <w:tabs>
          <w:tab w:val="clear" w:pos="1247"/>
        </w:tabs>
        <w:ind w:left="1247" w:firstLine="624"/>
        <w:rPr>
          <w:kern w:val="1"/>
        </w:rPr>
      </w:pPr>
      <w:r w:rsidRPr="00C611F5">
        <w:rPr>
          <w:kern w:val="1"/>
        </w:rPr>
        <w:t>E</w:t>
      </w:r>
      <w:r w:rsidR="001E76D0" w:rsidRPr="00C611F5">
        <w:rPr>
          <w:kern w:val="1"/>
        </w:rPr>
        <w:t xml:space="preserve">stablishment of the administrative arrangements associated with the administration of the trust fund for the receipt of assessed voluntary </w:t>
      </w:r>
      <w:r w:rsidR="00FC6B61" w:rsidRPr="00C611F5">
        <w:rPr>
          <w:kern w:val="1"/>
        </w:rPr>
        <w:t>contributions, and</w:t>
      </w:r>
      <w:r w:rsidR="001E76D0" w:rsidRPr="00C611F5">
        <w:rPr>
          <w:kern w:val="1"/>
        </w:rPr>
        <w:t xml:space="preserve"> </w:t>
      </w:r>
      <w:r w:rsidR="001D510B" w:rsidRPr="00C611F5">
        <w:rPr>
          <w:kern w:val="1"/>
        </w:rPr>
        <w:t xml:space="preserve">of </w:t>
      </w:r>
      <w:r w:rsidR="001E76D0" w:rsidRPr="00C611F5">
        <w:rPr>
          <w:kern w:val="1"/>
        </w:rPr>
        <w:t>the trust</w:t>
      </w:r>
      <w:r w:rsidRPr="00C611F5">
        <w:rPr>
          <w:kern w:val="1"/>
        </w:rPr>
        <w:t xml:space="preserve"> fund</w:t>
      </w:r>
      <w:r w:rsidR="001E76D0" w:rsidRPr="00C611F5">
        <w:rPr>
          <w:kern w:val="1"/>
        </w:rPr>
        <w:t xml:space="preserve"> for the receipt of voluntary contributions, including arrangements for the use of any programme support costs charged to support the activities of the secretariat;</w:t>
      </w:r>
    </w:p>
    <w:p w:rsidR="005D09A5" w:rsidRPr="00C611F5" w:rsidRDefault="001E76D0" w:rsidP="001D197C">
      <w:pPr>
        <w:pStyle w:val="Normalnumber"/>
        <w:numPr>
          <w:ilvl w:val="1"/>
          <w:numId w:val="95"/>
        </w:numPr>
        <w:tabs>
          <w:tab w:val="clear" w:pos="1247"/>
        </w:tabs>
        <w:ind w:left="1247" w:firstLine="624"/>
        <w:rPr>
          <w:kern w:val="1"/>
        </w:rPr>
      </w:pPr>
      <w:r w:rsidRPr="00C611F5">
        <w:rPr>
          <w:kern w:val="1"/>
        </w:rPr>
        <w:t>Arrangements for suitable staffing of the secretariat</w:t>
      </w:r>
      <w:r w:rsidR="00430F97" w:rsidRPr="00C611F5">
        <w:rPr>
          <w:kern w:val="1"/>
        </w:rPr>
        <w:t>,</w:t>
      </w:r>
      <w:r w:rsidRPr="00C611F5">
        <w:rPr>
          <w:kern w:val="1"/>
        </w:rPr>
        <w:t xml:space="preserve"> including, as appropriate, the development of job descriptions in line with the agreed budget and </w:t>
      </w:r>
      <w:r w:rsidR="00430F97" w:rsidRPr="00C611F5">
        <w:rPr>
          <w:kern w:val="1"/>
        </w:rPr>
        <w:t xml:space="preserve">the </w:t>
      </w:r>
      <w:r w:rsidRPr="00C611F5">
        <w:rPr>
          <w:kern w:val="1"/>
        </w:rPr>
        <w:t>recruitment of suitably qualified staff into such positions;</w:t>
      </w:r>
    </w:p>
    <w:p w:rsidR="005D09A5" w:rsidRPr="00C611F5" w:rsidRDefault="001E76D0" w:rsidP="001D197C">
      <w:pPr>
        <w:pStyle w:val="Normalnumber"/>
        <w:numPr>
          <w:ilvl w:val="1"/>
          <w:numId w:val="95"/>
        </w:numPr>
        <w:tabs>
          <w:tab w:val="clear" w:pos="1247"/>
        </w:tabs>
        <w:ind w:left="1247" w:firstLine="624"/>
        <w:rPr>
          <w:kern w:val="1"/>
        </w:rPr>
      </w:pPr>
      <w:r w:rsidRPr="00C611F5">
        <w:rPr>
          <w:kern w:val="1"/>
        </w:rPr>
        <w:t>Arrangements for the provision of suitable information technology infrastructure and ongoing support;</w:t>
      </w:r>
    </w:p>
    <w:p w:rsidR="00E938B0" w:rsidRPr="00C611F5" w:rsidRDefault="00E938B0" w:rsidP="001D197C">
      <w:pPr>
        <w:pStyle w:val="Normalnumber"/>
        <w:numPr>
          <w:ilvl w:val="1"/>
          <w:numId w:val="95"/>
        </w:numPr>
        <w:tabs>
          <w:tab w:val="clear" w:pos="1247"/>
        </w:tabs>
        <w:ind w:left="1247" w:firstLine="624"/>
        <w:rPr>
          <w:kern w:val="1"/>
        </w:rPr>
      </w:pPr>
      <w:r w:rsidRPr="00C611F5">
        <w:rPr>
          <w:kern w:val="1"/>
        </w:rPr>
        <w:t xml:space="preserve">Any contractual arrangements with partners </w:t>
      </w:r>
      <w:r w:rsidR="00430F97" w:rsidRPr="00C611F5">
        <w:rPr>
          <w:kern w:val="1"/>
        </w:rPr>
        <w:t xml:space="preserve">that </w:t>
      </w:r>
      <w:r w:rsidRPr="00C611F5">
        <w:rPr>
          <w:kern w:val="1"/>
        </w:rPr>
        <w:t>may be required for holding meetings or delivering activities through such partners to support any activities undertaken by the secretariat.</w:t>
      </w:r>
    </w:p>
    <w:p w:rsidR="005D09A5" w:rsidRPr="00C611F5" w:rsidRDefault="00A575C7" w:rsidP="00A575C7">
      <w:pPr>
        <w:pStyle w:val="CH3"/>
      </w:pPr>
      <w:r w:rsidRPr="00C611F5">
        <w:tab/>
        <w:t>7.</w:t>
      </w:r>
      <w:r w:rsidRPr="00C611F5">
        <w:tab/>
      </w:r>
      <w:r w:rsidR="00A33396" w:rsidRPr="00C611F5">
        <w:t>To perform the other secretariat functions specified in th</w:t>
      </w:r>
      <w:r w:rsidR="00430F97" w:rsidRPr="00C611F5">
        <w:t>e</w:t>
      </w:r>
      <w:r w:rsidR="00A33396" w:rsidRPr="00C611F5">
        <w:t xml:space="preserve"> Convention and such other functions as may be determined by the Conference of the Parties</w:t>
      </w:r>
    </w:p>
    <w:p w:rsidR="005D09A5" w:rsidRPr="00C611F5" w:rsidRDefault="00527342" w:rsidP="001D197C">
      <w:pPr>
        <w:pStyle w:val="Normalnumber"/>
        <w:numPr>
          <w:ilvl w:val="0"/>
          <w:numId w:val="5"/>
        </w:numPr>
        <w:tabs>
          <w:tab w:val="clear" w:pos="1247"/>
        </w:tabs>
        <w:ind w:left="1247" w:firstLine="0"/>
      </w:pPr>
      <w:r w:rsidRPr="00C611F5">
        <w:t xml:space="preserve">In relation to </w:t>
      </w:r>
      <w:r w:rsidR="006C6C7D" w:rsidRPr="00C611F5">
        <w:t>other secretariat functions</w:t>
      </w:r>
      <w:r w:rsidRPr="00C611F5">
        <w:t xml:space="preserve">, it is anticipated that </w:t>
      </w:r>
      <w:r w:rsidR="00430F97" w:rsidRPr="00C611F5">
        <w:t xml:space="preserve">the Conference of the Parties at its </w:t>
      </w:r>
      <w:r w:rsidRPr="00C611F5">
        <w:t xml:space="preserve">first meeting will adopt the technical guidance </w:t>
      </w:r>
      <w:r w:rsidR="001D510B" w:rsidRPr="00C611F5">
        <w:t xml:space="preserve">on air emissions </w:t>
      </w:r>
      <w:r w:rsidRPr="00C611F5">
        <w:t>required by the Convention.</w:t>
      </w:r>
      <w:r w:rsidR="00CB7890" w:rsidRPr="00C611F5">
        <w:t xml:space="preserve"> </w:t>
      </w:r>
      <w:r w:rsidRPr="00C611F5">
        <w:t xml:space="preserve">Other than updating this guidance as needed, or developing guidance on new sectors </w:t>
      </w:r>
      <w:r w:rsidR="00430F97" w:rsidRPr="00C611F5">
        <w:t xml:space="preserve">that </w:t>
      </w:r>
      <w:r w:rsidRPr="00C611F5">
        <w:t xml:space="preserve">may be added to Annex D </w:t>
      </w:r>
      <w:r w:rsidR="002F431D" w:rsidRPr="00C611F5">
        <w:t xml:space="preserve">to </w:t>
      </w:r>
      <w:r w:rsidRPr="00C611F5">
        <w:t>the Convention, limited further work is anticipated.</w:t>
      </w:r>
      <w:r w:rsidR="008C2603" w:rsidRPr="00C611F5">
        <w:t xml:space="preserve"> </w:t>
      </w:r>
      <w:r w:rsidRPr="00C611F5">
        <w:t xml:space="preserve">The Convention identifies that the Conference of the Parties </w:t>
      </w:r>
      <w:r w:rsidR="00430F97" w:rsidRPr="00C611F5">
        <w:t>will</w:t>
      </w:r>
      <w:r w:rsidRPr="00C611F5">
        <w:t xml:space="preserve">, as soon as practicable, adopt guidance on </w:t>
      </w:r>
      <w:r w:rsidR="00430F97" w:rsidRPr="00C611F5">
        <w:t xml:space="preserve">best available techniques and best environmental practice </w:t>
      </w:r>
      <w:r w:rsidRPr="00C611F5">
        <w:t>for releases and the methodology for preparing inventories of releases.</w:t>
      </w:r>
      <w:r w:rsidR="008C2603" w:rsidRPr="00C611F5">
        <w:t xml:space="preserve"> </w:t>
      </w:r>
      <w:r w:rsidRPr="00C611F5">
        <w:t xml:space="preserve">As </w:t>
      </w:r>
      <w:r w:rsidR="00430F97" w:rsidRPr="00C611F5">
        <w:t xml:space="preserve">parties </w:t>
      </w:r>
      <w:r w:rsidRPr="00C611F5">
        <w:t>are only obligated to identify their relevant point sources of releases within three years after the date of entry into force, the work on developing guidance on releases may not commence within the period of the annual meetings of the Conference.</w:t>
      </w:r>
      <w:r w:rsidR="008C2603" w:rsidRPr="00C611F5">
        <w:t xml:space="preserve"> </w:t>
      </w:r>
      <w:r w:rsidR="00A33396" w:rsidRPr="00C611F5">
        <w:t xml:space="preserve">Other guidance required under the Convention, such as in relation to supply, </w:t>
      </w:r>
      <w:r w:rsidR="00976A87" w:rsidRPr="00C611F5">
        <w:t>storage, waste and contaminated sites may require further work, particularly in the initial phase after the first meeting of the Conference of the Parties.</w:t>
      </w:r>
    </w:p>
    <w:p w:rsidR="005D09A5" w:rsidRPr="00C611F5" w:rsidRDefault="00B77857" w:rsidP="001D197C">
      <w:pPr>
        <w:pStyle w:val="CH2"/>
        <w:rPr>
          <w:rFonts w:eastAsia="MS Mincho"/>
        </w:rPr>
      </w:pPr>
      <w:r w:rsidRPr="00C611F5">
        <w:rPr>
          <w:rFonts w:eastAsia="MS Mincho"/>
        </w:rPr>
        <w:tab/>
        <w:t>C.</w:t>
      </w:r>
      <w:r w:rsidRPr="00C611F5">
        <w:rPr>
          <w:rFonts w:eastAsia="MS Mincho"/>
        </w:rPr>
        <w:tab/>
      </w:r>
      <w:r w:rsidR="00976A87" w:rsidRPr="00C611F5">
        <w:rPr>
          <w:rFonts w:eastAsia="MS Mincho"/>
        </w:rPr>
        <w:t xml:space="preserve">Factors considered in developing proposals for delivery of the </w:t>
      </w:r>
      <w:r w:rsidR="00527290" w:rsidRPr="00C611F5">
        <w:rPr>
          <w:rFonts w:eastAsia="MS Mincho"/>
        </w:rPr>
        <w:t>secretariat</w:t>
      </w:r>
    </w:p>
    <w:p w:rsidR="005D09A5" w:rsidRPr="00C611F5" w:rsidRDefault="00976A87" w:rsidP="001D197C">
      <w:pPr>
        <w:pStyle w:val="Normalnumber"/>
        <w:numPr>
          <w:ilvl w:val="0"/>
          <w:numId w:val="5"/>
        </w:numPr>
        <w:tabs>
          <w:tab w:val="clear" w:pos="1247"/>
        </w:tabs>
        <w:ind w:left="1247" w:firstLine="0"/>
        <w:rPr>
          <w:rFonts w:eastAsia="MS Mincho"/>
        </w:rPr>
      </w:pPr>
      <w:r w:rsidRPr="00C611F5">
        <w:rPr>
          <w:rFonts w:eastAsia="MS Mincho"/>
        </w:rPr>
        <w:t xml:space="preserve">In the Final Act, </w:t>
      </w:r>
      <w:r w:rsidR="00A56EA9" w:rsidRPr="00C611F5">
        <w:rPr>
          <w:rFonts w:eastAsia="MS Mincho"/>
        </w:rPr>
        <w:t>G</w:t>
      </w:r>
      <w:r w:rsidRPr="00C611F5">
        <w:rPr>
          <w:rFonts w:eastAsia="MS Mincho"/>
        </w:rPr>
        <w:t xml:space="preserve">overnments highlighted the following issues to consider within the report </w:t>
      </w:r>
      <w:r w:rsidR="009E47EE" w:rsidRPr="00C611F5">
        <w:rPr>
          <w:rFonts w:eastAsia="MS Mincho"/>
        </w:rPr>
        <w:t xml:space="preserve">of the </w:t>
      </w:r>
      <w:r w:rsidR="009E47EE" w:rsidRPr="00C611F5">
        <w:t>Executive</w:t>
      </w:r>
      <w:r w:rsidR="009E47EE" w:rsidRPr="00C611F5">
        <w:rPr>
          <w:rFonts w:eastAsia="MS Mincho"/>
        </w:rPr>
        <w:t xml:space="preserve"> Director on how to perform the functions of the permanent secretariat of the Convention</w:t>
      </w:r>
      <w:r w:rsidRPr="00C611F5">
        <w:rPr>
          <w:rFonts w:eastAsia="MS Mincho"/>
        </w:rPr>
        <w:t>:</w:t>
      </w:r>
      <w:r w:rsidR="008C2603" w:rsidRPr="00C611F5">
        <w:rPr>
          <w:rFonts w:eastAsia="MS Mincho"/>
        </w:rPr>
        <w:t xml:space="preserve"> </w:t>
      </w:r>
    </w:p>
    <w:p w:rsidR="00976A87" w:rsidRPr="007504EE" w:rsidRDefault="00E504D9" w:rsidP="007504EE">
      <w:pPr>
        <w:pStyle w:val="Normalnumber"/>
        <w:numPr>
          <w:ilvl w:val="2"/>
          <w:numId w:val="4"/>
        </w:numPr>
        <w:tabs>
          <w:tab w:val="clear" w:pos="1871"/>
          <w:tab w:val="left" w:pos="2552"/>
        </w:tabs>
        <w:ind w:left="2552" w:hanging="624"/>
        <w:rPr>
          <w:rFonts w:eastAsia="MS Mincho"/>
        </w:rPr>
      </w:pPr>
      <w:r w:rsidRPr="007504EE">
        <w:rPr>
          <w:rFonts w:eastAsia="MS Mincho"/>
        </w:rPr>
        <w:t>Effectiveness</w:t>
      </w:r>
      <w:r w:rsidR="00C91832" w:rsidRPr="007504EE">
        <w:rPr>
          <w:rFonts w:eastAsia="MS Mincho"/>
        </w:rPr>
        <w:t>;</w:t>
      </w:r>
      <w:r w:rsidR="00B91C44" w:rsidRPr="007504EE">
        <w:rPr>
          <w:rFonts w:eastAsia="MS Mincho"/>
        </w:rPr>
        <w:t xml:space="preserve"> </w:t>
      </w:r>
    </w:p>
    <w:p w:rsidR="00976A87" w:rsidRPr="007504EE" w:rsidRDefault="00E504D9" w:rsidP="007504EE">
      <w:pPr>
        <w:pStyle w:val="Normalnumber"/>
        <w:numPr>
          <w:ilvl w:val="2"/>
          <w:numId w:val="4"/>
        </w:numPr>
        <w:tabs>
          <w:tab w:val="clear" w:pos="1871"/>
          <w:tab w:val="left" w:pos="2552"/>
        </w:tabs>
        <w:ind w:left="2552" w:hanging="624"/>
        <w:rPr>
          <w:rFonts w:eastAsia="MS Mincho"/>
        </w:rPr>
      </w:pPr>
      <w:r w:rsidRPr="007504EE">
        <w:rPr>
          <w:rFonts w:eastAsia="MS Mincho"/>
        </w:rPr>
        <w:t>Cost-benefit</w:t>
      </w:r>
      <w:r w:rsidR="00C91832" w:rsidRPr="007504EE">
        <w:rPr>
          <w:rFonts w:eastAsia="MS Mincho"/>
        </w:rPr>
        <w:t>;</w:t>
      </w:r>
    </w:p>
    <w:p w:rsidR="00976A87" w:rsidRPr="007504EE" w:rsidRDefault="00E504D9" w:rsidP="007504EE">
      <w:pPr>
        <w:pStyle w:val="Normalnumber"/>
        <w:numPr>
          <w:ilvl w:val="2"/>
          <w:numId w:val="4"/>
        </w:numPr>
        <w:tabs>
          <w:tab w:val="clear" w:pos="1871"/>
          <w:tab w:val="left" w:pos="2552"/>
        </w:tabs>
        <w:ind w:left="2552" w:hanging="624"/>
        <w:rPr>
          <w:rFonts w:eastAsia="MS Mincho"/>
        </w:rPr>
      </w:pPr>
      <w:r w:rsidRPr="007504EE">
        <w:rPr>
          <w:rFonts w:eastAsia="MS Mincho"/>
        </w:rPr>
        <w:t>Different</w:t>
      </w:r>
      <w:r w:rsidR="00976A87" w:rsidRPr="007504EE">
        <w:rPr>
          <w:rFonts w:eastAsia="MS Mincho"/>
        </w:rPr>
        <w:t xml:space="preserve"> locations for the secretariat</w:t>
      </w:r>
      <w:r w:rsidR="00C91832" w:rsidRPr="007504EE">
        <w:rPr>
          <w:rFonts w:eastAsia="MS Mincho"/>
        </w:rPr>
        <w:t>;</w:t>
      </w:r>
    </w:p>
    <w:p w:rsidR="00976A87" w:rsidRPr="007504EE" w:rsidRDefault="00652C6C" w:rsidP="007504EE">
      <w:pPr>
        <w:pStyle w:val="Normalnumber"/>
        <w:numPr>
          <w:ilvl w:val="2"/>
          <w:numId w:val="4"/>
        </w:numPr>
        <w:tabs>
          <w:tab w:val="clear" w:pos="1871"/>
          <w:tab w:val="left" w:pos="2552"/>
        </w:tabs>
        <w:ind w:left="2552" w:hanging="624"/>
        <w:rPr>
          <w:rFonts w:eastAsia="MS Mincho"/>
        </w:rPr>
      </w:pPr>
      <w:r w:rsidRPr="007504EE">
        <w:rPr>
          <w:rFonts w:eastAsia="MS Mincho"/>
        </w:rPr>
        <w:t>M</w:t>
      </w:r>
      <w:r w:rsidR="00976A87" w:rsidRPr="007504EE">
        <w:rPr>
          <w:rFonts w:eastAsia="MS Mincho"/>
        </w:rPr>
        <w:t xml:space="preserve">erging the secretariat with the </w:t>
      </w:r>
      <w:r w:rsidR="00910529">
        <w:rPr>
          <w:rFonts w:eastAsia="MS Mincho"/>
        </w:rPr>
        <w:t xml:space="preserve">secretariat of the </w:t>
      </w:r>
      <w:r w:rsidR="004336F9" w:rsidRPr="007504EE">
        <w:rPr>
          <w:rFonts w:eastAsia="MS Mincho"/>
        </w:rPr>
        <w:t>Basel</w:t>
      </w:r>
      <w:r w:rsidR="004336F9" w:rsidRPr="009E059D">
        <w:rPr>
          <w:rFonts w:eastAsia="MS Mincho"/>
        </w:rPr>
        <w:t xml:space="preserve"> Convention</w:t>
      </w:r>
      <w:r w:rsidR="004336F9">
        <w:rPr>
          <w:rFonts w:eastAsia="MS Mincho"/>
        </w:rPr>
        <w:t xml:space="preserve"> on the Control of Transboundary Movements of Hazardous Wastes and Their Disposal</w:t>
      </w:r>
      <w:r w:rsidR="004336F9" w:rsidRPr="004D450B">
        <w:rPr>
          <w:rFonts w:eastAsia="MS Mincho"/>
        </w:rPr>
        <w:t xml:space="preserve">, </w:t>
      </w:r>
      <w:r w:rsidR="004336F9">
        <w:rPr>
          <w:rFonts w:eastAsia="MS Mincho"/>
        </w:rPr>
        <w:t xml:space="preserve">the </w:t>
      </w:r>
      <w:r w:rsidR="004336F9" w:rsidRPr="004D450B">
        <w:rPr>
          <w:rFonts w:eastAsia="MS Mincho"/>
        </w:rPr>
        <w:t xml:space="preserve">Rotterdam </w:t>
      </w:r>
      <w:r w:rsidR="004336F9">
        <w:rPr>
          <w:rFonts w:eastAsia="MS Mincho"/>
        </w:rPr>
        <w:t xml:space="preserve">Convention on the Prior Informed Consent Procedure for Certain Hazardous Chemicals and Pesticides in International Trade </w:t>
      </w:r>
      <w:r w:rsidR="004336F9" w:rsidRPr="004D450B">
        <w:rPr>
          <w:rFonts w:eastAsia="MS Mincho"/>
        </w:rPr>
        <w:t xml:space="preserve">and </w:t>
      </w:r>
      <w:r w:rsidR="004336F9">
        <w:rPr>
          <w:rFonts w:eastAsia="MS Mincho"/>
        </w:rPr>
        <w:t xml:space="preserve">the </w:t>
      </w:r>
      <w:r w:rsidR="004336F9" w:rsidRPr="004D450B">
        <w:rPr>
          <w:rFonts w:eastAsia="MS Mincho"/>
        </w:rPr>
        <w:t xml:space="preserve">Stockholm </w:t>
      </w:r>
      <w:r w:rsidR="004336F9">
        <w:rPr>
          <w:rFonts w:eastAsia="MS Mincho"/>
        </w:rPr>
        <w:t>C</w:t>
      </w:r>
      <w:r w:rsidR="004336F9" w:rsidRPr="004D450B">
        <w:rPr>
          <w:rFonts w:eastAsia="MS Mincho"/>
        </w:rPr>
        <w:t xml:space="preserve">onvention </w:t>
      </w:r>
      <w:r w:rsidR="004336F9">
        <w:rPr>
          <w:rFonts w:eastAsia="MS Mincho"/>
        </w:rPr>
        <w:t>on Persistent Organic Pollutants</w:t>
      </w:r>
      <w:r w:rsidR="009946D0" w:rsidRPr="007504EE">
        <w:rPr>
          <w:rFonts w:eastAsia="MS Mincho"/>
        </w:rPr>
        <w:t>;</w:t>
      </w:r>
      <w:r w:rsidR="004336F9">
        <w:rPr>
          <w:rFonts w:eastAsia="MS Mincho"/>
        </w:rPr>
        <w:t xml:space="preserve"> and</w:t>
      </w:r>
    </w:p>
    <w:p w:rsidR="00E938B0" w:rsidRPr="00C611F5" w:rsidRDefault="00E938B0" w:rsidP="007504EE">
      <w:pPr>
        <w:pStyle w:val="Normalnumber"/>
        <w:numPr>
          <w:ilvl w:val="2"/>
          <w:numId w:val="4"/>
        </w:numPr>
        <w:tabs>
          <w:tab w:val="clear" w:pos="1871"/>
          <w:tab w:val="left" w:pos="2552"/>
        </w:tabs>
        <w:ind w:left="2552" w:hanging="624"/>
        <w:rPr>
          <w:rFonts w:eastAsia="MS Mincho"/>
        </w:rPr>
      </w:pPr>
      <w:r w:rsidRPr="007504EE">
        <w:rPr>
          <w:rFonts w:eastAsia="MS Mincho"/>
        </w:rPr>
        <w:t>Utilizing the interim secretariat</w:t>
      </w:r>
      <w:r w:rsidR="00C91832" w:rsidRPr="00C611F5">
        <w:rPr>
          <w:rFonts w:eastAsia="MS Mincho"/>
        </w:rPr>
        <w:t>.</w:t>
      </w:r>
    </w:p>
    <w:p w:rsidR="005D09A5" w:rsidRPr="00C611F5" w:rsidRDefault="00976A87" w:rsidP="001D197C">
      <w:pPr>
        <w:pStyle w:val="Normalnumber"/>
        <w:numPr>
          <w:ilvl w:val="0"/>
          <w:numId w:val="5"/>
        </w:numPr>
        <w:tabs>
          <w:tab w:val="clear" w:pos="1247"/>
        </w:tabs>
        <w:ind w:left="1247" w:firstLine="0"/>
        <w:rPr>
          <w:rFonts w:eastAsia="MS Mincho"/>
        </w:rPr>
      </w:pPr>
      <w:r w:rsidRPr="00C611F5">
        <w:rPr>
          <w:rFonts w:eastAsia="MS Mincho"/>
        </w:rPr>
        <w:t xml:space="preserve">An analysis of the effectiveness of the secretariat will take into consideration </w:t>
      </w:r>
      <w:r w:rsidR="00B24AE9" w:rsidRPr="00C611F5">
        <w:rPr>
          <w:rFonts w:eastAsia="MS Mincho"/>
        </w:rPr>
        <w:t xml:space="preserve">its </w:t>
      </w:r>
      <w:r w:rsidRPr="00C611F5">
        <w:rPr>
          <w:rFonts w:eastAsia="MS Mincho"/>
        </w:rPr>
        <w:t xml:space="preserve">ability, in a variety of scenarios, to </w:t>
      </w:r>
      <w:r w:rsidR="00F65F5D" w:rsidRPr="00C611F5">
        <w:rPr>
          <w:rFonts w:eastAsia="MS Mincho"/>
        </w:rPr>
        <w:t xml:space="preserve">respond to </w:t>
      </w:r>
      <w:r w:rsidRPr="00C611F5">
        <w:rPr>
          <w:rFonts w:eastAsia="MS Mincho"/>
        </w:rPr>
        <w:t xml:space="preserve">the needs of </w:t>
      </w:r>
      <w:r w:rsidR="00C91832" w:rsidRPr="00C611F5">
        <w:rPr>
          <w:rFonts w:eastAsia="MS Mincho"/>
        </w:rPr>
        <w:t xml:space="preserve">parties </w:t>
      </w:r>
      <w:r w:rsidR="00F65F5D" w:rsidRPr="00C611F5">
        <w:rPr>
          <w:rFonts w:eastAsia="MS Mincho"/>
        </w:rPr>
        <w:t xml:space="preserve">in line with the Convention text </w:t>
      </w:r>
      <w:r w:rsidRPr="00C611F5">
        <w:rPr>
          <w:rFonts w:eastAsia="MS Mincho"/>
        </w:rPr>
        <w:t xml:space="preserve">and to deliver </w:t>
      </w:r>
      <w:r w:rsidR="00B24AE9" w:rsidRPr="00C611F5">
        <w:rPr>
          <w:rFonts w:eastAsia="MS Mincho"/>
        </w:rPr>
        <w:t xml:space="preserve">its </w:t>
      </w:r>
      <w:r w:rsidR="00CF6A1E" w:rsidRPr="00C611F5">
        <w:rPr>
          <w:rFonts w:eastAsia="MS Mincho"/>
        </w:rPr>
        <w:t xml:space="preserve">functions as per article 24. </w:t>
      </w:r>
      <w:r w:rsidR="00F65F5D" w:rsidRPr="00C611F5">
        <w:rPr>
          <w:rFonts w:eastAsia="MS Mincho"/>
        </w:rPr>
        <w:t>The effectiveness analysis will also take into consideration relevant cooperation and coordination with other actors in the chemicals and waste cluster.</w:t>
      </w:r>
    </w:p>
    <w:p w:rsidR="005D09A5" w:rsidRPr="00C611F5" w:rsidRDefault="00976A87" w:rsidP="001D197C">
      <w:pPr>
        <w:pStyle w:val="Normalnumber"/>
        <w:numPr>
          <w:ilvl w:val="0"/>
          <w:numId w:val="5"/>
        </w:numPr>
        <w:tabs>
          <w:tab w:val="clear" w:pos="1247"/>
        </w:tabs>
        <w:ind w:left="1247" w:firstLine="0"/>
        <w:rPr>
          <w:rFonts w:eastAsia="MS Mincho"/>
        </w:rPr>
      </w:pPr>
      <w:r w:rsidRPr="00C611F5">
        <w:rPr>
          <w:rFonts w:eastAsia="MS Mincho"/>
        </w:rPr>
        <w:t xml:space="preserve">In terms of cost-benefit, consideration will be given to the monetary </w:t>
      </w:r>
      <w:r w:rsidR="00B24AE9" w:rsidRPr="00C611F5">
        <w:rPr>
          <w:rFonts w:eastAsia="MS Mincho"/>
        </w:rPr>
        <w:t xml:space="preserve">implications </w:t>
      </w:r>
      <w:r w:rsidRPr="00C611F5">
        <w:rPr>
          <w:rFonts w:eastAsia="MS Mincho"/>
        </w:rPr>
        <w:t>of each of the scenarios</w:t>
      </w:r>
      <w:r w:rsidR="00F65F5D" w:rsidRPr="00C611F5">
        <w:rPr>
          <w:rFonts w:eastAsia="MS Mincho"/>
        </w:rPr>
        <w:t xml:space="preserve"> with a focus on staff costs</w:t>
      </w:r>
      <w:r w:rsidRPr="00C611F5">
        <w:rPr>
          <w:rFonts w:eastAsia="MS Mincho"/>
        </w:rPr>
        <w:t>, as well as an emphasis on the</w:t>
      </w:r>
      <w:r w:rsidR="00B24AE9" w:rsidRPr="00C611F5">
        <w:rPr>
          <w:rFonts w:eastAsia="MS Mincho"/>
        </w:rPr>
        <w:t xml:space="preserve"> potential</w:t>
      </w:r>
      <w:r w:rsidRPr="00C611F5">
        <w:rPr>
          <w:rFonts w:eastAsia="MS Mincho"/>
        </w:rPr>
        <w:t xml:space="preserve"> benefits</w:t>
      </w:r>
      <w:r w:rsidR="00CF6A1E" w:rsidRPr="00C611F5">
        <w:rPr>
          <w:rFonts w:eastAsia="MS Mincho"/>
        </w:rPr>
        <w:t>.</w:t>
      </w:r>
      <w:r w:rsidR="007205B8" w:rsidRPr="00C611F5">
        <w:rPr>
          <w:rFonts w:eastAsia="MS Mincho"/>
        </w:rPr>
        <w:t xml:space="preserve"> </w:t>
      </w:r>
    </w:p>
    <w:p w:rsidR="005D09A5" w:rsidRPr="00C611F5" w:rsidRDefault="00976A87" w:rsidP="001D197C">
      <w:pPr>
        <w:pStyle w:val="Normalnumber"/>
        <w:numPr>
          <w:ilvl w:val="0"/>
          <w:numId w:val="5"/>
        </w:numPr>
        <w:tabs>
          <w:tab w:val="clear" w:pos="1247"/>
        </w:tabs>
        <w:ind w:left="1247" w:firstLine="0"/>
        <w:rPr>
          <w:rFonts w:eastAsia="MS Mincho"/>
        </w:rPr>
      </w:pPr>
      <w:r w:rsidRPr="00C611F5">
        <w:rPr>
          <w:rFonts w:eastAsia="MS Mincho"/>
        </w:rPr>
        <w:t xml:space="preserve">Different locations for the secretariat are </w:t>
      </w:r>
      <w:r w:rsidR="00F65F5D" w:rsidRPr="00C611F5">
        <w:rPr>
          <w:rFonts w:eastAsia="MS Mincho"/>
        </w:rPr>
        <w:t xml:space="preserve">analysed </w:t>
      </w:r>
      <w:r w:rsidR="00CA5600" w:rsidRPr="00C611F5">
        <w:rPr>
          <w:rFonts w:eastAsia="MS Mincho"/>
        </w:rPr>
        <w:t xml:space="preserve">only </w:t>
      </w:r>
      <w:r w:rsidR="00F65F5D" w:rsidRPr="00C611F5">
        <w:rPr>
          <w:rFonts w:eastAsia="MS Mincho"/>
        </w:rPr>
        <w:t xml:space="preserve">in the </w:t>
      </w:r>
      <w:r w:rsidR="00CF6A1E" w:rsidRPr="00C611F5">
        <w:rPr>
          <w:rFonts w:eastAsia="MS Mincho"/>
        </w:rPr>
        <w:t xml:space="preserve">proposals </w:t>
      </w:r>
      <w:r w:rsidR="007760EE" w:rsidRPr="00C611F5">
        <w:rPr>
          <w:rFonts w:eastAsia="MS Mincho"/>
        </w:rPr>
        <w:t xml:space="preserve">related to </w:t>
      </w:r>
      <w:r w:rsidR="00C91832" w:rsidRPr="00C611F5">
        <w:rPr>
          <w:rFonts w:eastAsia="MS Mincho"/>
        </w:rPr>
        <w:t xml:space="preserve">utilizing </w:t>
      </w:r>
      <w:r w:rsidR="00065D79" w:rsidRPr="00C611F5">
        <w:rPr>
          <w:rFonts w:eastAsia="MS Mincho"/>
        </w:rPr>
        <w:t xml:space="preserve">the </w:t>
      </w:r>
      <w:r w:rsidR="00E938B0" w:rsidRPr="00C611F5">
        <w:rPr>
          <w:rFonts w:eastAsia="MS Mincho"/>
        </w:rPr>
        <w:t>interim</w:t>
      </w:r>
      <w:r w:rsidR="00065D79" w:rsidRPr="00C611F5">
        <w:rPr>
          <w:rFonts w:eastAsia="MS Mincho"/>
        </w:rPr>
        <w:t xml:space="preserve"> secretariat of the Minamata Convention</w:t>
      </w:r>
      <w:r w:rsidR="0036085E" w:rsidRPr="00C611F5">
        <w:rPr>
          <w:rFonts w:eastAsia="MS Mincho"/>
        </w:rPr>
        <w:t xml:space="preserve">. </w:t>
      </w:r>
      <w:r w:rsidR="00D742C9" w:rsidRPr="00C611F5">
        <w:rPr>
          <w:rFonts w:eastAsia="MS Mincho"/>
        </w:rPr>
        <w:t xml:space="preserve">Possible locations have been selected based primarily on two factors. The first is the opportunity presented by the location for cooperation and coordination on a </w:t>
      </w:r>
      <w:r w:rsidR="00154A1D" w:rsidRPr="00C611F5">
        <w:rPr>
          <w:rFonts w:eastAsia="MS Mincho"/>
        </w:rPr>
        <w:t xml:space="preserve">substantive </w:t>
      </w:r>
      <w:r w:rsidR="00D742C9" w:rsidRPr="00C611F5">
        <w:rPr>
          <w:rFonts w:eastAsia="MS Mincho"/>
        </w:rPr>
        <w:t xml:space="preserve">level with other parts of UNEP or other organizations </w:t>
      </w:r>
      <w:r w:rsidR="00C91832" w:rsidRPr="00C611F5">
        <w:rPr>
          <w:rFonts w:eastAsia="MS Mincho"/>
        </w:rPr>
        <w:t xml:space="preserve">that </w:t>
      </w:r>
      <w:r w:rsidR="00D742C9" w:rsidRPr="00C611F5">
        <w:rPr>
          <w:rFonts w:eastAsia="MS Mincho"/>
        </w:rPr>
        <w:t>are directly involved in activities relating to the</w:t>
      </w:r>
      <w:r w:rsidR="001B4163" w:rsidRPr="00C611F5">
        <w:rPr>
          <w:rFonts w:eastAsia="MS Mincho"/>
        </w:rPr>
        <w:t xml:space="preserve"> implementation of the </w:t>
      </w:r>
      <w:r w:rsidR="00D742C9" w:rsidRPr="00C611F5">
        <w:rPr>
          <w:rFonts w:eastAsia="MS Mincho"/>
        </w:rPr>
        <w:t>Minamata Convention. The benefits of such additional synergies are reflected on a qualitative bas</w:t>
      </w:r>
      <w:r w:rsidR="00E504D9" w:rsidRPr="00C611F5">
        <w:rPr>
          <w:rFonts w:eastAsia="MS Mincho"/>
        </w:rPr>
        <w:t>i</w:t>
      </w:r>
      <w:r w:rsidR="00D742C9" w:rsidRPr="00C611F5">
        <w:rPr>
          <w:rFonts w:eastAsia="MS Mincho"/>
        </w:rPr>
        <w:t>s. The second factor is the opportunity for administrative and operation</w:t>
      </w:r>
      <w:r w:rsidR="001B4163" w:rsidRPr="00C611F5">
        <w:rPr>
          <w:rFonts w:eastAsia="MS Mincho"/>
        </w:rPr>
        <w:t>al</w:t>
      </w:r>
      <w:r w:rsidR="00D742C9" w:rsidRPr="00C611F5">
        <w:rPr>
          <w:rFonts w:eastAsia="MS Mincho"/>
        </w:rPr>
        <w:t xml:space="preserve"> support, and the relative costs of such support within the location. </w:t>
      </w:r>
    </w:p>
    <w:p w:rsidR="005D09A5" w:rsidRPr="00C611F5" w:rsidRDefault="007C7CE5" w:rsidP="008164AD">
      <w:pPr>
        <w:pStyle w:val="Normalnumber"/>
        <w:numPr>
          <w:ilvl w:val="0"/>
          <w:numId w:val="5"/>
        </w:numPr>
        <w:tabs>
          <w:tab w:val="clear" w:pos="1247"/>
        </w:tabs>
        <w:ind w:left="1247" w:firstLine="0"/>
        <w:rPr>
          <w:rFonts w:eastAsia="MS Mincho"/>
        </w:rPr>
      </w:pPr>
      <w:r w:rsidRPr="00C611F5">
        <w:rPr>
          <w:rFonts w:eastAsia="MS Mincho"/>
        </w:rPr>
        <w:t xml:space="preserve">In considering merging the secretariat </w:t>
      </w:r>
      <w:r w:rsidR="00B24AE9" w:rsidRPr="00C611F5">
        <w:rPr>
          <w:rFonts w:eastAsia="MS Mincho"/>
        </w:rPr>
        <w:t xml:space="preserve">of the Minamata Convention </w:t>
      </w:r>
      <w:r w:rsidRPr="00C611F5">
        <w:rPr>
          <w:rFonts w:eastAsia="MS Mincho"/>
        </w:rPr>
        <w:t xml:space="preserve">with the secretariat of the Basel, Rotterdam and Stockholm </w:t>
      </w:r>
      <w:r w:rsidR="00BB72E8" w:rsidRPr="00C611F5">
        <w:rPr>
          <w:rFonts w:eastAsia="MS Mincho"/>
        </w:rPr>
        <w:t>conventions</w:t>
      </w:r>
      <w:r w:rsidR="00E504D9" w:rsidRPr="00C611F5">
        <w:rPr>
          <w:rFonts w:eastAsia="MS Mincho"/>
        </w:rPr>
        <w:t>, consideration</w:t>
      </w:r>
      <w:r w:rsidRPr="00C611F5">
        <w:rPr>
          <w:rFonts w:eastAsia="MS Mincho"/>
        </w:rPr>
        <w:t xml:space="preserve"> has been </w:t>
      </w:r>
      <w:r w:rsidR="005D2700" w:rsidRPr="00C611F5">
        <w:rPr>
          <w:rFonts w:eastAsia="MS Mincho"/>
        </w:rPr>
        <w:t>given to</w:t>
      </w:r>
      <w:r w:rsidR="00F65F5D" w:rsidRPr="00C611F5">
        <w:rPr>
          <w:rFonts w:eastAsia="MS Mincho"/>
        </w:rPr>
        <w:t xml:space="preserve"> two </w:t>
      </w:r>
      <w:r w:rsidR="001715B4" w:rsidRPr="00C611F5">
        <w:rPr>
          <w:rFonts w:eastAsia="MS Mincho"/>
        </w:rPr>
        <w:t>options</w:t>
      </w:r>
      <w:r w:rsidR="00F65F5D" w:rsidRPr="00C611F5">
        <w:rPr>
          <w:rFonts w:eastAsia="MS Mincho"/>
        </w:rPr>
        <w:t>, namely</w:t>
      </w:r>
      <w:r w:rsidR="00BD088D" w:rsidRPr="00C611F5">
        <w:rPr>
          <w:rFonts w:eastAsia="MS Mincho"/>
        </w:rPr>
        <w:t>,</w:t>
      </w:r>
      <w:r w:rsidR="00F65F5D" w:rsidRPr="00C611F5">
        <w:rPr>
          <w:rFonts w:eastAsia="MS Mincho"/>
        </w:rPr>
        <w:t xml:space="preserve"> a complete </w:t>
      </w:r>
      <w:r w:rsidRPr="00C611F5">
        <w:rPr>
          <w:rFonts w:eastAsia="MS Mincho"/>
        </w:rPr>
        <w:t xml:space="preserve">merger </w:t>
      </w:r>
      <w:r w:rsidR="00F65F5D" w:rsidRPr="00C611F5">
        <w:rPr>
          <w:rFonts w:eastAsia="MS Mincho"/>
        </w:rPr>
        <w:t xml:space="preserve">into the current structure of the </w:t>
      </w:r>
      <w:r w:rsidR="00BB72E8" w:rsidRPr="00C611F5">
        <w:rPr>
          <w:rFonts w:eastAsia="MS Mincho"/>
        </w:rPr>
        <w:t>secretariat of the Basel, Rotterdam and Stockholm conventions</w:t>
      </w:r>
      <w:r w:rsidR="00F65F5D" w:rsidRPr="00C611F5">
        <w:rPr>
          <w:rFonts w:eastAsia="MS Mincho"/>
        </w:rPr>
        <w:t xml:space="preserve">, or a </w:t>
      </w:r>
      <w:r w:rsidR="00F46EA4">
        <w:rPr>
          <w:rFonts w:eastAsia="MS Mincho"/>
        </w:rPr>
        <w:t>m</w:t>
      </w:r>
      <w:r w:rsidR="00F46EA4" w:rsidRPr="00F90264">
        <w:rPr>
          <w:rFonts w:eastAsia="MS Mincho"/>
        </w:rPr>
        <w:t xml:space="preserve">erger into the secretariat of the Basel, Rotterdam and Stockholm conventions by creating, in </w:t>
      </w:r>
      <w:r w:rsidR="003F3A67">
        <w:rPr>
          <w:rFonts w:eastAsia="MS Mincho"/>
        </w:rPr>
        <w:t>the</w:t>
      </w:r>
      <w:r w:rsidR="00F46EA4" w:rsidRPr="00F90264">
        <w:rPr>
          <w:rFonts w:eastAsia="MS Mincho"/>
        </w:rPr>
        <w:t xml:space="preserve"> interim, a fourth branch </w:t>
      </w:r>
      <w:r w:rsidR="00F65F5D" w:rsidRPr="00C611F5">
        <w:rPr>
          <w:rFonts w:eastAsia="MS Mincho"/>
        </w:rPr>
        <w:t xml:space="preserve">under a joint Executive Secretary </w:t>
      </w:r>
      <w:r w:rsidR="00D742C9" w:rsidRPr="00C611F5">
        <w:rPr>
          <w:rFonts w:eastAsia="MS Mincho"/>
        </w:rPr>
        <w:t xml:space="preserve">commencing with a partial integration and moving </w:t>
      </w:r>
      <w:r w:rsidR="00E938B0" w:rsidRPr="00C611F5">
        <w:rPr>
          <w:rFonts w:eastAsia="MS Mincho"/>
        </w:rPr>
        <w:t>toward</w:t>
      </w:r>
      <w:r w:rsidR="00F0509D" w:rsidRPr="00C611F5">
        <w:rPr>
          <w:rFonts w:eastAsia="MS Mincho"/>
        </w:rPr>
        <w:t>s</w:t>
      </w:r>
      <w:r w:rsidR="00E938B0" w:rsidRPr="00C611F5">
        <w:rPr>
          <w:rFonts w:eastAsia="MS Mincho"/>
        </w:rPr>
        <w:t xml:space="preserve"> full integration.</w:t>
      </w:r>
    </w:p>
    <w:p w:rsidR="005D09A5" w:rsidRPr="00C611F5" w:rsidRDefault="007C7CE5" w:rsidP="001D197C">
      <w:pPr>
        <w:pStyle w:val="Normalnumber"/>
        <w:keepNext/>
        <w:keepLines/>
        <w:numPr>
          <w:ilvl w:val="0"/>
          <w:numId w:val="5"/>
        </w:numPr>
        <w:tabs>
          <w:tab w:val="clear" w:pos="1247"/>
        </w:tabs>
        <w:ind w:left="1247" w:firstLine="0"/>
        <w:rPr>
          <w:rFonts w:eastAsia="MS Mincho"/>
        </w:rPr>
      </w:pPr>
      <w:r w:rsidRPr="00C611F5">
        <w:rPr>
          <w:rFonts w:eastAsia="MS Mincho"/>
        </w:rPr>
        <w:t xml:space="preserve">In considering utilizing the </w:t>
      </w:r>
      <w:r w:rsidR="00E938B0" w:rsidRPr="00C611F5">
        <w:rPr>
          <w:rFonts w:eastAsia="MS Mincho"/>
        </w:rPr>
        <w:t xml:space="preserve">interim secretariat, </w:t>
      </w:r>
      <w:r w:rsidRPr="00C611F5">
        <w:rPr>
          <w:rFonts w:eastAsia="MS Mincho"/>
        </w:rPr>
        <w:t xml:space="preserve">consideration has been given to maintaining </w:t>
      </w:r>
      <w:r w:rsidR="00B24AE9" w:rsidRPr="00C611F5">
        <w:rPr>
          <w:rFonts w:eastAsia="MS Mincho"/>
        </w:rPr>
        <w:t xml:space="preserve">its </w:t>
      </w:r>
      <w:r w:rsidR="005D2700" w:rsidRPr="00C611F5">
        <w:rPr>
          <w:rFonts w:eastAsia="MS Mincho"/>
        </w:rPr>
        <w:t>current structure,</w:t>
      </w:r>
      <w:r w:rsidRPr="00C611F5">
        <w:rPr>
          <w:rFonts w:eastAsia="MS Mincho"/>
        </w:rPr>
        <w:t xml:space="preserve"> with its own</w:t>
      </w:r>
      <w:r w:rsidR="00F65F5D" w:rsidRPr="00C611F5">
        <w:rPr>
          <w:rFonts w:eastAsia="MS Mincho"/>
        </w:rPr>
        <w:t xml:space="preserve"> Executive Secretary</w:t>
      </w:r>
      <w:r w:rsidRPr="00C611F5">
        <w:rPr>
          <w:rFonts w:eastAsia="MS Mincho"/>
        </w:rPr>
        <w:t xml:space="preserve">. </w:t>
      </w:r>
      <w:r w:rsidR="00090B65" w:rsidRPr="00C611F5">
        <w:rPr>
          <w:rFonts w:eastAsia="MS Mincho"/>
        </w:rPr>
        <w:t>Different locations</w:t>
      </w:r>
      <w:r w:rsidRPr="00C611F5">
        <w:rPr>
          <w:rFonts w:eastAsia="MS Mincho"/>
        </w:rPr>
        <w:t xml:space="preserve"> for the secretariat are considered under this option, with some assessment of the relative costs of </w:t>
      </w:r>
      <w:r w:rsidR="00F65F5D" w:rsidRPr="00C611F5">
        <w:rPr>
          <w:rFonts w:eastAsia="MS Mincho"/>
        </w:rPr>
        <w:t xml:space="preserve">each </w:t>
      </w:r>
      <w:r w:rsidRPr="00C611F5">
        <w:rPr>
          <w:rFonts w:eastAsia="MS Mincho"/>
        </w:rPr>
        <w:t xml:space="preserve">location, based on standard </w:t>
      </w:r>
      <w:r w:rsidR="00F65F5D" w:rsidRPr="00C611F5">
        <w:rPr>
          <w:rFonts w:eastAsia="MS Mincho"/>
        </w:rPr>
        <w:t xml:space="preserve">salary </w:t>
      </w:r>
      <w:r w:rsidRPr="00C611F5">
        <w:rPr>
          <w:rFonts w:eastAsia="MS Mincho"/>
        </w:rPr>
        <w:t>costs in different duty stations.</w:t>
      </w:r>
    </w:p>
    <w:p w:rsidR="00813D3B" w:rsidRPr="00C611F5" w:rsidRDefault="00813D3B" w:rsidP="00BE3945">
      <w:pPr>
        <w:pStyle w:val="Normalnumber"/>
        <w:numPr>
          <w:ilvl w:val="0"/>
          <w:numId w:val="5"/>
        </w:numPr>
        <w:ind w:left="1276" w:firstLine="0"/>
        <w:rPr>
          <w:rFonts w:eastAsia="MS Mincho"/>
        </w:rPr>
      </w:pPr>
      <w:r w:rsidRPr="00C611F5">
        <w:rPr>
          <w:rFonts w:eastAsia="MS Mincho"/>
        </w:rPr>
        <w:t xml:space="preserve">Under all </w:t>
      </w:r>
      <w:r w:rsidR="001715B4" w:rsidRPr="00C611F5">
        <w:rPr>
          <w:rFonts w:eastAsia="MS Mincho"/>
        </w:rPr>
        <w:t>options</w:t>
      </w:r>
      <w:r w:rsidRPr="00C611F5">
        <w:rPr>
          <w:rFonts w:eastAsia="MS Mincho"/>
        </w:rPr>
        <w:t xml:space="preserve">, administrative support to the </w:t>
      </w:r>
      <w:r w:rsidR="00C91832" w:rsidRPr="00C611F5">
        <w:rPr>
          <w:rFonts w:eastAsia="MS Mincho"/>
        </w:rPr>
        <w:t>s</w:t>
      </w:r>
      <w:r w:rsidR="00BB72E8" w:rsidRPr="00C611F5">
        <w:rPr>
          <w:rFonts w:eastAsia="MS Mincho"/>
        </w:rPr>
        <w:t xml:space="preserve">ecretariat of the </w:t>
      </w:r>
      <w:r w:rsidRPr="00C611F5">
        <w:rPr>
          <w:rFonts w:eastAsia="MS Mincho"/>
        </w:rPr>
        <w:t xml:space="preserve">Minamata Convention is assumed to be provided through </w:t>
      </w:r>
      <w:r w:rsidR="00C91832" w:rsidRPr="00C611F5">
        <w:rPr>
          <w:rFonts w:eastAsia="MS Mincho"/>
        </w:rPr>
        <w:t>p</w:t>
      </w:r>
      <w:r w:rsidRPr="00C611F5">
        <w:rPr>
          <w:rFonts w:eastAsia="MS Mincho"/>
        </w:rPr>
        <w:t xml:space="preserve">rogramme </w:t>
      </w:r>
      <w:r w:rsidR="00C91832" w:rsidRPr="00C611F5">
        <w:rPr>
          <w:rFonts w:eastAsia="MS Mincho"/>
        </w:rPr>
        <w:t>s</w:t>
      </w:r>
      <w:r w:rsidRPr="00C611F5">
        <w:rPr>
          <w:rFonts w:eastAsia="MS Mincho"/>
        </w:rPr>
        <w:t xml:space="preserve">upport </w:t>
      </w:r>
      <w:r w:rsidR="00BE3945" w:rsidRPr="00C611F5">
        <w:rPr>
          <w:rFonts w:eastAsia="MS Mincho"/>
        </w:rPr>
        <w:t>c</w:t>
      </w:r>
      <w:r w:rsidRPr="00C611F5">
        <w:rPr>
          <w:rFonts w:eastAsia="MS Mincho"/>
        </w:rPr>
        <w:t>osts</w:t>
      </w:r>
      <w:r w:rsidR="00BE3945" w:rsidRPr="00C611F5">
        <w:rPr>
          <w:rFonts w:eastAsia="MS Mincho"/>
        </w:rPr>
        <w:t xml:space="preserve">, which </w:t>
      </w:r>
      <w:r w:rsidR="00C91832" w:rsidRPr="00C611F5">
        <w:rPr>
          <w:rFonts w:eastAsia="MS Mincho"/>
        </w:rPr>
        <w:t xml:space="preserve">are </w:t>
      </w:r>
      <w:r w:rsidR="001E0246" w:rsidRPr="00C611F5">
        <w:rPr>
          <w:rFonts w:eastAsia="MS Mincho"/>
        </w:rPr>
        <w:t xml:space="preserve">provided to UNEP as the administrative service provider to the Convention. </w:t>
      </w:r>
      <w:r w:rsidR="00C91832" w:rsidRPr="00C611F5">
        <w:rPr>
          <w:rFonts w:eastAsia="MS Mincho"/>
        </w:rPr>
        <w:t xml:space="preserve">Programme support costs are </w:t>
      </w:r>
      <w:r w:rsidR="001E0246" w:rsidRPr="00C611F5">
        <w:rPr>
          <w:rFonts w:eastAsia="MS Mincho"/>
        </w:rPr>
        <w:t xml:space="preserve">collected </w:t>
      </w:r>
      <w:r w:rsidR="009946D0" w:rsidRPr="00C611F5">
        <w:rPr>
          <w:rFonts w:eastAsia="MS Mincho"/>
        </w:rPr>
        <w:t xml:space="preserve">with regard to </w:t>
      </w:r>
      <w:r w:rsidR="001E0246" w:rsidRPr="00C611F5">
        <w:rPr>
          <w:rFonts w:eastAsia="MS Mincho"/>
        </w:rPr>
        <w:t xml:space="preserve">all expenditures </w:t>
      </w:r>
      <w:r w:rsidR="009946D0" w:rsidRPr="00C611F5">
        <w:rPr>
          <w:rFonts w:eastAsia="MS Mincho"/>
        </w:rPr>
        <w:t>made for</w:t>
      </w:r>
      <w:r w:rsidR="001E0246" w:rsidRPr="00C611F5">
        <w:rPr>
          <w:rFonts w:eastAsia="MS Mincho"/>
        </w:rPr>
        <w:t xml:space="preserve"> Convention</w:t>
      </w:r>
      <w:r w:rsidR="009946D0" w:rsidRPr="00C611F5">
        <w:rPr>
          <w:rFonts w:eastAsia="MS Mincho"/>
        </w:rPr>
        <w:t xml:space="preserve"> activities</w:t>
      </w:r>
      <w:r w:rsidR="00226FAB" w:rsidRPr="00C611F5">
        <w:rPr>
          <w:rFonts w:eastAsia="MS Mincho"/>
        </w:rPr>
        <w:t>; t</w:t>
      </w:r>
      <w:r w:rsidRPr="00C611F5">
        <w:rPr>
          <w:rFonts w:eastAsia="MS Mincho"/>
        </w:rPr>
        <w:t>herefore</w:t>
      </w:r>
      <w:r w:rsidR="00C91832" w:rsidRPr="00C611F5">
        <w:rPr>
          <w:rFonts w:eastAsia="MS Mincho"/>
        </w:rPr>
        <w:t>,</w:t>
      </w:r>
      <w:r w:rsidR="002E2C3B" w:rsidRPr="00C611F5">
        <w:rPr>
          <w:rFonts w:eastAsia="MS Mincho"/>
        </w:rPr>
        <w:t xml:space="preserve"> </w:t>
      </w:r>
      <w:r w:rsidR="00C91832" w:rsidRPr="00C611F5">
        <w:rPr>
          <w:rFonts w:eastAsia="MS Mincho"/>
        </w:rPr>
        <w:t xml:space="preserve">administrative support </w:t>
      </w:r>
      <w:r w:rsidR="002E2C3B" w:rsidRPr="00C611F5">
        <w:rPr>
          <w:rFonts w:eastAsia="MS Mincho"/>
        </w:rPr>
        <w:t xml:space="preserve">costs are </w:t>
      </w:r>
      <w:r w:rsidRPr="00C611F5">
        <w:rPr>
          <w:rFonts w:eastAsia="MS Mincho"/>
        </w:rPr>
        <w:t xml:space="preserve">not specifically highlighted in the analysis of each </w:t>
      </w:r>
      <w:r w:rsidR="00BE3945" w:rsidRPr="00C611F5">
        <w:rPr>
          <w:rFonts w:eastAsia="MS Mincho"/>
        </w:rPr>
        <w:t xml:space="preserve">option </w:t>
      </w:r>
      <w:r w:rsidR="002E2C3B" w:rsidRPr="00C611F5">
        <w:rPr>
          <w:rFonts w:eastAsia="MS Mincho"/>
        </w:rPr>
        <w:t>below</w:t>
      </w:r>
      <w:r w:rsidRPr="00C611F5">
        <w:rPr>
          <w:rFonts w:eastAsia="MS Mincho"/>
        </w:rPr>
        <w:t>.</w:t>
      </w:r>
      <w:r w:rsidR="00675305" w:rsidRPr="00C611F5">
        <w:rPr>
          <w:rFonts w:eastAsia="MS Mincho"/>
        </w:rPr>
        <w:t xml:space="preserve"> For each</w:t>
      </w:r>
      <w:r w:rsidR="00BE3945" w:rsidRPr="00C611F5">
        <w:rPr>
          <w:rFonts w:eastAsia="MS Mincho"/>
        </w:rPr>
        <w:t xml:space="preserve"> option</w:t>
      </w:r>
      <w:r w:rsidR="00675305" w:rsidRPr="00C611F5">
        <w:rPr>
          <w:rFonts w:eastAsia="MS Mincho"/>
        </w:rPr>
        <w:t xml:space="preserve">, administrative work would be required to develop the new trust fund and budget structure within the UNEP financial system. </w:t>
      </w:r>
    </w:p>
    <w:p w:rsidR="005D09A5" w:rsidRPr="00C611F5" w:rsidRDefault="001B4163" w:rsidP="00E7353B">
      <w:pPr>
        <w:pStyle w:val="Normalnumber"/>
        <w:numPr>
          <w:ilvl w:val="0"/>
          <w:numId w:val="5"/>
        </w:numPr>
        <w:tabs>
          <w:tab w:val="clear" w:pos="1247"/>
        </w:tabs>
        <w:ind w:left="1247" w:firstLine="0"/>
        <w:rPr>
          <w:rFonts w:eastAsia="MS Mincho"/>
        </w:rPr>
      </w:pPr>
      <w:r w:rsidRPr="00C611F5">
        <w:rPr>
          <w:rFonts w:eastAsia="MS Mincho"/>
        </w:rPr>
        <w:t>Finally</w:t>
      </w:r>
      <w:r w:rsidR="00226FAB" w:rsidRPr="00C611F5">
        <w:rPr>
          <w:rFonts w:eastAsia="MS Mincho"/>
        </w:rPr>
        <w:t>,</w:t>
      </w:r>
      <w:r w:rsidRPr="00C611F5">
        <w:rPr>
          <w:rFonts w:eastAsia="MS Mincho"/>
        </w:rPr>
        <w:t xml:space="preserve"> it should be noted that an offer has been received from the Government of Switzerland</w:t>
      </w:r>
      <w:r w:rsidR="00E938B0" w:rsidRPr="00C611F5">
        <w:rPr>
          <w:rFonts w:eastAsia="MS Mincho"/>
        </w:rPr>
        <w:t xml:space="preserve"> </w:t>
      </w:r>
      <w:r w:rsidRPr="00C611F5">
        <w:rPr>
          <w:rFonts w:eastAsia="MS Mincho"/>
        </w:rPr>
        <w:t>to physically host the secretariat</w:t>
      </w:r>
      <w:r w:rsidR="00653CB6" w:rsidRPr="00C611F5">
        <w:rPr>
          <w:rFonts w:eastAsia="MS Mincho"/>
        </w:rPr>
        <w:t>, in accordance with the request from the intergovernmental</w:t>
      </w:r>
      <w:r w:rsidR="00226FAB" w:rsidRPr="00C611F5">
        <w:rPr>
          <w:rFonts w:eastAsia="MS Mincho"/>
        </w:rPr>
        <w:t xml:space="preserve"> </w:t>
      </w:r>
      <w:r w:rsidR="00653CB6" w:rsidRPr="00C611F5">
        <w:rPr>
          <w:rFonts w:eastAsia="MS Mincho"/>
        </w:rPr>
        <w:t>negotiating committee at its sixth session</w:t>
      </w:r>
      <w:r w:rsidRPr="00C611F5">
        <w:rPr>
          <w:rFonts w:eastAsia="MS Mincho"/>
        </w:rPr>
        <w:t>. Th</w:t>
      </w:r>
      <w:r w:rsidR="00226FAB" w:rsidRPr="00C611F5">
        <w:rPr>
          <w:rFonts w:eastAsia="MS Mincho"/>
        </w:rPr>
        <w:t>e</w:t>
      </w:r>
      <w:r w:rsidRPr="00C611F5">
        <w:rPr>
          <w:rFonts w:eastAsia="MS Mincho"/>
        </w:rPr>
        <w:t xml:space="preserve"> offer provides financial support to the Convention in the case of an integrated secretariat with the </w:t>
      </w:r>
      <w:r w:rsidR="002B309F" w:rsidRPr="00C611F5">
        <w:rPr>
          <w:rFonts w:eastAsia="MS Mincho"/>
        </w:rPr>
        <w:t xml:space="preserve">secretariat of the </w:t>
      </w:r>
      <w:r w:rsidRPr="00C611F5">
        <w:rPr>
          <w:rFonts w:eastAsia="MS Mincho"/>
        </w:rPr>
        <w:t xml:space="preserve">Basel, Rotterdam and </w:t>
      </w:r>
      <w:r w:rsidR="00BB72E8" w:rsidRPr="00C611F5">
        <w:rPr>
          <w:rFonts w:eastAsia="MS Mincho"/>
        </w:rPr>
        <w:t>Stockholm conventions</w:t>
      </w:r>
      <w:r w:rsidR="002B309F" w:rsidRPr="00C611F5">
        <w:rPr>
          <w:rFonts w:eastAsia="MS Mincho"/>
        </w:rPr>
        <w:t xml:space="preserve">. </w:t>
      </w:r>
      <w:r w:rsidRPr="00C611F5">
        <w:t>The offer as received is presented in document UNEP(DTIE)/Hg/INC.7/INF</w:t>
      </w:r>
      <w:r w:rsidR="00F43BDA" w:rsidRPr="00C611F5">
        <w:t>/</w:t>
      </w:r>
      <w:r w:rsidRPr="00C611F5">
        <w:t>5 and the analysis is provided in document UNEP(DTIE)/Hg/INC.7/16.</w:t>
      </w:r>
    </w:p>
    <w:p w:rsidR="005D09A5" w:rsidRPr="00C611F5" w:rsidRDefault="00B77857" w:rsidP="00E7353B">
      <w:pPr>
        <w:pStyle w:val="CH2"/>
        <w:rPr>
          <w:rFonts w:eastAsia="MS Mincho"/>
        </w:rPr>
      </w:pPr>
      <w:r w:rsidRPr="00C611F5">
        <w:rPr>
          <w:rFonts w:eastAsia="MS Mincho"/>
        </w:rPr>
        <w:tab/>
        <w:t>D.</w:t>
      </w:r>
      <w:r w:rsidRPr="00C611F5">
        <w:rPr>
          <w:rFonts w:eastAsia="MS Mincho"/>
        </w:rPr>
        <w:tab/>
      </w:r>
      <w:r w:rsidR="001877A4" w:rsidRPr="00C611F5">
        <w:rPr>
          <w:rFonts w:eastAsia="MS Mincho"/>
        </w:rPr>
        <w:t xml:space="preserve">Proposals for performing the functions of the permanent </w:t>
      </w:r>
      <w:r w:rsidR="00527290" w:rsidRPr="00C611F5">
        <w:rPr>
          <w:rFonts w:eastAsia="MS Mincho"/>
        </w:rPr>
        <w:t>secretariat</w:t>
      </w:r>
    </w:p>
    <w:p w:rsidR="005D09A5" w:rsidRPr="00C611F5" w:rsidRDefault="00093CBF" w:rsidP="00E7353B">
      <w:pPr>
        <w:pStyle w:val="Normalnumber"/>
        <w:numPr>
          <w:ilvl w:val="0"/>
          <w:numId w:val="5"/>
        </w:numPr>
        <w:tabs>
          <w:tab w:val="clear" w:pos="1247"/>
        </w:tabs>
        <w:ind w:left="1247" w:firstLine="0"/>
        <w:rPr>
          <w:rFonts w:eastAsia="MS Mincho"/>
        </w:rPr>
      </w:pPr>
      <w:r w:rsidRPr="00C611F5">
        <w:rPr>
          <w:rFonts w:eastAsia="MS Mincho"/>
        </w:rPr>
        <w:t xml:space="preserve">In line with the Final Act, the </w:t>
      </w:r>
      <w:r w:rsidR="001877A4" w:rsidRPr="00C611F5">
        <w:rPr>
          <w:rFonts w:eastAsia="MS Mincho"/>
        </w:rPr>
        <w:t xml:space="preserve">proposals for performing the functions of the permanent </w:t>
      </w:r>
      <w:r w:rsidR="00527290" w:rsidRPr="00C611F5">
        <w:rPr>
          <w:rFonts w:eastAsia="MS Mincho"/>
        </w:rPr>
        <w:t>secretariat</w:t>
      </w:r>
      <w:r w:rsidRPr="00C611F5">
        <w:rPr>
          <w:rFonts w:eastAsia="MS Mincho"/>
        </w:rPr>
        <w:t xml:space="preserve"> are presented as either </w:t>
      </w:r>
      <w:r w:rsidR="001877A4" w:rsidRPr="00C611F5">
        <w:rPr>
          <w:rFonts w:eastAsia="MS Mincho"/>
        </w:rPr>
        <w:t xml:space="preserve">merging the secretariat of the Minamata Convention </w:t>
      </w:r>
      <w:r w:rsidR="00520DB1" w:rsidRPr="00C611F5">
        <w:rPr>
          <w:rFonts w:eastAsia="MS Mincho"/>
        </w:rPr>
        <w:t xml:space="preserve">with </w:t>
      </w:r>
      <w:r w:rsidR="001877A4" w:rsidRPr="00C611F5">
        <w:rPr>
          <w:rFonts w:eastAsia="MS Mincho"/>
        </w:rPr>
        <w:t xml:space="preserve">the secretariat of the </w:t>
      </w:r>
      <w:r w:rsidR="00125810" w:rsidRPr="00C611F5">
        <w:rPr>
          <w:rFonts w:eastAsia="MS Mincho"/>
        </w:rPr>
        <w:t>B</w:t>
      </w:r>
      <w:r w:rsidR="001877A4" w:rsidRPr="00C611F5">
        <w:rPr>
          <w:rFonts w:eastAsia="MS Mincho"/>
        </w:rPr>
        <w:t xml:space="preserve">asel, Rotterdam and </w:t>
      </w:r>
      <w:r w:rsidR="00BB72E8" w:rsidRPr="00C611F5">
        <w:rPr>
          <w:rFonts w:eastAsia="MS Mincho"/>
        </w:rPr>
        <w:t>Stockholm conventions</w:t>
      </w:r>
      <w:r w:rsidRPr="00C611F5">
        <w:rPr>
          <w:rFonts w:eastAsia="MS Mincho"/>
        </w:rPr>
        <w:t xml:space="preserve"> or by </w:t>
      </w:r>
      <w:r w:rsidR="001877A4" w:rsidRPr="00C611F5">
        <w:rPr>
          <w:rFonts w:eastAsia="MS Mincho"/>
        </w:rPr>
        <w:t>utili</w:t>
      </w:r>
      <w:r w:rsidR="00226FAB" w:rsidRPr="00C611F5">
        <w:rPr>
          <w:rFonts w:eastAsia="MS Mincho"/>
        </w:rPr>
        <w:t>z</w:t>
      </w:r>
      <w:r w:rsidR="001877A4" w:rsidRPr="00C611F5">
        <w:rPr>
          <w:rFonts w:eastAsia="MS Mincho"/>
        </w:rPr>
        <w:t>ing the interim secretariat of the Minamata Convention</w:t>
      </w:r>
      <w:r w:rsidR="002732A2" w:rsidRPr="00C611F5">
        <w:rPr>
          <w:rFonts w:eastAsia="MS Mincho"/>
        </w:rPr>
        <w:t>.</w:t>
      </w:r>
      <w:r w:rsidR="008C2603" w:rsidRPr="00C611F5">
        <w:rPr>
          <w:rFonts w:eastAsia="MS Mincho"/>
        </w:rPr>
        <w:t xml:space="preserve"> </w:t>
      </w:r>
      <w:r w:rsidR="001877A4" w:rsidRPr="00C611F5">
        <w:rPr>
          <w:rFonts w:eastAsia="MS Mincho"/>
        </w:rPr>
        <w:t xml:space="preserve"> </w:t>
      </w:r>
    </w:p>
    <w:p w:rsidR="005D09A5" w:rsidRPr="00C611F5" w:rsidRDefault="00B77857" w:rsidP="00E7353B">
      <w:pPr>
        <w:pStyle w:val="CH3"/>
        <w:rPr>
          <w:rFonts w:eastAsia="MS Mincho"/>
        </w:rPr>
      </w:pPr>
      <w:r w:rsidRPr="00C611F5">
        <w:rPr>
          <w:rFonts w:eastAsia="MS Mincho"/>
        </w:rPr>
        <w:tab/>
        <w:t>1.</w:t>
      </w:r>
      <w:r w:rsidRPr="00C611F5">
        <w:rPr>
          <w:rFonts w:eastAsia="MS Mincho"/>
        </w:rPr>
        <w:tab/>
      </w:r>
      <w:r w:rsidR="00F71727" w:rsidRPr="00C611F5">
        <w:rPr>
          <w:rFonts w:eastAsia="MS Mincho"/>
        </w:rPr>
        <w:t xml:space="preserve">Merging with the </w:t>
      </w:r>
      <w:r w:rsidR="00615D04" w:rsidRPr="00C611F5">
        <w:rPr>
          <w:rFonts w:eastAsia="MS Mincho"/>
        </w:rPr>
        <w:t xml:space="preserve">secretariat of the </w:t>
      </w:r>
      <w:r w:rsidR="00F71727" w:rsidRPr="00C611F5">
        <w:rPr>
          <w:rFonts w:eastAsia="MS Mincho"/>
        </w:rPr>
        <w:t xml:space="preserve">Basel, Rotterdam and </w:t>
      </w:r>
      <w:r w:rsidR="00BB72E8" w:rsidRPr="00C611F5">
        <w:rPr>
          <w:rFonts w:eastAsia="MS Mincho"/>
        </w:rPr>
        <w:t>Stockholm conventions</w:t>
      </w:r>
    </w:p>
    <w:p w:rsidR="005D09A5" w:rsidRPr="00C611F5" w:rsidRDefault="00034794" w:rsidP="00E7353B">
      <w:pPr>
        <w:pStyle w:val="Normalnumber"/>
        <w:numPr>
          <w:ilvl w:val="0"/>
          <w:numId w:val="5"/>
        </w:numPr>
        <w:tabs>
          <w:tab w:val="clear" w:pos="1247"/>
        </w:tabs>
        <w:ind w:left="1247" w:firstLine="0"/>
        <w:rPr>
          <w:rFonts w:eastAsia="MS Mincho"/>
        </w:rPr>
      </w:pPr>
      <w:r w:rsidRPr="00C611F5">
        <w:rPr>
          <w:rFonts w:eastAsia="MS Mincho"/>
        </w:rPr>
        <w:t>In 2012,</w:t>
      </w:r>
      <w:r w:rsidR="00920A34" w:rsidRPr="00C611F5">
        <w:rPr>
          <w:rFonts w:eastAsia="MS Mincho"/>
        </w:rPr>
        <w:t xml:space="preserve"> </w:t>
      </w:r>
      <w:r w:rsidRPr="00C611F5">
        <w:rPr>
          <w:rFonts w:eastAsia="MS Mincho"/>
        </w:rPr>
        <w:t xml:space="preserve">the </w:t>
      </w:r>
      <w:r w:rsidR="00226FAB" w:rsidRPr="00C611F5">
        <w:rPr>
          <w:rFonts w:eastAsia="MS Mincho"/>
        </w:rPr>
        <w:t>s</w:t>
      </w:r>
      <w:r w:rsidRPr="00C611F5">
        <w:rPr>
          <w:rFonts w:eastAsia="MS Mincho"/>
        </w:rPr>
        <w:t xml:space="preserve">ecretariats of the Basel and </w:t>
      </w:r>
      <w:r w:rsidR="00BB72E8" w:rsidRPr="00C611F5">
        <w:rPr>
          <w:rFonts w:eastAsia="MS Mincho"/>
        </w:rPr>
        <w:t>Stockholm conventions</w:t>
      </w:r>
      <w:r w:rsidRPr="00C611F5">
        <w:rPr>
          <w:rFonts w:eastAsia="MS Mincho"/>
        </w:rPr>
        <w:t>, as well as the UNEP</w:t>
      </w:r>
      <w:r w:rsidR="00F0509D" w:rsidRPr="00C611F5">
        <w:rPr>
          <w:rFonts w:eastAsia="MS Mincho"/>
        </w:rPr>
        <w:t xml:space="preserve"> </w:t>
      </w:r>
      <w:r w:rsidRPr="00C611F5">
        <w:rPr>
          <w:rFonts w:eastAsia="MS Mincho"/>
        </w:rPr>
        <w:t xml:space="preserve">part of the Rotterdam Convention </w:t>
      </w:r>
      <w:r w:rsidR="00226FAB" w:rsidRPr="00C611F5">
        <w:rPr>
          <w:rFonts w:eastAsia="MS Mincho"/>
        </w:rPr>
        <w:t>s</w:t>
      </w:r>
      <w:r w:rsidRPr="00C611F5">
        <w:rPr>
          <w:rFonts w:eastAsia="MS Mincho"/>
        </w:rPr>
        <w:t>ecretariat</w:t>
      </w:r>
      <w:r w:rsidR="001306B9" w:rsidRPr="00C611F5">
        <w:rPr>
          <w:rFonts w:eastAsia="MS Mincho"/>
        </w:rPr>
        <w:t>,</w:t>
      </w:r>
      <w:r w:rsidR="00407863" w:rsidRPr="00C611F5">
        <w:rPr>
          <w:rStyle w:val="FootnoteReference"/>
          <w:rFonts w:eastAsia="MS Mincho"/>
        </w:rPr>
        <w:footnoteReference w:id="4"/>
      </w:r>
      <w:r w:rsidRPr="00C611F5">
        <w:rPr>
          <w:rFonts w:eastAsia="MS Mincho"/>
        </w:rPr>
        <w:t xml:space="preserve"> moved from three separate secretariats with a programmatic structure to a single </w:t>
      </w:r>
      <w:r w:rsidR="00226FAB" w:rsidRPr="00C611F5">
        <w:rPr>
          <w:rFonts w:eastAsia="MS Mincho"/>
        </w:rPr>
        <w:t>s</w:t>
      </w:r>
      <w:r w:rsidRPr="00C611F5">
        <w:rPr>
          <w:rFonts w:eastAsia="MS Mincho"/>
        </w:rPr>
        <w:t>ecretariat with a matrix structure serving the three conventions</w:t>
      </w:r>
      <w:r w:rsidR="00122D69" w:rsidRPr="00C611F5">
        <w:rPr>
          <w:rFonts w:eastAsia="MS Mincho"/>
        </w:rPr>
        <w:t>.</w:t>
      </w:r>
      <w:r w:rsidR="00813D3B" w:rsidRPr="00C611F5">
        <w:rPr>
          <w:rFonts w:eastAsia="MS Mincho"/>
        </w:rPr>
        <w:t xml:space="preserve"> </w:t>
      </w:r>
      <w:r w:rsidR="00B1671D" w:rsidRPr="00C611F5">
        <w:t>At the 2015 meeting</w:t>
      </w:r>
      <w:r w:rsidR="00813D3B" w:rsidRPr="00C611F5">
        <w:t>s</w:t>
      </w:r>
      <w:r w:rsidR="00B1671D" w:rsidRPr="00C611F5">
        <w:t xml:space="preserve"> of </w:t>
      </w:r>
      <w:r w:rsidR="00B1671D" w:rsidRPr="00C611F5">
        <w:rPr>
          <w:rFonts w:eastAsia="MS Mincho"/>
        </w:rPr>
        <w:t>the</w:t>
      </w:r>
      <w:r w:rsidR="00B1671D" w:rsidRPr="00C611F5">
        <w:t xml:space="preserve"> conferences of the parties, </w:t>
      </w:r>
      <w:r w:rsidR="008F09D1" w:rsidRPr="00C611F5">
        <w:t xml:space="preserve">it was agreed that </w:t>
      </w:r>
      <w:r w:rsidR="00B1671D" w:rsidRPr="00C611F5">
        <w:t>a review of the synergies arrangements and</w:t>
      </w:r>
      <w:r w:rsidR="0097388B" w:rsidRPr="00C611F5">
        <w:t xml:space="preserve"> </w:t>
      </w:r>
      <w:r w:rsidR="00D63D45" w:rsidRPr="00C611F5">
        <w:t xml:space="preserve">of </w:t>
      </w:r>
      <w:r w:rsidR="00B1671D" w:rsidRPr="00C611F5">
        <w:t>the matrix management structure</w:t>
      </w:r>
      <w:r w:rsidR="00813D3B" w:rsidRPr="00C611F5">
        <w:t xml:space="preserve"> of the </w:t>
      </w:r>
      <w:r w:rsidR="000A1DDC" w:rsidRPr="00C611F5">
        <w:t>s</w:t>
      </w:r>
      <w:r w:rsidR="00813D3B" w:rsidRPr="00C611F5">
        <w:t>ecretariat</w:t>
      </w:r>
      <w:r w:rsidR="00D63D45" w:rsidRPr="00C611F5">
        <w:t xml:space="preserve"> </w:t>
      </w:r>
      <w:r w:rsidR="008F09D1" w:rsidRPr="00C611F5">
        <w:t xml:space="preserve">would </w:t>
      </w:r>
      <w:r w:rsidR="00293230" w:rsidRPr="00C611F5">
        <w:t>be carried out. T</w:t>
      </w:r>
      <w:r w:rsidR="00D63D45" w:rsidRPr="00C611F5">
        <w:t xml:space="preserve">he results of </w:t>
      </w:r>
      <w:r w:rsidR="00293230" w:rsidRPr="00C611F5">
        <w:t xml:space="preserve">the review </w:t>
      </w:r>
      <w:r w:rsidR="00D63D45" w:rsidRPr="00C611F5">
        <w:t>and any follow-up actions are</w:t>
      </w:r>
      <w:r w:rsidR="00B1671D" w:rsidRPr="00C611F5">
        <w:t xml:space="preserve"> to be </w:t>
      </w:r>
      <w:r w:rsidR="00741F60" w:rsidRPr="00C611F5">
        <w:t xml:space="preserve">presented and </w:t>
      </w:r>
      <w:r w:rsidR="00D63D45" w:rsidRPr="00C611F5">
        <w:t xml:space="preserve">considered </w:t>
      </w:r>
      <w:r w:rsidR="00B1671D" w:rsidRPr="00C611F5">
        <w:t>at their 2017 meetings.</w:t>
      </w:r>
    </w:p>
    <w:p w:rsidR="005D09A5" w:rsidRPr="00C611F5" w:rsidRDefault="00034794" w:rsidP="00E7353B">
      <w:pPr>
        <w:pStyle w:val="Normalnumber"/>
        <w:numPr>
          <w:ilvl w:val="0"/>
          <w:numId w:val="5"/>
        </w:numPr>
        <w:tabs>
          <w:tab w:val="clear" w:pos="1247"/>
        </w:tabs>
        <w:ind w:left="1247" w:firstLine="0"/>
        <w:rPr>
          <w:rFonts w:eastAsia="MS Mincho"/>
        </w:rPr>
      </w:pPr>
      <w:r w:rsidRPr="00C611F5">
        <w:t xml:space="preserve">Since </w:t>
      </w:r>
      <w:r w:rsidR="003F62FC" w:rsidRPr="00C611F5">
        <w:t xml:space="preserve">the merging of the </w:t>
      </w:r>
      <w:r w:rsidR="00BB72E8" w:rsidRPr="00C611F5">
        <w:t>secretariat</w:t>
      </w:r>
      <w:r w:rsidR="008F09D1" w:rsidRPr="00C611F5">
        <w:t>s</w:t>
      </w:r>
      <w:r w:rsidR="00BB72E8" w:rsidRPr="00C611F5">
        <w:t xml:space="preserve"> of the Basel, Rotterdam and Stockholm convention</w:t>
      </w:r>
      <w:r w:rsidR="003F62FC" w:rsidRPr="00C611F5">
        <w:t>s</w:t>
      </w:r>
      <w:r w:rsidRPr="00C611F5">
        <w:t>, the conferences of the parties</w:t>
      </w:r>
      <w:r w:rsidR="008F09D1" w:rsidRPr="00C611F5">
        <w:t xml:space="preserve"> to those conventions</w:t>
      </w:r>
      <w:r w:rsidRPr="00C611F5">
        <w:t xml:space="preserve"> have approved indicati</w:t>
      </w:r>
      <w:r w:rsidR="00B1671D" w:rsidRPr="00C611F5">
        <w:t>ve</w:t>
      </w:r>
      <w:r w:rsidRPr="00C611F5">
        <w:t xml:space="preserve"> </w:t>
      </w:r>
      <w:r w:rsidRPr="00C611F5">
        <w:rPr>
          <w:rFonts w:eastAsia="MS Mincho"/>
        </w:rPr>
        <w:t>staffing</w:t>
      </w:r>
      <w:r w:rsidRPr="00C611F5">
        <w:t xml:space="preserve"> tables for costing purposes, authorizing the Executive Secretary to determine the staffing levels, numbers and structure of the </w:t>
      </w:r>
      <w:r w:rsidR="000A1DDC" w:rsidRPr="00C611F5">
        <w:t>s</w:t>
      </w:r>
      <w:r w:rsidRPr="00C611F5">
        <w:t xml:space="preserve">ecretariat in a flexible manner within the overall cost of staff indicated in the various budget decisions. </w:t>
      </w:r>
      <w:r w:rsidR="004E21FC" w:rsidRPr="00C611F5">
        <w:t>The sharing of the staff costs in the general trust fund is agreed to by the three conferences of the parties in their respective budget decisions.</w:t>
      </w:r>
      <w:r w:rsidR="00813D3B" w:rsidRPr="00C611F5">
        <w:t xml:space="preserve"> </w:t>
      </w:r>
    </w:p>
    <w:p w:rsidR="005D09A5" w:rsidRPr="00C611F5" w:rsidRDefault="00034794">
      <w:pPr>
        <w:pStyle w:val="Normalnumber"/>
        <w:numPr>
          <w:ilvl w:val="0"/>
          <w:numId w:val="5"/>
        </w:numPr>
        <w:ind w:left="1276" w:firstLine="0"/>
        <w:rPr>
          <w:rFonts w:eastAsia="MS Mincho"/>
        </w:rPr>
      </w:pPr>
      <w:r w:rsidRPr="00C611F5">
        <w:t xml:space="preserve">A merger </w:t>
      </w:r>
      <w:r w:rsidR="00B47176" w:rsidRPr="00C611F5">
        <w:t xml:space="preserve">of the </w:t>
      </w:r>
      <w:r w:rsidR="00BB72E8" w:rsidRPr="00C611F5">
        <w:t>secretariat</w:t>
      </w:r>
      <w:r w:rsidR="00B47176" w:rsidRPr="00C611F5">
        <w:t xml:space="preserve"> of the Minamata Convention </w:t>
      </w:r>
      <w:r w:rsidRPr="00C611F5">
        <w:t xml:space="preserve">with the </w:t>
      </w:r>
      <w:r w:rsidR="00BB72E8" w:rsidRPr="00C611F5">
        <w:t>secretariat</w:t>
      </w:r>
      <w:r w:rsidRPr="00C611F5">
        <w:t xml:space="preserve"> of the Basel, Rotterdam and Stockholm </w:t>
      </w:r>
      <w:r w:rsidR="00BB72E8" w:rsidRPr="00C611F5">
        <w:t xml:space="preserve">conventions </w:t>
      </w:r>
      <w:r w:rsidRPr="00C611F5">
        <w:t xml:space="preserve">would </w:t>
      </w:r>
      <w:r w:rsidR="00B1671D" w:rsidRPr="00C611F5">
        <w:t>require</w:t>
      </w:r>
      <w:r w:rsidRPr="00C611F5">
        <w:t xml:space="preserve"> agreement by the conferences of the parties to the Basel, Rotterdam and Stockholm conventions, on the understanding that the Executive Secretary would then be mandated to make required adjustments to the structure and staffing of the </w:t>
      </w:r>
      <w:r w:rsidR="00BB72E8" w:rsidRPr="00C611F5">
        <w:t>secretariat</w:t>
      </w:r>
      <w:r w:rsidRPr="00C611F5">
        <w:t xml:space="preserve">. </w:t>
      </w:r>
    </w:p>
    <w:p w:rsidR="005D09A5" w:rsidRPr="00C611F5" w:rsidRDefault="00520DB1" w:rsidP="00E7353B">
      <w:pPr>
        <w:pStyle w:val="Normalnumber"/>
        <w:numPr>
          <w:ilvl w:val="0"/>
          <w:numId w:val="5"/>
        </w:numPr>
        <w:tabs>
          <w:tab w:val="clear" w:pos="1247"/>
        </w:tabs>
        <w:ind w:left="1247" w:firstLine="0"/>
        <w:rPr>
          <w:rFonts w:eastAsia="MS Mincho"/>
        </w:rPr>
      </w:pPr>
      <w:r w:rsidRPr="00C611F5">
        <w:rPr>
          <w:rFonts w:eastAsia="MS Mincho"/>
        </w:rPr>
        <w:t xml:space="preserve">Under the proposal for performing the functions of the permanent secretariat through a merger with the secretariat of the Basel, Rotterdam and Stockholm </w:t>
      </w:r>
      <w:r w:rsidR="00BB72E8" w:rsidRPr="00C611F5">
        <w:rPr>
          <w:rFonts w:eastAsia="MS Mincho"/>
        </w:rPr>
        <w:t>conventions</w:t>
      </w:r>
      <w:r w:rsidR="00E44C39" w:rsidRPr="00C611F5">
        <w:rPr>
          <w:rFonts w:eastAsia="MS Mincho"/>
        </w:rPr>
        <w:t>,</w:t>
      </w:r>
      <w:r w:rsidRPr="00C611F5">
        <w:rPr>
          <w:rFonts w:eastAsia="MS Mincho"/>
        </w:rPr>
        <w:t xml:space="preserve"> two </w:t>
      </w:r>
      <w:r w:rsidR="00034794" w:rsidRPr="00C611F5">
        <w:rPr>
          <w:rFonts w:eastAsia="MS Mincho"/>
        </w:rPr>
        <w:t>possible options</w:t>
      </w:r>
      <w:r w:rsidRPr="00C611F5">
        <w:rPr>
          <w:rFonts w:eastAsia="MS Mincho"/>
        </w:rPr>
        <w:t xml:space="preserve"> are presented, namely</w:t>
      </w:r>
      <w:r w:rsidR="009F3546" w:rsidRPr="00C611F5">
        <w:rPr>
          <w:rFonts w:eastAsia="MS Mincho"/>
        </w:rPr>
        <w:t>,</w:t>
      </w:r>
      <w:r w:rsidRPr="00C611F5">
        <w:rPr>
          <w:rFonts w:eastAsia="MS Mincho"/>
        </w:rPr>
        <w:t xml:space="preserve"> </w:t>
      </w:r>
      <w:r w:rsidR="00E44C39" w:rsidRPr="00C611F5">
        <w:rPr>
          <w:rFonts w:eastAsia="MS Mincho"/>
        </w:rPr>
        <w:t xml:space="preserve">in </w:t>
      </w:r>
      <w:r w:rsidR="001715B4" w:rsidRPr="00C611F5">
        <w:rPr>
          <w:rFonts w:eastAsia="MS Mincho"/>
        </w:rPr>
        <w:t xml:space="preserve">option </w:t>
      </w:r>
      <w:r w:rsidRPr="00C611F5">
        <w:rPr>
          <w:rFonts w:eastAsia="MS Mincho"/>
        </w:rPr>
        <w:t>1</w:t>
      </w:r>
      <w:r w:rsidR="005B4B6C" w:rsidRPr="00C611F5">
        <w:rPr>
          <w:rFonts w:eastAsia="MS Mincho"/>
        </w:rPr>
        <w:t xml:space="preserve"> </w:t>
      </w:r>
      <w:r w:rsidR="00677204" w:rsidRPr="00C611F5">
        <w:rPr>
          <w:rFonts w:eastAsia="MS Mincho"/>
        </w:rPr>
        <w:t>(</w:t>
      </w:r>
      <w:r w:rsidRPr="00C611F5">
        <w:rPr>
          <w:rFonts w:eastAsia="MS Mincho"/>
        </w:rPr>
        <w:t>a</w:t>
      </w:r>
      <w:r w:rsidR="00677204" w:rsidRPr="00C611F5">
        <w:rPr>
          <w:rFonts w:eastAsia="MS Mincho"/>
        </w:rPr>
        <w:t>)</w:t>
      </w:r>
      <w:r w:rsidRPr="00C611F5">
        <w:rPr>
          <w:rFonts w:eastAsia="MS Mincho"/>
        </w:rPr>
        <w:t xml:space="preserve"> a full merger utilizing the current structure of the </w:t>
      </w:r>
      <w:r w:rsidR="00BB72E8" w:rsidRPr="00C611F5">
        <w:rPr>
          <w:rFonts w:eastAsia="MS Mincho"/>
        </w:rPr>
        <w:t>secretariat of the Basel, Rotterdam and Stockholm conventions</w:t>
      </w:r>
      <w:r w:rsidRPr="00C611F5">
        <w:rPr>
          <w:rFonts w:eastAsia="MS Mincho"/>
        </w:rPr>
        <w:t xml:space="preserve"> and </w:t>
      </w:r>
      <w:r w:rsidR="00E44C39" w:rsidRPr="00C611F5">
        <w:rPr>
          <w:rFonts w:eastAsia="MS Mincho"/>
        </w:rPr>
        <w:t xml:space="preserve">in </w:t>
      </w:r>
      <w:r w:rsidR="001715B4" w:rsidRPr="00C611F5">
        <w:rPr>
          <w:rFonts w:eastAsia="MS Mincho"/>
        </w:rPr>
        <w:t xml:space="preserve">option </w:t>
      </w:r>
      <w:r w:rsidRPr="00C611F5">
        <w:rPr>
          <w:rFonts w:eastAsia="MS Mincho"/>
        </w:rPr>
        <w:t>1</w:t>
      </w:r>
      <w:r w:rsidR="005B4B6C" w:rsidRPr="00C611F5">
        <w:rPr>
          <w:rFonts w:eastAsia="MS Mincho"/>
        </w:rPr>
        <w:t xml:space="preserve"> </w:t>
      </w:r>
      <w:r w:rsidR="00677204" w:rsidRPr="00C611F5">
        <w:rPr>
          <w:rFonts w:eastAsia="MS Mincho"/>
        </w:rPr>
        <w:t>(</w:t>
      </w:r>
      <w:r w:rsidRPr="00C611F5">
        <w:rPr>
          <w:rFonts w:eastAsia="MS Mincho"/>
        </w:rPr>
        <w:t>b</w:t>
      </w:r>
      <w:r w:rsidR="00677204" w:rsidRPr="00C611F5">
        <w:rPr>
          <w:rFonts w:eastAsia="MS Mincho"/>
        </w:rPr>
        <w:t>)</w:t>
      </w:r>
      <w:r w:rsidRPr="00C611F5">
        <w:rPr>
          <w:rFonts w:eastAsia="MS Mincho"/>
        </w:rPr>
        <w:t xml:space="preserve"> </w:t>
      </w:r>
      <w:r w:rsidR="00F46EA4">
        <w:rPr>
          <w:rFonts w:eastAsia="MS Mincho"/>
        </w:rPr>
        <w:t>a m</w:t>
      </w:r>
      <w:r w:rsidR="00F46EA4" w:rsidRPr="00F90264">
        <w:rPr>
          <w:rFonts w:eastAsia="MS Mincho"/>
        </w:rPr>
        <w:t xml:space="preserve">erger into the secretariat of the Basel, Rotterdam and Stockholm conventions by creating, in </w:t>
      </w:r>
      <w:r w:rsidR="003F3A67">
        <w:rPr>
          <w:rFonts w:eastAsia="MS Mincho"/>
        </w:rPr>
        <w:t>the</w:t>
      </w:r>
      <w:r w:rsidR="00F46EA4" w:rsidRPr="00F90264">
        <w:rPr>
          <w:rFonts w:eastAsia="MS Mincho"/>
        </w:rPr>
        <w:t xml:space="preserve"> interim, a fourth branch</w:t>
      </w:r>
      <w:r w:rsidR="001A2078" w:rsidRPr="00C611F5">
        <w:rPr>
          <w:rFonts w:eastAsia="MS Mincho"/>
        </w:rPr>
        <w:t xml:space="preserve">. </w:t>
      </w:r>
    </w:p>
    <w:p w:rsidR="0021444E" w:rsidRPr="00C611F5" w:rsidRDefault="002307BA" w:rsidP="004F2618">
      <w:pPr>
        <w:pStyle w:val="Normalnumber"/>
        <w:numPr>
          <w:ilvl w:val="0"/>
          <w:numId w:val="0"/>
        </w:numPr>
        <w:ind w:left="1247"/>
        <w:rPr>
          <w:rFonts w:eastAsia="MS Mincho"/>
          <w:b/>
          <w:bCs/>
        </w:rPr>
      </w:pPr>
      <w:r w:rsidRPr="00C611F5">
        <w:rPr>
          <w:rFonts w:eastAsia="MS Mincho"/>
          <w:b/>
        </w:rPr>
        <w:t xml:space="preserve">Option </w:t>
      </w:r>
      <w:r w:rsidR="00090B65" w:rsidRPr="00C611F5">
        <w:rPr>
          <w:rFonts w:eastAsia="MS Mincho"/>
          <w:b/>
        </w:rPr>
        <w:t>1</w:t>
      </w:r>
      <w:r w:rsidR="008330C4" w:rsidRPr="00C611F5">
        <w:rPr>
          <w:rFonts w:eastAsia="MS Mincho"/>
          <w:b/>
        </w:rPr>
        <w:t xml:space="preserve"> </w:t>
      </w:r>
      <w:r w:rsidR="00677204" w:rsidRPr="00C611F5">
        <w:rPr>
          <w:rFonts w:eastAsia="MS Mincho"/>
          <w:b/>
        </w:rPr>
        <w:t>(</w:t>
      </w:r>
      <w:r w:rsidR="00090B65" w:rsidRPr="00C611F5">
        <w:rPr>
          <w:rFonts w:eastAsia="MS Mincho"/>
          <w:b/>
        </w:rPr>
        <w:t>a</w:t>
      </w:r>
      <w:r w:rsidR="00677204" w:rsidRPr="00C611F5">
        <w:rPr>
          <w:rFonts w:eastAsia="MS Mincho"/>
          <w:b/>
        </w:rPr>
        <w:t>)</w:t>
      </w:r>
      <w:r w:rsidR="008330C4" w:rsidRPr="00C611F5">
        <w:rPr>
          <w:rFonts w:eastAsia="MS Mincho"/>
          <w:b/>
        </w:rPr>
        <w:t>:</w:t>
      </w:r>
      <w:r w:rsidR="00093CBF" w:rsidRPr="00C611F5">
        <w:rPr>
          <w:rFonts w:eastAsia="MS Mincho"/>
          <w:b/>
        </w:rPr>
        <w:t xml:space="preserve"> </w:t>
      </w:r>
      <w:r w:rsidR="00090B65" w:rsidRPr="00C611F5">
        <w:rPr>
          <w:rFonts w:eastAsia="MS Mincho"/>
          <w:b/>
        </w:rPr>
        <w:t>Merger</w:t>
      </w:r>
      <w:r w:rsidR="00F65F5D" w:rsidRPr="00C611F5">
        <w:rPr>
          <w:rFonts w:eastAsia="MS Mincho"/>
          <w:b/>
        </w:rPr>
        <w:t xml:space="preserve"> </w:t>
      </w:r>
      <w:r w:rsidR="000B4ED9" w:rsidRPr="00C611F5">
        <w:rPr>
          <w:rFonts w:eastAsia="MS Mincho"/>
          <w:b/>
        </w:rPr>
        <w:t xml:space="preserve">into </w:t>
      </w:r>
      <w:r w:rsidR="00AD4AC4" w:rsidRPr="00C611F5">
        <w:rPr>
          <w:rFonts w:eastAsia="MS Mincho"/>
          <w:b/>
        </w:rPr>
        <w:t xml:space="preserve">the </w:t>
      </w:r>
      <w:r w:rsidR="000B4ED9" w:rsidRPr="00C611F5">
        <w:rPr>
          <w:rFonts w:eastAsia="MS Mincho"/>
          <w:b/>
        </w:rPr>
        <w:t xml:space="preserve">secretariat of the Basel, Rotterdam and </w:t>
      </w:r>
      <w:r w:rsidR="00BB72E8" w:rsidRPr="00C611F5">
        <w:rPr>
          <w:rFonts w:eastAsia="MS Mincho"/>
          <w:b/>
        </w:rPr>
        <w:t>Stockholm conventions</w:t>
      </w:r>
      <w:r w:rsidR="00F65F5D" w:rsidRPr="00C611F5">
        <w:rPr>
          <w:rFonts w:eastAsia="MS Mincho"/>
          <w:b/>
        </w:rPr>
        <w:t xml:space="preserve"> utilizing its current structure</w:t>
      </w:r>
      <w:r w:rsidR="000B4ED9" w:rsidRPr="00C611F5">
        <w:rPr>
          <w:rFonts w:eastAsia="MS Mincho"/>
          <w:b/>
          <w:bCs/>
        </w:rPr>
        <w:t xml:space="preserve"> </w:t>
      </w:r>
    </w:p>
    <w:p w:rsidR="000B4ED9" w:rsidRPr="00C611F5" w:rsidRDefault="00F71727" w:rsidP="004F2618">
      <w:pPr>
        <w:pStyle w:val="Normalnumber"/>
        <w:numPr>
          <w:ilvl w:val="0"/>
          <w:numId w:val="0"/>
        </w:numPr>
        <w:ind w:left="1247"/>
        <w:rPr>
          <w:rFonts w:eastAsia="MS Mincho"/>
        </w:rPr>
      </w:pPr>
      <w:r w:rsidRPr="00C611F5">
        <w:rPr>
          <w:rFonts w:eastAsia="MS Mincho"/>
        </w:rPr>
        <w:t>Location</w:t>
      </w:r>
      <w:r w:rsidR="004F1E53" w:rsidRPr="00C611F5">
        <w:rPr>
          <w:rFonts w:eastAsia="MS Mincho"/>
        </w:rPr>
        <w:t xml:space="preserve">: </w:t>
      </w:r>
      <w:r w:rsidRPr="00C611F5">
        <w:rPr>
          <w:rFonts w:eastAsia="MS Mincho"/>
        </w:rPr>
        <w:t>Geneva</w:t>
      </w:r>
    </w:p>
    <w:p w:rsidR="00080DD9" w:rsidRPr="00C611F5" w:rsidRDefault="00080DD9" w:rsidP="00F65F5D">
      <w:pPr>
        <w:pStyle w:val="Normalnumber"/>
        <w:numPr>
          <w:ilvl w:val="0"/>
          <w:numId w:val="0"/>
        </w:numPr>
        <w:ind w:left="1247"/>
        <w:rPr>
          <w:rFonts w:eastAsia="MS Mincho"/>
          <w:b/>
          <w:bCs/>
        </w:rPr>
      </w:pPr>
      <w:r w:rsidRPr="00C611F5">
        <w:rPr>
          <w:rFonts w:eastAsia="MS Mincho"/>
          <w:b/>
          <w:bCs/>
        </w:rPr>
        <w:t>Structure</w:t>
      </w:r>
    </w:p>
    <w:p w:rsidR="005D09A5" w:rsidRPr="00C611F5" w:rsidRDefault="000B4ED9" w:rsidP="00672A8A">
      <w:pPr>
        <w:pStyle w:val="Normalnumber"/>
        <w:numPr>
          <w:ilvl w:val="0"/>
          <w:numId w:val="5"/>
        </w:numPr>
        <w:tabs>
          <w:tab w:val="clear" w:pos="1247"/>
        </w:tabs>
        <w:ind w:left="1247" w:firstLine="0"/>
        <w:rPr>
          <w:rFonts w:eastAsia="MS Mincho"/>
        </w:rPr>
      </w:pPr>
      <w:r w:rsidRPr="00C611F5">
        <w:rPr>
          <w:rFonts w:eastAsia="MS Mincho"/>
        </w:rPr>
        <w:t xml:space="preserve">Under this </w:t>
      </w:r>
      <w:r w:rsidR="002307BA" w:rsidRPr="00C611F5">
        <w:rPr>
          <w:rFonts w:eastAsia="MS Mincho"/>
        </w:rPr>
        <w:t>option</w:t>
      </w:r>
      <w:r w:rsidRPr="00C611F5">
        <w:rPr>
          <w:rFonts w:eastAsia="MS Mincho"/>
        </w:rPr>
        <w:t xml:space="preserve">, the </w:t>
      </w:r>
      <w:r w:rsidR="00BB72E8" w:rsidRPr="00C611F5">
        <w:rPr>
          <w:rFonts w:eastAsia="MS Mincho"/>
        </w:rPr>
        <w:t>secretariat</w:t>
      </w:r>
      <w:r w:rsidRPr="00C611F5">
        <w:rPr>
          <w:rFonts w:eastAsia="MS Mincho"/>
        </w:rPr>
        <w:t xml:space="preserve"> of the Minamata Convention would be fully integrated into the current structure of the </w:t>
      </w:r>
      <w:r w:rsidR="00527290" w:rsidRPr="00C611F5">
        <w:rPr>
          <w:rFonts w:eastAsia="MS Mincho"/>
        </w:rPr>
        <w:t>secretariat of the Basel, Rotterdam and Stockholm conventions</w:t>
      </w:r>
      <w:r w:rsidRPr="00C611F5">
        <w:rPr>
          <w:rFonts w:eastAsia="MS Mincho"/>
        </w:rPr>
        <w:t>.</w:t>
      </w:r>
      <w:r w:rsidR="008C2603" w:rsidRPr="00C611F5">
        <w:rPr>
          <w:rFonts w:eastAsia="MS Mincho"/>
        </w:rPr>
        <w:t xml:space="preserve"> </w:t>
      </w:r>
      <w:r w:rsidR="00090B65" w:rsidRPr="00C611F5">
        <w:rPr>
          <w:rFonts w:eastAsia="MS Mincho"/>
        </w:rPr>
        <w:t>The functions to be performed by the Minamata secretariat and related staff positions</w:t>
      </w:r>
      <w:r w:rsidR="00090B65" w:rsidRPr="00C611F5" w:rsidDel="00F65F5D">
        <w:rPr>
          <w:rFonts w:eastAsia="MS Mincho"/>
        </w:rPr>
        <w:t xml:space="preserve"> </w:t>
      </w:r>
      <w:r w:rsidR="00090B65" w:rsidRPr="00C611F5">
        <w:rPr>
          <w:rFonts w:eastAsia="MS Mincho"/>
        </w:rPr>
        <w:t xml:space="preserve">would be </w:t>
      </w:r>
      <w:r w:rsidR="00C94897" w:rsidRPr="00C611F5">
        <w:rPr>
          <w:rFonts w:eastAsia="MS Mincho"/>
        </w:rPr>
        <w:t xml:space="preserve">divided among </w:t>
      </w:r>
      <w:r w:rsidR="00090B65" w:rsidRPr="00C611F5">
        <w:rPr>
          <w:rFonts w:eastAsia="MS Mincho"/>
        </w:rPr>
        <w:t xml:space="preserve">the three substantive branches of the </w:t>
      </w:r>
      <w:r w:rsidR="00BB72E8" w:rsidRPr="00C611F5">
        <w:rPr>
          <w:rFonts w:eastAsia="MS Mincho"/>
        </w:rPr>
        <w:t>secretariat of the Basel, Rotterdam and Stockholm conventions</w:t>
      </w:r>
      <w:r w:rsidR="00527290" w:rsidRPr="00C611F5">
        <w:rPr>
          <w:rFonts w:eastAsia="MS Mincho"/>
        </w:rPr>
        <w:t xml:space="preserve"> (</w:t>
      </w:r>
      <w:r w:rsidR="00090B65" w:rsidRPr="00C611F5">
        <w:rPr>
          <w:rFonts w:eastAsia="MS Mincho"/>
        </w:rPr>
        <w:t xml:space="preserve">the Conventions Operations Branch, the Technical Assistance Branch and </w:t>
      </w:r>
      <w:r w:rsidR="00E67E4E" w:rsidRPr="00C611F5">
        <w:rPr>
          <w:rFonts w:eastAsia="MS Mincho"/>
        </w:rPr>
        <w:t>the Scientific Support Branch</w:t>
      </w:r>
      <w:r w:rsidR="00527290" w:rsidRPr="00C611F5">
        <w:rPr>
          <w:rFonts w:eastAsia="MS Mincho"/>
        </w:rPr>
        <w:t>)</w:t>
      </w:r>
      <w:r w:rsidR="00E67E4E" w:rsidRPr="00C611F5">
        <w:rPr>
          <w:rFonts w:eastAsia="MS Mincho"/>
        </w:rPr>
        <w:t xml:space="preserve">, as well as through the Executive Office of the </w:t>
      </w:r>
      <w:r w:rsidR="00BB72E8" w:rsidRPr="00C611F5">
        <w:rPr>
          <w:rFonts w:eastAsia="MS Mincho"/>
        </w:rPr>
        <w:t>secretariat of the Basel, Rotterdam and Stockholm conventions</w:t>
      </w:r>
      <w:r w:rsidR="00E67E4E" w:rsidRPr="00C611F5">
        <w:rPr>
          <w:rFonts w:eastAsia="MS Mincho"/>
        </w:rPr>
        <w:t xml:space="preserve">. The functions of the </w:t>
      </w:r>
      <w:r w:rsidR="00527290" w:rsidRPr="00C611F5">
        <w:rPr>
          <w:rFonts w:eastAsia="MS Mincho"/>
        </w:rPr>
        <w:t>secretariat of the Minamata Convention</w:t>
      </w:r>
      <w:r w:rsidR="00E67E4E" w:rsidRPr="00C611F5">
        <w:rPr>
          <w:rFonts w:eastAsia="MS Mincho"/>
        </w:rPr>
        <w:t xml:space="preserve"> would be delivered </w:t>
      </w:r>
      <w:r w:rsidR="00154A1D" w:rsidRPr="00C611F5">
        <w:rPr>
          <w:rFonts w:eastAsia="MS Mincho"/>
        </w:rPr>
        <w:t>within</w:t>
      </w:r>
      <w:r w:rsidR="00E67E4E" w:rsidRPr="00C611F5">
        <w:rPr>
          <w:rFonts w:eastAsia="MS Mincho"/>
        </w:rPr>
        <w:t xml:space="preserve"> </w:t>
      </w:r>
      <w:r w:rsidR="00813D3B" w:rsidRPr="00C611F5">
        <w:rPr>
          <w:rFonts w:eastAsia="MS Mincho"/>
        </w:rPr>
        <w:t xml:space="preserve">this </w:t>
      </w:r>
      <w:r w:rsidR="00E67E4E" w:rsidRPr="00C611F5">
        <w:rPr>
          <w:rFonts w:eastAsia="MS Mincho"/>
        </w:rPr>
        <w:t>structure</w:t>
      </w:r>
      <w:r w:rsidRPr="00C611F5">
        <w:rPr>
          <w:rFonts w:eastAsia="MS Mincho"/>
        </w:rPr>
        <w:t xml:space="preserve">. </w:t>
      </w:r>
      <w:r w:rsidR="00080DD9" w:rsidRPr="00C611F5">
        <w:rPr>
          <w:rFonts w:eastAsia="MS Mincho"/>
        </w:rPr>
        <w:t>T</w:t>
      </w:r>
      <w:r w:rsidRPr="00C611F5">
        <w:rPr>
          <w:rFonts w:eastAsia="MS Mincho"/>
        </w:rPr>
        <w:t xml:space="preserve">he current structure of the </w:t>
      </w:r>
      <w:r w:rsidR="00527290" w:rsidRPr="00C611F5">
        <w:rPr>
          <w:rFonts w:eastAsia="MS Mincho"/>
        </w:rPr>
        <w:t>secretariat of the Basel, Rotterdam and Stockholm conventions</w:t>
      </w:r>
      <w:r w:rsidRPr="00C611F5">
        <w:rPr>
          <w:rFonts w:eastAsia="MS Mincho"/>
        </w:rPr>
        <w:t xml:space="preserve"> is </w:t>
      </w:r>
      <w:r w:rsidR="00527290" w:rsidRPr="00C611F5">
        <w:rPr>
          <w:rFonts w:eastAsia="MS Mincho"/>
        </w:rPr>
        <w:t xml:space="preserve">set out in </w:t>
      </w:r>
      <w:r w:rsidRPr="00C611F5">
        <w:rPr>
          <w:rFonts w:eastAsia="MS Mincho"/>
        </w:rPr>
        <w:t xml:space="preserve">appendix 2 to </w:t>
      </w:r>
      <w:r w:rsidR="00527290" w:rsidRPr="00C611F5">
        <w:rPr>
          <w:rFonts w:eastAsia="MS Mincho"/>
        </w:rPr>
        <w:t xml:space="preserve">the present </w:t>
      </w:r>
      <w:r w:rsidRPr="00C611F5">
        <w:rPr>
          <w:rFonts w:eastAsia="MS Mincho"/>
        </w:rPr>
        <w:t xml:space="preserve">report. </w:t>
      </w:r>
    </w:p>
    <w:p w:rsidR="00080DD9" w:rsidRPr="00C611F5" w:rsidRDefault="00080DD9" w:rsidP="00595829">
      <w:pPr>
        <w:pStyle w:val="Normalnumber"/>
        <w:keepNext/>
        <w:keepLines/>
        <w:numPr>
          <w:ilvl w:val="0"/>
          <w:numId w:val="0"/>
        </w:numPr>
        <w:ind w:left="1247"/>
        <w:rPr>
          <w:rFonts w:eastAsia="MS Mincho"/>
          <w:b/>
          <w:bCs/>
        </w:rPr>
      </w:pPr>
      <w:r w:rsidRPr="00C611F5">
        <w:rPr>
          <w:rFonts w:eastAsia="MS Mincho"/>
          <w:b/>
          <w:bCs/>
        </w:rPr>
        <w:t>Staffing</w:t>
      </w:r>
    </w:p>
    <w:p w:rsidR="005D09A5" w:rsidRPr="00C611F5" w:rsidRDefault="00E04933" w:rsidP="00E7353B">
      <w:pPr>
        <w:pStyle w:val="Normalnumber"/>
        <w:keepNext/>
        <w:keepLines/>
        <w:numPr>
          <w:ilvl w:val="0"/>
          <w:numId w:val="5"/>
        </w:numPr>
        <w:tabs>
          <w:tab w:val="clear" w:pos="1247"/>
        </w:tabs>
        <w:ind w:left="1247" w:firstLine="0"/>
        <w:rPr>
          <w:rFonts w:eastAsia="MS Mincho"/>
        </w:rPr>
      </w:pPr>
      <w:r w:rsidRPr="00C611F5">
        <w:rPr>
          <w:rFonts w:eastAsia="MS Mincho"/>
        </w:rPr>
        <w:t xml:space="preserve">Under this </w:t>
      </w:r>
      <w:r w:rsidR="007F66C8" w:rsidRPr="00C611F5">
        <w:rPr>
          <w:rFonts w:eastAsia="MS Mincho"/>
        </w:rPr>
        <w:t>option</w:t>
      </w:r>
      <w:r w:rsidRPr="00C611F5">
        <w:rPr>
          <w:rFonts w:eastAsia="MS Mincho"/>
        </w:rPr>
        <w:t xml:space="preserve">, the </w:t>
      </w:r>
      <w:r w:rsidR="007F66C8" w:rsidRPr="00C611F5">
        <w:rPr>
          <w:rFonts w:eastAsia="MS Mincho"/>
        </w:rPr>
        <w:t xml:space="preserve">functions of the </w:t>
      </w:r>
      <w:r w:rsidR="00527290" w:rsidRPr="00C611F5">
        <w:rPr>
          <w:rFonts w:eastAsia="MS Mincho"/>
        </w:rPr>
        <w:t xml:space="preserve">secretariat of the </w:t>
      </w:r>
      <w:r w:rsidR="009C761C" w:rsidRPr="00C611F5">
        <w:rPr>
          <w:rFonts w:eastAsia="MS Mincho"/>
        </w:rPr>
        <w:t xml:space="preserve">Minamata Convention </w:t>
      </w:r>
      <w:r w:rsidRPr="00C611F5">
        <w:rPr>
          <w:rFonts w:eastAsia="MS Mincho"/>
        </w:rPr>
        <w:t xml:space="preserve">would be incorporated in the merged </w:t>
      </w:r>
      <w:r w:rsidR="00527290" w:rsidRPr="00C611F5">
        <w:rPr>
          <w:rFonts w:eastAsia="MS Mincho"/>
        </w:rPr>
        <w:t>secretariat</w:t>
      </w:r>
      <w:r w:rsidRPr="00C611F5">
        <w:rPr>
          <w:rFonts w:eastAsia="MS Mincho"/>
        </w:rPr>
        <w:t xml:space="preserve"> and the sharing of time and related costs </w:t>
      </w:r>
      <w:r w:rsidR="00813D3B" w:rsidRPr="00C611F5">
        <w:rPr>
          <w:rFonts w:eastAsia="MS Mincho"/>
        </w:rPr>
        <w:t>of all</w:t>
      </w:r>
      <w:r w:rsidRPr="00C611F5">
        <w:rPr>
          <w:rFonts w:eastAsia="MS Mincho"/>
        </w:rPr>
        <w:t xml:space="preserve"> posts</w:t>
      </w:r>
      <w:r w:rsidR="00813D3B" w:rsidRPr="00C611F5">
        <w:rPr>
          <w:rFonts w:eastAsia="MS Mincho"/>
        </w:rPr>
        <w:t xml:space="preserve"> in the merged </w:t>
      </w:r>
      <w:r w:rsidR="00527290" w:rsidRPr="00C611F5">
        <w:rPr>
          <w:rFonts w:eastAsia="MS Mincho"/>
        </w:rPr>
        <w:t>secretariat</w:t>
      </w:r>
      <w:r w:rsidRPr="00C611F5">
        <w:rPr>
          <w:rFonts w:eastAsia="MS Mincho"/>
        </w:rPr>
        <w:t xml:space="preserve"> would be determined and approved by the conferences of the parties to the four conventions. </w:t>
      </w:r>
      <w:r w:rsidR="002751E7" w:rsidRPr="00C611F5">
        <w:rPr>
          <w:rFonts w:eastAsia="MS Mincho"/>
        </w:rPr>
        <w:t>For example, it could be envisaged that the Minamata Convention pay for 20</w:t>
      </w:r>
      <w:r w:rsidR="00680E43" w:rsidRPr="00C611F5">
        <w:rPr>
          <w:rFonts w:eastAsia="MS Mincho"/>
        </w:rPr>
        <w:t xml:space="preserve"> per cent</w:t>
      </w:r>
      <w:r w:rsidR="002751E7" w:rsidRPr="00C611F5">
        <w:rPr>
          <w:rFonts w:eastAsia="MS Mincho"/>
        </w:rPr>
        <w:t xml:space="preserve"> of the </w:t>
      </w:r>
      <w:r w:rsidR="005B4B6C" w:rsidRPr="00C611F5">
        <w:rPr>
          <w:rFonts w:eastAsia="MS Mincho"/>
        </w:rPr>
        <w:t xml:space="preserve">post of the </w:t>
      </w:r>
      <w:r w:rsidR="002751E7" w:rsidRPr="00C611F5">
        <w:rPr>
          <w:rFonts w:eastAsia="MS Mincho"/>
        </w:rPr>
        <w:t xml:space="preserve">Executive Secretary and </w:t>
      </w:r>
      <w:r w:rsidR="005B4B6C" w:rsidRPr="00C611F5">
        <w:rPr>
          <w:rFonts w:eastAsia="MS Mincho"/>
        </w:rPr>
        <w:t xml:space="preserve">of </w:t>
      </w:r>
      <w:r w:rsidR="002751E7" w:rsidRPr="00C611F5">
        <w:rPr>
          <w:rFonts w:eastAsia="MS Mincho"/>
        </w:rPr>
        <w:t>the Deputy Executive Secretar</w:t>
      </w:r>
      <w:r w:rsidR="0053452E" w:rsidRPr="00C611F5">
        <w:rPr>
          <w:rFonts w:eastAsia="MS Mincho"/>
        </w:rPr>
        <w:t xml:space="preserve">y, as well as </w:t>
      </w:r>
      <w:r w:rsidR="0079568C" w:rsidRPr="00C611F5">
        <w:rPr>
          <w:rFonts w:eastAsia="MS Mincho"/>
        </w:rPr>
        <w:t>20</w:t>
      </w:r>
      <w:r w:rsidR="00680E43" w:rsidRPr="00C611F5">
        <w:rPr>
          <w:rFonts w:eastAsia="MS Mincho"/>
        </w:rPr>
        <w:t xml:space="preserve"> per cent</w:t>
      </w:r>
      <w:r w:rsidR="002751E7" w:rsidRPr="00C611F5">
        <w:rPr>
          <w:rFonts w:eastAsia="MS Mincho"/>
        </w:rPr>
        <w:t xml:space="preserve"> of the remaining </w:t>
      </w:r>
      <w:r w:rsidR="005B4B6C" w:rsidRPr="00C611F5">
        <w:rPr>
          <w:rFonts w:eastAsia="MS Mincho"/>
        </w:rPr>
        <w:t xml:space="preserve">posts </w:t>
      </w:r>
      <w:r w:rsidR="002751E7" w:rsidRPr="00C611F5">
        <w:rPr>
          <w:rFonts w:eastAsia="MS Mincho"/>
        </w:rPr>
        <w:t>currently budgeted in the general trust funds of the three conventions.</w:t>
      </w:r>
      <w:r w:rsidR="00813D3B" w:rsidRPr="00C611F5">
        <w:rPr>
          <w:rFonts w:eastAsia="MS Mincho"/>
        </w:rPr>
        <w:t xml:space="preserve"> </w:t>
      </w:r>
      <w:r w:rsidR="0053452E" w:rsidRPr="00C611F5">
        <w:rPr>
          <w:rFonts w:eastAsia="MS Mincho"/>
        </w:rPr>
        <w:t xml:space="preserve">The </w:t>
      </w:r>
      <w:r w:rsidR="004E21FC" w:rsidRPr="00C611F5">
        <w:rPr>
          <w:rFonts w:eastAsia="MS Mincho"/>
        </w:rPr>
        <w:t xml:space="preserve">percentage for the Minamata Convention </w:t>
      </w:r>
      <w:r w:rsidR="0053452E" w:rsidRPr="00C611F5">
        <w:rPr>
          <w:rFonts w:eastAsia="MS Mincho"/>
        </w:rPr>
        <w:t xml:space="preserve">staff </w:t>
      </w:r>
      <w:r w:rsidR="005B4B6C" w:rsidRPr="00C611F5">
        <w:rPr>
          <w:rFonts w:eastAsia="MS Mincho"/>
        </w:rPr>
        <w:t xml:space="preserve">posts </w:t>
      </w:r>
      <w:r w:rsidR="004058C3" w:rsidRPr="00C611F5">
        <w:rPr>
          <w:rFonts w:eastAsia="MS Mincho"/>
        </w:rPr>
        <w:t xml:space="preserve">has been </w:t>
      </w:r>
      <w:r w:rsidR="002C6AC5" w:rsidRPr="00C611F5">
        <w:rPr>
          <w:rFonts w:eastAsia="MS Mincho"/>
        </w:rPr>
        <w:t xml:space="preserve">determined </w:t>
      </w:r>
      <w:r w:rsidR="004336F9">
        <w:rPr>
          <w:rFonts w:eastAsia="MS Mincho"/>
        </w:rPr>
        <w:t>at 20 per cent</w:t>
      </w:r>
      <w:r w:rsidR="00D91DE3">
        <w:rPr>
          <w:rFonts w:eastAsia="MS Mincho"/>
        </w:rPr>
        <w:t>,</w:t>
      </w:r>
      <w:r w:rsidR="004336F9">
        <w:rPr>
          <w:rFonts w:eastAsia="MS Mincho"/>
        </w:rPr>
        <w:t xml:space="preserve"> </w:t>
      </w:r>
      <w:r w:rsidR="0045449C" w:rsidRPr="00C611F5">
        <w:rPr>
          <w:rFonts w:eastAsia="MS Mincho"/>
        </w:rPr>
        <w:t xml:space="preserve">taking into account </w:t>
      </w:r>
      <w:r w:rsidR="007D2046" w:rsidRPr="00C611F5">
        <w:rPr>
          <w:rFonts w:eastAsia="MS Mincho"/>
        </w:rPr>
        <w:t xml:space="preserve">the </w:t>
      </w:r>
      <w:r w:rsidR="00680E43" w:rsidRPr="00C611F5">
        <w:rPr>
          <w:rFonts w:eastAsia="MS Mincho"/>
        </w:rPr>
        <w:t xml:space="preserve">expected level of </w:t>
      </w:r>
      <w:r w:rsidR="00194FEC" w:rsidRPr="00C611F5">
        <w:rPr>
          <w:rFonts w:eastAsia="MS Mincho"/>
        </w:rPr>
        <w:t xml:space="preserve">activity </w:t>
      </w:r>
      <w:r w:rsidR="00680E43" w:rsidRPr="00C611F5">
        <w:rPr>
          <w:rFonts w:eastAsia="MS Mincho"/>
        </w:rPr>
        <w:t xml:space="preserve">of the </w:t>
      </w:r>
      <w:r w:rsidR="007D2046" w:rsidRPr="00C611F5">
        <w:rPr>
          <w:rFonts w:eastAsia="MS Mincho"/>
        </w:rPr>
        <w:t>respective conventions</w:t>
      </w:r>
      <w:r w:rsidR="0045449C" w:rsidRPr="00C611F5">
        <w:rPr>
          <w:rFonts w:eastAsia="MS Mincho"/>
        </w:rPr>
        <w:t>.</w:t>
      </w:r>
    </w:p>
    <w:p w:rsidR="009F7899" w:rsidRPr="00C611F5" w:rsidRDefault="00E04933" w:rsidP="00E7353B">
      <w:pPr>
        <w:pStyle w:val="Normalnumber"/>
        <w:numPr>
          <w:ilvl w:val="0"/>
          <w:numId w:val="5"/>
        </w:numPr>
        <w:tabs>
          <w:tab w:val="clear" w:pos="1247"/>
        </w:tabs>
        <w:ind w:left="1247" w:firstLine="0"/>
        <w:rPr>
          <w:rFonts w:eastAsia="MS Mincho"/>
        </w:rPr>
      </w:pPr>
      <w:r w:rsidRPr="00C611F5">
        <w:rPr>
          <w:rFonts w:eastAsia="MS Mincho"/>
        </w:rPr>
        <w:t xml:space="preserve">As a consequence, the functions of the Executive Secretary, Deputy Executive Secretary </w:t>
      </w:r>
      <w:r w:rsidR="00AF3C94" w:rsidRPr="00C611F5">
        <w:rPr>
          <w:rFonts w:eastAsia="MS Mincho"/>
        </w:rPr>
        <w:t xml:space="preserve">and </w:t>
      </w:r>
      <w:r w:rsidRPr="00C611F5">
        <w:rPr>
          <w:rFonts w:eastAsia="MS Mincho"/>
        </w:rPr>
        <w:t xml:space="preserve">Branch Chiefs, </w:t>
      </w:r>
      <w:r w:rsidR="004E21FC" w:rsidRPr="00C611F5">
        <w:rPr>
          <w:rFonts w:eastAsia="MS Mincho"/>
        </w:rPr>
        <w:t xml:space="preserve">as well as many functions </w:t>
      </w:r>
      <w:r w:rsidR="00E509F7" w:rsidRPr="00C611F5">
        <w:rPr>
          <w:rFonts w:eastAsia="MS Mincho"/>
        </w:rPr>
        <w:t xml:space="preserve">supporting more than one </w:t>
      </w:r>
      <w:r w:rsidR="00194FEC" w:rsidRPr="00C611F5">
        <w:rPr>
          <w:rFonts w:eastAsia="MS Mincho"/>
        </w:rPr>
        <w:t>c</w:t>
      </w:r>
      <w:r w:rsidR="00E509F7" w:rsidRPr="00C611F5">
        <w:rPr>
          <w:rFonts w:eastAsia="MS Mincho"/>
        </w:rPr>
        <w:t>onvention</w:t>
      </w:r>
      <w:r w:rsidR="00712B7E" w:rsidRPr="00C611F5">
        <w:rPr>
          <w:rFonts w:eastAsia="MS Mincho"/>
        </w:rPr>
        <w:t>,</w:t>
      </w:r>
      <w:r w:rsidR="00E509F7" w:rsidRPr="00C611F5">
        <w:rPr>
          <w:rFonts w:eastAsia="MS Mincho"/>
        </w:rPr>
        <w:t xml:space="preserve"> </w:t>
      </w:r>
      <w:r w:rsidR="004E21FC" w:rsidRPr="00C611F5">
        <w:rPr>
          <w:rFonts w:eastAsia="MS Mincho"/>
        </w:rPr>
        <w:t>such as</w:t>
      </w:r>
      <w:r w:rsidR="00CB087F" w:rsidRPr="00C611F5">
        <w:rPr>
          <w:rFonts w:eastAsia="MS Mincho"/>
        </w:rPr>
        <w:t xml:space="preserve"> </w:t>
      </w:r>
      <w:r w:rsidR="00E509F7" w:rsidRPr="00C611F5">
        <w:rPr>
          <w:rFonts w:eastAsia="MS Mincho"/>
        </w:rPr>
        <w:t>meetings coordination,</w:t>
      </w:r>
      <w:r w:rsidR="0079568C" w:rsidRPr="00C611F5">
        <w:rPr>
          <w:rFonts w:eastAsia="MS Mincho"/>
        </w:rPr>
        <w:t xml:space="preserve"> </w:t>
      </w:r>
      <w:r w:rsidR="00657394" w:rsidRPr="00C611F5">
        <w:rPr>
          <w:rFonts w:eastAsia="MS Mincho"/>
        </w:rPr>
        <w:t>legal</w:t>
      </w:r>
      <w:r w:rsidR="00E509F7" w:rsidRPr="00C611F5">
        <w:rPr>
          <w:rFonts w:eastAsia="MS Mincho"/>
        </w:rPr>
        <w:t xml:space="preserve"> and governance</w:t>
      </w:r>
      <w:r w:rsidR="004E21FC" w:rsidRPr="00C611F5">
        <w:rPr>
          <w:rFonts w:eastAsia="MS Mincho"/>
        </w:rPr>
        <w:t xml:space="preserve">, </w:t>
      </w:r>
      <w:r w:rsidR="0079568C" w:rsidRPr="00C611F5">
        <w:rPr>
          <w:rFonts w:eastAsia="MS Mincho"/>
        </w:rPr>
        <w:t xml:space="preserve">technical assistance and </w:t>
      </w:r>
      <w:r w:rsidR="00083982" w:rsidRPr="00C611F5">
        <w:rPr>
          <w:rFonts w:eastAsia="MS Mincho"/>
        </w:rPr>
        <w:t>capacity-building</w:t>
      </w:r>
      <w:r w:rsidR="0079568C" w:rsidRPr="00C611F5">
        <w:rPr>
          <w:rFonts w:eastAsia="MS Mincho"/>
        </w:rPr>
        <w:t xml:space="preserve">, scientific support, </w:t>
      </w:r>
      <w:r w:rsidR="004E21FC" w:rsidRPr="00C611F5">
        <w:rPr>
          <w:rFonts w:eastAsia="MS Mincho"/>
        </w:rPr>
        <w:t>outreach and public awareness,</w:t>
      </w:r>
      <w:r w:rsidR="008C2603" w:rsidRPr="00C611F5">
        <w:rPr>
          <w:rFonts w:eastAsia="MS Mincho"/>
        </w:rPr>
        <w:t xml:space="preserve"> </w:t>
      </w:r>
      <w:r w:rsidR="004E21FC" w:rsidRPr="00C611F5">
        <w:rPr>
          <w:rFonts w:eastAsia="MS Mincho"/>
        </w:rPr>
        <w:t>information management and technology</w:t>
      </w:r>
      <w:r w:rsidR="009211DC" w:rsidRPr="00C611F5">
        <w:rPr>
          <w:rFonts w:eastAsia="MS Mincho"/>
        </w:rPr>
        <w:t xml:space="preserve">, </w:t>
      </w:r>
      <w:r w:rsidR="00B24C91" w:rsidRPr="00C611F5">
        <w:rPr>
          <w:rFonts w:eastAsia="MS Mincho"/>
        </w:rPr>
        <w:t>administration, finance</w:t>
      </w:r>
      <w:r w:rsidR="0079568C" w:rsidRPr="00C611F5">
        <w:rPr>
          <w:rFonts w:eastAsia="MS Mincho"/>
        </w:rPr>
        <w:t>, human resources</w:t>
      </w:r>
      <w:r w:rsidR="00B24C91" w:rsidRPr="00C611F5">
        <w:rPr>
          <w:rFonts w:eastAsia="MS Mincho"/>
        </w:rPr>
        <w:t xml:space="preserve"> </w:t>
      </w:r>
      <w:r w:rsidR="009211DC" w:rsidRPr="00C611F5">
        <w:rPr>
          <w:rFonts w:eastAsia="MS Mincho"/>
        </w:rPr>
        <w:t>and resource mobilization</w:t>
      </w:r>
      <w:r w:rsidR="004E21FC" w:rsidRPr="00C611F5">
        <w:rPr>
          <w:rFonts w:eastAsia="MS Mincho"/>
        </w:rPr>
        <w:t xml:space="preserve"> could be sourced from existing staff, with cost-sharing by the Minamata Convention.</w:t>
      </w:r>
    </w:p>
    <w:p w:rsidR="00065D79" w:rsidRPr="00C611F5" w:rsidRDefault="00E04933" w:rsidP="00E7353B">
      <w:pPr>
        <w:pStyle w:val="Normalnumber"/>
        <w:numPr>
          <w:ilvl w:val="0"/>
          <w:numId w:val="5"/>
        </w:numPr>
        <w:tabs>
          <w:tab w:val="clear" w:pos="1247"/>
        </w:tabs>
        <w:ind w:left="1247" w:firstLine="0"/>
        <w:rPr>
          <w:rFonts w:eastAsia="MS Mincho"/>
        </w:rPr>
      </w:pPr>
      <w:r w:rsidRPr="00C611F5">
        <w:rPr>
          <w:rFonts w:eastAsia="MS Mincho"/>
        </w:rPr>
        <w:t>In terms of additional staff</w:t>
      </w:r>
      <w:r w:rsidR="00A03997" w:rsidRPr="00C611F5">
        <w:rPr>
          <w:rFonts w:eastAsia="MS Mincho"/>
        </w:rPr>
        <w:t xml:space="preserve"> </w:t>
      </w:r>
      <w:r w:rsidR="00075373" w:rsidRPr="00C611F5">
        <w:rPr>
          <w:rFonts w:eastAsia="MS Mincho"/>
        </w:rPr>
        <w:t xml:space="preserve">to </w:t>
      </w:r>
      <w:r w:rsidR="00A03997" w:rsidRPr="00C611F5">
        <w:rPr>
          <w:rFonts w:eastAsia="MS Mincho"/>
        </w:rPr>
        <w:t xml:space="preserve">the </w:t>
      </w:r>
      <w:r w:rsidR="00527290" w:rsidRPr="00C611F5">
        <w:rPr>
          <w:rFonts w:eastAsia="MS Mincho"/>
        </w:rPr>
        <w:t>secretariat of the Basel, Rotterdam and Stockholm conventions</w:t>
      </w:r>
      <w:r w:rsidR="008A1072" w:rsidRPr="00C611F5">
        <w:rPr>
          <w:rFonts w:eastAsia="MS Mincho"/>
        </w:rPr>
        <w:t xml:space="preserve"> and </w:t>
      </w:r>
      <w:r w:rsidR="00075373" w:rsidRPr="00C611F5">
        <w:rPr>
          <w:rFonts w:eastAsia="MS Mincho"/>
        </w:rPr>
        <w:t>based on an</w:t>
      </w:r>
      <w:r w:rsidR="008A1072" w:rsidRPr="00C611F5">
        <w:rPr>
          <w:rFonts w:eastAsia="MS Mincho"/>
        </w:rPr>
        <w:t>alysis</w:t>
      </w:r>
      <w:r w:rsidR="00712B7E" w:rsidRPr="00C611F5">
        <w:rPr>
          <w:rFonts w:eastAsia="MS Mincho"/>
        </w:rPr>
        <w:t>,</w:t>
      </w:r>
      <w:r w:rsidR="008A1072" w:rsidRPr="00C611F5">
        <w:rPr>
          <w:rFonts w:eastAsia="MS Mincho"/>
        </w:rPr>
        <w:t xml:space="preserve"> the </w:t>
      </w:r>
      <w:r w:rsidRPr="00C611F5">
        <w:rPr>
          <w:rFonts w:eastAsia="MS Mincho"/>
        </w:rPr>
        <w:t>following new positions</w:t>
      </w:r>
      <w:r w:rsidR="00201BA7" w:rsidRPr="00C611F5">
        <w:rPr>
          <w:rFonts w:eastAsia="MS Mincho"/>
        </w:rPr>
        <w:t xml:space="preserve"> </w:t>
      </w:r>
      <w:r w:rsidR="00065D79" w:rsidRPr="00C611F5">
        <w:rPr>
          <w:rFonts w:eastAsia="MS Mincho"/>
        </w:rPr>
        <w:t xml:space="preserve">are </w:t>
      </w:r>
      <w:r w:rsidR="008A1072" w:rsidRPr="00C611F5">
        <w:rPr>
          <w:rFonts w:eastAsia="MS Mincho"/>
        </w:rPr>
        <w:t xml:space="preserve">expected to be </w:t>
      </w:r>
      <w:r w:rsidR="00BD3F80" w:rsidRPr="00C611F5">
        <w:rPr>
          <w:rFonts w:eastAsia="MS Mincho"/>
        </w:rPr>
        <w:t>required</w:t>
      </w:r>
      <w:r w:rsidR="001D7548" w:rsidRPr="00C611F5">
        <w:rPr>
          <w:rFonts w:eastAsia="MS Mincho"/>
        </w:rPr>
        <w:t xml:space="preserve"> </w:t>
      </w:r>
      <w:r w:rsidR="004E21FC" w:rsidRPr="00C611F5">
        <w:rPr>
          <w:rFonts w:eastAsia="MS Mincho"/>
        </w:rPr>
        <w:t>for programmatic support to the Minamata Convention work</w:t>
      </w:r>
      <w:r w:rsidRPr="00C611F5">
        <w:rPr>
          <w:rFonts w:eastAsia="MS Mincho"/>
        </w:rPr>
        <w:t xml:space="preserve">: </w:t>
      </w:r>
      <w:r w:rsidR="008A1072" w:rsidRPr="00C611F5">
        <w:rPr>
          <w:rFonts w:eastAsia="MS Mincho"/>
        </w:rPr>
        <w:t>one P-4 (scientific)</w:t>
      </w:r>
      <w:r w:rsidR="00FF588E" w:rsidRPr="00C611F5">
        <w:rPr>
          <w:rFonts w:eastAsia="MS Mincho"/>
        </w:rPr>
        <w:t>,</w:t>
      </w:r>
      <w:r w:rsidR="008A1072" w:rsidRPr="00C611F5">
        <w:rPr>
          <w:rFonts w:eastAsia="MS Mincho"/>
        </w:rPr>
        <w:t xml:space="preserve"> </w:t>
      </w:r>
      <w:r w:rsidR="00A54968" w:rsidRPr="00C611F5">
        <w:rPr>
          <w:rFonts w:eastAsia="MS Mincho"/>
        </w:rPr>
        <w:t xml:space="preserve">one </w:t>
      </w:r>
      <w:r w:rsidRPr="00C611F5">
        <w:rPr>
          <w:rFonts w:eastAsia="MS Mincho"/>
        </w:rPr>
        <w:t>P-3 (</w:t>
      </w:r>
      <w:r w:rsidR="00A54968" w:rsidRPr="00C611F5">
        <w:rPr>
          <w:rFonts w:eastAsia="MS Mincho"/>
        </w:rPr>
        <w:t>technical assistance</w:t>
      </w:r>
      <w:r w:rsidR="00A45DB7" w:rsidRPr="00C611F5">
        <w:rPr>
          <w:rFonts w:eastAsia="MS Mincho"/>
        </w:rPr>
        <w:t xml:space="preserve">), </w:t>
      </w:r>
      <w:r w:rsidR="00A54968" w:rsidRPr="00C611F5">
        <w:rPr>
          <w:rFonts w:eastAsia="MS Mincho"/>
        </w:rPr>
        <w:t xml:space="preserve">one </w:t>
      </w:r>
      <w:r w:rsidRPr="00C611F5">
        <w:rPr>
          <w:rFonts w:eastAsia="MS Mincho"/>
        </w:rPr>
        <w:t>P-3 (</w:t>
      </w:r>
      <w:r w:rsidR="00A54968" w:rsidRPr="00C611F5">
        <w:rPr>
          <w:rFonts w:eastAsia="MS Mincho"/>
        </w:rPr>
        <w:t xml:space="preserve">meeting coordination) and </w:t>
      </w:r>
      <w:r w:rsidR="00DB267F" w:rsidRPr="00C611F5">
        <w:rPr>
          <w:rFonts w:eastAsia="MS Mincho"/>
        </w:rPr>
        <w:t>two</w:t>
      </w:r>
      <w:r w:rsidR="00A54968" w:rsidRPr="00C611F5">
        <w:rPr>
          <w:rFonts w:eastAsia="MS Mincho"/>
        </w:rPr>
        <w:t xml:space="preserve"> </w:t>
      </w:r>
      <w:r w:rsidR="00D34B24" w:rsidRPr="00C611F5">
        <w:rPr>
          <w:rFonts w:eastAsia="MS Mincho"/>
        </w:rPr>
        <w:t>G</w:t>
      </w:r>
      <w:r w:rsidR="00A54968" w:rsidRPr="00C611F5">
        <w:rPr>
          <w:rFonts w:eastAsia="MS Mincho"/>
        </w:rPr>
        <w:t xml:space="preserve">eneral </w:t>
      </w:r>
      <w:r w:rsidR="00D34B24" w:rsidRPr="00C611F5">
        <w:rPr>
          <w:rFonts w:eastAsia="MS Mincho"/>
        </w:rPr>
        <w:t>S</w:t>
      </w:r>
      <w:r w:rsidR="00A54968" w:rsidRPr="00C611F5">
        <w:rPr>
          <w:rFonts w:eastAsia="MS Mincho"/>
        </w:rPr>
        <w:t xml:space="preserve">ervice </w:t>
      </w:r>
      <w:r w:rsidR="005B4B6C" w:rsidRPr="00C611F5">
        <w:rPr>
          <w:rFonts w:eastAsia="MS Mincho"/>
        </w:rPr>
        <w:t>posts</w:t>
      </w:r>
      <w:r w:rsidR="00A54968" w:rsidRPr="00C611F5">
        <w:rPr>
          <w:rFonts w:eastAsia="MS Mincho"/>
        </w:rPr>
        <w:t xml:space="preserve">. </w:t>
      </w:r>
      <w:r w:rsidR="002751E7" w:rsidRPr="00C611F5">
        <w:rPr>
          <w:rFonts w:eastAsia="MS Mincho"/>
        </w:rPr>
        <w:t xml:space="preserve">These </w:t>
      </w:r>
      <w:r w:rsidR="002C4AC1" w:rsidRPr="00C611F5">
        <w:rPr>
          <w:rFonts w:eastAsia="MS Mincho"/>
        </w:rPr>
        <w:t>posts</w:t>
      </w:r>
      <w:r w:rsidR="002751E7" w:rsidRPr="00C611F5">
        <w:rPr>
          <w:rFonts w:eastAsia="MS Mincho"/>
        </w:rPr>
        <w:t xml:space="preserve"> </w:t>
      </w:r>
      <w:r w:rsidR="002C4AC1" w:rsidRPr="00C611F5">
        <w:rPr>
          <w:rFonts w:eastAsia="MS Mincho"/>
        </w:rPr>
        <w:t>imply</w:t>
      </w:r>
      <w:r w:rsidR="002751E7" w:rsidRPr="00C611F5">
        <w:rPr>
          <w:rFonts w:eastAsia="MS Mincho"/>
        </w:rPr>
        <w:t xml:space="preserve"> additional costs to parties to the </w:t>
      </w:r>
      <w:r w:rsidR="002C4AC1" w:rsidRPr="00C611F5">
        <w:rPr>
          <w:rFonts w:eastAsia="MS Mincho"/>
        </w:rPr>
        <w:t>four</w:t>
      </w:r>
      <w:r w:rsidR="002751E7" w:rsidRPr="00C611F5">
        <w:rPr>
          <w:rFonts w:eastAsia="MS Mincho"/>
        </w:rPr>
        <w:t xml:space="preserve"> conventions, but would also be covered by the cost-sharing arrangement under the four conventions</w:t>
      </w:r>
      <w:r w:rsidR="006F6157" w:rsidRPr="00C611F5">
        <w:rPr>
          <w:rFonts w:eastAsia="MS Mincho"/>
        </w:rPr>
        <w:t>, i.e. the Minamata Convention would be expected to cover the agreed percentage of these posts</w:t>
      </w:r>
      <w:r w:rsidR="004E21FC" w:rsidRPr="00C611F5">
        <w:rPr>
          <w:rFonts w:eastAsia="MS Mincho"/>
        </w:rPr>
        <w:t>.</w:t>
      </w:r>
      <w:r w:rsidR="008C2603" w:rsidRPr="00C611F5">
        <w:rPr>
          <w:rFonts w:eastAsia="MS Mincho"/>
        </w:rPr>
        <w:t xml:space="preserve"> </w:t>
      </w:r>
      <w:r w:rsidR="007D3F1B" w:rsidRPr="00C611F5">
        <w:rPr>
          <w:rFonts w:eastAsia="MS Mincho"/>
        </w:rPr>
        <w:t xml:space="preserve"> </w:t>
      </w:r>
    </w:p>
    <w:p w:rsidR="00080DD9" w:rsidRPr="00C611F5" w:rsidRDefault="00CE29D4" w:rsidP="006374B5">
      <w:pPr>
        <w:pStyle w:val="Normalnumber"/>
        <w:numPr>
          <w:ilvl w:val="0"/>
          <w:numId w:val="0"/>
        </w:numPr>
        <w:ind w:left="1276"/>
        <w:rPr>
          <w:rFonts w:eastAsia="MS Mincho"/>
        </w:rPr>
      </w:pPr>
      <w:r w:rsidRPr="00C611F5">
        <w:rPr>
          <w:rFonts w:eastAsia="MS Mincho"/>
          <w:b/>
          <w:bCs/>
        </w:rPr>
        <w:t>Analysis</w:t>
      </w:r>
    </w:p>
    <w:p w:rsidR="005D09A5" w:rsidRPr="00C611F5" w:rsidRDefault="00CE29D4" w:rsidP="00EB66CA">
      <w:pPr>
        <w:pStyle w:val="Normalnumber"/>
        <w:numPr>
          <w:ilvl w:val="0"/>
          <w:numId w:val="5"/>
        </w:numPr>
        <w:tabs>
          <w:tab w:val="clear" w:pos="1247"/>
        </w:tabs>
        <w:ind w:left="1247" w:firstLine="0"/>
        <w:rPr>
          <w:rFonts w:eastAsia="MS Mincho"/>
        </w:rPr>
      </w:pPr>
      <w:r w:rsidRPr="00C611F5">
        <w:rPr>
          <w:rFonts w:eastAsia="MS Mincho"/>
        </w:rPr>
        <w:t xml:space="preserve">The </w:t>
      </w:r>
      <w:r w:rsidR="00316FBA" w:rsidRPr="00C611F5">
        <w:rPr>
          <w:rFonts w:eastAsia="MS Mincho"/>
        </w:rPr>
        <w:t xml:space="preserve">Minamata Convention </w:t>
      </w:r>
      <w:r w:rsidRPr="00C611F5">
        <w:rPr>
          <w:rFonts w:eastAsia="MS Mincho"/>
        </w:rPr>
        <w:t xml:space="preserve">would </w:t>
      </w:r>
      <w:r w:rsidR="00F15F78" w:rsidRPr="00C611F5">
        <w:rPr>
          <w:rFonts w:eastAsia="MS Mincho"/>
        </w:rPr>
        <w:t xml:space="preserve">be integrated into </w:t>
      </w:r>
      <w:r w:rsidRPr="00C611F5">
        <w:rPr>
          <w:rFonts w:eastAsia="MS Mincho"/>
        </w:rPr>
        <w:t xml:space="preserve">the </w:t>
      </w:r>
      <w:r w:rsidR="004C6B6A" w:rsidRPr="00C611F5">
        <w:rPr>
          <w:rFonts w:eastAsia="MS Mincho"/>
        </w:rPr>
        <w:t xml:space="preserve">matrix-based management approach applied </w:t>
      </w:r>
      <w:r w:rsidR="00342428" w:rsidRPr="00C611F5">
        <w:rPr>
          <w:rFonts w:eastAsia="MS Mincho"/>
        </w:rPr>
        <w:t xml:space="preserve">by </w:t>
      </w:r>
      <w:r w:rsidR="004C6B6A" w:rsidRPr="00C611F5">
        <w:rPr>
          <w:rFonts w:eastAsia="MS Mincho"/>
        </w:rPr>
        <w:t xml:space="preserve">the </w:t>
      </w:r>
      <w:r w:rsidR="00527290" w:rsidRPr="00C611F5">
        <w:rPr>
          <w:rFonts w:eastAsia="MS Mincho"/>
        </w:rPr>
        <w:t>secretariat of the Basel, Rotterdam and Stockholm conventions</w:t>
      </w:r>
      <w:r w:rsidR="004C6B6A" w:rsidRPr="00C611F5">
        <w:rPr>
          <w:rFonts w:eastAsia="MS Mincho"/>
        </w:rPr>
        <w:t xml:space="preserve"> and </w:t>
      </w:r>
      <w:r w:rsidR="002F341C" w:rsidRPr="00C611F5">
        <w:rPr>
          <w:rFonts w:eastAsia="MS Mincho"/>
        </w:rPr>
        <w:t xml:space="preserve">would benefit </w:t>
      </w:r>
      <w:r w:rsidR="004C6B6A" w:rsidRPr="00C611F5">
        <w:rPr>
          <w:rFonts w:eastAsia="MS Mincho"/>
        </w:rPr>
        <w:t xml:space="preserve">from working </w:t>
      </w:r>
      <w:r w:rsidR="009120AC" w:rsidRPr="00C611F5">
        <w:rPr>
          <w:rFonts w:eastAsia="MS Mincho"/>
        </w:rPr>
        <w:t xml:space="preserve">in </w:t>
      </w:r>
      <w:r w:rsidR="004C6B6A" w:rsidRPr="00C611F5">
        <w:rPr>
          <w:rFonts w:eastAsia="MS Mincho"/>
        </w:rPr>
        <w:t xml:space="preserve">an integrated manner while </w:t>
      </w:r>
      <w:r w:rsidR="00034BC4" w:rsidRPr="00C611F5">
        <w:rPr>
          <w:rFonts w:eastAsia="MS Mincho"/>
        </w:rPr>
        <w:t xml:space="preserve">the </w:t>
      </w:r>
      <w:r w:rsidR="004C6B6A" w:rsidRPr="00C611F5">
        <w:rPr>
          <w:rFonts w:eastAsia="MS Mincho"/>
        </w:rPr>
        <w:t xml:space="preserve">legal autonomy of </w:t>
      </w:r>
      <w:r w:rsidR="00034BC4" w:rsidRPr="00C611F5">
        <w:rPr>
          <w:rFonts w:eastAsia="MS Mincho"/>
        </w:rPr>
        <w:t xml:space="preserve">each of </w:t>
      </w:r>
      <w:r w:rsidR="004C6B6A" w:rsidRPr="00C611F5">
        <w:rPr>
          <w:rFonts w:eastAsia="MS Mincho"/>
        </w:rPr>
        <w:t>the conventions and related programmes of work</w:t>
      </w:r>
      <w:r w:rsidR="002F341C" w:rsidRPr="00C611F5">
        <w:rPr>
          <w:rFonts w:eastAsia="MS Mincho"/>
        </w:rPr>
        <w:t xml:space="preserve"> was maintained</w:t>
      </w:r>
      <w:r w:rsidR="004C6B6A" w:rsidRPr="00C611F5">
        <w:rPr>
          <w:rFonts w:eastAsia="MS Mincho"/>
        </w:rPr>
        <w:t xml:space="preserve">. </w:t>
      </w:r>
      <w:r w:rsidR="00CC08C3" w:rsidRPr="00C611F5">
        <w:rPr>
          <w:rFonts w:eastAsia="MS Mincho"/>
        </w:rPr>
        <w:t>It</w:t>
      </w:r>
      <w:r w:rsidR="008E2339" w:rsidRPr="00C611F5">
        <w:rPr>
          <w:rFonts w:eastAsia="MS Mincho"/>
        </w:rPr>
        <w:t xml:space="preserve"> would </w:t>
      </w:r>
      <w:r w:rsidR="00CC08C3" w:rsidRPr="00C611F5">
        <w:rPr>
          <w:rFonts w:eastAsia="MS Mincho"/>
        </w:rPr>
        <w:t xml:space="preserve">also </w:t>
      </w:r>
      <w:r w:rsidR="008E2339" w:rsidRPr="00C611F5">
        <w:rPr>
          <w:rFonts w:eastAsia="MS Mincho"/>
        </w:rPr>
        <w:t>benefit</w:t>
      </w:r>
      <w:r w:rsidR="004C6B6A" w:rsidRPr="00C611F5">
        <w:rPr>
          <w:rFonts w:eastAsia="MS Mincho"/>
        </w:rPr>
        <w:t xml:space="preserve"> from the</w:t>
      </w:r>
      <w:r w:rsidR="00863DAC" w:rsidRPr="00C611F5">
        <w:rPr>
          <w:rFonts w:eastAsia="MS Mincho"/>
        </w:rPr>
        <w:t xml:space="preserve"> </w:t>
      </w:r>
      <w:r w:rsidR="009B2284" w:rsidRPr="00C611F5">
        <w:rPr>
          <w:rFonts w:eastAsia="MS Mincho"/>
        </w:rPr>
        <w:t xml:space="preserve">structure of the secretariat </w:t>
      </w:r>
      <w:r w:rsidR="009C3D93" w:rsidRPr="00C611F5">
        <w:rPr>
          <w:rFonts w:eastAsia="MS Mincho"/>
        </w:rPr>
        <w:t xml:space="preserve">clustered in three areas </w:t>
      </w:r>
      <w:r w:rsidR="004C6B6A" w:rsidRPr="00C611F5">
        <w:rPr>
          <w:rFonts w:eastAsia="MS Mincho"/>
        </w:rPr>
        <w:t xml:space="preserve">(scientific, technical assistance </w:t>
      </w:r>
      <w:r w:rsidR="009C3D93" w:rsidRPr="00C611F5">
        <w:rPr>
          <w:rFonts w:eastAsia="MS Mincho"/>
        </w:rPr>
        <w:t>and</w:t>
      </w:r>
      <w:r w:rsidR="004C6B6A" w:rsidRPr="00C611F5">
        <w:rPr>
          <w:rFonts w:eastAsia="MS Mincho"/>
        </w:rPr>
        <w:t xml:space="preserve"> </w:t>
      </w:r>
      <w:r w:rsidR="00131ED2" w:rsidRPr="00C611F5">
        <w:rPr>
          <w:rFonts w:eastAsia="MS Mincho"/>
        </w:rPr>
        <w:t>conventions operations</w:t>
      </w:r>
      <w:r w:rsidR="004C6B6A" w:rsidRPr="00C611F5">
        <w:rPr>
          <w:rFonts w:eastAsia="MS Mincho"/>
        </w:rPr>
        <w:t>)</w:t>
      </w:r>
      <w:r w:rsidR="00FF588E" w:rsidRPr="00C611F5">
        <w:rPr>
          <w:rFonts w:eastAsia="MS Mincho"/>
        </w:rPr>
        <w:t>,</w:t>
      </w:r>
      <w:r w:rsidR="004C6B6A" w:rsidRPr="00C611F5">
        <w:rPr>
          <w:rFonts w:eastAsia="MS Mincho"/>
        </w:rPr>
        <w:t xml:space="preserve"> as well as </w:t>
      </w:r>
      <w:r w:rsidRPr="00C611F5">
        <w:rPr>
          <w:rFonts w:eastAsia="MS Mincho"/>
        </w:rPr>
        <w:t xml:space="preserve">the administrative </w:t>
      </w:r>
      <w:r w:rsidR="004E21FC" w:rsidRPr="00C611F5">
        <w:rPr>
          <w:rFonts w:eastAsia="MS Mincho"/>
        </w:rPr>
        <w:t>and other</w:t>
      </w:r>
      <w:r w:rsidR="00E6724B" w:rsidRPr="00C611F5">
        <w:rPr>
          <w:rFonts w:eastAsia="MS Mincho"/>
        </w:rPr>
        <w:t xml:space="preserve"> services</w:t>
      </w:r>
      <w:r w:rsidR="009B2284" w:rsidRPr="00C611F5">
        <w:rPr>
          <w:rFonts w:eastAsia="MS Mincho"/>
        </w:rPr>
        <w:t xml:space="preserve"> offered</w:t>
      </w:r>
      <w:r w:rsidR="00131ED2" w:rsidRPr="00C611F5">
        <w:rPr>
          <w:rFonts w:eastAsia="MS Mincho"/>
        </w:rPr>
        <w:t xml:space="preserve"> by the Executive Office</w:t>
      </w:r>
      <w:r w:rsidR="00CC08C3" w:rsidRPr="00C611F5">
        <w:rPr>
          <w:rFonts w:eastAsia="MS Mincho"/>
        </w:rPr>
        <w:t xml:space="preserve"> in areas</w:t>
      </w:r>
      <w:r w:rsidRPr="00C611F5">
        <w:rPr>
          <w:rFonts w:eastAsia="MS Mincho"/>
        </w:rPr>
        <w:t xml:space="preserve"> </w:t>
      </w:r>
      <w:r w:rsidR="009B2284" w:rsidRPr="00C611F5">
        <w:rPr>
          <w:rFonts w:eastAsia="MS Mincho"/>
        </w:rPr>
        <w:t xml:space="preserve">such </w:t>
      </w:r>
      <w:r w:rsidRPr="00C611F5">
        <w:rPr>
          <w:rFonts w:eastAsia="MS Mincho"/>
        </w:rPr>
        <w:t xml:space="preserve">as </w:t>
      </w:r>
      <w:r w:rsidR="0079568C" w:rsidRPr="00C611F5">
        <w:rPr>
          <w:rFonts w:eastAsia="MS Mincho"/>
        </w:rPr>
        <w:t xml:space="preserve">administration, </w:t>
      </w:r>
      <w:r w:rsidR="009B2284" w:rsidRPr="00C611F5">
        <w:rPr>
          <w:rFonts w:eastAsia="MS Mincho"/>
        </w:rPr>
        <w:t xml:space="preserve">finance, human resources </w:t>
      </w:r>
      <w:r w:rsidR="00131ED2" w:rsidRPr="00C611F5">
        <w:rPr>
          <w:rFonts w:eastAsia="MS Mincho"/>
        </w:rPr>
        <w:t xml:space="preserve">and </w:t>
      </w:r>
      <w:r w:rsidR="00CD5583" w:rsidRPr="00C611F5">
        <w:rPr>
          <w:rFonts w:eastAsia="MS Mincho"/>
        </w:rPr>
        <w:t xml:space="preserve">resource mobilization. </w:t>
      </w:r>
      <w:r w:rsidR="006948BA" w:rsidRPr="00C611F5">
        <w:rPr>
          <w:rFonts w:eastAsia="MS Mincho"/>
        </w:rPr>
        <w:t xml:space="preserve">The Minamata Convention would </w:t>
      </w:r>
      <w:r w:rsidR="00CD5583" w:rsidRPr="00C611F5">
        <w:rPr>
          <w:rFonts w:eastAsia="MS Mincho"/>
        </w:rPr>
        <w:t xml:space="preserve">be integrated into </w:t>
      </w:r>
      <w:r w:rsidR="00342428" w:rsidRPr="00C611F5">
        <w:rPr>
          <w:rFonts w:eastAsia="MS Mincho"/>
        </w:rPr>
        <w:t xml:space="preserve">the </w:t>
      </w:r>
      <w:r w:rsidR="00527290" w:rsidRPr="00C611F5">
        <w:rPr>
          <w:rFonts w:eastAsia="MS Mincho"/>
        </w:rPr>
        <w:t>secretariat of the Basel, Rotterdam and Stockholm conventions</w:t>
      </w:r>
      <w:r w:rsidR="00342428" w:rsidRPr="00C611F5">
        <w:rPr>
          <w:rFonts w:eastAsia="MS Mincho"/>
        </w:rPr>
        <w:t>,</w:t>
      </w:r>
      <w:r w:rsidR="00342428" w:rsidRPr="00C611F5">
        <w:rPr>
          <w:rFonts w:eastAsia="MS Mincho"/>
          <w:b/>
        </w:rPr>
        <w:t xml:space="preserve"> </w:t>
      </w:r>
      <w:r w:rsidR="00342428" w:rsidRPr="00C611F5">
        <w:rPr>
          <w:rFonts w:eastAsia="MS Mincho"/>
        </w:rPr>
        <w:t xml:space="preserve">which </w:t>
      </w:r>
      <w:r w:rsidR="008E2339" w:rsidRPr="00C611F5">
        <w:rPr>
          <w:rFonts w:eastAsia="MS Mincho"/>
        </w:rPr>
        <w:t xml:space="preserve">has </w:t>
      </w:r>
      <w:r w:rsidR="00500E5F" w:rsidRPr="00C611F5">
        <w:rPr>
          <w:rFonts w:eastAsia="MS Mincho"/>
        </w:rPr>
        <w:t xml:space="preserve">been </w:t>
      </w:r>
      <w:r w:rsidR="006948BA" w:rsidRPr="00C611F5">
        <w:rPr>
          <w:rFonts w:eastAsia="MS Mincho"/>
        </w:rPr>
        <w:t>running since 2012</w:t>
      </w:r>
      <w:r w:rsidR="00342428" w:rsidRPr="00C611F5">
        <w:rPr>
          <w:rFonts w:eastAsia="MS Mincho"/>
        </w:rPr>
        <w:t xml:space="preserve"> and is</w:t>
      </w:r>
      <w:r w:rsidR="006948BA" w:rsidRPr="00C611F5">
        <w:rPr>
          <w:rFonts w:eastAsia="MS Mincho"/>
        </w:rPr>
        <w:t xml:space="preserve"> accustomed to operating diverse multilateral environmental </w:t>
      </w:r>
      <w:r w:rsidR="00500E5F" w:rsidRPr="00C611F5">
        <w:rPr>
          <w:rFonts w:eastAsia="MS Mincho"/>
        </w:rPr>
        <w:t>agreements</w:t>
      </w:r>
      <w:r w:rsidR="006948BA" w:rsidRPr="00C611F5">
        <w:rPr>
          <w:rFonts w:eastAsia="MS Mincho"/>
        </w:rPr>
        <w:t xml:space="preserve"> in the chemicals and waste cluster. </w:t>
      </w:r>
    </w:p>
    <w:p w:rsidR="007E67E6" w:rsidRPr="00C611F5" w:rsidRDefault="00607224" w:rsidP="00EB66CA">
      <w:pPr>
        <w:pStyle w:val="Normalnumber"/>
        <w:numPr>
          <w:ilvl w:val="0"/>
          <w:numId w:val="5"/>
        </w:numPr>
        <w:tabs>
          <w:tab w:val="clear" w:pos="1247"/>
        </w:tabs>
        <w:ind w:left="1247" w:firstLine="0"/>
        <w:rPr>
          <w:rFonts w:eastAsia="MS Mincho"/>
        </w:rPr>
      </w:pPr>
      <w:r w:rsidRPr="00C611F5">
        <w:rPr>
          <w:rFonts w:eastAsia="MS Mincho"/>
        </w:rPr>
        <w:t>Under this option, the number of additional staff required</w:t>
      </w:r>
      <w:r w:rsidR="000031E3" w:rsidRPr="00C611F5">
        <w:rPr>
          <w:rFonts w:eastAsia="MS Mincho"/>
        </w:rPr>
        <w:t xml:space="preserve"> </w:t>
      </w:r>
      <w:r w:rsidR="004E21FC" w:rsidRPr="00C611F5">
        <w:rPr>
          <w:rFonts w:eastAsia="MS Mincho"/>
        </w:rPr>
        <w:t>to serve the Minamata Convention</w:t>
      </w:r>
      <w:r w:rsidRPr="00C611F5">
        <w:rPr>
          <w:rFonts w:eastAsia="MS Mincho"/>
        </w:rPr>
        <w:t xml:space="preserve"> is limited, as </w:t>
      </w:r>
      <w:r w:rsidR="00034BC4" w:rsidRPr="00C611F5">
        <w:rPr>
          <w:rFonts w:eastAsia="MS Mincho"/>
        </w:rPr>
        <w:t xml:space="preserve">the </w:t>
      </w:r>
      <w:r w:rsidRPr="00C611F5">
        <w:rPr>
          <w:rFonts w:eastAsia="MS Mincho"/>
        </w:rPr>
        <w:t xml:space="preserve">costs of </w:t>
      </w:r>
      <w:r w:rsidR="007E67E6" w:rsidRPr="00C611F5">
        <w:rPr>
          <w:rFonts w:eastAsia="MS Mincho"/>
        </w:rPr>
        <w:t>the</w:t>
      </w:r>
      <w:r w:rsidRPr="00C611F5">
        <w:rPr>
          <w:rFonts w:eastAsia="MS Mincho"/>
        </w:rPr>
        <w:t xml:space="preserve"> existing staff of the </w:t>
      </w:r>
      <w:r w:rsidR="00527290" w:rsidRPr="00C611F5">
        <w:rPr>
          <w:rFonts w:eastAsia="MS Mincho"/>
        </w:rPr>
        <w:t>secretariat of the Basel, Rotterdam and Stockholm conventions</w:t>
      </w:r>
      <w:r w:rsidRPr="00C611F5">
        <w:rPr>
          <w:rFonts w:eastAsia="MS Mincho"/>
        </w:rPr>
        <w:t xml:space="preserve"> </w:t>
      </w:r>
      <w:r w:rsidR="00483CB1" w:rsidRPr="00C611F5">
        <w:rPr>
          <w:rFonts w:eastAsia="MS Mincho"/>
        </w:rPr>
        <w:t xml:space="preserve">will be </w:t>
      </w:r>
      <w:r w:rsidRPr="00C611F5">
        <w:rPr>
          <w:rFonts w:eastAsia="MS Mincho"/>
        </w:rPr>
        <w:t xml:space="preserve">shared </w:t>
      </w:r>
      <w:r w:rsidR="006052AA" w:rsidRPr="00C611F5">
        <w:rPr>
          <w:rFonts w:eastAsia="MS Mincho"/>
        </w:rPr>
        <w:t>across</w:t>
      </w:r>
      <w:r w:rsidRPr="00C611F5">
        <w:rPr>
          <w:rFonts w:eastAsia="MS Mincho"/>
        </w:rPr>
        <w:t xml:space="preserve"> the four conventions</w:t>
      </w:r>
      <w:r w:rsidR="00483CB1" w:rsidRPr="00C611F5">
        <w:rPr>
          <w:rFonts w:eastAsia="MS Mincho"/>
        </w:rPr>
        <w:t xml:space="preserve">. This will </w:t>
      </w:r>
      <w:r w:rsidRPr="00C611F5">
        <w:rPr>
          <w:rFonts w:eastAsia="MS Mincho"/>
        </w:rPr>
        <w:t>result</w:t>
      </w:r>
      <w:r w:rsidR="00867148" w:rsidRPr="00C611F5">
        <w:rPr>
          <w:rFonts w:eastAsia="MS Mincho"/>
        </w:rPr>
        <w:t xml:space="preserve"> </w:t>
      </w:r>
      <w:r w:rsidRPr="00C611F5">
        <w:rPr>
          <w:rFonts w:eastAsia="MS Mincho"/>
        </w:rPr>
        <w:t xml:space="preserve">in overall cost savings for the parties to the four conventions. </w:t>
      </w:r>
      <w:r w:rsidR="007E67E6" w:rsidRPr="00C611F5">
        <w:t xml:space="preserve">The cost savings generated by this </w:t>
      </w:r>
      <w:r w:rsidR="001715B4" w:rsidRPr="00C611F5">
        <w:t xml:space="preserve">option </w:t>
      </w:r>
      <w:r w:rsidR="007E67E6" w:rsidRPr="00C611F5">
        <w:t xml:space="preserve">may need to be partially reinvested to strengthen the new merged secretariat of the four conventions, while another part may be used to contribute to overall staff costs under the four conventions. </w:t>
      </w:r>
      <w:r w:rsidR="00034BC4" w:rsidRPr="00C611F5">
        <w:rPr>
          <w:rFonts w:eastAsia="MS Mincho"/>
        </w:rPr>
        <w:t xml:space="preserve">Based on the staffing requirements </w:t>
      </w:r>
      <w:r w:rsidR="00483CB1" w:rsidRPr="00C611F5">
        <w:rPr>
          <w:rFonts w:eastAsia="MS Mincho"/>
        </w:rPr>
        <w:t>described</w:t>
      </w:r>
      <w:r w:rsidR="00034BC4" w:rsidRPr="00C611F5">
        <w:rPr>
          <w:rFonts w:eastAsia="MS Mincho"/>
        </w:rPr>
        <w:t xml:space="preserve"> above</w:t>
      </w:r>
      <w:r w:rsidR="007E67E6" w:rsidRPr="00C611F5">
        <w:t xml:space="preserve"> and </w:t>
      </w:r>
      <w:r w:rsidR="00206674" w:rsidRPr="00C611F5">
        <w:t xml:space="preserve">the </w:t>
      </w:r>
      <w:r w:rsidR="007E67E6" w:rsidRPr="00C611F5">
        <w:t>estimated savings generated by cost-sharing</w:t>
      </w:r>
      <w:r w:rsidR="00206674" w:rsidRPr="00C611F5">
        <w:t>,</w:t>
      </w:r>
      <w:r w:rsidR="00034BC4" w:rsidRPr="00C611F5">
        <w:rPr>
          <w:rFonts w:eastAsia="MS Mincho"/>
        </w:rPr>
        <w:t xml:space="preserve"> </w:t>
      </w:r>
      <w:r w:rsidR="00DA298B" w:rsidRPr="00C611F5">
        <w:rPr>
          <w:rFonts w:eastAsia="MS Mincho"/>
        </w:rPr>
        <w:t xml:space="preserve">the total </w:t>
      </w:r>
      <w:r w:rsidR="00034BC4" w:rsidRPr="00C611F5">
        <w:rPr>
          <w:rFonts w:eastAsia="MS Mincho"/>
        </w:rPr>
        <w:t xml:space="preserve">staff costs </w:t>
      </w:r>
      <w:r w:rsidR="00DA298B" w:rsidRPr="00C611F5">
        <w:rPr>
          <w:rFonts w:eastAsia="MS Mincho"/>
        </w:rPr>
        <w:t xml:space="preserve">for this option </w:t>
      </w:r>
      <w:r w:rsidR="004058C3" w:rsidRPr="00C611F5">
        <w:rPr>
          <w:rFonts w:eastAsia="MS Mincho"/>
        </w:rPr>
        <w:t>are</w:t>
      </w:r>
      <w:r w:rsidR="00DA298B" w:rsidRPr="00C611F5">
        <w:rPr>
          <w:rFonts w:eastAsia="MS Mincho"/>
        </w:rPr>
        <w:t xml:space="preserve"> estimated </w:t>
      </w:r>
      <w:r w:rsidR="00206674" w:rsidRPr="00C611F5">
        <w:rPr>
          <w:rFonts w:eastAsia="MS Mincho"/>
        </w:rPr>
        <w:t xml:space="preserve">at </w:t>
      </w:r>
      <w:r w:rsidR="00DA298B" w:rsidRPr="00C611F5">
        <w:rPr>
          <w:rFonts w:eastAsia="MS Mincho"/>
        </w:rPr>
        <w:t>$</w:t>
      </w:r>
      <w:r w:rsidR="001715B4" w:rsidRPr="00C611F5">
        <w:rPr>
          <w:rFonts w:eastAsia="MS Mincho"/>
        </w:rPr>
        <w:t>2,268,270</w:t>
      </w:r>
      <w:r w:rsidR="00DA298B" w:rsidRPr="00C611F5">
        <w:rPr>
          <w:rFonts w:eastAsia="MS Mincho"/>
        </w:rPr>
        <w:t xml:space="preserve">. </w:t>
      </w:r>
    </w:p>
    <w:p w:rsidR="005D09A5" w:rsidRPr="00C611F5" w:rsidRDefault="00206674" w:rsidP="00EB66CA">
      <w:pPr>
        <w:pStyle w:val="Normalnumber"/>
        <w:numPr>
          <w:ilvl w:val="0"/>
          <w:numId w:val="5"/>
        </w:numPr>
        <w:tabs>
          <w:tab w:val="clear" w:pos="1247"/>
        </w:tabs>
        <w:ind w:left="1247" w:firstLine="0"/>
        <w:rPr>
          <w:rFonts w:eastAsia="MS Mincho"/>
        </w:rPr>
      </w:pPr>
      <w:r w:rsidRPr="00C611F5">
        <w:rPr>
          <w:rFonts w:eastAsia="MS Mincho"/>
        </w:rPr>
        <w:t>T</w:t>
      </w:r>
      <w:r w:rsidR="00F0312F" w:rsidRPr="00C611F5">
        <w:rPr>
          <w:rFonts w:eastAsia="MS Mincho"/>
        </w:rPr>
        <w:t xml:space="preserve">he positions within </w:t>
      </w:r>
      <w:r w:rsidR="00CE29D4" w:rsidRPr="00C611F5">
        <w:rPr>
          <w:rFonts w:eastAsia="MS Mincho"/>
        </w:rPr>
        <w:t xml:space="preserve">the interim secretariat </w:t>
      </w:r>
      <w:r w:rsidRPr="00C611F5">
        <w:rPr>
          <w:rFonts w:eastAsia="MS Mincho"/>
        </w:rPr>
        <w:t xml:space="preserve">currently </w:t>
      </w:r>
      <w:r w:rsidR="009B1BB4" w:rsidRPr="00C611F5">
        <w:rPr>
          <w:rFonts w:eastAsia="MS Mincho"/>
        </w:rPr>
        <w:t xml:space="preserve">cover </w:t>
      </w:r>
      <w:r w:rsidR="00CE29D4" w:rsidRPr="00C611F5">
        <w:rPr>
          <w:rFonts w:eastAsia="MS Mincho"/>
        </w:rPr>
        <w:t>a variety of tasks, with staff involved in meeting</w:t>
      </w:r>
      <w:r w:rsidR="0020392E" w:rsidRPr="00C611F5">
        <w:rPr>
          <w:rFonts w:eastAsia="MS Mincho"/>
        </w:rPr>
        <w:t>s</w:t>
      </w:r>
      <w:r w:rsidR="00CE29D4" w:rsidRPr="00C611F5">
        <w:rPr>
          <w:rFonts w:eastAsia="MS Mincho"/>
        </w:rPr>
        <w:t xml:space="preserve"> management, document preparation, scientific and technical issues</w:t>
      </w:r>
      <w:r w:rsidR="009B1BB4" w:rsidRPr="00C611F5">
        <w:rPr>
          <w:rFonts w:eastAsia="MS Mincho"/>
        </w:rPr>
        <w:t>,</w:t>
      </w:r>
      <w:r w:rsidR="00CE29D4" w:rsidRPr="00C611F5">
        <w:rPr>
          <w:rFonts w:eastAsia="MS Mincho"/>
        </w:rPr>
        <w:t xml:space="preserve"> </w:t>
      </w:r>
      <w:r w:rsidRPr="00C611F5">
        <w:rPr>
          <w:rFonts w:eastAsia="MS Mincho"/>
        </w:rPr>
        <w:t>awareness</w:t>
      </w:r>
      <w:r w:rsidRPr="00C611F5">
        <w:rPr>
          <w:rFonts w:eastAsia="MS Mincho"/>
        </w:rPr>
        <w:noBreakHyphen/>
      </w:r>
      <w:r w:rsidR="00CE29D4" w:rsidRPr="00C611F5">
        <w:rPr>
          <w:rFonts w:eastAsia="MS Mincho"/>
        </w:rPr>
        <w:t xml:space="preserve">raising and </w:t>
      </w:r>
      <w:r w:rsidR="00083982" w:rsidRPr="00C611F5">
        <w:rPr>
          <w:rFonts w:eastAsia="MS Mincho"/>
        </w:rPr>
        <w:t>capacity-building</w:t>
      </w:r>
      <w:r w:rsidR="00CE29D4" w:rsidRPr="00C611F5">
        <w:rPr>
          <w:rFonts w:eastAsia="MS Mincho"/>
        </w:rPr>
        <w:t>.</w:t>
      </w:r>
      <w:r w:rsidR="008C2603" w:rsidRPr="00C611F5">
        <w:rPr>
          <w:rFonts w:eastAsia="MS Mincho"/>
        </w:rPr>
        <w:t xml:space="preserve"> </w:t>
      </w:r>
      <w:r w:rsidR="009B1BB4" w:rsidRPr="00C611F5">
        <w:rPr>
          <w:rFonts w:eastAsia="MS Mincho"/>
        </w:rPr>
        <w:t>R</w:t>
      </w:r>
      <w:r w:rsidR="00CE29D4" w:rsidRPr="00C611F5">
        <w:rPr>
          <w:rFonts w:eastAsia="MS Mincho"/>
        </w:rPr>
        <w:t>elocat</w:t>
      </w:r>
      <w:r w:rsidR="009B1BB4" w:rsidRPr="00C611F5">
        <w:rPr>
          <w:rFonts w:eastAsia="MS Mincho"/>
        </w:rPr>
        <w:t xml:space="preserve">ing </w:t>
      </w:r>
      <w:r w:rsidR="00C40A8E" w:rsidRPr="00C611F5">
        <w:rPr>
          <w:rFonts w:eastAsia="MS Mincho"/>
        </w:rPr>
        <w:t>functions</w:t>
      </w:r>
      <w:r w:rsidR="00CE29D4" w:rsidRPr="00C611F5">
        <w:rPr>
          <w:rFonts w:eastAsia="MS Mincho"/>
        </w:rPr>
        <w:t xml:space="preserve"> </w:t>
      </w:r>
      <w:r w:rsidR="00DB4140" w:rsidRPr="00C611F5">
        <w:rPr>
          <w:rFonts w:eastAsia="MS Mincho"/>
        </w:rPr>
        <w:t xml:space="preserve">from the interim secretariat </w:t>
      </w:r>
      <w:r w:rsidR="009B1BB4" w:rsidRPr="00C611F5">
        <w:rPr>
          <w:rFonts w:eastAsia="MS Mincho"/>
        </w:rPr>
        <w:t xml:space="preserve">into </w:t>
      </w:r>
      <w:r w:rsidR="00DB4140" w:rsidRPr="00C611F5">
        <w:rPr>
          <w:rFonts w:eastAsia="MS Mincho"/>
        </w:rPr>
        <w:t xml:space="preserve">the </w:t>
      </w:r>
      <w:r w:rsidR="009B1BB4" w:rsidRPr="00C611F5">
        <w:rPr>
          <w:rFonts w:eastAsia="MS Mincho"/>
        </w:rPr>
        <w:t xml:space="preserve">specific </w:t>
      </w:r>
      <w:r w:rsidR="00CE29D4" w:rsidRPr="00C611F5">
        <w:rPr>
          <w:rFonts w:eastAsia="MS Mincho"/>
        </w:rPr>
        <w:t xml:space="preserve">branches of the </w:t>
      </w:r>
      <w:r w:rsidRPr="00C611F5">
        <w:rPr>
          <w:rFonts w:eastAsia="MS Mincho"/>
        </w:rPr>
        <w:t xml:space="preserve">secretariat of the </w:t>
      </w:r>
      <w:r w:rsidR="00CE29D4" w:rsidRPr="00C611F5">
        <w:rPr>
          <w:rFonts w:eastAsia="MS Mincho"/>
        </w:rPr>
        <w:t xml:space="preserve">Basel, Rotterdam and Stockholm </w:t>
      </w:r>
      <w:r w:rsidRPr="00C611F5">
        <w:rPr>
          <w:rFonts w:eastAsia="MS Mincho"/>
        </w:rPr>
        <w:t>conventions</w:t>
      </w:r>
      <w:r w:rsidR="00CE29D4" w:rsidRPr="00C611F5">
        <w:rPr>
          <w:rFonts w:eastAsia="MS Mincho"/>
        </w:rPr>
        <w:t xml:space="preserve"> </w:t>
      </w:r>
      <w:r w:rsidR="00C40A8E" w:rsidRPr="00C611F5">
        <w:rPr>
          <w:rFonts w:eastAsia="MS Mincho"/>
        </w:rPr>
        <w:t xml:space="preserve">may </w:t>
      </w:r>
      <w:r w:rsidR="00F0312F" w:rsidRPr="00C611F5">
        <w:rPr>
          <w:rFonts w:eastAsia="MS Mincho"/>
        </w:rPr>
        <w:t xml:space="preserve">require </w:t>
      </w:r>
      <w:r w:rsidR="00CC08C3" w:rsidRPr="00C611F5">
        <w:rPr>
          <w:rFonts w:eastAsia="MS Mincho"/>
        </w:rPr>
        <w:t xml:space="preserve">the </w:t>
      </w:r>
      <w:r w:rsidR="00F0312F" w:rsidRPr="00C611F5">
        <w:rPr>
          <w:rFonts w:eastAsia="MS Mincho"/>
        </w:rPr>
        <w:t xml:space="preserve">realignment </w:t>
      </w:r>
      <w:r w:rsidR="009B1BB4" w:rsidRPr="00C611F5">
        <w:rPr>
          <w:rFonts w:eastAsia="MS Mincho"/>
        </w:rPr>
        <w:t xml:space="preserve">of roles to match the </w:t>
      </w:r>
      <w:r w:rsidR="00991D02" w:rsidRPr="00C611F5">
        <w:rPr>
          <w:rFonts w:eastAsia="MS Mincho"/>
        </w:rPr>
        <w:t xml:space="preserve">Basel, Rotterdam and Stockholm </w:t>
      </w:r>
      <w:r w:rsidR="009B1BB4" w:rsidRPr="00C611F5">
        <w:rPr>
          <w:rFonts w:eastAsia="MS Mincho"/>
        </w:rPr>
        <w:t xml:space="preserve">structure </w:t>
      </w:r>
      <w:r w:rsidR="00F0312F" w:rsidRPr="00C611F5">
        <w:rPr>
          <w:rFonts w:eastAsia="MS Mincho"/>
        </w:rPr>
        <w:t xml:space="preserve">and job </w:t>
      </w:r>
      <w:r w:rsidR="009B1BB4" w:rsidRPr="00C611F5">
        <w:rPr>
          <w:rFonts w:eastAsia="MS Mincho"/>
        </w:rPr>
        <w:t>re</w:t>
      </w:r>
      <w:r w:rsidR="00F0312F" w:rsidRPr="00C611F5">
        <w:rPr>
          <w:rFonts w:eastAsia="MS Mincho"/>
        </w:rPr>
        <w:t>classification of the positions</w:t>
      </w:r>
      <w:r w:rsidR="006948BA" w:rsidRPr="00C611F5">
        <w:rPr>
          <w:rFonts w:eastAsia="MS Mincho"/>
        </w:rPr>
        <w:t xml:space="preserve">, similar to the adjustments </w:t>
      </w:r>
      <w:r w:rsidR="0063474A" w:rsidRPr="00C611F5">
        <w:rPr>
          <w:rFonts w:eastAsia="MS Mincho"/>
        </w:rPr>
        <w:t>that took place</w:t>
      </w:r>
      <w:r w:rsidR="006948BA" w:rsidRPr="00C611F5">
        <w:rPr>
          <w:rFonts w:eastAsia="MS Mincho"/>
        </w:rPr>
        <w:t xml:space="preserve"> during the merger of the </w:t>
      </w:r>
      <w:r w:rsidR="00BB72E8" w:rsidRPr="00C611F5">
        <w:rPr>
          <w:rFonts w:eastAsia="MS Mincho"/>
        </w:rPr>
        <w:t>secretariat of the Basel, Rotterdam and Stockholm conventions</w:t>
      </w:r>
      <w:r w:rsidR="00DB4140" w:rsidRPr="00C611F5">
        <w:rPr>
          <w:rFonts w:eastAsia="MS Mincho"/>
        </w:rPr>
        <w:t xml:space="preserve">. </w:t>
      </w:r>
      <w:r w:rsidR="00B46E2F" w:rsidRPr="00C611F5">
        <w:rPr>
          <w:lang w:eastAsia="zh-CN"/>
        </w:rPr>
        <w:t>As with any change in an organizational structure</w:t>
      </w:r>
      <w:r w:rsidR="00991D02" w:rsidRPr="00C611F5">
        <w:rPr>
          <w:lang w:eastAsia="zh-CN"/>
        </w:rPr>
        <w:t>,</w:t>
      </w:r>
      <w:r w:rsidR="00B46E2F" w:rsidRPr="00C611F5">
        <w:rPr>
          <w:lang w:eastAsia="zh-CN"/>
        </w:rPr>
        <w:t xml:space="preserve"> some sort of change management process, in accordance with </w:t>
      </w:r>
      <w:r w:rsidR="001306B9" w:rsidRPr="00C611F5">
        <w:rPr>
          <w:lang w:eastAsia="zh-CN"/>
        </w:rPr>
        <w:t>United Nations</w:t>
      </w:r>
      <w:r w:rsidR="00B46E2F" w:rsidRPr="00C611F5">
        <w:rPr>
          <w:lang w:eastAsia="zh-CN"/>
        </w:rPr>
        <w:t xml:space="preserve"> rules, will need to be undertaken</w:t>
      </w:r>
      <w:r w:rsidR="00563F4B" w:rsidRPr="00C611F5">
        <w:rPr>
          <w:color w:val="004080"/>
          <w:lang w:eastAsia="zh-CN"/>
        </w:rPr>
        <w:t xml:space="preserve">. </w:t>
      </w:r>
      <w:r w:rsidR="00F90C24" w:rsidRPr="00C611F5">
        <w:rPr>
          <w:rFonts w:eastAsia="MS Mincho"/>
        </w:rPr>
        <w:t>Should staff move</w:t>
      </w:r>
      <w:r w:rsidR="00C26D14" w:rsidRPr="00C611F5">
        <w:rPr>
          <w:rFonts w:eastAsia="MS Mincho"/>
        </w:rPr>
        <w:t xml:space="preserve">, in line with </w:t>
      </w:r>
      <w:r w:rsidR="001306B9" w:rsidRPr="00C611F5">
        <w:rPr>
          <w:rFonts w:eastAsia="MS Mincho"/>
        </w:rPr>
        <w:t>United Nations</w:t>
      </w:r>
      <w:r w:rsidR="00C26D14" w:rsidRPr="00C611F5">
        <w:rPr>
          <w:rFonts w:eastAsia="MS Mincho"/>
        </w:rPr>
        <w:t xml:space="preserve"> rules and regulations for </w:t>
      </w:r>
      <w:r w:rsidR="00991D02" w:rsidRPr="00C611F5">
        <w:rPr>
          <w:rFonts w:eastAsia="MS Mincho"/>
        </w:rPr>
        <w:t>human r</w:t>
      </w:r>
      <w:r w:rsidR="00C26D14" w:rsidRPr="00C611F5">
        <w:rPr>
          <w:rFonts w:eastAsia="MS Mincho"/>
        </w:rPr>
        <w:t xml:space="preserve">esources, </w:t>
      </w:r>
      <w:r w:rsidR="00F90C24" w:rsidRPr="00C611F5">
        <w:rPr>
          <w:rFonts w:eastAsia="MS Mincho"/>
        </w:rPr>
        <w:t xml:space="preserve">from the interim secretariat to take up positions in the permanent secretariat, this </w:t>
      </w:r>
      <w:r w:rsidR="00074EBA" w:rsidRPr="00C611F5">
        <w:rPr>
          <w:rFonts w:eastAsia="MS Mincho"/>
        </w:rPr>
        <w:t>option</w:t>
      </w:r>
      <w:r w:rsidR="000604F1" w:rsidRPr="00C611F5">
        <w:rPr>
          <w:rFonts w:eastAsia="MS Mincho"/>
        </w:rPr>
        <w:t xml:space="preserve"> </w:t>
      </w:r>
      <w:r w:rsidR="00AF0EF2" w:rsidRPr="00C611F5">
        <w:rPr>
          <w:rFonts w:eastAsia="MS Mincho"/>
        </w:rPr>
        <w:t xml:space="preserve">may </w:t>
      </w:r>
      <w:r w:rsidR="00F90C24" w:rsidRPr="00C611F5">
        <w:rPr>
          <w:rFonts w:eastAsia="MS Mincho"/>
        </w:rPr>
        <w:t xml:space="preserve">result in </w:t>
      </w:r>
      <w:r w:rsidR="00AF0EF2" w:rsidRPr="00C611F5">
        <w:rPr>
          <w:rFonts w:eastAsia="MS Mincho"/>
        </w:rPr>
        <w:t xml:space="preserve">some </w:t>
      </w:r>
      <w:r w:rsidR="00F90C24" w:rsidRPr="00C611F5">
        <w:rPr>
          <w:rFonts w:eastAsia="MS Mincho"/>
        </w:rPr>
        <w:t>short-term disruption</w:t>
      </w:r>
      <w:r w:rsidR="000C5214" w:rsidRPr="00C611F5">
        <w:rPr>
          <w:rFonts w:eastAsia="MS Mincho"/>
        </w:rPr>
        <w:t>s</w:t>
      </w:r>
      <w:r w:rsidR="00F90C24" w:rsidRPr="00C611F5">
        <w:rPr>
          <w:rFonts w:eastAsia="MS Mincho"/>
        </w:rPr>
        <w:t xml:space="preserve"> to the working</w:t>
      </w:r>
      <w:r w:rsidR="00983171" w:rsidRPr="00C611F5">
        <w:rPr>
          <w:rFonts w:eastAsia="MS Mincho"/>
        </w:rPr>
        <w:t xml:space="preserve"> </w:t>
      </w:r>
      <w:r w:rsidR="000C5214" w:rsidRPr="00C611F5">
        <w:rPr>
          <w:rFonts w:eastAsia="MS Mincho"/>
        </w:rPr>
        <w:t>arrangements</w:t>
      </w:r>
      <w:r w:rsidR="00F90C24" w:rsidRPr="00C611F5">
        <w:rPr>
          <w:rFonts w:eastAsia="MS Mincho"/>
        </w:rPr>
        <w:t xml:space="preserve"> of the </w:t>
      </w:r>
      <w:r w:rsidR="00527290" w:rsidRPr="00C611F5">
        <w:rPr>
          <w:rFonts w:eastAsia="MS Mincho"/>
        </w:rPr>
        <w:t xml:space="preserve">secretariat of the </w:t>
      </w:r>
      <w:r w:rsidR="00F90C24" w:rsidRPr="00C611F5">
        <w:rPr>
          <w:rFonts w:eastAsia="MS Mincho"/>
        </w:rPr>
        <w:t xml:space="preserve">Minamata </w:t>
      </w:r>
      <w:r w:rsidR="00527290" w:rsidRPr="00C611F5">
        <w:rPr>
          <w:rFonts w:eastAsia="MS Mincho"/>
        </w:rPr>
        <w:t>Convention</w:t>
      </w:r>
      <w:r w:rsidR="00F90C24" w:rsidRPr="00C611F5">
        <w:rPr>
          <w:rFonts w:eastAsia="MS Mincho"/>
        </w:rPr>
        <w:t xml:space="preserve">. </w:t>
      </w:r>
      <w:r w:rsidR="00DB4140" w:rsidRPr="00C611F5">
        <w:rPr>
          <w:rFonts w:eastAsia="MS Mincho"/>
        </w:rPr>
        <w:t>E</w:t>
      </w:r>
      <w:r w:rsidR="00CE29D4" w:rsidRPr="00C611F5">
        <w:rPr>
          <w:rFonts w:eastAsia="MS Mincho"/>
        </w:rPr>
        <w:t xml:space="preserve">xisting staff within the </w:t>
      </w:r>
      <w:r w:rsidR="008330C4" w:rsidRPr="00C611F5">
        <w:rPr>
          <w:rFonts w:eastAsia="MS Mincho"/>
        </w:rPr>
        <w:t xml:space="preserve">secretariat of the </w:t>
      </w:r>
      <w:r w:rsidR="00CE29D4" w:rsidRPr="00C611F5">
        <w:rPr>
          <w:rFonts w:eastAsia="MS Mincho"/>
        </w:rPr>
        <w:t>Basel</w:t>
      </w:r>
      <w:r w:rsidR="00735842" w:rsidRPr="00C611F5">
        <w:rPr>
          <w:rFonts w:eastAsia="MS Mincho"/>
        </w:rPr>
        <w:t>,</w:t>
      </w:r>
      <w:r w:rsidR="00CE29D4" w:rsidRPr="00C611F5">
        <w:rPr>
          <w:rFonts w:eastAsia="MS Mincho"/>
        </w:rPr>
        <w:t xml:space="preserve"> Rotterdam and Stockholm </w:t>
      </w:r>
      <w:r w:rsidR="00034BC4" w:rsidRPr="00C611F5">
        <w:rPr>
          <w:rFonts w:eastAsia="MS Mincho"/>
        </w:rPr>
        <w:t xml:space="preserve">conventions </w:t>
      </w:r>
      <w:r w:rsidR="00DB4140" w:rsidRPr="00C611F5">
        <w:rPr>
          <w:rFonts w:eastAsia="MS Mincho"/>
        </w:rPr>
        <w:t xml:space="preserve">will also </w:t>
      </w:r>
      <w:r w:rsidR="000031E3" w:rsidRPr="00C611F5">
        <w:rPr>
          <w:rFonts w:eastAsia="MS Mincho"/>
        </w:rPr>
        <w:t xml:space="preserve">need to </w:t>
      </w:r>
      <w:r w:rsidR="00CE29D4" w:rsidRPr="00C611F5">
        <w:rPr>
          <w:rFonts w:eastAsia="MS Mincho"/>
        </w:rPr>
        <w:t>integrate the Minamata work into their activities</w:t>
      </w:r>
      <w:r w:rsidR="00DB4140" w:rsidRPr="00C611F5">
        <w:rPr>
          <w:rFonts w:eastAsia="MS Mincho"/>
        </w:rPr>
        <w:t xml:space="preserve">, building their expertise in the Minamata Convention as they take on additional roles. </w:t>
      </w:r>
    </w:p>
    <w:p w:rsidR="005D09A5" w:rsidRPr="00C611F5" w:rsidRDefault="00034794" w:rsidP="00EB66CA">
      <w:pPr>
        <w:pStyle w:val="Normalnumber"/>
        <w:numPr>
          <w:ilvl w:val="0"/>
          <w:numId w:val="5"/>
        </w:numPr>
        <w:tabs>
          <w:tab w:val="clear" w:pos="1247"/>
        </w:tabs>
        <w:ind w:left="1247" w:firstLine="0"/>
        <w:rPr>
          <w:rFonts w:eastAsia="MS Mincho"/>
        </w:rPr>
      </w:pPr>
      <w:r w:rsidRPr="00C611F5">
        <w:rPr>
          <w:rFonts w:eastAsia="MS Mincho"/>
        </w:rPr>
        <w:t>The arrangements will increas</w:t>
      </w:r>
      <w:r w:rsidR="005A2A89" w:rsidRPr="00C611F5">
        <w:rPr>
          <w:rFonts w:eastAsia="MS Mincho"/>
        </w:rPr>
        <w:t xml:space="preserve">e </w:t>
      </w:r>
      <w:r w:rsidRPr="00C611F5">
        <w:rPr>
          <w:rFonts w:eastAsia="MS Mincho"/>
        </w:rPr>
        <w:t xml:space="preserve">cooperation and operational synergies </w:t>
      </w:r>
      <w:r w:rsidR="00CC08C3" w:rsidRPr="00C611F5">
        <w:rPr>
          <w:rFonts w:eastAsia="MS Mincho"/>
        </w:rPr>
        <w:t>i</w:t>
      </w:r>
      <w:r w:rsidR="00C05740" w:rsidRPr="00C611F5">
        <w:rPr>
          <w:rFonts w:eastAsia="MS Mincho"/>
        </w:rPr>
        <w:t>n</w:t>
      </w:r>
      <w:r w:rsidR="005A4E58" w:rsidRPr="00C611F5">
        <w:rPr>
          <w:rFonts w:eastAsia="MS Mincho"/>
        </w:rPr>
        <w:t xml:space="preserve"> </w:t>
      </w:r>
      <w:r w:rsidRPr="00C611F5">
        <w:rPr>
          <w:rFonts w:eastAsia="MS Mincho"/>
        </w:rPr>
        <w:t>a number of areas</w:t>
      </w:r>
      <w:r w:rsidR="008330C4" w:rsidRPr="00C611F5">
        <w:rPr>
          <w:rFonts w:eastAsia="MS Mincho"/>
        </w:rPr>
        <w:t>,</w:t>
      </w:r>
      <w:r w:rsidRPr="00C611F5">
        <w:rPr>
          <w:rFonts w:eastAsia="MS Mincho"/>
        </w:rPr>
        <w:t xml:space="preserve"> such as science </w:t>
      </w:r>
      <w:r w:rsidR="000356FB" w:rsidRPr="00C611F5">
        <w:rPr>
          <w:rFonts w:eastAsia="MS Mincho"/>
        </w:rPr>
        <w:t xml:space="preserve">and technical </w:t>
      </w:r>
      <w:r w:rsidRPr="00C611F5">
        <w:rPr>
          <w:rFonts w:eastAsia="MS Mincho"/>
        </w:rPr>
        <w:t>activities,</w:t>
      </w:r>
      <w:r w:rsidR="004176F1" w:rsidRPr="00C611F5">
        <w:rPr>
          <w:rFonts w:eastAsia="MS Mincho"/>
        </w:rPr>
        <w:t xml:space="preserve"> </w:t>
      </w:r>
      <w:r w:rsidR="00083982" w:rsidRPr="00C611F5">
        <w:rPr>
          <w:rFonts w:eastAsia="MS Mincho"/>
        </w:rPr>
        <w:t>capacity-building</w:t>
      </w:r>
      <w:r w:rsidRPr="00C611F5">
        <w:rPr>
          <w:rFonts w:eastAsia="MS Mincho"/>
        </w:rPr>
        <w:t xml:space="preserve"> and technical assistance</w:t>
      </w:r>
      <w:r w:rsidR="000356FB" w:rsidRPr="00C611F5">
        <w:rPr>
          <w:rFonts w:eastAsia="MS Mincho"/>
        </w:rPr>
        <w:t xml:space="preserve"> </w:t>
      </w:r>
      <w:r w:rsidR="005E7D25" w:rsidRPr="00C611F5">
        <w:rPr>
          <w:rFonts w:eastAsia="MS Mincho"/>
        </w:rPr>
        <w:t xml:space="preserve">and </w:t>
      </w:r>
      <w:r w:rsidR="000356FB" w:rsidRPr="00C611F5">
        <w:rPr>
          <w:rFonts w:eastAsia="MS Mincho"/>
        </w:rPr>
        <w:t>policy</w:t>
      </w:r>
      <w:r w:rsidR="0021518B" w:rsidRPr="00C611F5">
        <w:rPr>
          <w:rFonts w:eastAsia="MS Mincho"/>
        </w:rPr>
        <w:t>,</w:t>
      </w:r>
      <w:r w:rsidR="000356FB" w:rsidRPr="00C611F5">
        <w:rPr>
          <w:rFonts w:eastAsia="MS Mincho"/>
        </w:rPr>
        <w:t xml:space="preserve"> legal </w:t>
      </w:r>
      <w:r w:rsidR="0021518B" w:rsidRPr="00C611F5">
        <w:rPr>
          <w:rFonts w:eastAsia="MS Mincho"/>
        </w:rPr>
        <w:t xml:space="preserve">and governance </w:t>
      </w:r>
      <w:r w:rsidR="00F25401" w:rsidRPr="00C611F5">
        <w:rPr>
          <w:rFonts w:eastAsia="MS Mincho"/>
        </w:rPr>
        <w:t>activities</w:t>
      </w:r>
      <w:r w:rsidR="00FB70BB" w:rsidRPr="00C611F5">
        <w:rPr>
          <w:rFonts w:eastAsia="MS Mincho"/>
        </w:rPr>
        <w:t xml:space="preserve">. </w:t>
      </w:r>
      <w:r w:rsidRPr="00C611F5">
        <w:rPr>
          <w:rFonts w:eastAsia="MS Mincho"/>
        </w:rPr>
        <w:t xml:space="preserve">Increased opportunities will arise for joint activities, assisting countries in furthering their implementation of the Basel, Rotterdam and </w:t>
      </w:r>
      <w:r w:rsidR="00BB72E8" w:rsidRPr="00C611F5">
        <w:rPr>
          <w:rFonts w:eastAsia="MS Mincho"/>
        </w:rPr>
        <w:t>Stockholm conventions</w:t>
      </w:r>
      <w:r w:rsidRPr="00C611F5">
        <w:rPr>
          <w:rFonts w:eastAsia="MS Mincho"/>
        </w:rPr>
        <w:t xml:space="preserve"> </w:t>
      </w:r>
      <w:r w:rsidR="008330C4" w:rsidRPr="00C611F5">
        <w:rPr>
          <w:rFonts w:eastAsia="MS Mincho"/>
        </w:rPr>
        <w:t xml:space="preserve">and </w:t>
      </w:r>
      <w:r w:rsidRPr="00C611F5">
        <w:rPr>
          <w:rFonts w:eastAsia="MS Mincho"/>
        </w:rPr>
        <w:t xml:space="preserve">putting in place their arrangements for the implementation of the Minamata Convention. </w:t>
      </w:r>
      <w:r w:rsidR="004176F1" w:rsidRPr="00C611F5">
        <w:rPr>
          <w:rFonts w:eastAsia="MS Mincho"/>
        </w:rPr>
        <w:t xml:space="preserve">Furthermore, </w:t>
      </w:r>
      <w:r w:rsidR="00930158" w:rsidRPr="00C611F5">
        <w:rPr>
          <w:rFonts w:eastAsia="MS Mincho"/>
        </w:rPr>
        <w:t xml:space="preserve">this </w:t>
      </w:r>
      <w:r w:rsidR="00531092" w:rsidRPr="00C611F5">
        <w:rPr>
          <w:rFonts w:eastAsia="MS Mincho"/>
        </w:rPr>
        <w:t>option</w:t>
      </w:r>
      <w:r w:rsidR="00930158" w:rsidRPr="00C611F5">
        <w:rPr>
          <w:rFonts w:eastAsia="MS Mincho"/>
        </w:rPr>
        <w:t xml:space="preserve"> offers opportunities for improved regional delivery </w:t>
      </w:r>
      <w:r w:rsidR="004176F1" w:rsidRPr="00C611F5">
        <w:rPr>
          <w:rFonts w:eastAsia="MS Mincho"/>
        </w:rPr>
        <w:t xml:space="preserve">through the </w:t>
      </w:r>
      <w:r w:rsidR="00246867" w:rsidRPr="00C611F5">
        <w:rPr>
          <w:rFonts w:eastAsia="MS Mincho"/>
        </w:rPr>
        <w:t xml:space="preserve">coordinated </w:t>
      </w:r>
      <w:r w:rsidR="004176F1" w:rsidRPr="00C611F5">
        <w:rPr>
          <w:rFonts w:eastAsia="MS Mincho"/>
        </w:rPr>
        <w:t>use of</w:t>
      </w:r>
      <w:r w:rsidR="0020392E" w:rsidRPr="00C611F5">
        <w:rPr>
          <w:rFonts w:eastAsia="MS Mincho"/>
        </w:rPr>
        <w:t xml:space="preserve"> the</w:t>
      </w:r>
      <w:r w:rsidR="004176F1" w:rsidRPr="00C611F5">
        <w:rPr>
          <w:rFonts w:eastAsia="MS Mincho"/>
        </w:rPr>
        <w:t xml:space="preserve"> </w:t>
      </w:r>
      <w:r w:rsidR="0020392E" w:rsidRPr="00C611F5">
        <w:rPr>
          <w:rFonts w:eastAsia="MS Mincho"/>
        </w:rPr>
        <w:t xml:space="preserve">regional centres of the </w:t>
      </w:r>
      <w:r w:rsidR="004176F1" w:rsidRPr="00C611F5">
        <w:rPr>
          <w:rFonts w:eastAsia="MS Mincho"/>
        </w:rPr>
        <w:t xml:space="preserve">Basel and Stockholm conventions </w:t>
      </w:r>
      <w:r w:rsidR="00EE0CDC" w:rsidRPr="00C611F5">
        <w:rPr>
          <w:rFonts w:eastAsia="MS Mincho"/>
        </w:rPr>
        <w:t>and the regional delivery aspects of the joint technical assistance programme</w:t>
      </w:r>
      <w:r w:rsidR="004176F1" w:rsidRPr="00C611F5">
        <w:rPr>
          <w:rFonts w:eastAsia="MS Mincho"/>
        </w:rPr>
        <w:t xml:space="preserve">. </w:t>
      </w:r>
    </w:p>
    <w:p w:rsidR="0021444E" w:rsidRPr="00C611F5" w:rsidRDefault="00531092" w:rsidP="00DE04F8">
      <w:pPr>
        <w:pStyle w:val="Normalnumber"/>
        <w:numPr>
          <w:ilvl w:val="0"/>
          <w:numId w:val="0"/>
        </w:numPr>
        <w:ind w:left="1247"/>
        <w:rPr>
          <w:rFonts w:eastAsia="MS Mincho"/>
          <w:b/>
        </w:rPr>
      </w:pPr>
      <w:r w:rsidRPr="00C611F5">
        <w:rPr>
          <w:rFonts w:eastAsia="MS Mincho"/>
          <w:b/>
        </w:rPr>
        <w:t xml:space="preserve">Option </w:t>
      </w:r>
      <w:r w:rsidR="00F71727" w:rsidRPr="00C611F5">
        <w:rPr>
          <w:rFonts w:eastAsia="MS Mincho"/>
          <w:b/>
        </w:rPr>
        <w:t>1</w:t>
      </w:r>
      <w:r w:rsidR="008330C4" w:rsidRPr="00C611F5">
        <w:rPr>
          <w:rFonts w:eastAsia="MS Mincho"/>
          <w:b/>
        </w:rPr>
        <w:t xml:space="preserve"> </w:t>
      </w:r>
      <w:r w:rsidR="00DE04F8" w:rsidRPr="00C611F5">
        <w:rPr>
          <w:rFonts w:eastAsia="MS Mincho"/>
          <w:b/>
        </w:rPr>
        <w:t>(</w:t>
      </w:r>
      <w:r w:rsidR="00F71727" w:rsidRPr="00C611F5">
        <w:rPr>
          <w:rFonts w:eastAsia="MS Mincho"/>
          <w:b/>
        </w:rPr>
        <w:t>b</w:t>
      </w:r>
      <w:r w:rsidR="00DE04F8" w:rsidRPr="00C611F5">
        <w:rPr>
          <w:rFonts w:eastAsia="MS Mincho"/>
          <w:b/>
        </w:rPr>
        <w:t>)</w:t>
      </w:r>
      <w:r w:rsidR="008330C4" w:rsidRPr="00C611F5">
        <w:rPr>
          <w:rFonts w:eastAsia="MS Mincho"/>
          <w:b/>
        </w:rPr>
        <w:t>:</w:t>
      </w:r>
      <w:r w:rsidR="000B4ED9" w:rsidRPr="00C611F5">
        <w:rPr>
          <w:rFonts w:eastAsia="MS Mincho"/>
          <w:b/>
        </w:rPr>
        <w:t xml:space="preserve"> </w:t>
      </w:r>
      <w:r w:rsidR="00F65F5D" w:rsidRPr="00C611F5">
        <w:rPr>
          <w:rFonts w:eastAsia="MS Mincho"/>
          <w:b/>
        </w:rPr>
        <w:t>Merger i</w:t>
      </w:r>
      <w:r w:rsidR="000B4ED9" w:rsidRPr="00C611F5">
        <w:rPr>
          <w:rFonts w:eastAsia="MS Mincho"/>
          <w:b/>
        </w:rPr>
        <w:t xml:space="preserve">nto the secretariat of the Basel, Rotterdam and </w:t>
      </w:r>
      <w:r w:rsidR="00BB72E8" w:rsidRPr="00C611F5">
        <w:rPr>
          <w:rFonts w:eastAsia="MS Mincho"/>
          <w:b/>
        </w:rPr>
        <w:t>Stockholm conventions</w:t>
      </w:r>
      <w:r w:rsidR="00F65F5D" w:rsidRPr="00C611F5">
        <w:rPr>
          <w:rFonts w:eastAsia="MS Mincho"/>
          <w:b/>
        </w:rPr>
        <w:t xml:space="preserve"> </w:t>
      </w:r>
      <w:r w:rsidR="00921B66">
        <w:rPr>
          <w:rFonts w:eastAsia="MS Mincho"/>
          <w:b/>
        </w:rPr>
        <w:t xml:space="preserve">by </w:t>
      </w:r>
      <w:r w:rsidR="00921B66" w:rsidRPr="003A0582">
        <w:rPr>
          <w:rFonts w:eastAsia="MS Mincho"/>
          <w:b/>
        </w:rPr>
        <w:t>creating</w:t>
      </w:r>
      <w:r w:rsidR="003A0582" w:rsidRPr="003A0582">
        <w:rPr>
          <w:rFonts w:eastAsia="MS Mincho"/>
          <w:b/>
        </w:rPr>
        <w:t>, in</w:t>
      </w:r>
      <w:r w:rsidR="00921B66" w:rsidRPr="003A0582">
        <w:rPr>
          <w:rFonts w:eastAsia="MS Mincho"/>
          <w:b/>
        </w:rPr>
        <w:t xml:space="preserve"> </w:t>
      </w:r>
      <w:r w:rsidR="003F3A67">
        <w:rPr>
          <w:rFonts w:eastAsia="MS Mincho"/>
          <w:b/>
        </w:rPr>
        <w:t>the</w:t>
      </w:r>
      <w:r w:rsidR="00AD26F7" w:rsidRPr="003F3A67">
        <w:rPr>
          <w:rFonts w:eastAsia="MS Mincho"/>
          <w:b/>
        </w:rPr>
        <w:t xml:space="preserve"> interim</w:t>
      </w:r>
      <w:r w:rsidR="003A0582" w:rsidRPr="00F90264">
        <w:rPr>
          <w:rFonts w:eastAsia="MS Mincho"/>
          <w:b/>
        </w:rPr>
        <w:t>, a</w:t>
      </w:r>
      <w:r w:rsidR="00921B66" w:rsidRPr="003A0582">
        <w:rPr>
          <w:rFonts w:eastAsia="MS Mincho"/>
          <w:b/>
        </w:rPr>
        <w:t xml:space="preserve"> fourth branch</w:t>
      </w:r>
      <w:r w:rsidR="00F71727" w:rsidRPr="00C611F5">
        <w:rPr>
          <w:rFonts w:eastAsia="MS Mincho"/>
          <w:b/>
        </w:rPr>
        <w:t xml:space="preserve"> </w:t>
      </w:r>
    </w:p>
    <w:p w:rsidR="000B4ED9" w:rsidRPr="00C611F5" w:rsidRDefault="00F71727" w:rsidP="00DB4140">
      <w:pPr>
        <w:pStyle w:val="Normalnumber"/>
        <w:numPr>
          <w:ilvl w:val="0"/>
          <w:numId w:val="0"/>
        </w:numPr>
        <w:ind w:left="1247"/>
        <w:rPr>
          <w:rFonts w:eastAsia="MS Mincho"/>
          <w:u w:val="single"/>
        </w:rPr>
      </w:pPr>
      <w:r w:rsidRPr="00C611F5">
        <w:rPr>
          <w:rFonts w:eastAsia="MS Mincho"/>
        </w:rPr>
        <w:t>Location</w:t>
      </w:r>
      <w:r w:rsidR="004F66EA" w:rsidRPr="00C611F5">
        <w:rPr>
          <w:rFonts w:eastAsia="MS Mincho"/>
        </w:rPr>
        <w:t xml:space="preserve">: </w:t>
      </w:r>
      <w:r w:rsidRPr="00C611F5">
        <w:rPr>
          <w:rFonts w:eastAsia="MS Mincho"/>
        </w:rPr>
        <w:t>Geneva</w:t>
      </w:r>
    </w:p>
    <w:p w:rsidR="006D2D1C" w:rsidRPr="00C611F5" w:rsidRDefault="006D2D1C" w:rsidP="006D2D1C">
      <w:pPr>
        <w:pStyle w:val="Normalnumber"/>
        <w:numPr>
          <w:ilvl w:val="0"/>
          <w:numId w:val="0"/>
        </w:numPr>
        <w:ind w:left="1247"/>
        <w:rPr>
          <w:rFonts w:eastAsia="MS Mincho"/>
          <w:b/>
          <w:bCs/>
        </w:rPr>
      </w:pPr>
      <w:r w:rsidRPr="00C611F5">
        <w:rPr>
          <w:rFonts w:eastAsia="MS Mincho"/>
          <w:b/>
          <w:bCs/>
        </w:rPr>
        <w:t>Structure</w:t>
      </w:r>
      <w:r w:rsidR="005A22F2" w:rsidRPr="00C611F5">
        <w:rPr>
          <w:rFonts w:eastAsia="MS Mincho"/>
          <w:b/>
          <w:bCs/>
        </w:rPr>
        <w:t xml:space="preserve"> </w:t>
      </w:r>
    </w:p>
    <w:p w:rsidR="005D09A5" w:rsidRPr="00C611F5" w:rsidRDefault="00080DD9" w:rsidP="00EB66CA">
      <w:pPr>
        <w:pStyle w:val="Normalnumber"/>
        <w:numPr>
          <w:ilvl w:val="0"/>
          <w:numId w:val="5"/>
        </w:numPr>
        <w:tabs>
          <w:tab w:val="clear" w:pos="1247"/>
        </w:tabs>
        <w:ind w:left="1247" w:firstLine="0"/>
        <w:rPr>
          <w:rFonts w:eastAsia="MS Mincho"/>
        </w:rPr>
      </w:pPr>
      <w:r w:rsidRPr="00C611F5">
        <w:rPr>
          <w:rFonts w:eastAsia="MS Mincho"/>
        </w:rPr>
        <w:t xml:space="preserve">The </w:t>
      </w:r>
      <w:r w:rsidR="00527290" w:rsidRPr="00C611F5">
        <w:rPr>
          <w:rFonts w:eastAsia="MS Mincho"/>
        </w:rPr>
        <w:t>secretariat of the Minamata Convention</w:t>
      </w:r>
      <w:r w:rsidRPr="00C611F5">
        <w:rPr>
          <w:rFonts w:eastAsia="MS Mincho"/>
        </w:rPr>
        <w:t xml:space="preserve"> would be merged </w:t>
      </w:r>
      <w:r w:rsidR="00AB131A" w:rsidRPr="00C611F5">
        <w:rPr>
          <w:rFonts w:eastAsia="MS Mincho"/>
        </w:rPr>
        <w:t xml:space="preserve">with </w:t>
      </w:r>
      <w:r w:rsidRPr="00C611F5">
        <w:rPr>
          <w:rFonts w:eastAsia="MS Mincho"/>
        </w:rPr>
        <w:t xml:space="preserve">the </w:t>
      </w:r>
      <w:r w:rsidR="00BB72E8" w:rsidRPr="00C611F5">
        <w:rPr>
          <w:rFonts w:eastAsia="MS Mincho"/>
        </w:rPr>
        <w:t>secretariat of the Basel, Rotterdam and Stockholm conventions</w:t>
      </w:r>
      <w:r w:rsidRPr="00C611F5">
        <w:rPr>
          <w:rFonts w:eastAsia="MS Mincho"/>
        </w:rPr>
        <w:t xml:space="preserve">, as a new and separate </w:t>
      </w:r>
      <w:r w:rsidR="008330C4" w:rsidRPr="00C611F5">
        <w:rPr>
          <w:rFonts w:eastAsia="MS Mincho"/>
        </w:rPr>
        <w:t>b</w:t>
      </w:r>
      <w:r w:rsidRPr="00C611F5">
        <w:rPr>
          <w:rFonts w:eastAsia="MS Mincho"/>
        </w:rPr>
        <w:t>ranch (Minamata Branch)</w:t>
      </w:r>
      <w:r w:rsidR="00654121" w:rsidRPr="00C611F5">
        <w:rPr>
          <w:rFonts w:eastAsia="MS Mincho"/>
        </w:rPr>
        <w:t>, under the authority of</w:t>
      </w:r>
      <w:r w:rsidRPr="00C611F5">
        <w:rPr>
          <w:rFonts w:eastAsia="MS Mincho"/>
        </w:rPr>
        <w:t xml:space="preserve"> </w:t>
      </w:r>
      <w:r w:rsidR="00921B66">
        <w:rPr>
          <w:rFonts w:eastAsia="MS Mincho"/>
        </w:rPr>
        <w:t>a joint</w:t>
      </w:r>
      <w:r w:rsidR="00921B66" w:rsidRPr="00C611F5">
        <w:rPr>
          <w:rFonts w:eastAsia="MS Mincho"/>
        </w:rPr>
        <w:t xml:space="preserve"> </w:t>
      </w:r>
      <w:r w:rsidRPr="00C611F5">
        <w:rPr>
          <w:rFonts w:eastAsia="MS Mincho"/>
        </w:rPr>
        <w:t>Executive Secretary</w:t>
      </w:r>
      <w:r w:rsidR="00BB0490" w:rsidRPr="00C611F5">
        <w:rPr>
          <w:rFonts w:eastAsia="MS Mincho"/>
        </w:rPr>
        <w:t xml:space="preserve"> of the </w:t>
      </w:r>
      <w:r w:rsidR="008330C4" w:rsidRPr="00C611F5">
        <w:rPr>
          <w:rFonts w:eastAsia="MS Mincho"/>
        </w:rPr>
        <w:t>Basel, Rotterdam and Stockholm</w:t>
      </w:r>
      <w:r w:rsidR="00AE02A9" w:rsidRPr="00C611F5">
        <w:rPr>
          <w:rFonts w:eastAsia="MS Mincho"/>
        </w:rPr>
        <w:t xml:space="preserve"> conventions</w:t>
      </w:r>
      <w:r w:rsidR="00AD26F7">
        <w:rPr>
          <w:rFonts w:eastAsia="MS Mincho"/>
        </w:rPr>
        <w:t xml:space="preserve"> and the Minamata Convention</w:t>
      </w:r>
      <w:r w:rsidRPr="00C611F5">
        <w:rPr>
          <w:rFonts w:eastAsia="MS Mincho"/>
        </w:rPr>
        <w:t>. The new Minamata Branch would deliver the substantive activities related to the functions of the secretariat and draw on support</w:t>
      </w:r>
      <w:r w:rsidR="00F254E5" w:rsidRPr="00C611F5">
        <w:rPr>
          <w:rFonts w:eastAsia="MS Mincho"/>
        </w:rPr>
        <w:t xml:space="preserve"> and other </w:t>
      </w:r>
      <w:r w:rsidR="00CC5AF9" w:rsidRPr="00C611F5">
        <w:rPr>
          <w:rFonts w:eastAsia="MS Mincho"/>
        </w:rPr>
        <w:t>functions</w:t>
      </w:r>
      <w:r w:rsidR="00E70DFE" w:rsidRPr="00C611F5">
        <w:rPr>
          <w:rFonts w:eastAsia="MS Mincho"/>
        </w:rPr>
        <w:t xml:space="preserve"> from the Conventions Operation Branch</w:t>
      </w:r>
      <w:r w:rsidRPr="00C611F5">
        <w:rPr>
          <w:rFonts w:eastAsia="MS Mincho"/>
        </w:rPr>
        <w:t xml:space="preserve">, including </w:t>
      </w:r>
      <w:r w:rsidR="00DB267F" w:rsidRPr="00C611F5">
        <w:rPr>
          <w:rFonts w:eastAsia="MS Mincho"/>
        </w:rPr>
        <w:t xml:space="preserve">legal </w:t>
      </w:r>
      <w:r w:rsidR="00F254E5" w:rsidRPr="00C611F5">
        <w:rPr>
          <w:rFonts w:eastAsia="MS Mincho"/>
        </w:rPr>
        <w:t>(</w:t>
      </w:r>
      <w:r w:rsidR="00DB267F" w:rsidRPr="00C611F5">
        <w:rPr>
          <w:rFonts w:eastAsia="MS Mincho"/>
        </w:rPr>
        <w:t>corporate</w:t>
      </w:r>
      <w:r w:rsidR="00F254E5" w:rsidRPr="00C611F5">
        <w:rPr>
          <w:rFonts w:eastAsia="MS Mincho"/>
        </w:rPr>
        <w:t xml:space="preserve"> </w:t>
      </w:r>
      <w:r w:rsidR="00DB267F" w:rsidRPr="00C611F5">
        <w:rPr>
          <w:rFonts w:eastAsia="MS Mincho"/>
        </w:rPr>
        <w:t>and programmatic)</w:t>
      </w:r>
      <w:r w:rsidR="0020392E" w:rsidRPr="00C611F5">
        <w:rPr>
          <w:rFonts w:eastAsia="MS Mincho"/>
        </w:rPr>
        <w:t xml:space="preserve"> functions</w:t>
      </w:r>
      <w:r w:rsidRPr="00C611F5">
        <w:rPr>
          <w:rFonts w:eastAsia="MS Mincho"/>
        </w:rPr>
        <w:t>,</w:t>
      </w:r>
      <w:r w:rsidR="008C2603" w:rsidRPr="00C611F5">
        <w:rPr>
          <w:rFonts w:eastAsia="MS Mincho"/>
        </w:rPr>
        <w:t xml:space="preserve"> </w:t>
      </w:r>
      <w:r w:rsidR="00F73B68" w:rsidRPr="00C611F5">
        <w:rPr>
          <w:rFonts w:eastAsia="MS Mincho"/>
        </w:rPr>
        <w:t xml:space="preserve">outreach and public awareness, </w:t>
      </w:r>
      <w:r w:rsidRPr="00C611F5">
        <w:rPr>
          <w:rFonts w:eastAsia="MS Mincho"/>
        </w:rPr>
        <w:t>information management</w:t>
      </w:r>
      <w:r w:rsidR="000F0E59" w:rsidRPr="00C611F5">
        <w:rPr>
          <w:rFonts w:eastAsia="MS Mincho"/>
        </w:rPr>
        <w:t xml:space="preserve"> and technology,</w:t>
      </w:r>
      <w:r w:rsidR="008C2603" w:rsidRPr="00C611F5">
        <w:rPr>
          <w:rFonts w:eastAsia="MS Mincho"/>
        </w:rPr>
        <w:t xml:space="preserve"> </w:t>
      </w:r>
      <w:r w:rsidR="00DB267F" w:rsidRPr="00C611F5">
        <w:rPr>
          <w:rFonts w:eastAsia="MS Mincho"/>
        </w:rPr>
        <w:t>meeting coordination</w:t>
      </w:r>
      <w:r w:rsidR="00D87BBD" w:rsidRPr="00C611F5">
        <w:rPr>
          <w:rFonts w:eastAsia="MS Mincho"/>
        </w:rPr>
        <w:t xml:space="preserve"> </w:t>
      </w:r>
      <w:r w:rsidRPr="00C611F5">
        <w:rPr>
          <w:rFonts w:eastAsia="MS Mincho"/>
        </w:rPr>
        <w:t xml:space="preserve">and meeting support, </w:t>
      </w:r>
      <w:r w:rsidR="00072387" w:rsidRPr="00C611F5">
        <w:rPr>
          <w:rFonts w:eastAsia="MS Mincho"/>
        </w:rPr>
        <w:t xml:space="preserve">as well as administrative, financial, </w:t>
      </w:r>
      <w:r w:rsidR="00CF2A1B" w:rsidRPr="00C611F5">
        <w:rPr>
          <w:rFonts w:eastAsia="MS Mincho"/>
        </w:rPr>
        <w:t xml:space="preserve">human resources, </w:t>
      </w:r>
      <w:r w:rsidR="00072387" w:rsidRPr="00C611F5">
        <w:rPr>
          <w:rFonts w:eastAsia="MS Mincho"/>
        </w:rPr>
        <w:t xml:space="preserve">resource mobilization </w:t>
      </w:r>
      <w:r w:rsidRPr="00C611F5">
        <w:rPr>
          <w:rFonts w:eastAsia="MS Mincho"/>
        </w:rPr>
        <w:t xml:space="preserve">and management support from the Executive </w:t>
      </w:r>
      <w:r w:rsidR="009F7899" w:rsidRPr="00C611F5">
        <w:rPr>
          <w:rFonts w:eastAsia="MS Mincho"/>
        </w:rPr>
        <w:t>Office</w:t>
      </w:r>
      <w:r w:rsidRPr="00C611F5">
        <w:rPr>
          <w:rFonts w:eastAsia="MS Mincho"/>
        </w:rPr>
        <w:t>.</w:t>
      </w:r>
      <w:r w:rsidR="008C2603" w:rsidRPr="00C611F5">
        <w:rPr>
          <w:rFonts w:eastAsia="MS Mincho"/>
        </w:rPr>
        <w:t xml:space="preserve"> </w:t>
      </w:r>
      <w:r w:rsidRPr="00C611F5">
        <w:rPr>
          <w:rFonts w:eastAsia="MS Mincho"/>
        </w:rPr>
        <w:t>The Minamata Branch would work closely with the other branches</w:t>
      </w:r>
      <w:r w:rsidR="00BB0490" w:rsidRPr="00C611F5">
        <w:rPr>
          <w:rFonts w:eastAsia="MS Mincho"/>
        </w:rPr>
        <w:t xml:space="preserve"> </w:t>
      </w:r>
      <w:r w:rsidRPr="00C611F5">
        <w:rPr>
          <w:rFonts w:eastAsia="MS Mincho"/>
        </w:rPr>
        <w:t xml:space="preserve">on cooperative activities </w:t>
      </w:r>
      <w:r w:rsidR="00072387" w:rsidRPr="00C611F5">
        <w:rPr>
          <w:rFonts w:eastAsia="MS Mincho"/>
        </w:rPr>
        <w:t xml:space="preserve">related to </w:t>
      </w:r>
      <w:r w:rsidRPr="00C611F5">
        <w:rPr>
          <w:rFonts w:eastAsia="MS Mincho"/>
        </w:rPr>
        <w:t>technical assistance</w:t>
      </w:r>
      <w:r w:rsidR="00C05511" w:rsidRPr="00C611F5">
        <w:rPr>
          <w:rFonts w:eastAsia="MS Mincho"/>
        </w:rPr>
        <w:t xml:space="preserve">, </w:t>
      </w:r>
      <w:r w:rsidRPr="00C611F5">
        <w:rPr>
          <w:rFonts w:eastAsia="MS Mincho"/>
        </w:rPr>
        <w:t xml:space="preserve">and scientific issues with contributions on relevant issues requested and received as appropriate. </w:t>
      </w:r>
      <w:r w:rsidR="00F65F5D" w:rsidRPr="00C611F5">
        <w:rPr>
          <w:rFonts w:eastAsia="MS Mincho"/>
        </w:rPr>
        <w:t>Th</w:t>
      </w:r>
      <w:r w:rsidR="0020392E" w:rsidRPr="00C611F5">
        <w:rPr>
          <w:rFonts w:eastAsia="MS Mincho"/>
        </w:rPr>
        <w:t>e</w:t>
      </w:r>
      <w:r w:rsidR="00F65F5D" w:rsidRPr="00C611F5">
        <w:rPr>
          <w:rFonts w:eastAsia="MS Mincho"/>
        </w:rPr>
        <w:t xml:space="preserve"> model draws on </w:t>
      </w:r>
      <w:r w:rsidR="008330C4" w:rsidRPr="00C611F5">
        <w:rPr>
          <w:rFonts w:eastAsia="MS Mincho"/>
        </w:rPr>
        <w:t xml:space="preserve">the manner in which </w:t>
      </w:r>
      <w:r w:rsidR="00F65F5D" w:rsidRPr="00C611F5">
        <w:rPr>
          <w:rFonts w:eastAsia="MS Mincho"/>
        </w:rPr>
        <w:t>the initial merge</w:t>
      </w:r>
      <w:r w:rsidR="00A03F0C" w:rsidRPr="00C611F5">
        <w:rPr>
          <w:rFonts w:eastAsia="MS Mincho"/>
        </w:rPr>
        <w:t>r</w:t>
      </w:r>
      <w:r w:rsidR="00F65F5D" w:rsidRPr="00C611F5">
        <w:rPr>
          <w:rFonts w:eastAsia="MS Mincho"/>
        </w:rPr>
        <w:t xml:space="preserve"> of the </w:t>
      </w:r>
      <w:r w:rsidR="00BB72E8" w:rsidRPr="00C611F5">
        <w:rPr>
          <w:rFonts w:eastAsia="MS Mincho"/>
        </w:rPr>
        <w:t>secretariat</w:t>
      </w:r>
      <w:r w:rsidR="00A03F0C" w:rsidRPr="00C611F5">
        <w:rPr>
          <w:rFonts w:eastAsia="MS Mincho"/>
        </w:rPr>
        <w:t>s</w:t>
      </w:r>
      <w:r w:rsidR="00BB72E8" w:rsidRPr="00C611F5">
        <w:rPr>
          <w:rFonts w:eastAsia="MS Mincho"/>
        </w:rPr>
        <w:t xml:space="preserve"> of the Basel, Rotterdam and Stockholm conventions</w:t>
      </w:r>
      <w:r w:rsidR="00F65F5D" w:rsidRPr="00C611F5">
        <w:rPr>
          <w:rFonts w:eastAsia="MS Mincho"/>
        </w:rPr>
        <w:t xml:space="preserve"> was carried out.</w:t>
      </w:r>
      <w:r w:rsidR="00BB0490" w:rsidRPr="00C611F5">
        <w:rPr>
          <w:rFonts w:eastAsia="MS Mincho"/>
        </w:rPr>
        <w:t xml:space="preserve"> Th</w:t>
      </w:r>
      <w:r w:rsidR="0020392E" w:rsidRPr="00C611F5">
        <w:rPr>
          <w:rFonts w:eastAsia="MS Mincho"/>
        </w:rPr>
        <w:t>e</w:t>
      </w:r>
      <w:r w:rsidR="00BB0490" w:rsidRPr="00C611F5">
        <w:rPr>
          <w:rFonts w:eastAsia="MS Mincho"/>
        </w:rPr>
        <w:t xml:space="preserve"> approach would be evaluated after a limited number of years with the aim of fully integrating the Minamata Convention into the current structure of the </w:t>
      </w:r>
      <w:r w:rsidR="00BB72E8" w:rsidRPr="00C611F5">
        <w:rPr>
          <w:rFonts w:eastAsia="MS Mincho"/>
        </w:rPr>
        <w:t>secretariat of the Basel, Rotterdam and Stockholm conventions</w:t>
      </w:r>
      <w:r w:rsidR="008330C4" w:rsidRPr="00C611F5">
        <w:rPr>
          <w:rFonts w:eastAsia="MS Mincho"/>
        </w:rPr>
        <w:t>,</w:t>
      </w:r>
      <w:r w:rsidR="00BB0490" w:rsidRPr="00C611F5">
        <w:rPr>
          <w:rFonts w:eastAsia="MS Mincho"/>
        </w:rPr>
        <w:t xml:space="preserve"> as presented in </w:t>
      </w:r>
      <w:r w:rsidR="001715B4" w:rsidRPr="00C611F5">
        <w:rPr>
          <w:rFonts w:eastAsia="MS Mincho"/>
        </w:rPr>
        <w:t xml:space="preserve">option </w:t>
      </w:r>
      <w:r w:rsidR="00BB0490" w:rsidRPr="00C611F5">
        <w:rPr>
          <w:rFonts w:eastAsia="MS Mincho"/>
        </w:rPr>
        <w:t>1</w:t>
      </w:r>
      <w:r w:rsidR="008330C4" w:rsidRPr="00C611F5">
        <w:rPr>
          <w:rFonts w:eastAsia="MS Mincho"/>
        </w:rPr>
        <w:t xml:space="preserve"> </w:t>
      </w:r>
      <w:r w:rsidR="00DE04F8" w:rsidRPr="00C611F5">
        <w:rPr>
          <w:rFonts w:eastAsia="MS Mincho"/>
        </w:rPr>
        <w:t>(</w:t>
      </w:r>
      <w:r w:rsidR="00BB0490" w:rsidRPr="00C611F5">
        <w:rPr>
          <w:rFonts w:eastAsia="MS Mincho"/>
        </w:rPr>
        <w:t>a</w:t>
      </w:r>
      <w:r w:rsidR="00DE04F8" w:rsidRPr="00C611F5">
        <w:rPr>
          <w:rFonts w:eastAsia="MS Mincho"/>
        </w:rPr>
        <w:t>)</w:t>
      </w:r>
      <w:r w:rsidR="00BB0490" w:rsidRPr="00C611F5">
        <w:rPr>
          <w:rFonts w:eastAsia="MS Mincho"/>
        </w:rPr>
        <w:t xml:space="preserve">. </w:t>
      </w:r>
    </w:p>
    <w:p w:rsidR="00687FF8" w:rsidRPr="00C611F5" w:rsidRDefault="00687FF8" w:rsidP="006374B5">
      <w:pPr>
        <w:pStyle w:val="Normalnumber"/>
        <w:numPr>
          <w:ilvl w:val="0"/>
          <w:numId w:val="0"/>
        </w:numPr>
        <w:ind w:left="1276"/>
        <w:rPr>
          <w:rFonts w:eastAsia="MS Mincho"/>
        </w:rPr>
      </w:pPr>
      <w:r w:rsidRPr="00C611F5">
        <w:rPr>
          <w:rFonts w:eastAsia="MS Mincho"/>
          <w:b/>
          <w:bCs/>
        </w:rPr>
        <w:t>Staffing</w:t>
      </w:r>
    </w:p>
    <w:p w:rsidR="005D09A5" w:rsidRPr="00C611F5" w:rsidRDefault="00687FF8" w:rsidP="00EB66CA">
      <w:pPr>
        <w:pStyle w:val="Normalnumber"/>
        <w:numPr>
          <w:ilvl w:val="0"/>
          <w:numId w:val="5"/>
        </w:numPr>
        <w:tabs>
          <w:tab w:val="clear" w:pos="1247"/>
        </w:tabs>
        <w:ind w:left="1247" w:firstLine="0"/>
        <w:rPr>
          <w:rFonts w:eastAsia="MS Mincho"/>
        </w:rPr>
      </w:pPr>
      <w:r w:rsidRPr="00C611F5">
        <w:rPr>
          <w:rFonts w:eastAsia="MS Mincho"/>
        </w:rPr>
        <w:t xml:space="preserve">The staffing structure under this </w:t>
      </w:r>
      <w:r w:rsidR="00E54474" w:rsidRPr="00C611F5">
        <w:rPr>
          <w:rFonts w:eastAsia="MS Mincho"/>
        </w:rPr>
        <w:t xml:space="preserve">option </w:t>
      </w:r>
      <w:r w:rsidRPr="00C611F5">
        <w:rPr>
          <w:rFonts w:eastAsia="MS Mincho"/>
        </w:rPr>
        <w:t xml:space="preserve">would be similar to </w:t>
      </w:r>
      <w:r w:rsidR="00823055" w:rsidRPr="00C611F5">
        <w:rPr>
          <w:rFonts w:eastAsia="MS Mincho"/>
        </w:rPr>
        <w:t xml:space="preserve">the </w:t>
      </w:r>
      <w:r w:rsidR="002742A9" w:rsidRPr="00C611F5">
        <w:rPr>
          <w:rFonts w:eastAsia="MS Mincho"/>
        </w:rPr>
        <w:t xml:space="preserve">approach in </w:t>
      </w:r>
      <w:r w:rsidR="00E54474" w:rsidRPr="00C611F5">
        <w:rPr>
          <w:rFonts w:eastAsia="MS Mincho"/>
        </w:rPr>
        <w:t>option</w:t>
      </w:r>
      <w:r w:rsidR="008C2603" w:rsidRPr="00C611F5">
        <w:rPr>
          <w:rFonts w:eastAsia="MS Mincho"/>
        </w:rPr>
        <w:t xml:space="preserve"> </w:t>
      </w:r>
      <w:r w:rsidR="002742A9" w:rsidRPr="00C611F5">
        <w:rPr>
          <w:rFonts w:eastAsia="MS Mincho"/>
        </w:rPr>
        <w:t>1</w:t>
      </w:r>
      <w:r w:rsidR="008330C4" w:rsidRPr="00C611F5">
        <w:rPr>
          <w:rFonts w:eastAsia="MS Mincho"/>
        </w:rPr>
        <w:t xml:space="preserve"> </w:t>
      </w:r>
      <w:r w:rsidR="00A138C5" w:rsidRPr="00C611F5">
        <w:rPr>
          <w:rFonts w:eastAsia="MS Mincho"/>
        </w:rPr>
        <w:t>(</w:t>
      </w:r>
      <w:r w:rsidR="002742A9" w:rsidRPr="00C611F5">
        <w:rPr>
          <w:rFonts w:eastAsia="MS Mincho"/>
        </w:rPr>
        <w:t>a</w:t>
      </w:r>
      <w:r w:rsidR="00A138C5" w:rsidRPr="00C611F5">
        <w:rPr>
          <w:rFonts w:eastAsia="MS Mincho"/>
        </w:rPr>
        <w:t>)</w:t>
      </w:r>
      <w:r w:rsidR="00AE02A9" w:rsidRPr="00C611F5">
        <w:rPr>
          <w:rFonts w:eastAsia="MS Mincho"/>
        </w:rPr>
        <w:t xml:space="preserve">. </w:t>
      </w:r>
      <w:r w:rsidR="00E04933" w:rsidRPr="00C611F5">
        <w:rPr>
          <w:rFonts w:eastAsia="MS Mincho"/>
        </w:rPr>
        <w:t xml:space="preserve">The functions of </w:t>
      </w:r>
      <w:r w:rsidR="00F46ADD" w:rsidRPr="00C611F5">
        <w:rPr>
          <w:rFonts w:eastAsia="MS Mincho"/>
        </w:rPr>
        <w:t xml:space="preserve">staff within the Executive Office and the Conventions Operation Branch </w:t>
      </w:r>
      <w:r w:rsidR="00E04933" w:rsidRPr="00C611F5">
        <w:rPr>
          <w:rFonts w:eastAsia="MS Mincho"/>
        </w:rPr>
        <w:t>could be sourced from existing</w:t>
      </w:r>
      <w:r w:rsidR="00075C2D" w:rsidRPr="00C611F5">
        <w:rPr>
          <w:rFonts w:eastAsia="MS Mincho"/>
        </w:rPr>
        <w:t xml:space="preserve"> </w:t>
      </w:r>
      <w:r w:rsidR="008330C4" w:rsidRPr="00C611F5">
        <w:rPr>
          <w:rFonts w:eastAsia="MS Mincho"/>
        </w:rPr>
        <w:t>Basel, Rotterdam and Stockholm</w:t>
      </w:r>
      <w:r w:rsidR="00E04933" w:rsidRPr="00C611F5">
        <w:rPr>
          <w:rFonts w:eastAsia="MS Mincho"/>
        </w:rPr>
        <w:t xml:space="preserve"> staff, with cost-sharing by the Minamata Convention</w:t>
      </w:r>
      <w:r w:rsidR="00D41766" w:rsidRPr="00C611F5">
        <w:rPr>
          <w:rFonts w:eastAsia="MS Mincho"/>
        </w:rPr>
        <w:t xml:space="preserve">. </w:t>
      </w:r>
      <w:r w:rsidR="00075C2D" w:rsidRPr="00C611F5">
        <w:rPr>
          <w:rFonts w:eastAsia="MS Mincho"/>
        </w:rPr>
        <w:t>For calculation purposes, t</w:t>
      </w:r>
      <w:r w:rsidR="002B32B2" w:rsidRPr="00C611F5">
        <w:rPr>
          <w:rFonts w:eastAsia="MS Mincho"/>
        </w:rPr>
        <w:t>hese could be estimated to amount to 2</w:t>
      </w:r>
      <w:r w:rsidR="00F31587" w:rsidRPr="00C611F5">
        <w:rPr>
          <w:rFonts w:eastAsia="MS Mincho"/>
        </w:rPr>
        <w:t>0</w:t>
      </w:r>
      <w:r w:rsidR="00680E43" w:rsidRPr="00C611F5">
        <w:rPr>
          <w:rFonts w:eastAsia="MS Mincho"/>
        </w:rPr>
        <w:t xml:space="preserve"> per cent</w:t>
      </w:r>
      <w:r w:rsidR="002B32B2" w:rsidRPr="00C611F5">
        <w:rPr>
          <w:rFonts w:eastAsia="MS Mincho"/>
        </w:rPr>
        <w:t xml:space="preserve"> of </w:t>
      </w:r>
      <w:r w:rsidR="008330C4" w:rsidRPr="00C611F5">
        <w:rPr>
          <w:rFonts w:eastAsia="MS Mincho"/>
        </w:rPr>
        <w:t xml:space="preserve">a </w:t>
      </w:r>
      <w:r w:rsidR="002B32B2" w:rsidRPr="00C611F5">
        <w:rPr>
          <w:rFonts w:eastAsia="MS Mincho"/>
        </w:rPr>
        <w:t xml:space="preserve">D-2 </w:t>
      </w:r>
      <w:r w:rsidR="00F1770D" w:rsidRPr="00C611F5">
        <w:rPr>
          <w:rFonts w:eastAsia="MS Mincho"/>
        </w:rPr>
        <w:t xml:space="preserve">post </w:t>
      </w:r>
      <w:r w:rsidR="002B32B2" w:rsidRPr="00C611F5">
        <w:rPr>
          <w:rFonts w:eastAsia="MS Mincho"/>
        </w:rPr>
        <w:t>(Executive Secretary),</w:t>
      </w:r>
      <w:r w:rsidR="00FF588E" w:rsidRPr="00C611F5">
        <w:rPr>
          <w:rFonts w:eastAsia="MS Mincho"/>
        </w:rPr>
        <w:t xml:space="preserve"> </w:t>
      </w:r>
      <w:r w:rsidR="009822B4" w:rsidRPr="00C611F5">
        <w:rPr>
          <w:rFonts w:eastAsia="MS Mincho"/>
        </w:rPr>
        <w:t>20</w:t>
      </w:r>
      <w:r w:rsidR="00680E43" w:rsidRPr="00C611F5">
        <w:rPr>
          <w:rFonts w:eastAsia="MS Mincho"/>
        </w:rPr>
        <w:t xml:space="preserve"> per cent</w:t>
      </w:r>
      <w:r w:rsidR="009822B4" w:rsidRPr="00C611F5">
        <w:rPr>
          <w:rFonts w:eastAsia="MS Mincho"/>
        </w:rPr>
        <w:t xml:space="preserve"> of a D</w:t>
      </w:r>
      <w:r w:rsidR="00FF588E" w:rsidRPr="00C611F5">
        <w:rPr>
          <w:rFonts w:eastAsia="MS Mincho"/>
        </w:rPr>
        <w:t>-</w:t>
      </w:r>
      <w:r w:rsidR="009822B4" w:rsidRPr="00C611F5">
        <w:rPr>
          <w:rFonts w:eastAsia="MS Mincho"/>
        </w:rPr>
        <w:t>1</w:t>
      </w:r>
      <w:r w:rsidR="001A2647" w:rsidRPr="00C611F5">
        <w:rPr>
          <w:rFonts w:eastAsia="MS Mincho"/>
        </w:rPr>
        <w:t> </w:t>
      </w:r>
      <w:r w:rsidR="00F1770D" w:rsidRPr="00C611F5">
        <w:rPr>
          <w:rFonts w:eastAsia="MS Mincho"/>
        </w:rPr>
        <w:t xml:space="preserve">post </w:t>
      </w:r>
      <w:r w:rsidR="009822B4" w:rsidRPr="00C611F5">
        <w:rPr>
          <w:rFonts w:eastAsia="MS Mincho"/>
        </w:rPr>
        <w:t>(Deputy Executive Secretary),</w:t>
      </w:r>
      <w:r w:rsidR="008C2603" w:rsidRPr="00C611F5">
        <w:rPr>
          <w:rFonts w:eastAsia="MS Mincho"/>
        </w:rPr>
        <w:t xml:space="preserve"> </w:t>
      </w:r>
      <w:r w:rsidR="002B32B2" w:rsidRPr="00C611F5">
        <w:rPr>
          <w:rFonts w:eastAsia="MS Mincho"/>
        </w:rPr>
        <w:t>2</w:t>
      </w:r>
      <w:r w:rsidR="009822B4" w:rsidRPr="00C611F5">
        <w:rPr>
          <w:rFonts w:eastAsia="MS Mincho"/>
        </w:rPr>
        <w:t>5</w:t>
      </w:r>
      <w:r w:rsidR="00680E43" w:rsidRPr="00C611F5">
        <w:rPr>
          <w:rFonts w:eastAsia="MS Mincho"/>
        </w:rPr>
        <w:t xml:space="preserve"> per cent</w:t>
      </w:r>
      <w:r w:rsidR="002B32B2" w:rsidRPr="00C611F5">
        <w:rPr>
          <w:rFonts w:eastAsia="MS Mincho"/>
        </w:rPr>
        <w:t xml:space="preserve"> of a P-5 </w:t>
      </w:r>
      <w:r w:rsidR="00F1770D" w:rsidRPr="00C611F5">
        <w:rPr>
          <w:rFonts w:eastAsia="MS Mincho"/>
        </w:rPr>
        <w:t xml:space="preserve">post </w:t>
      </w:r>
      <w:r w:rsidR="002B32B2" w:rsidRPr="00C611F5">
        <w:rPr>
          <w:rFonts w:eastAsia="MS Mincho"/>
        </w:rPr>
        <w:t>(Branch Chief, Conventions Operations Branch)</w:t>
      </w:r>
      <w:r w:rsidR="00AD26F7">
        <w:rPr>
          <w:rFonts w:eastAsia="MS Mincho"/>
        </w:rPr>
        <w:t xml:space="preserve">. </w:t>
      </w:r>
      <w:r w:rsidR="00AD26F7" w:rsidRPr="00B61550">
        <w:rPr>
          <w:rFonts w:eastAsia="MS Mincho"/>
        </w:rPr>
        <w:t>This will result in overall cost savings for the parties to the Basel, Rotterdam and Stockholm conventions. In addition, in order to increase the capacity of the matrix structure to meet the needs of the Minamata Branch,</w:t>
      </w:r>
      <w:r w:rsidR="002B32B2" w:rsidRPr="00C611F5">
        <w:rPr>
          <w:rFonts w:eastAsia="MS Mincho"/>
        </w:rPr>
        <w:t xml:space="preserve"> </w:t>
      </w:r>
      <w:r w:rsidR="004E21FC" w:rsidRPr="00C611F5">
        <w:rPr>
          <w:rFonts w:eastAsia="MS Mincho"/>
        </w:rPr>
        <w:t>the equivalent of 1</w:t>
      </w:r>
      <w:r w:rsidR="00B46E2F" w:rsidRPr="00C611F5">
        <w:rPr>
          <w:rFonts w:eastAsia="MS Mincho"/>
        </w:rPr>
        <w:t>.5</w:t>
      </w:r>
      <w:r w:rsidR="004E21FC" w:rsidRPr="00C611F5">
        <w:rPr>
          <w:rFonts w:eastAsia="MS Mincho"/>
        </w:rPr>
        <w:t xml:space="preserve"> P-3 </w:t>
      </w:r>
      <w:r w:rsidR="008330C4" w:rsidRPr="00C611F5">
        <w:rPr>
          <w:rFonts w:eastAsia="MS Mincho"/>
        </w:rPr>
        <w:t xml:space="preserve">officers </w:t>
      </w:r>
      <w:r w:rsidR="004E21FC" w:rsidRPr="00C611F5">
        <w:rPr>
          <w:rFonts w:eastAsia="MS Mincho"/>
        </w:rPr>
        <w:t xml:space="preserve">(to cover costs for functions such as </w:t>
      </w:r>
      <w:r w:rsidR="00C45613" w:rsidRPr="00C611F5">
        <w:rPr>
          <w:rFonts w:eastAsia="MS Mincho"/>
        </w:rPr>
        <w:t xml:space="preserve">legal, outreach and public awareness, </w:t>
      </w:r>
      <w:r w:rsidR="0054353D" w:rsidRPr="00C611F5">
        <w:rPr>
          <w:rFonts w:eastAsia="MS Mincho"/>
        </w:rPr>
        <w:t>information technology (</w:t>
      </w:r>
      <w:r w:rsidR="00C45613" w:rsidRPr="00C611F5">
        <w:rPr>
          <w:rFonts w:eastAsia="MS Mincho"/>
        </w:rPr>
        <w:t>IT</w:t>
      </w:r>
      <w:r w:rsidR="0054353D" w:rsidRPr="00C611F5">
        <w:rPr>
          <w:rFonts w:eastAsia="MS Mincho"/>
        </w:rPr>
        <w:t>)</w:t>
      </w:r>
      <w:r w:rsidR="00C45613" w:rsidRPr="00C611F5">
        <w:rPr>
          <w:rFonts w:eastAsia="MS Mincho"/>
        </w:rPr>
        <w:t xml:space="preserve"> and information management)</w:t>
      </w:r>
      <w:r w:rsidR="002B32B2" w:rsidRPr="00C611F5">
        <w:rPr>
          <w:rFonts w:eastAsia="MS Mincho"/>
        </w:rPr>
        <w:t xml:space="preserve"> and one </w:t>
      </w:r>
      <w:r w:rsidR="00D34B24" w:rsidRPr="00C611F5">
        <w:rPr>
          <w:rFonts w:eastAsia="MS Mincho"/>
        </w:rPr>
        <w:t>G</w:t>
      </w:r>
      <w:r w:rsidR="002B32B2" w:rsidRPr="00C611F5">
        <w:rPr>
          <w:rFonts w:eastAsia="MS Mincho"/>
        </w:rPr>
        <w:t xml:space="preserve">eneral </w:t>
      </w:r>
      <w:r w:rsidR="00D34B24" w:rsidRPr="00C611F5">
        <w:rPr>
          <w:rFonts w:eastAsia="MS Mincho"/>
        </w:rPr>
        <w:t>S</w:t>
      </w:r>
      <w:r w:rsidR="002B32B2" w:rsidRPr="00C611F5">
        <w:rPr>
          <w:rFonts w:eastAsia="MS Mincho"/>
        </w:rPr>
        <w:t xml:space="preserve">ervice </w:t>
      </w:r>
      <w:r w:rsidR="0020392E" w:rsidRPr="00C611F5">
        <w:rPr>
          <w:rFonts w:eastAsia="MS Mincho"/>
        </w:rPr>
        <w:t>post</w:t>
      </w:r>
      <w:r w:rsidR="003F3A67">
        <w:rPr>
          <w:rFonts w:eastAsia="MS Mincho"/>
        </w:rPr>
        <w:t xml:space="preserve"> is necessary</w:t>
      </w:r>
      <w:r w:rsidR="002B32B2" w:rsidRPr="00C611F5">
        <w:rPr>
          <w:rFonts w:eastAsia="MS Mincho"/>
        </w:rPr>
        <w:t>.</w:t>
      </w:r>
    </w:p>
    <w:p w:rsidR="005D09A5" w:rsidRPr="00C611F5" w:rsidRDefault="00687FF8" w:rsidP="00EB66CA">
      <w:pPr>
        <w:pStyle w:val="Normalnumber"/>
        <w:numPr>
          <w:ilvl w:val="0"/>
          <w:numId w:val="5"/>
        </w:numPr>
        <w:tabs>
          <w:tab w:val="clear" w:pos="1247"/>
        </w:tabs>
        <w:ind w:left="1247" w:firstLine="0"/>
        <w:rPr>
          <w:rFonts w:eastAsia="MS Mincho"/>
        </w:rPr>
      </w:pPr>
      <w:r w:rsidRPr="00C611F5">
        <w:rPr>
          <w:rFonts w:eastAsia="MS Mincho"/>
        </w:rPr>
        <w:t xml:space="preserve">As the Minamata </w:t>
      </w:r>
      <w:r w:rsidR="005A5AE1" w:rsidRPr="00C611F5">
        <w:rPr>
          <w:rFonts w:eastAsia="MS Mincho"/>
        </w:rPr>
        <w:t xml:space="preserve">Branch </w:t>
      </w:r>
      <w:r w:rsidRPr="00C611F5">
        <w:rPr>
          <w:rFonts w:eastAsia="MS Mincho"/>
        </w:rPr>
        <w:t xml:space="preserve">would be responsible for </w:t>
      </w:r>
      <w:r w:rsidR="005A5AE1" w:rsidRPr="00C611F5">
        <w:rPr>
          <w:rFonts w:eastAsia="MS Mincho"/>
        </w:rPr>
        <w:t xml:space="preserve">carrying out </w:t>
      </w:r>
      <w:r w:rsidR="00083982" w:rsidRPr="00C611F5">
        <w:rPr>
          <w:rFonts w:eastAsia="MS Mincho"/>
        </w:rPr>
        <w:t>capacity-building</w:t>
      </w:r>
      <w:r w:rsidRPr="00C611F5">
        <w:rPr>
          <w:rFonts w:eastAsia="MS Mincho"/>
        </w:rPr>
        <w:t xml:space="preserve"> and technical assistance activities, as well as science activities, there would be a</w:t>
      </w:r>
      <w:r w:rsidR="00A1110C" w:rsidRPr="00C611F5">
        <w:rPr>
          <w:rFonts w:eastAsia="MS Mincho"/>
        </w:rPr>
        <w:t xml:space="preserve"> limited </w:t>
      </w:r>
      <w:r w:rsidR="005A5AE1" w:rsidRPr="00C611F5">
        <w:rPr>
          <w:rFonts w:eastAsia="MS Mincho"/>
        </w:rPr>
        <w:t xml:space="preserve">implementation </w:t>
      </w:r>
      <w:r w:rsidRPr="00C611F5">
        <w:rPr>
          <w:rFonts w:eastAsia="MS Mincho"/>
        </w:rPr>
        <w:t xml:space="preserve">role for the </w:t>
      </w:r>
      <w:r w:rsidR="00763069" w:rsidRPr="00C611F5">
        <w:rPr>
          <w:rFonts w:eastAsia="MS Mincho"/>
        </w:rPr>
        <w:t>chiefs</w:t>
      </w:r>
      <w:r w:rsidR="00D107F1" w:rsidRPr="00C611F5">
        <w:rPr>
          <w:rFonts w:eastAsia="MS Mincho"/>
        </w:rPr>
        <w:t xml:space="preserve"> </w:t>
      </w:r>
      <w:r w:rsidRPr="00C611F5">
        <w:rPr>
          <w:rFonts w:eastAsia="MS Mincho"/>
        </w:rPr>
        <w:t>of the</w:t>
      </w:r>
      <w:r w:rsidR="005A5AE1" w:rsidRPr="00C611F5">
        <w:rPr>
          <w:rFonts w:eastAsia="MS Mincho"/>
        </w:rPr>
        <w:t xml:space="preserve"> </w:t>
      </w:r>
      <w:r w:rsidR="00A66855" w:rsidRPr="00C611F5">
        <w:rPr>
          <w:rFonts w:eastAsia="MS Mincho"/>
        </w:rPr>
        <w:t>Technical Assistance</w:t>
      </w:r>
      <w:r w:rsidR="005A5AE1" w:rsidRPr="00C611F5">
        <w:rPr>
          <w:rFonts w:eastAsia="MS Mincho"/>
        </w:rPr>
        <w:t xml:space="preserve"> and Scien</w:t>
      </w:r>
      <w:r w:rsidR="00A66855" w:rsidRPr="00C611F5">
        <w:rPr>
          <w:rFonts w:eastAsia="MS Mincho"/>
        </w:rPr>
        <w:t xml:space="preserve">tific Support </w:t>
      </w:r>
      <w:r w:rsidRPr="00C611F5">
        <w:rPr>
          <w:rFonts w:eastAsia="MS Mincho"/>
        </w:rPr>
        <w:t>branches in the day-to-day work of the secretariat</w:t>
      </w:r>
      <w:r w:rsidR="00F46ADD" w:rsidRPr="00C611F5">
        <w:rPr>
          <w:rFonts w:eastAsia="MS Mincho"/>
        </w:rPr>
        <w:t>.</w:t>
      </w:r>
    </w:p>
    <w:p w:rsidR="00865C5C" w:rsidRPr="00C611F5" w:rsidRDefault="00865C5C" w:rsidP="00EB66CA">
      <w:pPr>
        <w:pStyle w:val="Normalnumber"/>
        <w:numPr>
          <w:ilvl w:val="0"/>
          <w:numId w:val="5"/>
        </w:numPr>
        <w:tabs>
          <w:tab w:val="clear" w:pos="1247"/>
        </w:tabs>
        <w:ind w:left="1247" w:firstLine="0"/>
        <w:rPr>
          <w:rFonts w:eastAsia="MS Mincho"/>
        </w:rPr>
      </w:pPr>
      <w:r w:rsidRPr="00C611F5">
        <w:rPr>
          <w:rFonts w:eastAsia="MS Mincho"/>
        </w:rPr>
        <w:t xml:space="preserve">In terms of </w:t>
      </w:r>
      <w:r w:rsidR="00BE68BD" w:rsidRPr="00C611F5">
        <w:rPr>
          <w:rFonts w:eastAsia="MS Mincho"/>
        </w:rPr>
        <w:t xml:space="preserve">additional staff to the current staffing arrangements under the </w:t>
      </w:r>
      <w:r w:rsidR="00527290" w:rsidRPr="00C611F5">
        <w:rPr>
          <w:rFonts w:eastAsia="MS Mincho"/>
        </w:rPr>
        <w:t>secretariat of the Basel, Rotterdam and Stockholm conventions</w:t>
      </w:r>
      <w:r w:rsidR="008330C4" w:rsidRPr="00C611F5">
        <w:rPr>
          <w:rFonts w:eastAsia="MS Mincho"/>
        </w:rPr>
        <w:t>,</w:t>
      </w:r>
      <w:r w:rsidR="00BE68BD" w:rsidRPr="00C611F5">
        <w:rPr>
          <w:rFonts w:eastAsia="MS Mincho"/>
        </w:rPr>
        <w:t xml:space="preserve"> </w:t>
      </w:r>
      <w:r w:rsidRPr="00C611F5">
        <w:rPr>
          <w:rFonts w:eastAsia="MS Mincho"/>
        </w:rPr>
        <w:t xml:space="preserve">this proposal would require the following new positions to fulfil functions in the separate Minamata Branch of the </w:t>
      </w:r>
      <w:r w:rsidR="00527290" w:rsidRPr="00C611F5">
        <w:rPr>
          <w:rFonts w:eastAsia="MS Mincho"/>
        </w:rPr>
        <w:t>secretariat</w:t>
      </w:r>
      <w:r w:rsidRPr="00C611F5">
        <w:rPr>
          <w:rFonts w:eastAsia="MS Mincho"/>
        </w:rPr>
        <w:t xml:space="preserve">: </w:t>
      </w:r>
      <w:r w:rsidR="004E21FC" w:rsidRPr="00C611F5">
        <w:rPr>
          <w:rFonts w:eastAsia="MS Mincho"/>
        </w:rPr>
        <w:t>one Minamata Convention branch chief (</w:t>
      </w:r>
      <w:r w:rsidR="002A3B3F" w:rsidRPr="00C611F5">
        <w:rPr>
          <w:rFonts w:eastAsia="MS Mincho"/>
        </w:rPr>
        <w:t>P-5</w:t>
      </w:r>
      <w:r w:rsidR="00AB3094" w:rsidRPr="00C611F5">
        <w:rPr>
          <w:rFonts w:eastAsia="MS Mincho"/>
        </w:rPr>
        <w:t>)</w:t>
      </w:r>
      <w:r w:rsidR="008330C4" w:rsidRPr="00C611F5">
        <w:rPr>
          <w:rFonts w:eastAsia="MS Mincho"/>
        </w:rPr>
        <w:t>,</w:t>
      </w:r>
      <w:r w:rsidR="00AB3094" w:rsidRPr="00C611F5">
        <w:rPr>
          <w:rFonts w:eastAsia="MS Mincho"/>
        </w:rPr>
        <w:t xml:space="preserve"> one P-4 </w:t>
      </w:r>
      <w:r w:rsidR="00BD088D" w:rsidRPr="00C611F5">
        <w:rPr>
          <w:rFonts w:eastAsia="MS Mincho"/>
        </w:rPr>
        <w:t xml:space="preserve">post </w:t>
      </w:r>
      <w:r w:rsidR="00AB3094" w:rsidRPr="00C611F5">
        <w:rPr>
          <w:rFonts w:eastAsia="MS Mincho"/>
        </w:rPr>
        <w:t xml:space="preserve">(scientific), </w:t>
      </w:r>
      <w:r w:rsidR="002751E7" w:rsidRPr="00C611F5">
        <w:rPr>
          <w:rFonts w:eastAsia="MS Mincho"/>
        </w:rPr>
        <w:t xml:space="preserve">one P-3 </w:t>
      </w:r>
      <w:r w:rsidR="00BD088D" w:rsidRPr="00C611F5">
        <w:rPr>
          <w:rFonts w:eastAsia="MS Mincho"/>
        </w:rPr>
        <w:t xml:space="preserve">post </w:t>
      </w:r>
      <w:r w:rsidR="002751E7" w:rsidRPr="00C611F5">
        <w:rPr>
          <w:rFonts w:eastAsia="MS Mincho"/>
        </w:rPr>
        <w:t>(technical assistance</w:t>
      </w:r>
      <w:r w:rsidR="00AB3094" w:rsidRPr="00C611F5">
        <w:rPr>
          <w:rFonts w:eastAsia="MS Mincho"/>
        </w:rPr>
        <w:t>), one P</w:t>
      </w:r>
      <w:r w:rsidR="008330C4" w:rsidRPr="00C611F5">
        <w:rPr>
          <w:rFonts w:eastAsia="MS Mincho"/>
        </w:rPr>
        <w:t>-</w:t>
      </w:r>
      <w:r w:rsidR="00AB3094" w:rsidRPr="00C611F5">
        <w:rPr>
          <w:rFonts w:eastAsia="MS Mincho"/>
        </w:rPr>
        <w:t xml:space="preserve">3 </w:t>
      </w:r>
      <w:r w:rsidR="00BD088D" w:rsidRPr="00C611F5">
        <w:rPr>
          <w:rFonts w:eastAsia="MS Mincho"/>
        </w:rPr>
        <w:t xml:space="preserve">post </w:t>
      </w:r>
      <w:r w:rsidR="008330C4" w:rsidRPr="00C611F5">
        <w:rPr>
          <w:rFonts w:eastAsia="MS Mincho"/>
        </w:rPr>
        <w:t>(</w:t>
      </w:r>
      <w:r w:rsidR="002751E7" w:rsidRPr="00C611F5">
        <w:rPr>
          <w:rFonts w:eastAsia="MS Mincho"/>
        </w:rPr>
        <w:t>capacity-building</w:t>
      </w:r>
      <w:r w:rsidR="008330C4" w:rsidRPr="00C611F5">
        <w:rPr>
          <w:rFonts w:eastAsia="MS Mincho"/>
        </w:rPr>
        <w:t>),</w:t>
      </w:r>
      <w:r w:rsidR="00DB267F" w:rsidRPr="00C611F5">
        <w:rPr>
          <w:rFonts w:eastAsia="MS Mincho"/>
        </w:rPr>
        <w:t xml:space="preserve"> one P-3 </w:t>
      </w:r>
      <w:r w:rsidR="00BD088D" w:rsidRPr="00C611F5">
        <w:rPr>
          <w:rFonts w:eastAsia="MS Mincho"/>
        </w:rPr>
        <w:t xml:space="preserve">post </w:t>
      </w:r>
      <w:r w:rsidR="00DB267F" w:rsidRPr="00C611F5">
        <w:rPr>
          <w:rFonts w:eastAsia="MS Mincho"/>
        </w:rPr>
        <w:t>(meeting coordination</w:t>
      </w:r>
      <w:r w:rsidR="002751E7" w:rsidRPr="00C611F5">
        <w:rPr>
          <w:rFonts w:eastAsia="MS Mincho"/>
        </w:rPr>
        <w:t xml:space="preserve">) and two </w:t>
      </w:r>
      <w:r w:rsidR="00D34B24" w:rsidRPr="00C611F5">
        <w:rPr>
          <w:rFonts w:eastAsia="MS Mincho"/>
        </w:rPr>
        <w:t>G</w:t>
      </w:r>
      <w:r w:rsidR="002751E7" w:rsidRPr="00C611F5">
        <w:rPr>
          <w:rFonts w:eastAsia="MS Mincho"/>
        </w:rPr>
        <w:t xml:space="preserve">eneral </w:t>
      </w:r>
      <w:r w:rsidR="00D34B24" w:rsidRPr="00C611F5">
        <w:rPr>
          <w:rFonts w:eastAsia="MS Mincho"/>
        </w:rPr>
        <w:t>S</w:t>
      </w:r>
      <w:r w:rsidR="002751E7" w:rsidRPr="00C611F5">
        <w:rPr>
          <w:rFonts w:eastAsia="MS Mincho"/>
        </w:rPr>
        <w:t xml:space="preserve">ervice </w:t>
      </w:r>
      <w:r w:rsidR="00BD088D" w:rsidRPr="00C611F5">
        <w:rPr>
          <w:rFonts w:eastAsia="MS Mincho"/>
        </w:rPr>
        <w:t>posts</w:t>
      </w:r>
      <w:r w:rsidR="002751E7" w:rsidRPr="00C611F5">
        <w:rPr>
          <w:rFonts w:eastAsia="MS Mincho"/>
        </w:rPr>
        <w:t>.</w:t>
      </w:r>
      <w:r w:rsidR="00DB267F" w:rsidRPr="00C611F5">
        <w:rPr>
          <w:rFonts w:eastAsia="MS Mincho"/>
        </w:rPr>
        <w:t xml:space="preserve"> Short-term in</w:t>
      </w:r>
      <w:r w:rsidR="00E0340C" w:rsidRPr="00C611F5">
        <w:rPr>
          <w:rFonts w:eastAsia="MS Mincho"/>
        </w:rPr>
        <w:noBreakHyphen/>
      </w:r>
      <w:r w:rsidR="00DB267F" w:rsidRPr="00C611F5">
        <w:rPr>
          <w:rFonts w:eastAsia="MS Mincho"/>
        </w:rPr>
        <w:t xml:space="preserve">kind support from the </w:t>
      </w:r>
      <w:r w:rsidR="008330C4" w:rsidRPr="00C611F5">
        <w:rPr>
          <w:rFonts w:eastAsia="MS Mincho"/>
        </w:rPr>
        <w:t>Basel, Rotterdam and Stockholm</w:t>
      </w:r>
      <w:r w:rsidR="00DB267F" w:rsidRPr="00C611F5">
        <w:rPr>
          <w:rFonts w:eastAsia="MS Mincho"/>
        </w:rPr>
        <w:t xml:space="preserve"> </w:t>
      </w:r>
      <w:r w:rsidR="008330C4" w:rsidRPr="00C611F5">
        <w:rPr>
          <w:rFonts w:eastAsia="MS Mincho"/>
        </w:rPr>
        <w:t xml:space="preserve">conventions </w:t>
      </w:r>
      <w:r w:rsidR="00DB267F" w:rsidRPr="00C611F5">
        <w:rPr>
          <w:rFonts w:eastAsia="MS Mincho"/>
        </w:rPr>
        <w:t>could be made available to</w:t>
      </w:r>
      <w:r w:rsidR="004E21FC" w:rsidRPr="00C611F5">
        <w:rPr>
          <w:rFonts w:eastAsia="MS Mincho"/>
        </w:rPr>
        <w:t xml:space="preserve"> make up for possible shortfalls in staffing during the early phases of the integration process.</w:t>
      </w:r>
    </w:p>
    <w:p w:rsidR="00CE29D4" w:rsidRPr="00C611F5" w:rsidRDefault="00CE29D4" w:rsidP="00CE29D4">
      <w:pPr>
        <w:pStyle w:val="Normalnumber"/>
        <w:numPr>
          <w:ilvl w:val="0"/>
          <w:numId w:val="0"/>
        </w:numPr>
        <w:ind w:left="1276"/>
        <w:rPr>
          <w:rFonts w:eastAsia="MS Mincho"/>
        </w:rPr>
      </w:pPr>
      <w:r w:rsidRPr="00C611F5">
        <w:rPr>
          <w:rFonts w:eastAsia="MS Mincho"/>
          <w:b/>
          <w:bCs/>
        </w:rPr>
        <w:t>Analysis</w:t>
      </w:r>
    </w:p>
    <w:p w:rsidR="005D09A5" w:rsidRPr="00C611F5" w:rsidRDefault="00CE29D4" w:rsidP="00EB66CA">
      <w:pPr>
        <w:pStyle w:val="Normalnumber"/>
        <w:numPr>
          <w:ilvl w:val="0"/>
          <w:numId w:val="5"/>
        </w:numPr>
        <w:tabs>
          <w:tab w:val="clear" w:pos="1247"/>
        </w:tabs>
        <w:ind w:left="1247" w:firstLine="0"/>
        <w:rPr>
          <w:rFonts w:eastAsia="MS Mincho"/>
        </w:rPr>
      </w:pPr>
      <w:r w:rsidRPr="00C611F5">
        <w:rPr>
          <w:rFonts w:eastAsia="MS Mincho"/>
        </w:rPr>
        <w:t xml:space="preserve">The secretariat would benefit from the support provided </w:t>
      </w:r>
      <w:r w:rsidR="00C41321" w:rsidRPr="00C611F5">
        <w:rPr>
          <w:rFonts w:eastAsia="MS Mincho"/>
        </w:rPr>
        <w:t>and activities undertaken by the Conventions Operation</w:t>
      </w:r>
      <w:r w:rsidR="007D439D" w:rsidRPr="00C611F5">
        <w:rPr>
          <w:rFonts w:eastAsia="MS Mincho"/>
        </w:rPr>
        <w:t>s</w:t>
      </w:r>
      <w:r w:rsidR="00C41321" w:rsidRPr="00C611F5">
        <w:rPr>
          <w:rFonts w:eastAsia="MS Mincho"/>
        </w:rPr>
        <w:t xml:space="preserve"> Branch and the</w:t>
      </w:r>
      <w:r w:rsidR="004D21B9" w:rsidRPr="00C611F5">
        <w:rPr>
          <w:rFonts w:eastAsia="MS Mincho"/>
        </w:rPr>
        <w:t xml:space="preserve"> Executive Office</w:t>
      </w:r>
      <w:r w:rsidR="00E04933" w:rsidRPr="00C611F5">
        <w:rPr>
          <w:rFonts w:eastAsia="MS Mincho"/>
        </w:rPr>
        <w:t xml:space="preserve">. </w:t>
      </w:r>
    </w:p>
    <w:p w:rsidR="005D09A5" w:rsidRPr="00C611F5" w:rsidRDefault="00E04933" w:rsidP="00EB66CA">
      <w:pPr>
        <w:pStyle w:val="Normalnumber"/>
        <w:numPr>
          <w:ilvl w:val="0"/>
          <w:numId w:val="5"/>
        </w:numPr>
        <w:tabs>
          <w:tab w:val="clear" w:pos="1247"/>
        </w:tabs>
        <w:ind w:left="1247" w:firstLine="0"/>
        <w:rPr>
          <w:rFonts w:eastAsia="MS Mincho"/>
        </w:rPr>
      </w:pPr>
      <w:r w:rsidRPr="00C611F5">
        <w:rPr>
          <w:rFonts w:eastAsia="MS Mincho"/>
        </w:rPr>
        <w:t xml:space="preserve">In terms of staff costs, this </w:t>
      </w:r>
      <w:r w:rsidR="001715B4" w:rsidRPr="00C611F5">
        <w:rPr>
          <w:rFonts w:eastAsia="MS Mincho"/>
        </w:rPr>
        <w:t xml:space="preserve">option </w:t>
      </w:r>
      <w:r w:rsidRPr="00C611F5">
        <w:rPr>
          <w:rFonts w:eastAsia="MS Mincho"/>
        </w:rPr>
        <w:t xml:space="preserve">also implies </w:t>
      </w:r>
      <w:r w:rsidR="00E27005" w:rsidRPr="00C611F5">
        <w:rPr>
          <w:rFonts w:eastAsia="MS Mincho"/>
        </w:rPr>
        <w:t xml:space="preserve">a reduction of overall costs among the four conventions, as </w:t>
      </w:r>
      <w:r w:rsidR="00716651" w:rsidRPr="00C611F5">
        <w:rPr>
          <w:rFonts w:eastAsia="MS Mincho"/>
        </w:rPr>
        <w:t xml:space="preserve">a few </w:t>
      </w:r>
      <w:r w:rsidR="00075C2D" w:rsidRPr="00C611F5">
        <w:rPr>
          <w:rFonts w:eastAsia="MS Mincho"/>
        </w:rPr>
        <w:t xml:space="preserve">existing </w:t>
      </w:r>
      <w:r w:rsidR="008330C4" w:rsidRPr="00C611F5">
        <w:rPr>
          <w:rFonts w:eastAsia="MS Mincho"/>
        </w:rPr>
        <w:t>Basel, Rotterdam and Stockholm</w:t>
      </w:r>
      <w:r w:rsidR="00E27005" w:rsidRPr="00C611F5">
        <w:rPr>
          <w:rFonts w:eastAsia="MS Mincho"/>
        </w:rPr>
        <w:t xml:space="preserve"> staff </w:t>
      </w:r>
      <w:r w:rsidR="00F1770D" w:rsidRPr="00C611F5">
        <w:rPr>
          <w:rFonts w:eastAsia="MS Mincho"/>
        </w:rPr>
        <w:t xml:space="preserve">posts </w:t>
      </w:r>
      <w:r w:rsidR="00716651" w:rsidRPr="00C611F5">
        <w:rPr>
          <w:rFonts w:eastAsia="MS Mincho"/>
        </w:rPr>
        <w:t>would be</w:t>
      </w:r>
      <w:r w:rsidR="00E27005" w:rsidRPr="00C611F5">
        <w:rPr>
          <w:rFonts w:eastAsia="MS Mincho"/>
        </w:rPr>
        <w:t xml:space="preserve"> co-funded by the Minamata Convention. </w:t>
      </w:r>
      <w:r w:rsidR="00F1770D" w:rsidRPr="00C611F5">
        <w:rPr>
          <w:rFonts w:eastAsia="MS Mincho"/>
        </w:rPr>
        <w:t xml:space="preserve">Such an </w:t>
      </w:r>
      <w:r w:rsidR="00136E80" w:rsidRPr="00C611F5">
        <w:rPr>
          <w:rFonts w:eastAsia="MS Mincho"/>
        </w:rPr>
        <w:t xml:space="preserve">option </w:t>
      </w:r>
      <w:r w:rsidR="008C319E" w:rsidRPr="00C611F5">
        <w:rPr>
          <w:rFonts w:eastAsia="MS Mincho"/>
        </w:rPr>
        <w:t xml:space="preserve">assumes that the Scientific Support Branch and the </w:t>
      </w:r>
      <w:r w:rsidR="00C41321" w:rsidRPr="00C611F5">
        <w:rPr>
          <w:rFonts w:eastAsia="MS Mincho"/>
        </w:rPr>
        <w:t xml:space="preserve">Technical Assistance Branch </w:t>
      </w:r>
      <w:r w:rsidR="009E6685" w:rsidRPr="00C611F5">
        <w:rPr>
          <w:rFonts w:eastAsia="MS Mincho"/>
        </w:rPr>
        <w:t xml:space="preserve">of the </w:t>
      </w:r>
      <w:r w:rsidR="00527290" w:rsidRPr="00C611F5">
        <w:rPr>
          <w:rFonts w:eastAsia="MS Mincho"/>
        </w:rPr>
        <w:t>secretariat of the Basel, Rotterdam and Stockholm conventions</w:t>
      </w:r>
      <w:r w:rsidR="009E6685" w:rsidRPr="00C611F5">
        <w:rPr>
          <w:rFonts w:eastAsia="MS Mincho"/>
        </w:rPr>
        <w:t xml:space="preserve"> collaborate closely with the Minamata Convention </w:t>
      </w:r>
      <w:r w:rsidR="00075C2D" w:rsidRPr="00C611F5">
        <w:rPr>
          <w:rFonts w:eastAsia="MS Mincho"/>
        </w:rPr>
        <w:t>B</w:t>
      </w:r>
      <w:r w:rsidR="009E6685" w:rsidRPr="00C611F5">
        <w:rPr>
          <w:rFonts w:eastAsia="MS Mincho"/>
        </w:rPr>
        <w:t xml:space="preserve">ranch in order to provide support </w:t>
      </w:r>
      <w:r w:rsidR="00DD0E22" w:rsidRPr="00C611F5">
        <w:rPr>
          <w:rFonts w:eastAsia="MS Mincho"/>
        </w:rPr>
        <w:t xml:space="preserve">to the </w:t>
      </w:r>
      <w:r w:rsidR="00F1770D" w:rsidRPr="00C611F5">
        <w:rPr>
          <w:rFonts w:eastAsia="MS Mincho"/>
        </w:rPr>
        <w:t>latter</w:t>
      </w:r>
      <w:r w:rsidR="008C319E" w:rsidRPr="00C611F5">
        <w:rPr>
          <w:rFonts w:eastAsia="MS Mincho"/>
        </w:rPr>
        <w:t xml:space="preserve">. </w:t>
      </w:r>
      <w:r w:rsidR="00E24007" w:rsidRPr="00C611F5">
        <w:rPr>
          <w:rFonts w:eastAsia="MS Mincho"/>
        </w:rPr>
        <w:t>Th</w:t>
      </w:r>
      <w:r w:rsidR="00F1770D" w:rsidRPr="00C611F5">
        <w:rPr>
          <w:rFonts w:eastAsia="MS Mincho"/>
        </w:rPr>
        <w:t>e</w:t>
      </w:r>
      <w:r w:rsidR="00E24007" w:rsidRPr="00C611F5">
        <w:rPr>
          <w:rFonts w:eastAsia="MS Mincho"/>
        </w:rPr>
        <w:t xml:space="preserve"> </w:t>
      </w:r>
      <w:r w:rsidR="001715B4" w:rsidRPr="00C611F5">
        <w:rPr>
          <w:rFonts w:eastAsia="MS Mincho"/>
        </w:rPr>
        <w:t xml:space="preserve">option </w:t>
      </w:r>
      <w:r w:rsidR="00E24007" w:rsidRPr="00C611F5">
        <w:rPr>
          <w:rFonts w:eastAsia="MS Mincho"/>
        </w:rPr>
        <w:t xml:space="preserve">would </w:t>
      </w:r>
      <w:r w:rsidR="00137CE0" w:rsidRPr="00C611F5">
        <w:rPr>
          <w:rFonts w:eastAsia="MS Mincho"/>
        </w:rPr>
        <w:t xml:space="preserve">be evaluated after some time, taking into consideration that it </w:t>
      </w:r>
      <w:r w:rsidR="00E24007" w:rsidRPr="00C611F5">
        <w:rPr>
          <w:rFonts w:eastAsia="MS Mincho"/>
        </w:rPr>
        <w:t xml:space="preserve">relies </w:t>
      </w:r>
      <w:r w:rsidR="00DD0E22" w:rsidRPr="00C611F5">
        <w:rPr>
          <w:rFonts w:eastAsia="MS Mincho"/>
        </w:rPr>
        <w:t xml:space="preserve">on the contribution of </w:t>
      </w:r>
      <w:r w:rsidR="00E24007" w:rsidRPr="00C611F5">
        <w:rPr>
          <w:rFonts w:eastAsia="MS Mincho"/>
        </w:rPr>
        <w:t xml:space="preserve">existing </w:t>
      </w:r>
      <w:r w:rsidR="008330C4" w:rsidRPr="00C611F5">
        <w:rPr>
          <w:rFonts w:eastAsia="MS Mincho"/>
        </w:rPr>
        <w:t>Basel, Rotterdam and Stockholm</w:t>
      </w:r>
      <w:r w:rsidR="00E24007" w:rsidRPr="00C611F5">
        <w:rPr>
          <w:rFonts w:eastAsia="MS Mincho"/>
        </w:rPr>
        <w:t xml:space="preserve"> staff.</w:t>
      </w:r>
      <w:r w:rsidR="008C2603" w:rsidRPr="00C611F5">
        <w:rPr>
          <w:rFonts w:eastAsia="MS Mincho"/>
        </w:rPr>
        <w:t xml:space="preserve"> </w:t>
      </w:r>
      <w:r w:rsidR="0023119F" w:rsidRPr="00C611F5">
        <w:rPr>
          <w:rFonts w:eastAsia="MS Mincho"/>
        </w:rPr>
        <w:t xml:space="preserve">Based on the staffing requirements described above, the total staff costs for </w:t>
      </w:r>
      <w:r w:rsidR="00F1770D" w:rsidRPr="00C611F5">
        <w:rPr>
          <w:rFonts w:eastAsia="MS Mincho"/>
        </w:rPr>
        <w:t xml:space="preserve">such an </w:t>
      </w:r>
      <w:r w:rsidR="0023119F" w:rsidRPr="00C611F5">
        <w:rPr>
          <w:rFonts w:eastAsia="MS Mincho"/>
        </w:rPr>
        <w:t xml:space="preserve">option are estimated </w:t>
      </w:r>
      <w:r w:rsidR="00C0027A" w:rsidRPr="00C611F5">
        <w:rPr>
          <w:rFonts w:eastAsia="MS Mincho"/>
        </w:rPr>
        <w:t xml:space="preserve">at </w:t>
      </w:r>
      <w:r w:rsidR="0023119F" w:rsidRPr="00C611F5">
        <w:rPr>
          <w:rFonts w:eastAsia="MS Mincho"/>
        </w:rPr>
        <w:t>$</w:t>
      </w:r>
      <w:r w:rsidR="009822B4" w:rsidRPr="00C611F5">
        <w:rPr>
          <w:rFonts w:eastAsia="MS Mincho"/>
        </w:rPr>
        <w:t>2</w:t>
      </w:r>
      <w:r w:rsidR="00B46E2F" w:rsidRPr="00C611F5">
        <w:rPr>
          <w:rFonts w:eastAsia="MS Mincho"/>
        </w:rPr>
        <w:t>,309,031</w:t>
      </w:r>
      <w:r w:rsidR="0023119F" w:rsidRPr="00C611F5">
        <w:rPr>
          <w:rFonts w:eastAsia="MS Mincho"/>
        </w:rPr>
        <w:t>.</w:t>
      </w:r>
      <w:r w:rsidR="008C2603" w:rsidRPr="00C611F5">
        <w:rPr>
          <w:rFonts w:eastAsia="MS Mincho"/>
        </w:rPr>
        <w:t xml:space="preserve"> </w:t>
      </w:r>
    </w:p>
    <w:p w:rsidR="005D09A5" w:rsidRPr="00C611F5" w:rsidRDefault="00A66855" w:rsidP="00EB66CA">
      <w:pPr>
        <w:pStyle w:val="Normalnumber"/>
        <w:numPr>
          <w:ilvl w:val="0"/>
          <w:numId w:val="5"/>
        </w:numPr>
        <w:tabs>
          <w:tab w:val="clear" w:pos="1247"/>
        </w:tabs>
        <w:ind w:left="1247" w:firstLine="0"/>
        <w:rPr>
          <w:rFonts w:eastAsia="MS Mincho"/>
        </w:rPr>
      </w:pPr>
      <w:r w:rsidRPr="00C611F5">
        <w:rPr>
          <w:rFonts w:eastAsia="MS Mincho"/>
        </w:rPr>
        <w:t xml:space="preserve">Should staff move from the interim secretariat to take up positions in the permanent secretariat, </w:t>
      </w:r>
      <w:r w:rsidR="00B46E2F" w:rsidRPr="00C611F5">
        <w:rPr>
          <w:rFonts w:eastAsia="MS Mincho"/>
        </w:rPr>
        <w:t xml:space="preserve">with </w:t>
      </w:r>
      <w:r w:rsidRPr="00C611F5">
        <w:rPr>
          <w:rFonts w:eastAsia="MS Mincho"/>
        </w:rPr>
        <w:t>t</w:t>
      </w:r>
      <w:r w:rsidR="00CE29D4" w:rsidRPr="00C611F5">
        <w:rPr>
          <w:rFonts w:eastAsia="MS Mincho"/>
        </w:rPr>
        <w:t xml:space="preserve">his </w:t>
      </w:r>
      <w:r w:rsidR="001715B4" w:rsidRPr="00C611F5">
        <w:rPr>
          <w:rFonts w:eastAsia="MS Mincho"/>
        </w:rPr>
        <w:t>option</w:t>
      </w:r>
      <w:r w:rsidR="00BD088D" w:rsidRPr="00C611F5">
        <w:rPr>
          <w:rFonts w:eastAsia="MS Mincho"/>
        </w:rPr>
        <w:t>,</w:t>
      </w:r>
      <w:r w:rsidR="001715B4" w:rsidRPr="00C611F5">
        <w:rPr>
          <w:rFonts w:eastAsia="MS Mincho"/>
        </w:rPr>
        <w:t xml:space="preserve"> </w:t>
      </w:r>
      <w:r w:rsidR="00B46E2F" w:rsidRPr="00C611F5">
        <w:rPr>
          <w:rFonts w:eastAsia="MS Mincho"/>
        </w:rPr>
        <w:t>as with any change in organizational structure</w:t>
      </w:r>
      <w:r w:rsidR="00C0027A" w:rsidRPr="00C611F5">
        <w:rPr>
          <w:rFonts w:eastAsia="MS Mincho"/>
        </w:rPr>
        <w:t>,</w:t>
      </w:r>
      <w:r w:rsidR="00B46E2F" w:rsidRPr="00C611F5">
        <w:rPr>
          <w:rFonts w:eastAsia="MS Mincho"/>
        </w:rPr>
        <w:t xml:space="preserve"> some sort of change management process will need to be undertaken</w:t>
      </w:r>
      <w:r w:rsidR="00CE29D4" w:rsidRPr="00C611F5">
        <w:rPr>
          <w:rFonts w:eastAsia="MS Mincho"/>
        </w:rPr>
        <w:t>.</w:t>
      </w:r>
      <w:r w:rsidR="008C2603" w:rsidRPr="00C611F5">
        <w:rPr>
          <w:rFonts w:eastAsia="MS Mincho"/>
        </w:rPr>
        <w:t xml:space="preserve"> </w:t>
      </w:r>
    </w:p>
    <w:p w:rsidR="005D09A5" w:rsidRPr="00C611F5" w:rsidRDefault="00CE29D4" w:rsidP="00EB66CA">
      <w:pPr>
        <w:pStyle w:val="Normalnumber"/>
        <w:numPr>
          <w:ilvl w:val="0"/>
          <w:numId w:val="5"/>
        </w:numPr>
        <w:tabs>
          <w:tab w:val="clear" w:pos="1247"/>
        </w:tabs>
        <w:ind w:left="1247" w:firstLine="0"/>
        <w:rPr>
          <w:rFonts w:eastAsia="MS Mincho"/>
        </w:rPr>
      </w:pPr>
      <w:r w:rsidRPr="00C611F5">
        <w:rPr>
          <w:rFonts w:eastAsia="MS Mincho"/>
        </w:rPr>
        <w:t>The arrangements may assist in elements of the cooperative approaches in science</w:t>
      </w:r>
      <w:r w:rsidR="00D34B24" w:rsidRPr="00C611F5">
        <w:rPr>
          <w:rFonts w:eastAsia="MS Mincho"/>
        </w:rPr>
        <w:t>,</w:t>
      </w:r>
      <w:r w:rsidRPr="00C611F5">
        <w:rPr>
          <w:rFonts w:eastAsia="MS Mincho"/>
        </w:rPr>
        <w:t xml:space="preserve"> as well as </w:t>
      </w:r>
      <w:r w:rsidR="00D34B24" w:rsidRPr="00C611F5">
        <w:rPr>
          <w:rFonts w:eastAsia="MS Mincho"/>
        </w:rPr>
        <w:t xml:space="preserve">in </w:t>
      </w:r>
      <w:r w:rsidR="00083982" w:rsidRPr="00C611F5">
        <w:rPr>
          <w:rFonts w:eastAsia="MS Mincho"/>
        </w:rPr>
        <w:t>capacity-building</w:t>
      </w:r>
      <w:r w:rsidRPr="00C611F5">
        <w:rPr>
          <w:rFonts w:eastAsia="MS Mincho"/>
        </w:rPr>
        <w:t xml:space="preserve"> and technical assistance.</w:t>
      </w:r>
      <w:r w:rsidR="008C2603" w:rsidRPr="00C611F5">
        <w:rPr>
          <w:rFonts w:eastAsia="MS Mincho"/>
        </w:rPr>
        <w:t xml:space="preserve"> </w:t>
      </w:r>
      <w:r w:rsidRPr="00C611F5">
        <w:rPr>
          <w:rFonts w:eastAsia="MS Mincho"/>
        </w:rPr>
        <w:t xml:space="preserve">Increased opportunities </w:t>
      </w:r>
      <w:r w:rsidR="00BD088D" w:rsidRPr="00C611F5">
        <w:rPr>
          <w:rFonts w:eastAsia="MS Mincho"/>
        </w:rPr>
        <w:t xml:space="preserve">may arise </w:t>
      </w:r>
      <w:r w:rsidRPr="00C611F5">
        <w:rPr>
          <w:rFonts w:eastAsia="MS Mincho"/>
        </w:rPr>
        <w:t xml:space="preserve">for joint support activities, assisting countries in furthering their implementation of the Basel, Rotterdam and </w:t>
      </w:r>
      <w:r w:rsidR="00BB72E8" w:rsidRPr="00C611F5">
        <w:rPr>
          <w:rFonts w:eastAsia="MS Mincho"/>
        </w:rPr>
        <w:t>Stockholm conventions</w:t>
      </w:r>
      <w:r w:rsidRPr="00C611F5">
        <w:rPr>
          <w:rFonts w:eastAsia="MS Mincho"/>
        </w:rPr>
        <w:t xml:space="preserve"> </w:t>
      </w:r>
      <w:r w:rsidR="00BD088D" w:rsidRPr="00C611F5">
        <w:rPr>
          <w:rFonts w:eastAsia="MS Mincho"/>
        </w:rPr>
        <w:t xml:space="preserve">and </w:t>
      </w:r>
      <w:r w:rsidRPr="00C611F5">
        <w:rPr>
          <w:rFonts w:eastAsia="MS Mincho"/>
        </w:rPr>
        <w:t xml:space="preserve">putting in place their arrangements for the implementation of the Minamata Convention. </w:t>
      </w:r>
    </w:p>
    <w:p w:rsidR="00F71727" w:rsidRPr="00C611F5" w:rsidRDefault="001A2647" w:rsidP="00EB66CA">
      <w:pPr>
        <w:pStyle w:val="CH3"/>
        <w:rPr>
          <w:rFonts w:eastAsia="MS Mincho"/>
        </w:rPr>
      </w:pPr>
      <w:r w:rsidRPr="00C611F5">
        <w:rPr>
          <w:rFonts w:eastAsia="MS Mincho"/>
        </w:rPr>
        <w:tab/>
        <w:t>2.</w:t>
      </w:r>
      <w:r w:rsidR="002A3941" w:rsidRPr="00C611F5">
        <w:rPr>
          <w:rFonts w:eastAsia="MS Mincho"/>
        </w:rPr>
        <w:tab/>
      </w:r>
      <w:r w:rsidR="00F71727" w:rsidRPr="00C611F5">
        <w:rPr>
          <w:rFonts w:eastAsia="MS Mincho"/>
        </w:rPr>
        <w:t>Utilizing the interim secretariat</w:t>
      </w:r>
    </w:p>
    <w:p w:rsidR="005D09A5" w:rsidRPr="00C611F5" w:rsidRDefault="00F91577" w:rsidP="00EB66CA">
      <w:pPr>
        <w:pStyle w:val="Normalnumber"/>
        <w:numPr>
          <w:ilvl w:val="0"/>
          <w:numId w:val="5"/>
        </w:numPr>
        <w:tabs>
          <w:tab w:val="clear" w:pos="1247"/>
        </w:tabs>
        <w:ind w:left="1247" w:firstLine="0"/>
        <w:rPr>
          <w:rFonts w:eastAsia="MS Mincho"/>
        </w:rPr>
      </w:pPr>
      <w:r w:rsidRPr="00C611F5">
        <w:rPr>
          <w:rFonts w:eastAsia="MS Mincho"/>
        </w:rPr>
        <w:t xml:space="preserve">Under the proposal for performing the functions of the permanent secretariat </w:t>
      </w:r>
      <w:r w:rsidR="00917CCE" w:rsidRPr="00C611F5">
        <w:rPr>
          <w:rFonts w:eastAsia="MS Mincho"/>
        </w:rPr>
        <w:t xml:space="preserve">utilizing </w:t>
      </w:r>
      <w:r w:rsidRPr="00C611F5">
        <w:rPr>
          <w:rFonts w:eastAsia="MS Mincho"/>
        </w:rPr>
        <w:t>the interim secretariat</w:t>
      </w:r>
      <w:r w:rsidR="00D34B24" w:rsidRPr="00C611F5">
        <w:rPr>
          <w:rFonts w:eastAsia="MS Mincho"/>
        </w:rPr>
        <w:t>,</w:t>
      </w:r>
      <w:r w:rsidRPr="00C611F5">
        <w:rPr>
          <w:rFonts w:eastAsia="MS Mincho"/>
        </w:rPr>
        <w:t xml:space="preserve"> </w:t>
      </w:r>
      <w:r w:rsidR="00AD26F7">
        <w:rPr>
          <w:rFonts w:eastAsia="MS Mincho"/>
        </w:rPr>
        <w:t>one core</w:t>
      </w:r>
      <w:r w:rsidR="00AD26F7" w:rsidRPr="00C611F5">
        <w:rPr>
          <w:rFonts w:eastAsia="MS Mincho"/>
        </w:rPr>
        <w:t xml:space="preserve"> </w:t>
      </w:r>
      <w:r w:rsidR="00BD1C4A" w:rsidRPr="00C611F5">
        <w:rPr>
          <w:rFonts w:eastAsia="MS Mincho"/>
        </w:rPr>
        <w:t xml:space="preserve">option </w:t>
      </w:r>
      <w:r w:rsidR="00AD26F7">
        <w:rPr>
          <w:rFonts w:eastAsia="MS Mincho"/>
        </w:rPr>
        <w:t xml:space="preserve">is </w:t>
      </w:r>
      <w:r w:rsidRPr="00C611F5">
        <w:rPr>
          <w:rFonts w:eastAsia="MS Mincho"/>
        </w:rPr>
        <w:t>presented</w:t>
      </w:r>
      <w:r w:rsidR="00AD26F7">
        <w:rPr>
          <w:rFonts w:eastAsia="MS Mincho"/>
        </w:rPr>
        <w:t xml:space="preserve"> with </w:t>
      </w:r>
      <w:r w:rsidRPr="00C611F5">
        <w:rPr>
          <w:rFonts w:eastAsia="MS Mincho"/>
        </w:rPr>
        <w:t xml:space="preserve">different locations. </w:t>
      </w:r>
    </w:p>
    <w:p w:rsidR="0021444E" w:rsidRPr="00C611F5" w:rsidRDefault="000B4ED9" w:rsidP="00E61D6B">
      <w:pPr>
        <w:pStyle w:val="Normalnumber"/>
        <w:numPr>
          <w:ilvl w:val="0"/>
          <w:numId w:val="0"/>
        </w:numPr>
        <w:ind w:left="1247"/>
        <w:rPr>
          <w:rFonts w:eastAsia="MS Mincho"/>
          <w:b/>
        </w:rPr>
      </w:pPr>
      <w:r w:rsidRPr="00C611F5">
        <w:rPr>
          <w:rFonts w:eastAsia="MS Mincho"/>
          <w:b/>
        </w:rPr>
        <w:t>Utilizing the interim secretariat</w:t>
      </w:r>
    </w:p>
    <w:p w:rsidR="000B4ED9" w:rsidRPr="00C611F5" w:rsidRDefault="00F71727" w:rsidP="00080DD9">
      <w:pPr>
        <w:pStyle w:val="Normalnumber"/>
        <w:numPr>
          <w:ilvl w:val="0"/>
          <w:numId w:val="0"/>
        </w:numPr>
        <w:ind w:left="1247"/>
        <w:rPr>
          <w:rFonts w:eastAsia="MS Mincho"/>
          <w:u w:val="single"/>
        </w:rPr>
      </w:pPr>
      <w:r w:rsidRPr="00C611F5">
        <w:rPr>
          <w:rFonts w:eastAsia="MS Mincho"/>
        </w:rPr>
        <w:t>Location</w:t>
      </w:r>
      <w:r w:rsidR="00D767E9" w:rsidRPr="00C611F5">
        <w:rPr>
          <w:rFonts w:eastAsia="MS Mincho"/>
        </w:rPr>
        <w:t>:</w:t>
      </w:r>
      <w:r w:rsidRPr="00C611F5">
        <w:rPr>
          <w:rFonts w:eastAsia="MS Mincho"/>
        </w:rPr>
        <w:t xml:space="preserve"> to be determined based on analysis</w:t>
      </w:r>
    </w:p>
    <w:p w:rsidR="005D09A5" w:rsidRPr="00C611F5" w:rsidRDefault="000B4ED9" w:rsidP="00EB66CA">
      <w:pPr>
        <w:pStyle w:val="Normalnumber"/>
        <w:numPr>
          <w:ilvl w:val="0"/>
          <w:numId w:val="5"/>
        </w:numPr>
        <w:tabs>
          <w:tab w:val="clear" w:pos="1247"/>
        </w:tabs>
        <w:ind w:left="1247" w:firstLine="0"/>
        <w:rPr>
          <w:rFonts w:eastAsia="MS Mincho"/>
        </w:rPr>
      </w:pPr>
      <w:r w:rsidRPr="00C611F5">
        <w:rPr>
          <w:rFonts w:eastAsia="MS Mincho"/>
        </w:rPr>
        <w:t xml:space="preserve">The </w:t>
      </w:r>
      <w:r w:rsidR="00D41D06" w:rsidRPr="00C611F5">
        <w:rPr>
          <w:rFonts w:eastAsia="MS Mincho"/>
        </w:rPr>
        <w:t>permanent</w:t>
      </w:r>
      <w:r w:rsidR="001316BC" w:rsidRPr="00C611F5">
        <w:rPr>
          <w:rFonts w:eastAsia="MS Mincho"/>
        </w:rPr>
        <w:t xml:space="preserve"> </w:t>
      </w:r>
      <w:r w:rsidR="00527290" w:rsidRPr="00C611F5">
        <w:rPr>
          <w:rFonts w:eastAsia="MS Mincho"/>
        </w:rPr>
        <w:t>secretariat of the Minamata Convention</w:t>
      </w:r>
      <w:r w:rsidRPr="00C611F5">
        <w:rPr>
          <w:rFonts w:eastAsia="MS Mincho"/>
        </w:rPr>
        <w:t xml:space="preserve"> would replace the interim secretariat</w:t>
      </w:r>
      <w:r w:rsidR="00B46E2F" w:rsidRPr="00C611F5">
        <w:rPr>
          <w:rFonts w:eastAsia="MS Mincho"/>
        </w:rPr>
        <w:t xml:space="preserve"> </w:t>
      </w:r>
      <w:r w:rsidR="00D767E9" w:rsidRPr="00C611F5">
        <w:rPr>
          <w:rFonts w:eastAsia="MS Mincho"/>
        </w:rPr>
        <w:t xml:space="preserve">that </w:t>
      </w:r>
      <w:r w:rsidR="00B46E2F" w:rsidRPr="00C611F5">
        <w:rPr>
          <w:rFonts w:eastAsia="MS Mincho"/>
        </w:rPr>
        <w:t>has delivered the services of the secretariat during the interim period</w:t>
      </w:r>
      <w:r w:rsidRPr="00C611F5">
        <w:rPr>
          <w:rFonts w:eastAsia="MS Mincho"/>
        </w:rPr>
        <w:t xml:space="preserve">. Support </w:t>
      </w:r>
      <w:r w:rsidR="00D767E9" w:rsidRPr="00C611F5">
        <w:rPr>
          <w:rFonts w:eastAsia="MS Mincho"/>
        </w:rPr>
        <w:t xml:space="preserve">that </w:t>
      </w:r>
      <w:r w:rsidRPr="00C611F5">
        <w:rPr>
          <w:rFonts w:eastAsia="MS Mincho"/>
        </w:rPr>
        <w:t xml:space="preserve">had previously been </w:t>
      </w:r>
      <w:r w:rsidR="00E504D9" w:rsidRPr="00C611F5">
        <w:rPr>
          <w:rFonts w:eastAsia="MS Mincho"/>
        </w:rPr>
        <w:t>provided by</w:t>
      </w:r>
      <w:r w:rsidRPr="00C611F5">
        <w:rPr>
          <w:rFonts w:eastAsia="MS Mincho"/>
        </w:rPr>
        <w:t xml:space="preserve"> other entities within UNEP (administrative support provided through the Chemicals </w:t>
      </w:r>
      <w:r w:rsidR="00080DD9" w:rsidRPr="00C611F5">
        <w:rPr>
          <w:rFonts w:eastAsia="MS Mincho"/>
        </w:rPr>
        <w:t xml:space="preserve">and Waste </w:t>
      </w:r>
      <w:r w:rsidRPr="00C611F5">
        <w:rPr>
          <w:rFonts w:eastAsia="MS Mincho"/>
        </w:rPr>
        <w:t>Branch</w:t>
      </w:r>
      <w:r w:rsidR="00B52423" w:rsidRPr="00C611F5">
        <w:rPr>
          <w:rFonts w:eastAsia="MS Mincho"/>
        </w:rPr>
        <w:t>;</w:t>
      </w:r>
      <w:r w:rsidRPr="00C611F5">
        <w:rPr>
          <w:rFonts w:eastAsia="MS Mincho"/>
        </w:rPr>
        <w:t xml:space="preserve"> legal support provided </w:t>
      </w:r>
      <w:r w:rsidR="00337F67" w:rsidRPr="00C611F5">
        <w:rPr>
          <w:rFonts w:eastAsia="MS Mincho"/>
        </w:rPr>
        <w:t xml:space="preserve">by </w:t>
      </w:r>
      <w:r w:rsidR="00D767E9" w:rsidRPr="00C611F5">
        <w:rPr>
          <w:rFonts w:eastAsia="MS Mincho"/>
        </w:rPr>
        <w:t>the Division of Environmental Law and Conventions</w:t>
      </w:r>
      <w:r w:rsidR="00B52423" w:rsidRPr="00C611F5">
        <w:rPr>
          <w:rFonts w:eastAsia="MS Mincho"/>
        </w:rPr>
        <w:t>;</w:t>
      </w:r>
      <w:r w:rsidRPr="00C611F5">
        <w:rPr>
          <w:rFonts w:eastAsia="MS Mincho"/>
        </w:rPr>
        <w:t xml:space="preserve"> IT</w:t>
      </w:r>
      <w:r w:rsidR="00EF3F60">
        <w:rPr>
          <w:rFonts w:eastAsia="MS Mincho"/>
        </w:rPr>
        <w:t> </w:t>
      </w:r>
      <w:r w:rsidRPr="00C611F5">
        <w:rPr>
          <w:rFonts w:eastAsia="MS Mincho"/>
        </w:rPr>
        <w:t xml:space="preserve">support provided through </w:t>
      </w:r>
      <w:r w:rsidR="00D767E9" w:rsidRPr="00C611F5">
        <w:rPr>
          <w:rFonts w:eastAsia="MS Mincho"/>
        </w:rPr>
        <w:t xml:space="preserve">the </w:t>
      </w:r>
      <w:r w:rsidRPr="00C611F5">
        <w:rPr>
          <w:rFonts w:eastAsia="MS Mincho"/>
        </w:rPr>
        <w:t>U</w:t>
      </w:r>
      <w:r w:rsidR="00D767E9" w:rsidRPr="00C611F5">
        <w:rPr>
          <w:rFonts w:eastAsia="MS Mincho"/>
        </w:rPr>
        <w:t xml:space="preserve">nited </w:t>
      </w:r>
      <w:r w:rsidRPr="00C611F5">
        <w:rPr>
          <w:rFonts w:eastAsia="MS Mincho"/>
        </w:rPr>
        <w:t>N</w:t>
      </w:r>
      <w:r w:rsidR="00D767E9" w:rsidRPr="00C611F5">
        <w:rPr>
          <w:rFonts w:eastAsia="MS Mincho"/>
        </w:rPr>
        <w:t xml:space="preserve">ations </w:t>
      </w:r>
      <w:r w:rsidRPr="00C611F5">
        <w:rPr>
          <w:rFonts w:eastAsia="MS Mincho"/>
        </w:rPr>
        <w:t>O</w:t>
      </w:r>
      <w:r w:rsidR="00D767E9" w:rsidRPr="00C611F5">
        <w:rPr>
          <w:rFonts w:eastAsia="MS Mincho"/>
        </w:rPr>
        <w:t xml:space="preserve">ffice at </w:t>
      </w:r>
      <w:r w:rsidRPr="00C611F5">
        <w:rPr>
          <w:rFonts w:eastAsia="MS Mincho"/>
        </w:rPr>
        <w:t>G</w:t>
      </w:r>
      <w:r w:rsidR="00D767E9" w:rsidRPr="00C611F5">
        <w:rPr>
          <w:rFonts w:eastAsia="MS Mincho"/>
        </w:rPr>
        <w:t>eneva</w:t>
      </w:r>
      <w:r w:rsidR="00B52423" w:rsidRPr="00C611F5">
        <w:rPr>
          <w:rFonts w:eastAsia="MS Mincho"/>
        </w:rPr>
        <w:t>;</w:t>
      </w:r>
      <w:r w:rsidRPr="00C611F5">
        <w:rPr>
          <w:rFonts w:eastAsia="MS Mincho"/>
        </w:rPr>
        <w:t xml:space="preserve"> and </w:t>
      </w:r>
      <w:r w:rsidR="00CF0C5A" w:rsidRPr="00C611F5">
        <w:rPr>
          <w:rFonts w:eastAsia="MS Mincho"/>
        </w:rPr>
        <w:t xml:space="preserve">support for meeting coordination/servicing and </w:t>
      </w:r>
      <w:r w:rsidRPr="00C611F5">
        <w:rPr>
          <w:rFonts w:eastAsia="MS Mincho"/>
        </w:rPr>
        <w:t xml:space="preserve">information management (particularly website management) provided through </w:t>
      </w:r>
      <w:r w:rsidR="00D86E78" w:rsidRPr="00C611F5">
        <w:rPr>
          <w:rFonts w:eastAsia="MS Mincho"/>
        </w:rPr>
        <w:t xml:space="preserve">the secretariat of the </w:t>
      </w:r>
      <w:r w:rsidR="008330C4" w:rsidRPr="00C611F5">
        <w:rPr>
          <w:rFonts w:eastAsia="MS Mincho"/>
        </w:rPr>
        <w:t>Basel, Rotterdam and Stockholm</w:t>
      </w:r>
      <w:r w:rsidR="00D86E78" w:rsidRPr="00C611F5">
        <w:rPr>
          <w:rFonts w:eastAsia="MS Mincho"/>
        </w:rPr>
        <w:t xml:space="preserve"> conventions</w:t>
      </w:r>
      <w:r w:rsidRPr="00C611F5">
        <w:rPr>
          <w:rFonts w:eastAsia="MS Mincho"/>
        </w:rPr>
        <w:t xml:space="preserve">) would be </w:t>
      </w:r>
      <w:r w:rsidR="00AD26F7" w:rsidRPr="00AA59B9">
        <w:rPr>
          <w:rFonts w:eastAsia="MS Mincho"/>
        </w:rPr>
        <w:t>performed by the staff of the permanent secretariat of the Minamata Convention</w:t>
      </w:r>
      <w:r w:rsidR="00F71727" w:rsidRPr="00C611F5">
        <w:rPr>
          <w:rFonts w:eastAsia="MS Mincho"/>
        </w:rPr>
        <w:t>.</w:t>
      </w:r>
      <w:r w:rsidR="008C2603" w:rsidRPr="00C611F5">
        <w:rPr>
          <w:rFonts w:eastAsia="MS Mincho"/>
        </w:rPr>
        <w:t xml:space="preserve"> </w:t>
      </w:r>
      <w:r w:rsidR="00F71727" w:rsidRPr="00C611F5">
        <w:rPr>
          <w:rFonts w:eastAsia="MS Mincho"/>
        </w:rPr>
        <w:t xml:space="preserve">The advantages, challenges and costs of </w:t>
      </w:r>
      <w:r w:rsidR="00DA4E09" w:rsidRPr="00C611F5">
        <w:rPr>
          <w:rFonts w:eastAsia="MS Mincho"/>
        </w:rPr>
        <w:t>certain</w:t>
      </w:r>
      <w:r w:rsidR="00F71727" w:rsidRPr="00C611F5">
        <w:rPr>
          <w:rFonts w:eastAsia="MS Mincho"/>
        </w:rPr>
        <w:t xml:space="preserve"> locations </w:t>
      </w:r>
      <w:r w:rsidR="00E504D9" w:rsidRPr="00C611F5">
        <w:rPr>
          <w:rFonts w:eastAsia="MS Mincho"/>
        </w:rPr>
        <w:t>are</w:t>
      </w:r>
      <w:r w:rsidR="00F71727" w:rsidRPr="00C611F5">
        <w:rPr>
          <w:rFonts w:eastAsia="MS Mincho"/>
        </w:rPr>
        <w:t xml:space="preserve"> presented </w:t>
      </w:r>
      <w:r w:rsidR="0021444E" w:rsidRPr="00C611F5">
        <w:rPr>
          <w:rFonts w:eastAsia="MS Mincho"/>
        </w:rPr>
        <w:t xml:space="preserve">in </w:t>
      </w:r>
      <w:r w:rsidR="00F71727" w:rsidRPr="00C611F5">
        <w:rPr>
          <w:rFonts w:eastAsia="MS Mincho"/>
        </w:rPr>
        <w:t>appendix 3 to th</w:t>
      </w:r>
      <w:r w:rsidR="00D86E78" w:rsidRPr="00C611F5">
        <w:rPr>
          <w:rFonts w:eastAsia="MS Mincho"/>
        </w:rPr>
        <w:t>e present</w:t>
      </w:r>
      <w:r w:rsidR="00F71727" w:rsidRPr="00C611F5">
        <w:rPr>
          <w:rFonts w:eastAsia="MS Mincho"/>
        </w:rPr>
        <w:t xml:space="preserve"> report. </w:t>
      </w:r>
      <w:r w:rsidRPr="00C611F5">
        <w:rPr>
          <w:rFonts w:eastAsia="MS Mincho"/>
        </w:rPr>
        <w:t xml:space="preserve">Cooperative activities on technical assistance and scientific issues would be maintained in a </w:t>
      </w:r>
      <w:r w:rsidR="00D86E78" w:rsidRPr="00C611F5">
        <w:rPr>
          <w:rFonts w:eastAsia="MS Mincho"/>
        </w:rPr>
        <w:t xml:space="preserve">manner </w:t>
      </w:r>
      <w:r w:rsidRPr="00C611F5">
        <w:rPr>
          <w:rFonts w:eastAsia="MS Mincho"/>
        </w:rPr>
        <w:t xml:space="preserve">similar </w:t>
      </w:r>
      <w:r w:rsidR="00D86E78" w:rsidRPr="00C611F5">
        <w:rPr>
          <w:rFonts w:eastAsia="MS Mincho"/>
        </w:rPr>
        <w:t xml:space="preserve">to that of </w:t>
      </w:r>
      <w:r w:rsidRPr="00C611F5">
        <w:rPr>
          <w:rFonts w:eastAsia="MS Mincho"/>
        </w:rPr>
        <w:t>the interim secretariat, with contributions on relevant issues requested and included as appropriate.</w:t>
      </w:r>
      <w:r w:rsidR="00895275" w:rsidRPr="00C611F5">
        <w:rPr>
          <w:rFonts w:eastAsia="MS Mincho"/>
        </w:rPr>
        <w:t xml:space="preserve"> Depending on the location of the secretariat, some cooperative activities </w:t>
      </w:r>
      <w:r w:rsidR="00397B06" w:rsidRPr="00C611F5">
        <w:rPr>
          <w:rFonts w:eastAsia="MS Mincho"/>
        </w:rPr>
        <w:t xml:space="preserve">may </w:t>
      </w:r>
      <w:r w:rsidR="00895275" w:rsidRPr="00C611F5">
        <w:rPr>
          <w:rFonts w:eastAsia="MS Mincho"/>
        </w:rPr>
        <w:t>be delivered remotely.</w:t>
      </w:r>
    </w:p>
    <w:p w:rsidR="00CE29D4" w:rsidRPr="00C611F5" w:rsidRDefault="00CE29D4" w:rsidP="00CE29D4">
      <w:pPr>
        <w:pStyle w:val="Normalnumber"/>
        <w:numPr>
          <w:ilvl w:val="0"/>
          <w:numId w:val="0"/>
        </w:numPr>
        <w:ind w:left="1276"/>
        <w:rPr>
          <w:rFonts w:eastAsia="MS Mincho"/>
        </w:rPr>
      </w:pPr>
      <w:r w:rsidRPr="00C611F5">
        <w:rPr>
          <w:rFonts w:eastAsia="MS Mincho"/>
          <w:b/>
          <w:bCs/>
        </w:rPr>
        <w:t>Staffing</w:t>
      </w:r>
    </w:p>
    <w:p w:rsidR="005D09A5" w:rsidRPr="00C611F5" w:rsidRDefault="00CE29D4" w:rsidP="00EB66CA">
      <w:pPr>
        <w:pStyle w:val="Normalnumber"/>
        <w:numPr>
          <w:ilvl w:val="0"/>
          <w:numId w:val="5"/>
        </w:numPr>
        <w:tabs>
          <w:tab w:val="clear" w:pos="1247"/>
        </w:tabs>
        <w:ind w:left="1247" w:firstLine="0"/>
        <w:rPr>
          <w:rFonts w:eastAsia="MS Mincho"/>
        </w:rPr>
      </w:pPr>
      <w:r w:rsidRPr="00C611F5">
        <w:rPr>
          <w:rFonts w:eastAsia="MS Mincho"/>
        </w:rPr>
        <w:t>The secretariat would be headed by an Executive Secretary at the D</w:t>
      </w:r>
      <w:r w:rsidR="00D767E9" w:rsidRPr="00C611F5">
        <w:rPr>
          <w:rFonts w:eastAsia="MS Mincho"/>
        </w:rPr>
        <w:t>-</w:t>
      </w:r>
      <w:r w:rsidRPr="00C611F5">
        <w:rPr>
          <w:rFonts w:eastAsia="MS Mincho"/>
        </w:rPr>
        <w:t>1 level, who would be supported by a coordinator at the P</w:t>
      </w:r>
      <w:r w:rsidR="00D767E9" w:rsidRPr="00C611F5">
        <w:rPr>
          <w:rFonts w:eastAsia="MS Mincho"/>
        </w:rPr>
        <w:t>-</w:t>
      </w:r>
      <w:r w:rsidRPr="00C611F5">
        <w:rPr>
          <w:rFonts w:eastAsia="MS Mincho"/>
        </w:rPr>
        <w:t>5 level.</w:t>
      </w:r>
      <w:r w:rsidR="008C2603" w:rsidRPr="00C611F5">
        <w:rPr>
          <w:rFonts w:eastAsia="MS Mincho"/>
        </w:rPr>
        <w:t xml:space="preserve"> </w:t>
      </w:r>
      <w:r w:rsidRPr="00C611F5">
        <w:rPr>
          <w:rFonts w:eastAsia="MS Mincho"/>
        </w:rPr>
        <w:t xml:space="preserve">Work on </w:t>
      </w:r>
      <w:r w:rsidR="00083982" w:rsidRPr="00C611F5">
        <w:rPr>
          <w:rFonts w:eastAsia="MS Mincho"/>
        </w:rPr>
        <w:t>capacity-building</w:t>
      </w:r>
      <w:r w:rsidRPr="00C611F5">
        <w:rPr>
          <w:rFonts w:eastAsia="MS Mincho"/>
        </w:rPr>
        <w:t xml:space="preserve"> and technical assistance would be carried out by one P</w:t>
      </w:r>
      <w:r w:rsidR="00D767E9" w:rsidRPr="00C611F5">
        <w:rPr>
          <w:rFonts w:eastAsia="MS Mincho"/>
        </w:rPr>
        <w:t>-</w:t>
      </w:r>
      <w:r w:rsidRPr="00C611F5">
        <w:rPr>
          <w:rFonts w:eastAsia="MS Mincho"/>
        </w:rPr>
        <w:t>4 and one P</w:t>
      </w:r>
      <w:r w:rsidR="00D767E9" w:rsidRPr="00C611F5">
        <w:rPr>
          <w:rFonts w:eastAsia="MS Mincho"/>
        </w:rPr>
        <w:t>-</w:t>
      </w:r>
      <w:r w:rsidRPr="00C611F5">
        <w:rPr>
          <w:rFonts w:eastAsia="MS Mincho"/>
        </w:rPr>
        <w:t xml:space="preserve">3 </w:t>
      </w:r>
      <w:r w:rsidR="00090B65" w:rsidRPr="00C611F5">
        <w:rPr>
          <w:rFonts w:eastAsia="MS Mincho"/>
        </w:rPr>
        <w:t>staff</w:t>
      </w:r>
      <w:r w:rsidR="00F1770D" w:rsidRPr="00C611F5">
        <w:rPr>
          <w:rFonts w:eastAsia="MS Mincho"/>
        </w:rPr>
        <w:t xml:space="preserve"> member</w:t>
      </w:r>
      <w:r w:rsidR="00090B65" w:rsidRPr="00C611F5">
        <w:rPr>
          <w:rFonts w:eastAsia="MS Mincho"/>
        </w:rPr>
        <w:t>.</w:t>
      </w:r>
      <w:r w:rsidR="008C2603" w:rsidRPr="00C611F5">
        <w:rPr>
          <w:rFonts w:eastAsia="MS Mincho"/>
        </w:rPr>
        <w:t xml:space="preserve"> </w:t>
      </w:r>
      <w:r w:rsidRPr="00C611F5">
        <w:rPr>
          <w:rFonts w:eastAsia="MS Mincho"/>
        </w:rPr>
        <w:t xml:space="preserve">Work on science and policy would be </w:t>
      </w:r>
      <w:r w:rsidR="00337F67" w:rsidRPr="00C611F5">
        <w:rPr>
          <w:rFonts w:eastAsia="MS Mincho"/>
        </w:rPr>
        <w:t>carried out by</w:t>
      </w:r>
      <w:r w:rsidRPr="00C611F5">
        <w:rPr>
          <w:rFonts w:eastAsia="MS Mincho"/>
        </w:rPr>
        <w:t xml:space="preserve"> one P</w:t>
      </w:r>
      <w:r w:rsidR="00D767E9" w:rsidRPr="00C611F5">
        <w:rPr>
          <w:rFonts w:eastAsia="MS Mincho"/>
        </w:rPr>
        <w:t>-</w:t>
      </w:r>
      <w:r w:rsidRPr="00C611F5">
        <w:rPr>
          <w:rFonts w:eastAsia="MS Mincho"/>
        </w:rPr>
        <w:t xml:space="preserve">4 and one </w:t>
      </w:r>
      <w:r w:rsidR="0021444E" w:rsidRPr="00C611F5">
        <w:rPr>
          <w:rFonts w:eastAsia="MS Mincho"/>
        </w:rPr>
        <w:t>P</w:t>
      </w:r>
      <w:r w:rsidR="00D767E9" w:rsidRPr="00C611F5">
        <w:rPr>
          <w:rFonts w:eastAsia="MS Mincho"/>
        </w:rPr>
        <w:t>-</w:t>
      </w:r>
      <w:r w:rsidRPr="00C611F5">
        <w:rPr>
          <w:rFonts w:eastAsia="MS Mincho"/>
        </w:rPr>
        <w:t>3 staff</w:t>
      </w:r>
      <w:r w:rsidR="00F1770D" w:rsidRPr="00C611F5">
        <w:rPr>
          <w:rFonts w:eastAsia="MS Mincho"/>
        </w:rPr>
        <w:t xml:space="preserve"> member</w:t>
      </w:r>
      <w:r w:rsidRPr="00C611F5">
        <w:rPr>
          <w:rFonts w:eastAsia="MS Mincho"/>
        </w:rPr>
        <w:t>, while coordination and preparation for conferences would be carried out by one P</w:t>
      </w:r>
      <w:r w:rsidR="00D767E9" w:rsidRPr="00C611F5">
        <w:rPr>
          <w:rFonts w:eastAsia="MS Mincho"/>
        </w:rPr>
        <w:t>-</w:t>
      </w:r>
      <w:r w:rsidRPr="00C611F5">
        <w:rPr>
          <w:rFonts w:eastAsia="MS Mincho"/>
        </w:rPr>
        <w:t>3 staff</w:t>
      </w:r>
      <w:r w:rsidR="00F1770D" w:rsidRPr="00C611F5">
        <w:rPr>
          <w:rFonts w:eastAsia="MS Mincho"/>
        </w:rPr>
        <w:t xml:space="preserve"> member</w:t>
      </w:r>
      <w:r w:rsidR="00090B65" w:rsidRPr="00C611F5">
        <w:rPr>
          <w:rFonts w:eastAsia="MS Mincho"/>
        </w:rPr>
        <w:t>.</w:t>
      </w:r>
      <w:r w:rsidR="008C2603" w:rsidRPr="00C611F5">
        <w:rPr>
          <w:rFonts w:eastAsia="MS Mincho"/>
        </w:rPr>
        <w:t xml:space="preserve"> </w:t>
      </w:r>
      <w:r w:rsidR="00AD26F7">
        <w:rPr>
          <w:rFonts w:eastAsia="MS Mincho"/>
        </w:rPr>
        <w:t xml:space="preserve">A legal officer at the P-3 level would be recruited to work on legal guidance and general policy issues. </w:t>
      </w:r>
      <w:r w:rsidR="00750A92">
        <w:rPr>
          <w:rFonts w:eastAsia="MS Mincho"/>
        </w:rPr>
        <w:t xml:space="preserve">Information management support and IT services will be provided by a staff member at the P-3 level. </w:t>
      </w:r>
      <w:r w:rsidRPr="00C611F5">
        <w:rPr>
          <w:rFonts w:eastAsia="MS Mincho"/>
        </w:rPr>
        <w:t xml:space="preserve">These staff </w:t>
      </w:r>
      <w:r w:rsidR="00F1770D" w:rsidRPr="00C611F5">
        <w:rPr>
          <w:rFonts w:eastAsia="MS Mincho"/>
        </w:rPr>
        <w:t xml:space="preserve">members </w:t>
      </w:r>
      <w:r w:rsidRPr="00C611F5">
        <w:rPr>
          <w:rFonts w:eastAsia="MS Mincho"/>
        </w:rPr>
        <w:t xml:space="preserve">would be supported by </w:t>
      </w:r>
      <w:r w:rsidR="00D34B24" w:rsidRPr="00C611F5">
        <w:rPr>
          <w:rFonts w:eastAsia="MS Mincho"/>
        </w:rPr>
        <w:t>three G</w:t>
      </w:r>
      <w:r w:rsidRPr="00C611F5">
        <w:rPr>
          <w:rFonts w:eastAsia="MS Mincho"/>
        </w:rPr>
        <w:t xml:space="preserve">eneral </w:t>
      </w:r>
      <w:r w:rsidR="00D34B24" w:rsidRPr="00C611F5">
        <w:rPr>
          <w:rFonts w:eastAsia="MS Mincho"/>
        </w:rPr>
        <w:t>S</w:t>
      </w:r>
      <w:r w:rsidRPr="00C611F5">
        <w:rPr>
          <w:rFonts w:eastAsia="MS Mincho"/>
        </w:rPr>
        <w:t>ervice staff</w:t>
      </w:r>
      <w:r w:rsidR="00F1770D" w:rsidRPr="00C611F5">
        <w:rPr>
          <w:rFonts w:eastAsia="MS Mincho"/>
        </w:rPr>
        <w:t xml:space="preserve"> members</w:t>
      </w:r>
      <w:r w:rsidRPr="00C611F5">
        <w:rPr>
          <w:rFonts w:eastAsia="MS Mincho"/>
        </w:rPr>
        <w:t>.</w:t>
      </w:r>
      <w:r w:rsidR="008C2603" w:rsidRPr="00C611F5">
        <w:rPr>
          <w:rFonts w:eastAsia="MS Mincho"/>
        </w:rPr>
        <w:t xml:space="preserve"> </w:t>
      </w:r>
    </w:p>
    <w:p w:rsidR="00775A51" w:rsidRPr="00C611F5" w:rsidRDefault="00775A51" w:rsidP="00CA3CD1">
      <w:pPr>
        <w:pStyle w:val="Normalnumber"/>
        <w:numPr>
          <w:ilvl w:val="0"/>
          <w:numId w:val="0"/>
        </w:numPr>
        <w:ind w:left="1276"/>
        <w:rPr>
          <w:rFonts w:eastAsia="MS Mincho"/>
          <w:b/>
          <w:bCs/>
        </w:rPr>
      </w:pPr>
      <w:r w:rsidRPr="00C611F5">
        <w:rPr>
          <w:rFonts w:eastAsia="MS Mincho"/>
          <w:b/>
          <w:bCs/>
        </w:rPr>
        <w:t>Location</w:t>
      </w:r>
    </w:p>
    <w:p w:rsidR="005D09A5" w:rsidRPr="00C611F5" w:rsidRDefault="00CA3CD1" w:rsidP="00EB66CA">
      <w:pPr>
        <w:pStyle w:val="Normalnumber"/>
        <w:numPr>
          <w:ilvl w:val="0"/>
          <w:numId w:val="5"/>
        </w:numPr>
        <w:tabs>
          <w:tab w:val="clear" w:pos="1247"/>
        </w:tabs>
        <w:ind w:left="1247" w:firstLine="0"/>
        <w:rPr>
          <w:rFonts w:eastAsia="MS Mincho"/>
        </w:rPr>
      </w:pPr>
      <w:r w:rsidRPr="00C611F5">
        <w:rPr>
          <w:rFonts w:eastAsia="MS Mincho"/>
        </w:rPr>
        <w:t xml:space="preserve">In considering this option, the secretariat has analysed a number of locations </w:t>
      </w:r>
      <w:r w:rsidR="00EB5A54" w:rsidRPr="00C611F5">
        <w:rPr>
          <w:rFonts w:eastAsia="MS Mincho"/>
        </w:rPr>
        <w:t xml:space="preserve">that </w:t>
      </w:r>
      <w:r w:rsidRPr="00C611F5">
        <w:rPr>
          <w:rFonts w:eastAsia="MS Mincho"/>
        </w:rPr>
        <w:t xml:space="preserve">may be suitable to physically host the permanent </w:t>
      </w:r>
      <w:r w:rsidR="00527290" w:rsidRPr="00C611F5">
        <w:rPr>
          <w:rFonts w:eastAsia="MS Mincho"/>
        </w:rPr>
        <w:t>secretariat</w:t>
      </w:r>
      <w:r w:rsidRPr="00C611F5">
        <w:rPr>
          <w:rFonts w:eastAsia="MS Mincho"/>
        </w:rPr>
        <w:t>.</w:t>
      </w:r>
      <w:r w:rsidR="008C2603" w:rsidRPr="00C611F5">
        <w:rPr>
          <w:rFonts w:eastAsia="MS Mincho"/>
        </w:rPr>
        <w:t xml:space="preserve"> </w:t>
      </w:r>
      <w:r w:rsidRPr="00C611F5">
        <w:rPr>
          <w:rFonts w:eastAsia="MS Mincho"/>
        </w:rPr>
        <w:t>In this consideration, two main factors have been considered</w:t>
      </w:r>
      <w:r w:rsidR="00EB5A54" w:rsidRPr="00C611F5">
        <w:rPr>
          <w:rFonts w:eastAsia="MS Mincho"/>
        </w:rPr>
        <w:t>: t</w:t>
      </w:r>
      <w:r w:rsidRPr="00C611F5">
        <w:rPr>
          <w:rFonts w:eastAsia="MS Mincho"/>
        </w:rPr>
        <w:t xml:space="preserve">he first is the opportunity for operational synergies provided by the location, with a particular focus on the opportunity to establish </w:t>
      </w:r>
      <w:r w:rsidR="005D2700" w:rsidRPr="00C611F5">
        <w:rPr>
          <w:rFonts w:eastAsia="MS Mincho"/>
        </w:rPr>
        <w:t>close working relations</w:t>
      </w:r>
      <w:r w:rsidRPr="00C611F5">
        <w:rPr>
          <w:rFonts w:eastAsia="MS Mincho"/>
        </w:rPr>
        <w:t xml:space="preserve"> with parts of UNEP, or with other organizations, who are engaged in activities relevant to the implementation of the Minamata Convention</w:t>
      </w:r>
      <w:r w:rsidR="00EB5A54" w:rsidRPr="00C611F5">
        <w:rPr>
          <w:rFonts w:eastAsia="MS Mincho"/>
        </w:rPr>
        <w:t xml:space="preserve">; the second </w:t>
      </w:r>
      <w:r w:rsidRPr="00C611F5">
        <w:rPr>
          <w:rFonts w:eastAsia="MS Mincho"/>
        </w:rPr>
        <w:t>factor considered was costs, with a focus on salar</w:t>
      </w:r>
      <w:r w:rsidR="0021444E" w:rsidRPr="00C611F5">
        <w:rPr>
          <w:rFonts w:eastAsia="MS Mincho"/>
        </w:rPr>
        <w:t>ies</w:t>
      </w:r>
      <w:r w:rsidRPr="00C611F5">
        <w:rPr>
          <w:rFonts w:eastAsia="MS Mincho"/>
        </w:rPr>
        <w:t xml:space="preserve"> as one of the biggest costs associated with delivering the secretariat. </w:t>
      </w:r>
    </w:p>
    <w:p w:rsidR="005D09A5" w:rsidRPr="00C611F5" w:rsidRDefault="00CA3CD1" w:rsidP="00EB66CA">
      <w:pPr>
        <w:pStyle w:val="Normalnumber"/>
        <w:numPr>
          <w:ilvl w:val="0"/>
          <w:numId w:val="5"/>
        </w:numPr>
        <w:tabs>
          <w:tab w:val="clear" w:pos="1247"/>
        </w:tabs>
        <w:ind w:left="1247" w:firstLine="0"/>
        <w:rPr>
          <w:rFonts w:eastAsia="MS Mincho"/>
        </w:rPr>
      </w:pPr>
      <w:r w:rsidRPr="00C611F5">
        <w:rPr>
          <w:rFonts w:eastAsia="MS Mincho"/>
        </w:rPr>
        <w:t>In considering operational synergies, a number of locations were readily identified</w:t>
      </w:r>
      <w:r w:rsidR="00EB5A54" w:rsidRPr="00C611F5">
        <w:rPr>
          <w:rFonts w:eastAsia="MS Mincho"/>
        </w:rPr>
        <w:t>, including the following</w:t>
      </w:r>
      <w:r w:rsidRPr="00C611F5">
        <w:rPr>
          <w:rFonts w:eastAsia="MS Mincho"/>
        </w:rPr>
        <w:t xml:space="preserve">: </w:t>
      </w:r>
    </w:p>
    <w:p w:rsidR="005D09A5" w:rsidRPr="00C611F5" w:rsidRDefault="00CA3CD1" w:rsidP="00EB66CA">
      <w:pPr>
        <w:pStyle w:val="Normalnumber"/>
        <w:numPr>
          <w:ilvl w:val="1"/>
          <w:numId w:val="96"/>
        </w:numPr>
        <w:tabs>
          <w:tab w:val="clear" w:pos="1247"/>
        </w:tabs>
        <w:ind w:left="1247" w:firstLine="624"/>
        <w:rPr>
          <w:rFonts w:eastAsia="MS Mincho"/>
        </w:rPr>
      </w:pPr>
      <w:r w:rsidRPr="00C611F5">
        <w:rPr>
          <w:rFonts w:eastAsia="MS Mincho"/>
        </w:rPr>
        <w:t>Geneva</w:t>
      </w:r>
      <w:r w:rsidR="00EB5A54" w:rsidRPr="00C611F5">
        <w:rPr>
          <w:rFonts w:eastAsia="MS Mincho"/>
        </w:rPr>
        <w:t>:</w:t>
      </w:r>
      <w:r w:rsidRPr="00C611F5">
        <w:rPr>
          <w:rFonts w:eastAsia="MS Mincho"/>
        </w:rPr>
        <w:t xml:space="preserve"> close cooperation with the Chemicals and Waste </w:t>
      </w:r>
      <w:r w:rsidR="002127FB" w:rsidRPr="00C611F5">
        <w:rPr>
          <w:rFonts w:eastAsia="MS Mincho"/>
        </w:rPr>
        <w:t>B</w:t>
      </w:r>
      <w:r w:rsidRPr="00C611F5">
        <w:rPr>
          <w:rFonts w:eastAsia="MS Mincho"/>
        </w:rPr>
        <w:t xml:space="preserve">ranch (including, in particular, the UNEP Global Mercury Partnership), </w:t>
      </w:r>
      <w:r w:rsidR="008805ED" w:rsidRPr="00C611F5">
        <w:rPr>
          <w:rFonts w:eastAsia="MS Mincho"/>
        </w:rPr>
        <w:t xml:space="preserve">the </w:t>
      </w:r>
      <w:r w:rsidR="004F4FE0" w:rsidRPr="00C611F5">
        <w:rPr>
          <w:rFonts w:eastAsia="MS Mincho"/>
        </w:rPr>
        <w:t xml:space="preserve">UNEP </w:t>
      </w:r>
      <w:r w:rsidR="008805ED" w:rsidRPr="00C611F5">
        <w:rPr>
          <w:rFonts w:eastAsia="MS Mincho"/>
        </w:rPr>
        <w:t xml:space="preserve">Regional Office for Europe, </w:t>
      </w:r>
      <w:r w:rsidR="00EB5A54" w:rsidRPr="00C611F5">
        <w:rPr>
          <w:rFonts w:eastAsia="MS Mincho"/>
        </w:rPr>
        <w:t xml:space="preserve">the secretariat of the </w:t>
      </w:r>
      <w:r w:rsidR="008330C4" w:rsidRPr="00C611F5">
        <w:rPr>
          <w:rFonts w:eastAsia="MS Mincho"/>
        </w:rPr>
        <w:t>Basel, Rotterdam and Stockholm</w:t>
      </w:r>
      <w:r w:rsidR="00EB5A54" w:rsidRPr="00C611F5">
        <w:rPr>
          <w:rFonts w:eastAsia="MS Mincho"/>
        </w:rPr>
        <w:t xml:space="preserve"> conventions</w:t>
      </w:r>
      <w:r w:rsidRPr="00C611F5">
        <w:rPr>
          <w:rFonts w:eastAsia="MS Mincho"/>
        </w:rPr>
        <w:t xml:space="preserve">, </w:t>
      </w:r>
      <w:r w:rsidR="00EB5A54" w:rsidRPr="00C611F5">
        <w:rPr>
          <w:rFonts w:eastAsia="MS Mincho"/>
        </w:rPr>
        <w:t xml:space="preserve">the secretariat of the </w:t>
      </w:r>
      <w:r w:rsidR="00697B38" w:rsidRPr="00C611F5">
        <w:rPr>
          <w:rFonts w:eastAsia="MS Mincho"/>
        </w:rPr>
        <w:t>S</w:t>
      </w:r>
      <w:r w:rsidR="00EB5A54" w:rsidRPr="00C611F5">
        <w:rPr>
          <w:rFonts w:eastAsia="MS Mincho"/>
        </w:rPr>
        <w:t xml:space="preserve">trategic </w:t>
      </w:r>
      <w:r w:rsidR="00697B38" w:rsidRPr="00C611F5">
        <w:rPr>
          <w:rFonts w:eastAsia="MS Mincho"/>
        </w:rPr>
        <w:t>A</w:t>
      </w:r>
      <w:r w:rsidR="00EB5A54" w:rsidRPr="00C611F5">
        <w:rPr>
          <w:rFonts w:eastAsia="MS Mincho"/>
        </w:rPr>
        <w:t xml:space="preserve">pproach to </w:t>
      </w:r>
      <w:r w:rsidR="00697B38" w:rsidRPr="00C611F5">
        <w:rPr>
          <w:rFonts w:eastAsia="MS Mincho"/>
        </w:rPr>
        <w:t>I</w:t>
      </w:r>
      <w:r w:rsidR="00EB5A54" w:rsidRPr="00C611F5">
        <w:rPr>
          <w:rFonts w:eastAsia="MS Mincho"/>
        </w:rPr>
        <w:t xml:space="preserve">nternational </w:t>
      </w:r>
      <w:r w:rsidR="00697B38" w:rsidRPr="00C611F5">
        <w:rPr>
          <w:rFonts w:eastAsia="MS Mincho"/>
        </w:rPr>
        <w:t>C</w:t>
      </w:r>
      <w:r w:rsidR="00EB5A54" w:rsidRPr="00C611F5">
        <w:rPr>
          <w:rFonts w:eastAsia="MS Mincho"/>
        </w:rPr>
        <w:t xml:space="preserve">hemicals </w:t>
      </w:r>
      <w:r w:rsidR="00697B38" w:rsidRPr="00C611F5">
        <w:rPr>
          <w:rFonts w:eastAsia="MS Mincho"/>
        </w:rPr>
        <w:t>M</w:t>
      </w:r>
      <w:r w:rsidR="00EB5A54" w:rsidRPr="00C611F5">
        <w:rPr>
          <w:rFonts w:eastAsia="MS Mincho"/>
        </w:rPr>
        <w:t>anagement</w:t>
      </w:r>
      <w:r w:rsidR="00697B38" w:rsidRPr="00C611F5">
        <w:rPr>
          <w:rFonts w:eastAsia="MS Mincho"/>
        </w:rPr>
        <w:t>,</w:t>
      </w:r>
      <w:r w:rsidR="002127FB" w:rsidRPr="00C611F5">
        <w:rPr>
          <w:rFonts w:eastAsia="MS Mincho"/>
        </w:rPr>
        <w:t xml:space="preserve"> </w:t>
      </w:r>
      <w:r w:rsidR="00B52423" w:rsidRPr="00C611F5">
        <w:rPr>
          <w:rFonts w:eastAsia="MS Mincho"/>
        </w:rPr>
        <w:t xml:space="preserve">the </w:t>
      </w:r>
      <w:r w:rsidRPr="00C611F5">
        <w:rPr>
          <w:rFonts w:eastAsia="MS Mincho"/>
        </w:rPr>
        <w:t>W</w:t>
      </w:r>
      <w:r w:rsidR="00EB5A54" w:rsidRPr="00C611F5">
        <w:rPr>
          <w:rFonts w:eastAsia="MS Mincho"/>
        </w:rPr>
        <w:t xml:space="preserve">orld Health </w:t>
      </w:r>
      <w:r w:rsidRPr="00C611F5">
        <w:rPr>
          <w:rFonts w:eastAsia="MS Mincho"/>
        </w:rPr>
        <w:t>O</w:t>
      </w:r>
      <w:r w:rsidR="00EB5A54" w:rsidRPr="00C611F5">
        <w:rPr>
          <w:rFonts w:eastAsia="MS Mincho"/>
        </w:rPr>
        <w:t>rganization</w:t>
      </w:r>
      <w:r w:rsidR="00CA16EA" w:rsidRPr="00C611F5">
        <w:rPr>
          <w:rFonts w:eastAsia="MS Mincho"/>
        </w:rPr>
        <w:t xml:space="preserve">, </w:t>
      </w:r>
      <w:r w:rsidR="00B52423" w:rsidRPr="00C611F5">
        <w:rPr>
          <w:rFonts w:eastAsia="MS Mincho"/>
        </w:rPr>
        <w:t xml:space="preserve">the </w:t>
      </w:r>
      <w:r w:rsidR="00CA16EA" w:rsidRPr="00C611F5">
        <w:rPr>
          <w:rFonts w:eastAsia="MS Mincho"/>
        </w:rPr>
        <w:t>I</w:t>
      </w:r>
      <w:r w:rsidR="00EB5A54" w:rsidRPr="00C611F5">
        <w:rPr>
          <w:rFonts w:eastAsia="MS Mincho"/>
        </w:rPr>
        <w:t xml:space="preserve">nternational </w:t>
      </w:r>
      <w:r w:rsidR="00CA16EA" w:rsidRPr="00C611F5">
        <w:rPr>
          <w:rFonts w:eastAsia="MS Mincho"/>
        </w:rPr>
        <w:t>L</w:t>
      </w:r>
      <w:r w:rsidR="00EB5A54" w:rsidRPr="00C611F5">
        <w:rPr>
          <w:rFonts w:eastAsia="MS Mincho"/>
        </w:rPr>
        <w:t xml:space="preserve">abour </w:t>
      </w:r>
      <w:r w:rsidR="00CA16EA" w:rsidRPr="00C611F5">
        <w:rPr>
          <w:rFonts w:eastAsia="MS Mincho"/>
        </w:rPr>
        <w:t>O</w:t>
      </w:r>
      <w:r w:rsidR="00EB5A54" w:rsidRPr="00C611F5">
        <w:rPr>
          <w:rFonts w:eastAsia="MS Mincho"/>
        </w:rPr>
        <w:t>rganization</w:t>
      </w:r>
      <w:r w:rsidR="004F4FE0" w:rsidRPr="00C611F5">
        <w:rPr>
          <w:rFonts w:eastAsia="MS Mincho"/>
        </w:rPr>
        <w:t>,</w:t>
      </w:r>
      <w:r w:rsidRPr="00C611F5">
        <w:rPr>
          <w:rFonts w:eastAsia="MS Mincho"/>
        </w:rPr>
        <w:t xml:space="preserve"> </w:t>
      </w:r>
      <w:r w:rsidR="00B52423" w:rsidRPr="00C611F5">
        <w:rPr>
          <w:rFonts w:eastAsia="MS Mincho"/>
        </w:rPr>
        <w:t xml:space="preserve">the </w:t>
      </w:r>
      <w:r w:rsidR="004F4FE0" w:rsidRPr="00C611F5">
        <w:rPr>
          <w:rFonts w:eastAsia="MS Mincho"/>
        </w:rPr>
        <w:t>U</w:t>
      </w:r>
      <w:r w:rsidR="00EB5A54" w:rsidRPr="00C611F5">
        <w:rPr>
          <w:rFonts w:eastAsia="MS Mincho"/>
        </w:rPr>
        <w:t xml:space="preserve">nited </w:t>
      </w:r>
      <w:r w:rsidR="004F4FE0" w:rsidRPr="00C611F5">
        <w:rPr>
          <w:rFonts w:eastAsia="MS Mincho"/>
        </w:rPr>
        <w:t>N</w:t>
      </w:r>
      <w:r w:rsidR="00EB5A54" w:rsidRPr="00C611F5">
        <w:rPr>
          <w:rFonts w:eastAsia="MS Mincho"/>
        </w:rPr>
        <w:t xml:space="preserve">ations </w:t>
      </w:r>
      <w:r w:rsidR="004F4FE0" w:rsidRPr="00C611F5">
        <w:rPr>
          <w:rFonts w:eastAsia="MS Mincho"/>
        </w:rPr>
        <w:t>I</w:t>
      </w:r>
      <w:r w:rsidR="00EB5A54" w:rsidRPr="00C611F5">
        <w:rPr>
          <w:rFonts w:eastAsia="MS Mincho"/>
        </w:rPr>
        <w:t xml:space="preserve">nstitute for </w:t>
      </w:r>
      <w:r w:rsidR="004F4FE0" w:rsidRPr="00C611F5">
        <w:rPr>
          <w:rFonts w:eastAsia="MS Mincho"/>
        </w:rPr>
        <w:t>T</w:t>
      </w:r>
      <w:r w:rsidR="00EB5A54" w:rsidRPr="00C611F5">
        <w:rPr>
          <w:rFonts w:eastAsia="MS Mincho"/>
        </w:rPr>
        <w:t xml:space="preserve">raining and </w:t>
      </w:r>
      <w:r w:rsidR="004F4FE0" w:rsidRPr="00C611F5">
        <w:rPr>
          <w:rFonts w:eastAsia="MS Mincho"/>
        </w:rPr>
        <w:t>R</w:t>
      </w:r>
      <w:r w:rsidR="00EB5A54" w:rsidRPr="00C611F5">
        <w:rPr>
          <w:rFonts w:eastAsia="MS Mincho"/>
        </w:rPr>
        <w:t>esearch</w:t>
      </w:r>
      <w:r w:rsidR="004F4FE0" w:rsidRPr="00C611F5">
        <w:rPr>
          <w:rFonts w:eastAsia="MS Mincho"/>
        </w:rPr>
        <w:t>,</w:t>
      </w:r>
      <w:r w:rsidR="008C2603" w:rsidRPr="00C611F5">
        <w:rPr>
          <w:rFonts w:eastAsia="MS Mincho"/>
        </w:rPr>
        <w:t xml:space="preserve"> </w:t>
      </w:r>
      <w:r w:rsidR="00B52423" w:rsidRPr="00C611F5">
        <w:rPr>
          <w:rFonts w:eastAsia="MS Mincho"/>
        </w:rPr>
        <w:t xml:space="preserve">the </w:t>
      </w:r>
      <w:r w:rsidR="00EB5A54" w:rsidRPr="00C611F5">
        <w:rPr>
          <w:rFonts w:eastAsia="MS Mincho"/>
        </w:rPr>
        <w:t>Economic Commission for Europe</w:t>
      </w:r>
      <w:r w:rsidR="00BB4218" w:rsidRPr="00C611F5">
        <w:rPr>
          <w:rFonts w:eastAsia="MS Mincho"/>
        </w:rPr>
        <w:t>,</w:t>
      </w:r>
      <w:r w:rsidR="008C2603" w:rsidRPr="00C611F5">
        <w:rPr>
          <w:rFonts w:eastAsia="MS Mincho"/>
        </w:rPr>
        <w:t xml:space="preserve"> </w:t>
      </w:r>
      <w:r w:rsidR="00B52423" w:rsidRPr="00C611F5">
        <w:rPr>
          <w:rFonts w:eastAsia="MS Mincho"/>
        </w:rPr>
        <w:t xml:space="preserve">the </w:t>
      </w:r>
      <w:r w:rsidR="004F4FE0" w:rsidRPr="00C611F5">
        <w:rPr>
          <w:rFonts w:eastAsia="MS Mincho"/>
        </w:rPr>
        <w:t>W</w:t>
      </w:r>
      <w:r w:rsidR="00F86329" w:rsidRPr="00C611F5">
        <w:rPr>
          <w:rFonts w:eastAsia="MS Mincho"/>
        </w:rPr>
        <w:t xml:space="preserve">orld </w:t>
      </w:r>
      <w:r w:rsidR="004F4FE0" w:rsidRPr="00C611F5">
        <w:rPr>
          <w:rFonts w:eastAsia="MS Mincho"/>
        </w:rPr>
        <w:t>T</w:t>
      </w:r>
      <w:r w:rsidR="00F86329" w:rsidRPr="00C611F5">
        <w:rPr>
          <w:rFonts w:eastAsia="MS Mincho"/>
        </w:rPr>
        <w:t>rade Organization</w:t>
      </w:r>
      <w:r w:rsidR="004F4FE0" w:rsidRPr="00C611F5">
        <w:rPr>
          <w:rFonts w:eastAsia="MS Mincho"/>
        </w:rPr>
        <w:t xml:space="preserve">, </w:t>
      </w:r>
      <w:r w:rsidRPr="00C611F5">
        <w:rPr>
          <w:rFonts w:eastAsia="MS Mincho"/>
        </w:rPr>
        <w:t xml:space="preserve">and other intergovernmental organizations and the </w:t>
      </w:r>
      <w:r w:rsidR="00F86329" w:rsidRPr="00C611F5">
        <w:rPr>
          <w:rFonts w:eastAsia="MS Mincho"/>
        </w:rPr>
        <w:t>p</w:t>
      </w:r>
      <w:r w:rsidRPr="00C611F5">
        <w:rPr>
          <w:rFonts w:eastAsia="MS Mincho"/>
        </w:rPr>
        <w:t xml:space="preserve">ermanent </w:t>
      </w:r>
      <w:r w:rsidR="00F86329" w:rsidRPr="00C611F5">
        <w:rPr>
          <w:rFonts w:eastAsia="MS Mincho"/>
        </w:rPr>
        <w:t>m</w:t>
      </w:r>
      <w:r w:rsidRPr="00C611F5">
        <w:rPr>
          <w:rFonts w:eastAsia="MS Mincho"/>
        </w:rPr>
        <w:t xml:space="preserve">issions located in </w:t>
      </w:r>
      <w:r w:rsidR="004F4FE0" w:rsidRPr="00C611F5">
        <w:rPr>
          <w:rFonts w:eastAsia="MS Mincho"/>
        </w:rPr>
        <w:t>Geneva</w:t>
      </w:r>
      <w:r w:rsidR="00697B38" w:rsidRPr="00C611F5">
        <w:rPr>
          <w:rFonts w:eastAsia="MS Mincho"/>
        </w:rPr>
        <w:t xml:space="preserve">. </w:t>
      </w:r>
      <w:r w:rsidR="0057110A" w:rsidRPr="00C611F5">
        <w:rPr>
          <w:rFonts w:eastAsia="MS Mincho"/>
        </w:rPr>
        <w:t>In addition</w:t>
      </w:r>
      <w:r w:rsidR="003878B7" w:rsidRPr="00C611F5">
        <w:rPr>
          <w:rFonts w:eastAsia="MS Mincho"/>
        </w:rPr>
        <w:t xml:space="preserve">, the location provides </w:t>
      </w:r>
      <w:r w:rsidR="00697B38" w:rsidRPr="00C611F5">
        <w:rPr>
          <w:rFonts w:eastAsia="MS Mincho"/>
        </w:rPr>
        <w:t xml:space="preserve">the opportunity to receive joint briefings related </w:t>
      </w:r>
      <w:r w:rsidR="00F86329" w:rsidRPr="00C611F5">
        <w:rPr>
          <w:rFonts w:eastAsia="MS Mincho"/>
        </w:rPr>
        <w:t xml:space="preserve">to </w:t>
      </w:r>
      <w:r w:rsidR="00697B38" w:rsidRPr="00C611F5">
        <w:rPr>
          <w:rFonts w:eastAsia="MS Mincho"/>
        </w:rPr>
        <w:t>chemicals and waste issues</w:t>
      </w:r>
      <w:r w:rsidR="00750A92">
        <w:rPr>
          <w:rFonts w:eastAsia="MS Mincho"/>
        </w:rPr>
        <w:t xml:space="preserve">. The availability of a rent-free conference </w:t>
      </w:r>
      <w:r w:rsidR="00750A92" w:rsidRPr="00D90823">
        <w:rPr>
          <w:rFonts w:eastAsia="MS Mincho"/>
        </w:rPr>
        <w:t>venue and office space</w:t>
      </w:r>
      <w:r w:rsidR="00750A92">
        <w:rPr>
          <w:rFonts w:eastAsia="MS Mincho"/>
        </w:rPr>
        <w:t xml:space="preserve"> is also considered </w:t>
      </w:r>
      <w:r w:rsidR="003F3A67">
        <w:rPr>
          <w:rFonts w:eastAsia="MS Mincho"/>
        </w:rPr>
        <w:t xml:space="preserve">to be </w:t>
      </w:r>
      <w:r w:rsidR="00750A92">
        <w:rPr>
          <w:rFonts w:eastAsia="MS Mincho"/>
        </w:rPr>
        <w:t xml:space="preserve">an advantage. The cost </w:t>
      </w:r>
      <w:r w:rsidR="00D01B80">
        <w:rPr>
          <w:rFonts w:eastAsia="MS Mincho"/>
        </w:rPr>
        <w:t>for</w:t>
      </w:r>
      <w:r w:rsidR="00750A92">
        <w:rPr>
          <w:rFonts w:eastAsia="MS Mincho"/>
        </w:rPr>
        <w:t xml:space="preserve"> this option is $2,818,983</w:t>
      </w:r>
      <w:r w:rsidR="00EB5A54" w:rsidRPr="00C611F5">
        <w:rPr>
          <w:rFonts w:eastAsia="MS Mincho"/>
        </w:rPr>
        <w:t>;</w:t>
      </w:r>
      <w:r w:rsidR="00697B38" w:rsidRPr="00C611F5">
        <w:rPr>
          <w:rFonts w:eastAsia="MS Mincho"/>
        </w:rPr>
        <w:t xml:space="preserve"> </w:t>
      </w:r>
    </w:p>
    <w:p w:rsidR="005D09A5" w:rsidRPr="00C611F5" w:rsidRDefault="00CA3CD1" w:rsidP="00EB66CA">
      <w:pPr>
        <w:pStyle w:val="Normalnumber"/>
        <w:numPr>
          <w:ilvl w:val="1"/>
          <w:numId w:val="96"/>
        </w:numPr>
        <w:tabs>
          <w:tab w:val="clear" w:pos="1247"/>
        </w:tabs>
        <w:ind w:left="1247" w:firstLine="624"/>
        <w:rPr>
          <w:rFonts w:eastAsia="MS Mincho"/>
        </w:rPr>
      </w:pPr>
      <w:r w:rsidRPr="00C611F5">
        <w:rPr>
          <w:rFonts w:eastAsia="MS Mincho"/>
        </w:rPr>
        <w:t>Nairobi</w:t>
      </w:r>
      <w:r w:rsidR="00EB5A54" w:rsidRPr="00C611F5">
        <w:rPr>
          <w:rFonts w:eastAsia="MS Mincho"/>
        </w:rPr>
        <w:t>:</w:t>
      </w:r>
      <w:r w:rsidRPr="00C611F5">
        <w:rPr>
          <w:rFonts w:eastAsia="MS Mincho"/>
        </w:rPr>
        <w:t xml:space="preserve"> close cooperation with other areas of UNEP, in particular the Division of Environmental Law and Conventions and the Division of Communication and Public Information, </w:t>
      </w:r>
      <w:r w:rsidR="008805ED" w:rsidRPr="00C611F5">
        <w:rPr>
          <w:rFonts w:eastAsia="MS Mincho"/>
        </w:rPr>
        <w:t>the Regional Office for Africa</w:t>
      </w:r>
      <w:r w:rsidR="00F86329" w:rsidRPr="00C611F5">
        <w:rPr>
          <w:rFonts w:eastAsia="MS Mincho"/>
        </w:rPr>
        <w:t>,</w:t>
      </w:r>
      <w:r w:rsidR="008805ED" w:rsidRPr="00C611F5">
        <w:rPr>
          <w:rFonts w:eastAsia="MS Mincho"/>
        </w:rPr>
        <w:t xml:space="preserve"> </w:t>
      </w:r>
      <w:r w:rsidRPr="00C611F5">
        <w:rPr>
          <w:rFonts w:eastAsia="MS Mincho"/>
        </w:rPr>
        <w:t xml:space="preserve">the Office </w:t>
      </w:r>
      <w:r w:rsidR="00337F67" w:rsidRPr="00C611F5">
        <w:rPr>
          <w:rFonts w:eastAsia="MS Mincho"/>
        </w:rPr>
        <w:t xml:space="preserve">for </w:t>
      </w:r>
      <w:r w:rsidRPr="00C611F5">
        <w:rPr>
          <w:rFonts w:eastAsia="MS Mincho"/>
        </w:rPr>
        <w:t>Operations</w:t>
      </w:r>
      <w:r w:rsidR="0021444E" w:rsidRPr="00C611F5">
        <w:rPr>
          <w:rFonts w:eastAsia="MS Mincho"/>
        </w:rPr>
        <w:t>,</w:t>
      </w:r>
      <w:r w:rsidR="0021629F" w:rsidRPr="00C611F5">
        <w:rPr>
          <w:rFonts w:eastAsia="MS Mincho"/>
        </w:rPr>
        <w:t xml:space="preserve"> </w:t>
      </w:r>
      <w:r w:rsidR="0021444E" w:rsidRPr="00C611F5">
        <w:rPr>
          <w:rFonts w:eastAsia="MS Mincho"/>
        </w:rPr>
        <w:t>other intergovernmental organizations</w:t>
      </w:r>
      <w:r w:rsidR="0029379C" w:rsidRPr="00C611F5">
        <w:rPr>
          <w:rFonts w:eastAsia="MS Mincho"/>
        </w:rPr>
        <w:t xml:space="preserve"> </w:t>
      </w:r>
      <w:r w:rsidR="0021444E" w:rsidRPr="00C611F5">
        <w:rPr>
          <w:rFonts w:eastAsia="MS Mincho"/>
        </w:rPr>
        <w:t xml:space="preserve">and </w:t>
      </w:r>
      <w:r w:rsidR="00F86329" w:rsidRPr="00C611F5">
        <w:rPr>
          <w:rFonts w:eastAsia="MS Mincho"/>
        </w:rPr>
        <w:t>p</w:t>
      </w:r>
      <w:r w:rsidR="005D2700" w:rsidRPr="00C611F5">
        <w:rPr>
          <w:rFonts w:eastAsia="MS Mincho"/>
        </w:rPr>
        <w:t>ermanent</w:t>
      </w:r>
      <w:r w:rsidRPr="00C611F5">
        <w:rPr>
          <w:rFonts w:eastAsia="MS Mincho"/>
        </w:rPr>
        <w:t xml:space="preserve"> </w:t>
      </w:r>
      <w:r w:rsidR="00F86329" w:rsidRPr="00C611F5">
        <w:rPr>
          <w:rFonts w:eastAsia="MS Mincho"/>
        </w:rPr>
        <w:t>m</w:t>
      </w:r>
      <w:r w:rsidR="005D2700" w:rsidRPr="00C611F5">
        <w:rPr>
          <w:rFonts w:eastAsia="MS Mincho"/>
        </w:rPr>
        <w:t>issions</w:t>
      </w:r>
      <w:r w:rsidR="00750A92">
        <w:rPr>
          <w:rFonts w:eastAsia="MS Mincho"/>
        </w:rPr>
        <w:t>. The availability of a rent-free c</w:t>
      </w:r>
      <w:r w:rsidR="00750A92" w:rsidRPr="00A70AE4">
        <w:rPr>
          <w:rFonts w:eastAsia="MS Mincho"/>
        </w:rPr>
        <w:t>onference venue and office space</w:t>
      </w:r>
      <w:r w:rsidR="00750A92">
        <w:rPr>
          <w:rFonts w:eastAsia="MS Mincho"/>
        </w:rPr>
        <w:t xml:space="preserve"> is considered </w:t>
      </w:r>
      <w:r w:rsidR="003F3A67">
        <w:rPr>
          <w:rFonts w:eastAsia="MS Mincho"/>
        </w:rPr>
        <w:t xml:space="preserve">to be </w:t>
      </w:r>
      <w:r w:rsidR="00750A92">
        <w:rPr>
          <w:rFonts w:eastAsia="MS Mincho"/>
        </w:rPr>
        <w:t xml:space="preserve">an advantage. The cost </w:t>
      </w:r>
      <w:r w:rsidR="00D01B80">
        <w:rPr>
          <w:rFonts w:eastAsia="MS Mincho"/>
        </w:rPr>
        <w:t xml:space="preserve">for </w:t>
      </w:r>
      <w:r w:rsidR="00750A92">
        <w:rPr>
          <w:rFonts w:eastAsia="MS Mincho"/>
        </w:rPr>
        <w:t>this option is $2,209,376</w:t>
      </w:r>
      <w:r w:rsidR="00EB5A54" w:rsidRPr="00C611F5">
        <w:rPr>
          <w:rFonts w:eastAsia="MS Mincho"/>
        </w:rPr>
        <w:t>;</w:t>
      </w:r>
    </w:p>
    <w:p w:rsidR="005D09A5" w:rsidRPr="00C611F5" w:rsidRDefault="00CA3CD1" w:rsidP="00EB66CA">
      <w:pPr>
        <w:pStyle w:val="Normalnumber"/>
        <w:numPr>
          <w:ilvl w:val="1"/>
          <w:numId w:val="96"/>
        </w:numPr>
        <w:tabs>
          <w:tab w:val="clear" w:pos="1247"/>
        </w:tabs>
        <w:ind w:left="1247" w:firstLine="624"/>
        <w:rPr>
          <w:rFonts w:eastAsia="MS Mincho"/>
        </w:rPr>
      </w:pPr>
      <w:r w:rsidRPr="00C611F5">
        <w:rPr>
          <w:rFonts w:eastAsia="MS Mincho"/>
        </w:rPr>
        <w:t>Vienna</w:t>
      </w:r>
      <w:r w:rsidR="00EB5A54" w:rsidRPr="00C611F5">
        <w:rPr>
          <w:rFonts w:eastAsia="MS Mincho"/>
        </w:rPr>
        <w:t>:</w:t>
      </w:r>
      <w:r w:rsidRPr="00C611F5">
        <w:rPr>
          <w:rFonts w:eastAsia="MS Mincho"/>
        </w:rPr>
        <w:t xml:space="preserve"> close cooperation with </w:t>
      </w:r>
      <w:r w:rsidR="00F86329" w:rsidRPr="00C611F5">
        <w:rPr>
          <w:rFonts w:eastAsia="MS Mincho"/>
        </w:rPr>
        <w:t xml:space="preserve">the </w:t>
      </w:r>
      <w:r w:rsidRPr="00C611F5">
        <w:rPr>
          <w:rFonts w:eastAsia="MS Mincho"/>
        </w:rPr>
        <w:t>U</w:t>
      </w:r>
      <w:r w:rsidR="00F86329" w:rsidRPr="00C611F5">
        <w:rPr>
          <w:rFonts w:eastAsia="MS Mincho"/>
        </w:rPr>
        <w:t xml:space="preserve">nited </w:t>
      </w:r>
      <w:r w:rsidRPr="00C611F5">
        <w:rPr>
          <w:rFonts w:eastAsia="MS Mincho"/>
        </w:rPr>
        <w:t>N</w:t>
      </w:r>
      <w:r w:rsidR="00F86329" w:rsidRPr="00C611F5">
        <w:rPr>
          <w:rFonts w:eastAsia="MS Mincho"/>
        </w:rPr>
        <w:t xml:space="preserve">ations </w:t>
      </w:r>
      <w:r w:rsidRPr="00C611F5">
        <w:rPr>
          <w:rFonts w:eastAsia="MS Mincho"/>
        </w:rPr>
        <w:t>I</w:t>
      </w:r>
      <w:r w:rsidR="00F86329" w:rsidRPr="00C611F5">
        <w:rPr>
          <w:rFonts w:eastAsia="MS Mincho"/>
        </w:rPr>
        <w:t xml:space="preserve">ndustrial </w:t>
      </w:r>
      <w:r w:rsidRPr="00C611F5">
        <w:rPr>
          <w:rFonts w:eastAsia="MS Mincho"/>
        </w:rPr>
        <w:t>D</w:t>
      </w:r>
      <w:r w:rsidR="00F86329" w:rsidRPr="00C611F5">
        <w:rPr>
          <w:rFonts w:eastAsia="MS Mincho"/>
        </w:rPr>
        <w:t xml:space="preserve">evelopment </w:t>
      </w:r>
      <w:r w:rsidRPr="00C611F5">
        <w:rPr>
          <w:rFonts w:eastAsia="MS Mincho"/>
        </w:rPr>
        <w:t>O</w:t>
      </w:r>
      <w:r w:rsidR="00F86329" w:rsidRPr="00C611F5">
        <w:rPr>
          <w:rFonts w:eastAsia="MS Mincho"/>
        </w:rPr>
        <w:t>rganization</w:t>
      </w:r>
      <w:r w:rsidRPr="00C611F5">
        <w:rPr>
          <w:rFonts w:eastAsia="MS Mincho"/>
        </w:rPr>
        <w:t xml:space="preserve">, a key executing agency of the </w:t>
      </w:r>
      <w:r w:rsidR="0015269F" w:rsidRPr="00C611F5">
        <w:rPr>
          <w:rFonts w:eastAsia="MS Mincho"/>
        </w:rPr>
        <w:t>Global Environment Facility</w:t>
      </w:r>
      <w:r w:rsidRPr="00C611F5">
        <w:rPr>
          <w:rFonts w:eastAsia="MS Mincho"/>
        </w:rPr>
        <w:t xml:space="preserve"> involved extensively </w:t>
      </w:r>
      <w:r w:rsidR="00F86329" w:rsidRPr="00C611F5">
        <w:rPr>
          <w:rFonts w:eastAsia="MS Mincho"/>
        </w:rPr>
        <w:t xml:space="preserve">in </w:t>
      </w:r>
      <w:r w:rsidRPr="00C611F5">
        <w:rPr>
          <w:rFonts w:eastAsia="MS Mincho"/>
        </w:rPr>
        <w:t xml:space="preserve">implementing activities related to the Minamata Convention, </w:t>
      </w:r>
      <w:r w:rsidR="00F86329" w:rsidRPr="00C611F5">
        <w:rPr>
          <w:rFonts w:eastAsia="MS Mincho"/>
        </w:rPr>
        <w:t>and</w:t>
      </w:r>
      <w:r w:rsidRPr="00C611F5">
        <w:rPr>
          <w:rFonts w:eastAsia="MS Mincho"/>
        </w:rPr>
        <w:t xml:space="preserve"> the presence of </w:t>
      </w:r>
      <w:r w:rsidR="00F86329" w:rsidRPr="00C611F5">
        <w:rPr>
          <w:rFonts w:eastAsia="MS Mincho"/>
        </w:rPr>
        <w:t>p</w:t>
      </w:r>
      <w:r w:rsidRPr="00C611F5">
        <w:rPr>
          <w:rFonts w:eastAsia="MS Mincho"/>
        </w:rPr>
        <w:t xml:space="preserve">ermanent </w:t>
      </w:r>
      <w:r w:rsidR="00F86329" w:rsidRPr="00C611F5">
        <w:rPr>
          <w:rFonts w:eastAsia="MS Mincho"/>
        </w:rPr>
        <w:t>m</w:t>
      </w:r>
      <w:r w:rsidRPr="00C611F5">
        <w:rPr>
          <w:rFonts w:eastAsia="MS Mincho"/>
        </w:rPr>
        <w:t>issions</w:t>
      </w:r>
      <w:r w:rsidR="00750A92">
        <w:rPr>
          <w:rFonts w:eastAsia="MS Mincho"/>
        </w:rPr>
        <w:t xml:space="preserve"> and suitable conference facilities is </w:t>
      </w:r>
      <w:r w:rsidR="00750A92" w:rsidRPr="00A70AE4">
        <w:rPr>
          <w:rFonts w:eastAsia="MS Mincho"/>
        </w:rPr>
        <w:t>considered</w:t>
      </w:r>
      <w:r w:rsidR="003F3A67">
        <w:rPr>
          <w:rFonts w:eastAsia="MS Mincho"/>
        </w:rPr>
        <w:t xml:space="preserve"> to be</w:t>
      </w:r>
      <w:r w:rsidR="00750A92" w:rsidRPr="00A70AE4">
        <w:rPr>
          <w:rFonts w:eastAsia="MS Mincho"/>
        </w:rPr>
        <w:t xml:space="preserve"> an advantage</w:t>
      </w:r>
      <w:r w:rsidR="00750A92">
        <w:rPr>
          <w:rFonts w:eastAsia="MS Mincho"/>
        </w:rPr>
        <w:t>. The cost for this option is $2,350,892</w:t>
      </w:r>
      <w:r w:rsidR="00EB5A54" w:rsidRPr="00C611F5">
        <w:rPr>
          <w:rFonts w:eastAsia="MS Mincho"/>
        </w:rPr>
        <w:t>;</w:t>
      </w:r>
    </w:p>
    <w:p w:rsidR="005D09A5" w:rsidRPr="00C611F5" w:rsidRDefault="00CA3CD1" w:rsidP="00EB66CA">
      <w:pPr>
        <w:pStyle w:val="Normalnumber"/>
        <w:numPr>
          <w:ilvl w:val="1"/>
          <w:numId w:val="96"/>
        </w:numPr>
        <w:tabs>
          <w:tab w:val="clear" w:pos="1247"/>
        </w:tabs>
        <w:ind w:left="1247" w:firstLine="624"/>
        <w:rPr>
          <w:rFonts w:eastAsia="MS Mincho"/>
        </w:rPr>
      </w:pPr>
      <w:r w:rsidRPr="00C611F5">
        <w:rPr>
          <w:rFonts w:eastAsia="MS Mincho"/>
        </w:rPr>
        <w:t>Washington</w:t>
      </w:r>
      <w:r w:rsidR="0029379C" w:rsidRPr="00C611F5">
        <w:rPr>
          <w:rFonts w:eastAsia="MS Mincho"/>
        </w:rPr>
        <w:t>,</w:t>
      </w:r>
      <w:r w:rsidRPr="00C611F5">
        <w:rPr>
          <w:rFonts w:eastAsia="MS Mincho"/>
        </w:rPr>
        <w:t xml:space="preserve"> </w:t>
      </w:r>
      <w:r w:rsidR="00820DF3" w:rsidRPr="00C611F5">
        <w:rPr>
          <w:rFonts w:eastAsia="MS Mincho"/>
        </w:rPr>
        <w:t>DC</w:t>
      </w:r>
      <w:r w:rsidR="00EB5A54" w:rsidRPr="00C611F5">
        <w:rPr>
          <w:rFonts w:eastAsia="MS Mincho"/>
        </w:rPr>
        <w:t>:</w:t>
      </w:r>
      <w:r w:rsidRPr="00C611F5">
        <w:rPr>
          <w:rFonts w:eastAsia="MS Mincho"/>
        </w:rPr>
        <w:t xml:space="preserve"> close cooperation with the secretariat of the </w:t>
      </w:r>
      <w:r w:rsidR="0015269F" w:rsidRPr="00C611F5">
        <w:rPr>
          <w:rFonts w:eastAsia="MS Mincho"/>
        </w:rPr>
        <w:t>Global Environment Facility</w:t>
      </w:r>
      <w:r w:rsidR="003878B7" w:rsidRPr="00C611F5">
        <w:rPr>
          <w:rFonts w:eastAsia="MS Mincho"/>
        </w:rPr>
        <w:t xml:space="preserve"> and </w:t>
      </w:r>
      <w:r w:rsidR="0047357E" w:rsidRPr="00C611F5">
        <w:rPr>
          <w:rFonts w:eastAsia="MS Mincho"/>
        </w:rPr>
        <w:t xml:space="preserve">provides the </w:t>
      </w:r>
      <w:r w:rsidRPr="00C611F5">
        <w:rPr>
          <w:rFonts w:eastAsia="MS Mincho"/>
        </w:rPr>
        <w:t xml:space="preserve">opportunity to work closely with the World Bank and </w:t>
      </w:r>
      <w:r w:rsidR="0047357E" w:rsidRPr="00C611F5">
        <w:rPr>
          <w:rFonts w:eastAsia="MS Mincho"/>
        </w:rPr>
        <w:t xml:space="preserve">the </w:t>
      </w:r>
      <w:r w:rsidRPr="00C611F5">
        <w:rPr>
          <w:rFonts w:eastAsia="MS Mincho"/>
        </w:rPr>
        <w:t>U</w:t>
      </w:r>
      <w:r w:rsidR="0047357E" w:rsidRPr="00C611F5">
        <w:rPr>
          <w:rFonts w:eastAsia="MS Mincho"/>
        </w:rPr>
        <w:t xml:space="preserve">nited </w:t>
      </w:r>
      <w:r w:rsidRPr="00C611F5">
        <w:rPr>
          <w:rFonts w:eastAsia="MS Mincho"/>
        </w:rPr>
        <w:t>N</w:t>
      </w:r>
      <w:r w:rsidR="0047357E" w:rsidRPr="00C611F5">
        <w:rPr>
          <w:rFonts w:eastAsia="MS Mincho"/>
        </w:rPr>
        <w:t xml:space="preserve">ations </w:t>
      </w:r>
      <w:r w:rsidRPr="00C611F5">
        <w:rPr>
          <w:rFonts w:eastAsia="MS Mincho"/>
        </w:rPr>
        <w:t>D</w:t>
      </w:r>
      <w:r w:rsidR="0047357E" w:rsidRPr="00C611F5">
        <w:rPr>
          <w:rFonts w:eastAsia="MS Mincho"/>
        </w:rPr>
        <w:t xml:space="preserve">evelopment </w:t>
      </w:r>
      <w:r w:rsidRPr="00C611F5">
        <w:rPr>
          <w:rFonts w:eastAsia="MS Mincho"/>
        </w:rPr>
        <w:t>P</w:t>
      </w:r>
      <w:r w:rsidR="0047357E" w:rsidRPr="00C611F5">
        <w:rPr>
          <w:rFonts w:eastAsia="MS Mincho"/>
        </w:rPr>
        <w:t>rogramme</w:t>
      </w:r>
      <w:r w:rsidRPr="00C611F5">
        <w:rPr>
          <w:rFonts w:eastAsia="MS Mincho"/>
        </w:rPr>
        <w:t xml:space="preserve">, both </w:t>
      </w:r>
      <w:r w:rsidR="0047357E" w:rsidRPr="00C611F5">
        <w:rPr>
          <w:rFonts w:eastAsia="MS Mincho"/>
        </w:rPr>
        <w:t xml:space="preserve">of which are </w:t>
      </w:r>
      <w:r w:rsidRPr="00C611F5">
        <w:rPr>
          <w:rFonts w:eastAsia="MS Mincho"/>
        </w:rPr>
        <w:t xml:space="preserve">executing agencies of the </w:t>
      </w:r>
      <w:r w:rsidR="0015269F" w:rsidRPr="00C611F5">
        <w:rPr>
          <w:rFonts w:eastAsia="MS Mincho"/>
        </w:rPr>
        <w:t>Global Environment Facility</w:t>
      </w:r>
      <w:r w:rsidRPr="00C611F5">
        <w:rPr>
          <w:rFonts w:eastAsia="MS Mincho"/>
        </w:rPr>
        <w:t xml:space="preserve"> involved in implementing activities</w:t>
      </w:r>
      <w:r w:rsidR="008805ED" w:rsidRPr="00C611F5">
        <w:rPr>
          <w:rFonts w:eastAsia="MS Mincho"/>
        </w:rPr>
        <w:t xml:space="preserve"> related to the Minamata Convention</w:t>
      </w:r>
      <w:r w:rsidRPr="00C611F5">
        <w:rPr>
          <w:rFonts w:eastAsia="MS Mincho"/>
        </w:rPr>
        <w:t>.</w:t>
      </w:r>
      <w:r w:rsidR="008C2603" w:rsidRPr="00C611F5">
        <w:rPr>
          <w:rFonts w:eastAsia="MS Mincho"/>
        </w:rPr>
        <w:t xml:space="preserve"> </w:t>
      </w:r>
      <w:r w:rsidR="0047357E" w:rsidRPr="00C611F5">
        <w:rPr>
          <w:rFonts w:eastAsia="MS Mincho"/>
        </w:rPr>
        <w:t>It also offers</w:t>
      </w:r>
      <w:r w:rsidR="005D2700" w:rsidRPr="00C611F5">
        <w:rPr>
          <w:rFonts w:eastAsia="MS Mincho"/>
        </w:rPr>
        <w:t xml:space="preserve"> the opportunit</w:t>
      </w:r>
      <w:r w:rsidR="0047357E" w:rsidRPr="00C611F5">
        <w:rPr>
          <w:rFonts w:eastAsia="MS Mincho"/>
        </w:rPr>
        <w:t>y</w:t>
      </w:r>
      <w:r w:rsidRPr="00C611F5">
        <w:rPr>
          <w:rFonts w:eastAsia="MS Mincho"/>
        </w:rPr>
        <w:t xml:space="preserve"> to work with embassies, as well as with the Regional Office for North America</w:t>
      </w:r>
      <w:r w:rsidR="00750A92">
        <w:rPr>
          <w:rFonts w:eastAsia="MS Mincho"/>
        </w:rPr>
        <w:t xml:space="preserve">. Available conference facilities are considered </w:t>
      </w:r>
      <w:r w:rsidR="003F3A67">
        <w:rPr>
          <w:rFonts w:eastAsia="MS Mincho"/>
        </w:rPr>
        <w:t xml:space="preserve">to be </w:t>
      </w:r>
      <w:r w:rsidR="00750A92">
        <w:rPr>
          <w:rFonts w:eastAsia="MS Mincho"/>
        </w:rPr>
        <w:t xml:space="preserve">an advantage. The cost </w:t>
      </w:r>
      <w:r w:rsidR="00D01B80">
        <w:rPr>
          <w:rFonts w:eastAsia="MS Mincho"/>
        </w:rPr>
        <w:t>for</w:t>
      </w:r>
      <w:r w:rsidR="00750A92">
        <w:rPr>
          <w:rFonts w:eastAsia="MS Mincho"/>
        </w:rPr>
        <w:t xml:space="preserve"> this option is $2,589,395</w:t>
      </w:r>
      <w:r w:rsidR="0047357E" w:rsidRPr="00C611F5">
        <w:rPr>
          <w:rFonts w:eastAsia="MS Mincho"/>
        </w:rPr>
        <w:t>;</w:t>
      </w:r>
    </w:p>
    <w:p w:rsidR="005D09A5" w:rsidRPr="00C611F5" w:rsidRDefault="00CA3CD1" w:rsidP="00EB66CA">
      <w:pPr>
        <w:pStyle w:val="Normalnumber"/>
        <w:numPr>
          <w:ilvl w:val="1"/>
          <w:numId w:val="96"/>
        </w:numPr>
        <w:tabs>
          <w:tab w:val="clear" w:pos="1247"/>
        </w:tabs>
        <w:ind w:left="1247" w:firstLine="624"/>
        <w:rPr>
          <w:rFonts w:eastAsia="MS Mincho"/>
        </w:rPr>
      </w:pPr>
      <w:r w:rsidRPr="00C611F5">
        <w:rPr>
          <w:rFonts w:eastAsia="MS Mincho"/>
        </w:rPr>
        <w:t>Osaka</w:t>
      </w:r>
      <w:r w:rsidR="00EB5A54" w:rsidRPr="00C611F5">
        <w:rPr>
          <w:rFonts w:eastAsia="MS Mincho"/>
        </w:rPr>
        <w:t>:</w:t>
      </w:r>
      <w:r w:rsidRPr="00C611F5">
        <w:rPr>
          <w:rFonts w:eastAsia="MS Mincho"/>
        </w:rPr>
        <w:t xml:space="preserve"> close cooperation with the </w:t>
      </w:r>
      <w:r w:rsidR="006554D4" w:rsidRPr="00C611F5">
        <w:rPr>
          <w:rFonts w:eastAsia="MS Mincho"/>
        </w:rPr>
        <w:t>International Environmental Technology Centre</w:t>
      </w:r>
      <w:r w:rsidRPr="00C611F5">
        <w:rPr>
          <w:rFonts w:eastAsia="MS Mincho"/>
        </w:rPr>
        <w:t xml:space="preserve">, </w:t>
      </w:r>
      <w:r w:rsidR="00EB5A54" w:rsidRPr="00C611F5">
        <w:rPr>
          <w:rFonts w:eastAsia="MS Mincho"/>
        </w:rPr>
        <w:t xml:space="preserve">which </w:t>
      </w:r>
      <w:r w:rsidR="008805ED" w:rsidRPr="00C611F5">
        <w:rPr>
          <w:rFonts w:eastAsia="MS Mincho"/>
        </w:rPr>
        <w:t xml:space="preserve">is </w:t>
      </w:r>
      <w:r w:rsidRPr="00C611F5">
        <w:rPr>
          <w:rFonts w:eastAsia="MS Mincho"/>
        </w:rPr>
        <w:t>doing extensive work on waste</w:t>
      </w:r>
      <w:r w:rsidR="00EB5A54" w:rsidRPr="00C611F5">
        <w:rPr>
          <w:rFonts w:eastAsia="MS Mincho"/>
        </w:rPr>
        <w:t>,</w:t>
      </w:r>
      <w:r w:rsidRPr="00C611F5">
        <w:rPr>
          <w:rFonts w:eastAsia="MS Mincho"/>
        </w:rPr>
        <w:t xml:space="preserve"> including mercury waste.</w:t>
      </w:r>
      <w:r w:rsidR="008C2603" w:rsidRPr="00C611F5">
        <w:rPr>
          <w:rFonts w:eastAsia="MS Mincho"/>
        </w:rPr>
        <w:t xml:space="preserve"> </w:t>
      </w:r>
      <w:r w:rsidR="00D01B80">
        <w:rPr>
          <w:rFonts w:eastAsia="MS Mincho"/>
        </w:rPr>
        <w:t>The cost for this option is $2,792,338.</w:t>
      </w:r>
    </w:p>
    <w:p w:rsidR="005D09A5" w:rsidRPr="00C611F5" w:rsidRDefault="000D300A" w:rsidP="00EB66CA">
      <w:pPr>
        <w:pStyle w:val="Normalnumber"/>
        <w:numPr>
          <w:ilvl w:val="0"/>
          <w:numId w:val="5"/>
        </w:numPr>
        <w:tabs>
          <w:tab w:val="clear" w:pos="1247"/>
        </w:tabs>
        <w:ind w:left="1247" w:firstLine="0"/>
        <w:rPr>
          <w:rFonts w:eastAsia="MS Mincho"/>
        </w:rPr>
      </w:pPr>
      <w:r w:rsidRPr="00C611F5">
        <w:rPr>
          <w:rFonts w:eastAsia="MS Mincho"/>
        </w:rPr>
        <w:t>In looking at related costs, the above duty stations were evaluated for the costs associated with each location</w:t>
      </w:r>
      <w:r w:rsidR="003878B7" w:rsidRPr="00C611F5">
        <w:rPr>
          <w:rFonts w:eastAsia="MS Mincho"/>
        </w:rPr>
        <w:t xml:space="preserve"> (</w:t>
      </w:r>
      <w:r w:rsidRPr="00C611F5">
        <w:rPr>
          <w:rFonts w:eastAsia="MS Mincho"/>
        </w:rPr>
        <w:t xml:space="preserve">estimated salary costs are </w:t>
      </w:r>
      <w:r w:rsidR="0047357E" w:rsidRPr="00C611F5">
        <w:rPr>
          <w:rFonts w:eastAsia="MS Mincho"/>
        </w:rPr>
        <w:t xml:space="preserve">set out </w:t>
      </w:r>
      <w:r w:rsidRPr="00C611F5">
        <w:rPr>
          <w:rFonts w:eastAsia="MS Mincho"/>
        </w:rPr>
        <w:t>in appendix 3</w:t>
      </w:r>
      <w:r w:rsidR="003878B7" w:rsidRPr="00C611F5">
        <w:rPr>
          <w:rFonts w:eastAsia="MS Mincho"/>
        </w:rPr>
        <w:t>)</w:t>
      </w:r>
      <w:r w:rsidRPr="00C611F5">
        <w:rPr>
          <w:rFonts w:eastAsia="MS Mincho"/>
        </w:rPr>
        <w:t>.</w:t>
      </w:r>
      <w:r w:rsidR="008C2603" w:rsidRPr="00C611F5">
        <w:rPr>
          <w:rFonts w:eastAsia="MS Mincho"/>
        </w:rPr>
        <w:t xml:space="preserve"> </w:t>
      </w:r>
      <w:r w:rsidRPr="00C611F5">
        <w:rPr>
          <w:rFonts w:eastAsia="MS Mincho"/>
        </w:rPr>
        <w:t xml:space="preserve">Following an initial consideration of costs, </w:t>
      </w:r>
      <w:r w:rsidR="00BB1C23" w:rsidRPr="00C611F5">
        <w:rPr>
          <w:rFonts w:eastAsia="MS Mincho"/>
        </w:rPr>
        <w:t xml:space="preserve">Bangkok </w:t>
      </w:r>
      <w:r w:rsidRPr="00C611F5">
        <w:rPr>
          <w:rFonts w:eastAsia="MS Mincho"/>
        </w:rPr>
        <w:t>was added to the above list</w:t>
      </w:r>
      <w:r w:rsidR="00BB1C23" w:rsidRPr="00C611F5">
        <w:rPr>
          <w:rFonts w:eastAsia="MS Mincho"/>
        </w:rPr>
        <w:t xml:space="preserve"> as an additional option</w:t>
      </w:r>
      <w:r w:rsidR="0047357E" w:rsidRPr="00C611F5">
        <w:rPr>
          <w:rFonts w:eastAsia="MS Mincho"/>
        </w:rPr>
        <w:t xml:space="preserve">, </w:t>
      </w:r>
      <w:r w:rsidRPr="00C611F5">
        <w:rPr>
          <w:rFonts w:eastAsia="MS Mincho"/>
        </w:rPr>
        <w:t xml:space="preserve">due to the low costs associated with the location, including the costs of holding meetings at the </w:t>
      </w:r>
      <w:r w:rsidR="0047357E" w:rsidRPr="00C611F5">
        <w:rPr>
          <w:rFonts w:eastAsia="MS Mincho"/>
        </w:rPr>
        <w:t>facilities</w:t>
      </w:r>
      <w:r w:rsidR="0047357E" w:rsidRPr="00C611F5" w:rsidDel="001306B9">
        <w:rPr>
          <w:rFonts w:eastAsia="MS Mincho"/>
        </w:rPr>
        <w:t xml:space="preserve"> </w:t>
      </w:r>
      <w:r w:rsidR="0047357E" w:rsidRPr="00C611F5">
        <w:rPr>
          <w:rFonts w:eastAsia="MS Mincho"/>
        </w:rPr>
        <w:t xml:space="preserve">of the </w:t>
      </w:r>
      <w:r w:rsidRPr="00C611F5">
        <w:rPr>
          <w:rFonts w:eastAsia="MS Mincho"/>
        </w:rPr>
        <w:t>E</w:t>
      </w:r>
      <w:r w:rsidR="0047357E" w:rsidRPr="00C611F5">
        <w:rPr>
          <w:rFonts w:eastAsia="MS Mincho"/>
        </w:rPr>
        <w:t xml:space="preserve">conomic and </w:t>
      </w:r>
      <w:r w:rsidRPr="00C611F5">
        <w:rPr>
          <w:rFonts w:eastAsia="MS Mincho"/>
        </w:rPr>
        <w:t>S</w:t>
      </w:r>
      <w:r w:rsidR="0047357E" w:rsidRPr="00C611F5">
        <w:rPr>
          <w:rFonts w:eastAsia="MS Mincho"/>
        </w:rPr>
        <w:t xml:space="preserve">ocial </w:t>
      </w:r>
      <w:r w:rsidRPr="00C611F5">
        <w:rPr>
          <w:rFonts w:eastAsia="MS Mincho"/>
        </w:rPr>
        <w:t>C</w:t>
      </w:r>
      <w:r w:rsidR="0047357E" w:rsidRPr="00C611F5">
        <w:rPr>
          <w:rFonts w:eastAsia="MS Mincho"/>
        </w:rPr>
        <w:t xml:space="preserve">ommission for </w:t>
      </w:r>
      <w:r w:rsidRPr="00C611F5">
        <w:rPr>
          <w:rFonts w:eastAsia="MS Mincho"/>
        </w:rPr>
        <w:t>A</w:t>
      </w:r>
      <w:r w:rsidR="0047357E" w:rsidRPr="00C611F5">
        <w:rPr>
          <w:rFonts w:eastAsia="MS Mincho"/>
        </w:rPr>
        <w:t xml:space="preserve">sia and the </w:t>
      </w:r>
      <w:r w:rsidRPr="00C611F5">
        <w:rPr>
          <w:rFonts w:eastAsia="MS Mincho"/>
        </w:rPr>
        <w:t>P</w:t>
      </w:r>
      <w:r w:rsidR="0047357E" w:rsidRPr="00C611F5">
        <w:rPr>
          <w:rFonts w:eastAsia="MS Mincho"/>
        </w:rPr>
        <w:t>acific</w:t>
      </w:r>
      <w:r w:rsidRPr="00C611F5">
        <w:rPr>
          <w:rFonts w:eastAsia="MS Mincho"/>
        </w:rPr>
        <w:t>,</w:t>
      </w:r>
      <w:r w:rsidR="008C2603" w:rsidRPr="00C611F5">
        <w:rPr>
          <w:rFonts w:eastAsia="MS Mincho"/>
        </w:rPr>
        <w:t xml:space="preserve"> </w:t>
      </w:r>
      <w:r w:rsidRPr="00C611F5">
        <w:rPr>
          <w:rFonts w:eastAsia="MS Mincho"/>
        </w:rPr>
        <w:t xml:space="preserve">the presence of a major UNEP office, </w:t>
      </w:r>
      <w:r w:rsidR="00BB1C23" w:rsidRPr="00C611F5">
        <w:rPr>
          <w:rFonts w:eastAsia="MS Mincho"/>
        </w:rPr>
        <w:t xml:space="preserve">including the Regional Office for </w:t>
      </w:r>
      <w:r w:rsidRPr="00C611F5">
        <w:rPr>
          <w:rFonts w:eastAsia="MS Mincho"/>
        </w:rPr>
        <w:t xml:space="preserve">Asia </w:t>
      </w:r>
      <w:r w:rsidR="00BB1C23" w:rsidRPr="00C611F5">
        <w:rPr>
          <w:rFonts w:eastAsia="MS Mincho"/>
        </w:rPr>
        <w:t xml:space="preserve">and the </w:t>
      </w:r>
      <w:r w:rsidRPr="00C611F5">
        <w:rPr>
          <w:rFonts w:eastAsia="MS Mincho"/>
        </w:rPr>
        <w:t>Pacific, and good transportation links.</w:t>
      </w:r>
      <w:r w:rsidR="008C2603" w:rsidRPr="00C611F5">
        <w:rPr>
          <w:rFonts w:eastAsia="MS Mincho"/>
        </w:rPr>
        <w:t xml:space="preserve"> </w:t>
      </w:r>
      <w:r w:rsidR="00D01B80">
        <w:rPr>
          <w:rFonts w:eastAsia="MS Mincho"/>
        </w:rPr>
        <w:t>The cost for this option is $2,212,201.</w:t>
      </w:r>
    </w:p>
    <w:p w:rsidR="002138EC" w:rsidRPr="00C611F5" w:rsidRDefault="002138EC" w:rsidP="00CA3CD1">
      <w:pPr>
        <w:pStyle w:val="Normalnumber"/>
        <w:numPr>
          <w:ilvl w:val="0"/>
          <w:numId w:val="0"/>
        </w:numPr>
        <w:ind w:left="1247"/>
        <w:rPr>
          <w:rFonts w:eastAsia="MS Mincho"/>
        </w:rPr>
      </w:pPr>
      <w:r w:rsidRPr="00C611F5">
        <w:rPr>
          <w:rFonts w:eastAsia="MS Mincho"/>
          <w:b/>
          <w:bCs/>
        </w:rPr>
        <w:t>Analysis</w:t>
      </w:r>
    </w:p>
    <w:p w:rsidR="005D09A5" w:rsidRPr="00C611F5" w:rsidRDefault="002138EC" w:rsidP="00EB66CA">
      <w:pPr>
        <w:pStyle w:val="Normalnumber"/>
        <w:numPr>
          <w:ilvl w:val="0"/>
          <w:numId w:val="5"/>
        </w:numPr>
        <w:tabs>
          <w:tab w:val="clear" w:pos="1247"/>
        </w:tabs>
        <w:ind w:left="1247" w:firstLine="0"/>
        <w:rPr>
          <w:rFonts w:eastAsia="MS Mincho"/>
        </w:rPr>
      </w:pPr>
      <w:r w:rsidRPr="00C611F5">
        <w:rPr>
          <w:rFonts w:eastAsia="MS Mincho"/>
        </w:rPr>
        <w:t xml:space="preserve">The secretariat would support </w:t>
      </w:r>
      <w:r w:rsidR="006213F0">
        <w:rPr>
          <w:rFonts w:eastAsia="MS Mincho"/>
        </w:rPr>
        <w:t xml:space="preserve">its </w:t>
      </w:r>
      <w:r w:rsidRPr="00C611F5">
        <w:rPr>
          <w:rFonts w:eastAsia="MS Mincho"/>
        </w:rPr>
        <w:t>activities</w:t>
      </w:r>
      <w:r w:rsidR="0047357E" w:rsidRPr="00C611F5">
        <w:rPr>
          <w:rFonts w:eastAsia="MS Mincho"/>
        </w:rPr>
        <w:t>, including</w:t>
      </w:r>
      <w:r w:rsidRPr="00C611F5">
        <w:rPr>
          <w:rFonts w:eastAsia="MS Mincho"/>
        </w:rPr>
        <w:t xml:space="preserve"> all aspects of administrative services, as well as </w:t>
      </w:r>
      <w:r w:rsidR="00397B06" w:rsidRPr="00C611F5">
        <w:rPr>
          <w:rFonts w:eastAsia="MS Mincho"/>
        </w:rPr>
        <w:t>l</w:t>
      </w:r>
      <w:r w:rsidRPr="00C611F5">
        <w:rPr>
          <w:rFonts w:eastAsia="MS Mincho"/>
        </w:rPr>
        <w:t xml:space="preserve">egal, IT and </w:t>
      </w:r>
      <w:r w:rsidR="00397B06" w:rsidRPr="00C611F5">
        <w:rPr>
          <w:rFonts w:eastAsia="MS Mincho"/>
        </w:rPr>
        <w:t>i</w:t>
      </w:r>
      <w:r w:rsidRPr="00C611F5">
        <w:rPr>
          <w:rFonts w:eastAsia="MS Mincho"/>
        </w:rPr>
        <w:t>nformation management support</w:t>
      </w:r>
      <w:r w:rsidR="00D01B80">
        <w:rPr>
          <w:rFonts w:eastAsia="MS Mincho"/>
        </w:rPr>
        <w:t>.</w:t>
      </w:r>
      <w:r w:rsidRPr="00C611F5">
        <w:rPr>
          <w:rFonts w:eastAsia="MS Mincho"/>
        </w:rPr>
        <w:t xml:space="preserve"> </w:t>
      </w:r>
      <w:r w:rsidR="00D01B80">
        <w:rPr>
          <w:rFonts w:eastAsia="MS Mincho"/>
        </w:rPr>
        <w:t>T</w:t>
      </w:r>
      <w:r w:rsidRPr="00C611F5">
        <w:rPr>
          <w:rFonts w:eastAsia="MS Mincho"/>
        </w:rPr>
        <w:t xml:space="preserve">he secretariat may be based </w:t>
      </w:r>
      <w:r w:rsidR="00D01B80">
        <w:rPr>
          <w:rFonts w:eastAsia="MS Mincho"/>
        </w:rPr>
        <w:t xml:space="preserve">in Geneva </w:t>
      </w:r>
      <w:r w:rsidRPr="00C611F5">
        <w:rPr>
          <w:rFonts w:eastAsia="MS Mincho"/>
        </w:rPr>
        <w:t xml:space="preserve">or </w:t>
      </w:r>
      <w:r w:rsidR="004336F9">
        <w:rPr>
          <w:rFonts w:eastAsia="MS Mincho"/>
        </w:rPr>
        <w:t>in another duty station</w:t>
      </w:r>
      <w:r w:rsidR="004336F9" w:rsidRPr="00C611F5">
        <w:rPr>
          <w:rFonts w:eastAsia="MS Mincho"/>
        </w:rPr>
        <w:t xml:space="preserve"> </w:t>
      </w:r>
      <w:r w:rsidR="0076417D" w:rsidRPr="00C611F5">
        <w:rPr>
          <w:rFonts w:eastAsia="MS Mincho"/>
        </w:rPr>
        <w:t>(while still being based within UNEP)</w:t>
      </w:r>
      <w:r w:rsidR="00D01B80">
        <w:rPr>
          <w:rFonts w:eastAsia="MS Mincho"/>
        </w:rPr>
        <w:t>.</w:t>
      </w:r>
      <w:r w:rsidRPr="00C611F5">
        <w:rPr>
          <w:rFonts w:eastAsia="MS Mincho"/>
        </w:rPr>
        <w:t xml:space="preserve"> </w:t>
      </w:r>
    </w:p>
    <w:p w:rsidR="005D09A5" w:rsidRPr="00C611F5" w:rsidRDefault="002138EC" w:rsidP="00EB66CA">
      <w:pPr>
        <w:pStyle w:val="Normalnumber"/>
        <w:numPr>
          <w:ilvl w:val="0"/>
          <w:numId w:val="5"/>
        </w:numPr>
        <w:tabs>
          <w:tab w:val="clear" w:pos="1247"/>
        </w:tabs>
        <w:ind w:left="1247" w:firstLine="0"/>
        <w:rPr>
          <w:rFonts w:eastAsia="MS Mincho"/>
        </w:rPr>
      </w:pPr>
      <w:r w:rsidRPr="00C611F5">
        <w:rPr>
          <w:rFonts w:eastAsia="MS Mincho"/>
        </w:rPr>
        <w:t>In considering alternative locations, a number of options were assessed on a preliminary basis for their potential to provide benefits through close cooperation with areas of UNEP or other organizations engaged in the delivery of activities relevant to the Minamata Convention, as well as their ability to deliver administrative and operational support to the secretariat in a</w:t>
      </w:r>
      <w:r w:rsidR="00BB1C23" w:rsidRPr="00C611F5">
        <w:rPr>
          <w:rFonts w:eastAsia="MS Mincho"/>
        </w:rPr>
        <w:t xml:space="preserve"> cost-</w:t>
      </w:r>
      <w:r w:rsidRPr="00C611F5">
        <w:rPr>
          <w:rFonts w:eastAsia="MS Mincho"/>
        </w:rPr>
        <w:t xml:space="preserve">effective manner. </w:t>
      </w:r>
      <w:r w:rsidR="006E5B33" w:rsidRPr="00C611F5">
        <w:rPr>
          <w:rFonts w:eastAsia="MS Mincho"/>
        </w:rPr>
        <w:t xml:space="preserve">Relocating the </w:t>
      </w:r>
      <w:r w:rsidR="00527290" w:rsidRPr="00C611F5">
        <w:rPr>
          <w:rFonts w:eastAsia="MS Mincho"/>
        </w:rPr>
        <w:t>secretariat</w:t>
      </w:r>
      <w:r w:rsidR="006E5B33" w:rsidRPr="00C611F5">
        <w:rPr>
          <w:rFonts w:eastAsia="MS Mincho"/>
        </w:rPr>
        <w:t xml:space="preserve"> to a different duty station </w:t>
      </w:r>
      <w:r w:rsidR="00E86A58" w:rsidRPr="00C611F5">
        <w:rPr>
          <w:rFonts w:eastAsia="MS Mincho"/>
        </w:rPr>
        <w:t>c</w:t>
      </w:r>
      <w:r w:rsidR="006E5B33" w:rsidRPr="00C611F5">
        <w:rPr>
          <w:rFonts w:eastAsia="MS Mincho"/>
        </w:rPr>
        <w:t xml:space="preserve">ould imply more </w:t>
      </w:r>
      <w:r w:rsidR="00E86A58" w:rsidRPr="00C611F5">
        <w:rPr>
          <w:rFonts w:eastAsia="MS Mincho"/>
        </w:rPr>
        <w:t>dis</w:t>
      </w:r>
      <w:r w:rsidR="006E5B33" w:rsidRPr="00C611F5">
        <w:rPr>
          <w:rFonts w:eastAsia="MS Mincho"/>
        </w:rPr>
        <w:t xml:space="preserve">continuity of work and potential loss of organizational memory, </w:t>
      </w:r>
      <w:r w:rsidR="00CA0CEA" w:rsidRPr="00C611F5">
        <w:rPr>
          <w:rFonts w:eastAsia="MS Mincho"/>
        </w:rPr>
        <w:t>depending on the percentage</w:t>
      </w:r>
      <w:r w:rsidR="006E5B33" w:rsidRPr="00C611F5">
        <w:rPr>
          <w:rFonts w:eastAsia="MS Mincho"/>
        </w:rPr>
        <w:t xml:space="preserve"> </w:t>
      </w:r>
      <w:r w:rsidR="00D6757F" w:rsidRPr="00C611F5">
        <w:rPr>
          <w:rFonts w:eastAsia="MS Mincho"/>
        </w:rPr>
        <w:t xml:space="preserve">of </w:t>
      </w:r>
      <w:r w:rsidR="00CA0CEA" w:rsidRPr="00C611F5">
        <w:rPr>
          <w:rFonts w:eastAsia="MS Mincho"/>
        </w:rPr>
        <w:t xml:space="preserve">current </w:t>
      </w:r>
      <w:r w:rsidR="006E5B33" w:rsidRPr="00C611F5">
        <w:rPr>
          <w:rFonts w:eastAsia="MS Mincho"/>
        </w:rPr>
        <w:t xml:space="preserve">staff of the interim </w:t>
      </w:r>
      <w:r w:rsidR="00527290" w:rsidRPr="00C611F5">
        <w:rPr>
          <w:rFonts w:eastAsia="MS Mincho"/>
        </w:rPr>
        <w:t>secretariat</w:t>
      </w:r>
      <w:r w:rsidR="006E5B33" w:rsidRPr="00C611F5">
        <w:rPr>
          <w:rFonts w:eastAsia="MS Mincho"/>
        </w:rPr>
        <w:t xml:space="preserve"> </w:t>
      </w:r>
      <w:r w:rsidR="00CA0CEA" w:rsidRPr="00C611F5">
        <w:rPr>
          <w:rFonts w:eastAsia="MS Mincho"/>
        </w:rPr>
        <w:t>that would</w:t>
      </w:r>
      <w:r w:rsidR="006E5B33" w:rsidRPr="00C611F5">
        <w:rPr>
          <w:rFonts w:eastAsia="MS Mincho"/>
        </w:rPr>
        <w:t xml:space="preserve"> relocate to the new duty station.</w:t>
      </w:r>
      <w:r w:rsidR="008C2603" w:rsidRPr="00C611F5">
        <w:rPr>
          <w:rFonts w:eastAsia="MS Mincho"/>
        </w:rPr>
        <w:t xml:space="preserve"> </w:t>
      </w:r>
      <w:r w:rsidR="006E5B33" w:rsidRPr="00C611F5">
        <w:rPr>
          <w:rFonts w:eastAsia="MS Mincho"/>
        </w:rPr>
        <w:t xml:space="preserve">A different location would imply reduced opportunities for cooperation with the </w:t>
      </w:r>
      <w:r w:rsidR="00BB72E8" w:rsidRPr="00C611F5">
        <w:rPr>
          <w:rFonts w:eastAsia="MS Mincho"/>
        </w:rPr>
        <w:t>secretariat of the Basel, Rotterdam and Stockholm conventions</w:t>
      </w:r>
      <w:r w:rsidR="006E5B33" w:rsidRPr="00C611F5">
        <w:rPr>
          <w:rFonts w:eastAsia="MS Mincho"/>
        </w:rPr>
        <w:t xml:space="preserve"> on a daily working level, </w:t>
      </w:r>
      <w:r w:rsidR="00640168" w:rsidRPr="00C611F5">
        <w:rPr>
          <w:rFonts w:eastAsia="MS Mincho"/>
        </w:rPr>
        <w:t>al</w:t>
      </w:r>
      <w:r w:rsidR="006E5B33" w:rsidRPr="00C611F5">
        <w:rPr>
          <w:rFonts w:eastAsia="MS Mincho"/>
        </w:rPr>
        <w:t>though a certain amount of cooperation and coordination could be maintained through electronic means.</w:t>
      </w:r>
    </w:p>
    <w:p w:rsidR="005D09A5" w:rsidRPr="00C611F5" w:rsidRDefault="001A2647" w:rsidP="00EB66CA">
      <w:pPr>
        <w:pStyle w:val="CH2"/>
        <w:rPr>
          <w:rFonts w:eastAsia="MS Mincho"/>
        </w:rPr>
      </w:pPr>
      <w:r w:rsidRPr="00C611F5">
        <w:rPr>
          <w:rFonts w:eastAsia="MS Mincho"/>
        </w:rPr>
        <w:tab/>
        <w:t>E.</w:t>
      </w:r>
      <w:r w:rsidRPr="00C611F5">
        <w:rPr>
          <w:rFonts w:eastAsia="MS Mincho"/>
        </w:rPr>
        <w:tab/>
      </w:r>
      <w:r w:rsidR="00696E3D" w:rsidRPr="00C611F5">
        <w:rPr>
          <w:rFonts w:eastAsia="MS Mincho"/>
        </w:rPr>
        <w:t>Consideration of proposals</w:t>
      </w:r>
      <w:r w:rsidR="00861D92" w:rsidRPr="00C611F5">
        <w:rPr>
          <w:rFonts w:eastAsia="MS Mincho"/>
        </w:rPr>
        <w:t xml:space="preserve"> by the </w:t>
      </w:r>
      <w:r w:rsidR="00D6757F" w:rsidRPr="00C611F5">
        <w:rPr>
          <w:rFonts w:eastAsia="MS Mincho"/>
        </w:rPr>
        <w:t>p</w:t>
      </w:r>
      <w:r w:rsidR="00861D92" w:rsidRPr="00C611F5">
        <w:rPr>
          <w:rFonts w:eastAsia="MS Mincho"/>
        </w:rPr>
        <w:t>arties</w:t>
      </w:r>
    </w:p>
    <w:p w:rsidR="005D09A5" w:rsidRDefault="00CA3CD1" w:rsidP="00EB66CA">
      <w:pPr>
        <w:pStyle w:val="Normalnumber"/>
        <w:numPr>
          <w:ilvl w:val="0"/>
          <w:numId w:val="5"/>
        </w:numPr>
        <w:tabs>
          <w:tab w:val="clear" w:pos="1247"/>
        </w:tabs>
        <w:ind w:left="1247" w:firstLine="0"/>
        <w:rPr>
          <w:rFonts w:eastAsia="MS Mincho"/>
        </w:rPr>
      </w:pPr>
      <w:r w:rsidRPr="00C611F5">
        <w:rPr>
          <w:rFonts w:eastAsia="MS Mincho"/>
        </w:rPr>
        <w:t xml:space="preserve">In considering the above proposals for performing the secretariat, the committee may wish to balance the needs and requirements for secretariat effectiveness in the early period after entry into force, particularly in the period between the first and second meetings of the Conference of the Parties, with long-term opportunities for cooperation and cost-effective delivery. They may wish to consider the cost-effectiveness of the options, as well as other benefits </w:t>
      </w:r>
      <w:r w:rsidR="00D6757F" w:rsidRPr="00C611F5">
        <w:rPr>
          <w:rFonts w:eastAsia="MS Mincho"/>
        </w:rPr>
        <w:t xml:space="preserve">that </w:t>
      </w:r>
      <w:r w:rsidRPr="00C611F5">
        <w:rPr>
          <w:rFonts w:eastAsia="MS Mincho"/>
        </w:rPr>
        <w:t xml:space="preserve">may arise from different locations. </w:t>
      </w:r>
    </w:p>
    <w:p w:rsidR="000B4ED9" w:rsidRPr="00C611F5" w:rsidRDefault="004A63EA" w:rsidP="00EE1335">
      <w:pPr>
        <w:pStyle w:val="ZZAnxheader"/>
      </w:pPr>
      <w:r>
        <w:rPr>
          <w:rFonts w:eastAsia="MS Mincho"/>
          <w:b w:val="0"/>
          <w:bCs w:val="0"/>
          <w:sz w:val="20"/>
          <w:szCs w:val="20"/>
        </w:rPr>
        <w:br w:type="page"/>
      </w:r>
      <w:r w:rsidR="00D6757F" w:rsidRPr="00C611F5">
        <w:t xml:space="preserve">Appendix </w:t>
      </w:r>
      <w:r w:rsidR="000B4ED9" w:rsidRPr="00C611F5">
        <w:t>1</w:t>
      </w:r>
    </w:p>
    <w:p w:rsidR="00527342" w:rsidRPr="00C611F5" w:rsidRDefault="00527342" w:rsidP="00EE1335">
      <w:pPr>
        <w:pStyle w:val="ZZAnxtitle"/>
      </w:pPr>
      <w:r w:rsidRPr="00C611F5">
        <w:t>Structure and costs of the interim secretariat</w:t>
      </w:r>
    </w:p>
    <w:p w:rsidR="00527342" w:rsidRPr="00C611F5" w:rsidRDefault="00E504D9" w:rsidP="00EB66CA">
      <w:pPr>
        <w:pStyle w:val="Normalnumber"/>
        <w:numPr>
          <w:ilvl w:val="0"/>
          <w:numId w:val="126"/>
        </w:numPr>
        <w:tabs>
          <w:tab w:val="clear" w:pos="1134"/>
          <w:tab w:val="num" w:pos="1135"/>
        </w:tabs>
      </w:pPr>
      <w:r w:rsidRPr="00C611F5">
        <w:t>In</w:t>
      </w:r>
      <w:r w:rsidR="00527342" w:rsidRPr="00C611F5">
        <w:t xml:space="preserve"> 2014, </w:t>
      </w:r>
      <w:r w:rsidR="00D6757F" w:rsidRPr="00C611F5">
        <w:t xml:space="preserve">the </w:t>
      </w:r>
      <w:r w:rsidR="00527342" w:rsidRPr="00C611F5">
        <w:t>U</w:t>
      </w:r>
      <w:r w:rsidR="00D6757F" w:rsidRPr="00C611F5">
        <w:t xml:space="preserve">nited </w:t>
      </w:r>
      <w:r w:rsidR="00527342" w:rsidRPr="00C611F5">
        <w:t>N</w:t>
      </w:r>
      <w:r w:rsidR="00D6757F" w:rsidRPr="00C611F5">
        <w:t xml:space="preserve">ations </w:t>
      </w:r>
      <w:r w:rsidR="00527342" w:rsidRPr="00C611F5">
        <w:t>E</w:t>
      </w:r>
      <w:r w:rsidR="00D6757F" w:rsidRPr="00C611F5">
        <w:t xml:space="preserve">nvironment </w:t>
      </w:r>
      <w:r w:rsidR="00527342" w:rsidRPr="00C611F5">
        <w:t>P</w:t>
      </w:r>
      <w:r w:rsidR="00D6757F" w:rsidRPr="00C611F5">
        <w:t>rogramme (UNEP)</w:t>
      </w:r>
      <w:r w:rsidR="00527342" w:rsidRPr="00C611F5">
        <w:t xml:space="preserve"> approved a project covering the work of the interim secretariat, which included a detailed description of activities</w:t>
      </w:r>
      <w:r w:rsidR="004D1997" w:rsidRPr="00C611F5">
        <w:t>,</w:t>
      </w:r>
      <w:r w:rsidR="00527342" w:rsidRPr="00C611F5">
        <w:t xml:space="preserve"> as well as an overall budget for staff and activities.</w:t>
      </w:r>
      <w:r w:rsidR="008C2603" w:rsidRPr="00C611F5">
        <w:t xml:space="preserve"> </w:t>
      </w:r>
      <w:r w:rsidR="00527342" w:rsidRPr="00C611F5">
        <w:t>While some elements have changed since the approval of the project, it is a valid basis for a description of the needs of the interim secretariat and is used as a basis for the proposal</w:t>
      </w:r>
      <w:r w:rsidR="00BD1C4A" w:rsidRPr="00C611F5">
        <w:t>s</w:t>
      </w:r>
      <w:r w:rsidR="00527342" w:rsidRPr="00C611F5">
        <w:t xml:space="preserve"> presented in </w:t>
      </w:r>
      <w:r w:rsidR="00D6757F" w:rsidRPr="00C611F5">
        <w:t xml:space="preserve">the present </w:t>
      </w:r>
      <w:r w:rsidR="00527342" w:rsidRPr="00C611F5">
        <w:t>document.</w:t>
      </w:r>
      <w:r w:rsidR="008C2603" w:rsidRPr="00C611F5">
        <w:t xml:space="preserve"> </w:t>
      </w:r>
    </w:p>
    <w:p w:rsidR="00527342" w:rsidRPr="00C611F5" w:rsidRDefault="00466F89" w:rsidP="00466F89">
      <w:pPr>
        <w:pStyle w:val="CH2"/>
      </w:pPr>
      <w:r w:rsidRPr="00C611F5">
        <w:tab/>
      </w:r>
      <w:r w:rsidRPr="00C611F5">
        <w:tab/>
      </w:r>
      <w:r w:rsidR="00527342" w:rsidRPr="00C611F5">
        <w:t>Staffing</w:t>
      </w:r>
    </w:p>
    <w:p w:rsidR="00527342" w:rsidRPr="00C611F5" w:rsidRDefault="00466F89" w:rsidP="00466F89">
      <w:pPr>
        <w:pStyle w:val="CH3"/>
      </w:pPr>
      <w:r w:rsidRPr="00C611F5">
        <w:tab/>
      </w:r>
      <w:r w:rsidRPr="00C611F5">
        <w:tab/>
      </w:r>
      <w:r w:rsidR="00527342" w:rsidRPr="00C611F5">
        <w:t>Core secretariat</w:t>
      </w:r>
    </w:p>
    <w:p w:rsidR="00527342" w:rsidRPr="00C611F5" w:rsidRDefault="00527342" w:rsidP="00EB66CA">
      <w:pPr>
        <w:pStyle w:val="Normalnumber"/>
        <w:numPr>
          <w:ilvl w:val="0"/>
          <w:numId w:val="109"/>
        </w:numPr>
        <w:tabs>
          <w:tab w:val="clear" w:pos="1134"/>
          <w:tab w:val="num" w:pos="1135"/>
        </w:tabs>
      </w:pPr>
      <w:r w:rsidRPr="00C611F5">
        <w:t xml:space="preserve">In the project document, the </w:t>
      </w:r>
      <w:r w:rsidR="00E4676B" w:rsidRPr="00C611F5">
        <w:t>“</w:t>
      </w:r>
      <w:r w:rsidRPr="00C611F5">
        <w:t>core</w:t>
      </w:r>
      <w:r w:rsidR="00E4676B" w:rsidRPr="00C611F5">
        <w:t>”</w:t>
      </w:r>
      <w:r w:rsidRPr="00C611F5">
        <w:t xml:space="preserve"> secretariat </w:t>
      </w:r>
      <w:r w:rsidR="00B3443F" w:rsidRPr="00C611F5">
        <w:t>comprised</w:t>
      </w:r>
      <w:r w:rsidRPr="00C611F5">
        <w:t xml:space="preserve"> one P</w:t>
      </w:r>
      <w:r w:rsidR="00D6757F" w:rsidRPr="00C611F5">
        <w:t>-</w:t>
      </w:r>
      <w:r w:rsidRPr="00C611F5">
        <w:t>4</w:t>
      </w:r>
      <w:r w:rsidR="00B3443F" w:rsidRPr="00C611F5">
        <w:t xml:space="preserve"> staff member</w:t>
      </w:r>
      <w:r w:rsidRPr="00C611F5">
        <w:t>, one P</w:t>
      </w:r>
      <w:r w:rsidR="00D6757F" w:rsidRPr="00C611F5">
        <w:t>-</w:t>
      </w:r>
      <w:r w:rsidRPr="00C611F5">
        <w:t>3</w:t>
      </w:r>
      <w:r w:rsidR="00B3443F" w:rsidRPr="00C611F5">
        <w:t xml:space="preserve"> staff member</w:t>
      </w:r>
      <w:r w:rsidRPr="00C611F5">
        <w:t xml:space="preserve">, one </w:t>
      </w:r>
      <w:r w:rsidR="00D6757F" w:rsidRPr="00C611F5">
        <w:t xml:space="preserve">Junior Professional Officer </w:t>
      </w:r>
      <w:r w:rsidRPr="00C611F5">
        <w:t>(P</w:t>
      </w:r>
      <w:r w:rsidR="00D6757F" w:rsidRPr="00C611F5">
        <w:t>-</w:t>
      </w:r>
      <w:r w:rsidRPr="00C611F5">
        <w:t>2) and two G</w:t>
      </w:r>
      <w:r w:rsidR="00D6757F" w:rsidRPr="00C611F5">
        <w:t>-</w:t>
      </w:r>
      <w:r w:rsidRPr="00C611F5">
        <w:t>4</w:t>
      </w:r>
      <w:r w:rsidR="0056430E" w:rsidRPr="00C611F5">
        <w:t xml:space="preserve"> staff members</w:t>
      </w:r>
      <w:r w:rsidRPr="00C611F5">
        <w:t>, supervised by a P</w:t>
      </w:r>
      <w:r w:rsidR="00D6757F" w:rsidRPr="00C611F5">
        <w:t>-</w:t>
      </w:r>
      <w:r w:rsidRPr="00C611F5">
        <w:t xml:space="preserve">5 </w:t>
      </w:r>
      <w:r w:rsidR="0056430E" w:rsidRPr="00C611F5">
        <w:t xml:space="preserve">staff member </w:t>
      </w:r>
      <w:r w:rsidR="00422E1D" w:rsidRPr="00C611F5">
        <w:t>at</w:t>
      </w:r>
      <w:r w:rsidRPr="00C611F5">
        <w:t xml:space="preserve"> 50</w:t>
      </w:r>
      <w:r w:rsidR="00680E43" w:rsidRPr="00C611F5">
        <w:t xml:space="preserve"> per cent</w:t>
      </w:r>
      <w:r w:rsidRPr="00C611F5">
        <w:t xml:space="preserve"> </w:t>
      </w:r>
      <w:r w:rsidR="005D2700" w:rsidRPr="00C611F5">
        <w:t>of time.</w:t>
      </w:r>
      <w:r w:rsidR="008C2603" w:rsidRPr="00C611F5">
        <w:t xml:space="preserve"> </w:t>
      </w:r>
      <w:r w:rsidRPr="00C611F5">
        <w:t>With the combination of a number of roles, the secretariat is now supervised by a D</w:t>
      </w:r>
      <w:r w:rsidR="00D6757F" w:rsidRPr="00C611F5">
        <w:t>-</w:t>
      </w:r>
      <w:r w:rsidRPr="00C611F5">
        <w:t xml:space="preserve">1 </w:t>
      </w:r>
      <w:r w:rsidR="0056430E" w:rsidRPr="00C611F5">
        <w:t xml:space="preserve">staff member </w:t>
      </w:r>
      <w:r w:rsidRPr="00C611F5">
        <w:t>with 40</w:t>
      </w:r>
      <w:r w:rsidR="00680E43" w:rsidRPr="00C611F5">
        <w:t xml:space="preserve"> per cent</w:t>
      </w:r>
      <w:r w:rsidRPr="00C611F5">
        <w:t xml:space="preserve"> of time dedicated to </w:t>
      </w:r>
      <w:r w:rsidR="005D2700" w:rsidRPr="00C611F5">
        <w:t>Minamata in</w:t>
      </w:r>
      <w:r w:rsidR="00422E1D" w:rsidRPr="00C611F5">
        <w:t xml:space="preserve"> lieu of a P</w:t>
      </w:r>
      <w:r w:rsidR="00D6757F" w:rsidRPr="00C611F5">
        <w:t>-</w:t>
      </w:r>
      <w:r w:rsidR="00422E1D" w:rsidRPr="00C611F5">
        <w:t>5</w:t>
      </w:r>
      <w:r w:rsidR="0056430E" w:rsidRPr="00C611F5">
        <w:t xml:space="preserve"> staff member</w:t>
      </w:r>
      <w:r w:rsidRPr="00C611F5">
        <w:t>.</w:t>
      </w:r>
      <w:r w:rsidR="008C2603" w:rsidRPr="00C611F5">
        <w:t xml:space="preserve"> </w:t>
      </w:r>
      <w:r w:rsidRPr="00C611F5">
        <w:t xml:space="preserve">These staff </w:t>
      </w:r>
      <w:r w:rsidR="00D6757F" w:rsidRPr="00C611F5">
        <w:t xml:space="preserve">members </w:t>
      </w:r>
      <w:r w:rsidRPr="00C611F5">
        <w:t>deliver the activities of the interim secretariat, with additional support from regional offices, other divisions within UNEP</w:t>
      </w:r>
      <w:r w:rsidR="00D24526" w:rsidRPr="00C611F5">
        <w:t xml:space="preserve">, the </w:t>
      </w:r>
      <w:r w:rsidR="00527290" w:rsidRPr="00C611F5">
        <w:t>secretariat of the Basel, Rotterdam and Stockholm conventions</w:t>
      </w:r>
      <w:r w:rsidR="00D24526" w:rsidRPr="00C611F5">
        <w:t xml:space="preserve"> </w:t>
      </w:r>
      <w:r w:rsidRPr="00C611F5">
        <w:t>and external experts where required.</w:t>
      </w:r>
    </w:p>
    <w:p w:rsidR="00527342" w:rsidRPr="00C611F5" w:rsidRDefault="00466F89" w:rsidP="00466F89">
      <w:pPr>
        <w:pStyle w:val="CH3"/>
      </w:pPr>
      <w:r w:rsidRPr="00C611F5">
        <w:tab/>
      </w:r>
      <w:r w:rsidRPr="00C611F5">
        <w:tab/>
      </w:r>
      <w:r w:rsidR="00527342" w:rsidRPr="00C611F5">
        <w:t>Substantive support</w:t>
      </w:r>
    </w:p>
    <w:p w:rsidR="00527342" w:rsidRPr="00C611F5" w:rsidRDefault="00527342" w:rsidP="00EB66CA">
      <w:pPr>
        <w:pStyle w:val="Normalnumber"/>
        <w:numPr>
          <w:ilvl w:val="0"/>
          <w:numId w:val="109"/>
        </w:numPr>
        <w:tabs>
          <w:tab w:val="clear" w:pos="1134"/>
          <w:tab w:val="num" w:pos="1135"/>
        </w:tabs>
      </w:pPr>
      <w:r w:rsidRPr="00C611F5">
        <w:t xml:space="preserve">In addition to the </w:t>
      </w:r>
      <w:r w:rsidR="00E4676B" w:rsidRPr="00C611F5">
        <w:t>“</w:t>
      </w:r>
      <w:r w:rsidRPr="00C611F5">
        <w:t>core</w:t>
      </w:r>
      <w:r w:rsidR="00E4676B" w:rsidRPr="00C611F5">
        <w:t>”</w:t>
      </w:r>
      <w:r w:rsidRPr="00C611F5">
        <w:t xml:space="preserve"> secretariat, substantive support for work of the interim secretariat has been provided by staff in each of the UNEP regional offices, who were estimated to spend between 5</w:t>
      </w:r>
      <w:r w:rsidR="003301BC" w:rsidRPr="00C611F5">
        <w:t> </w:t>
      </w:r>
      <w:r w:rsidRPr="00C611F5">
        <w:t>per</w:t>
      </w:r>
      <w:r w:rsidR="003301BC" w:rsidRPr="00C611F5">
        <w:t> </w:t>
      </w:r>
      <w:r w:rsidRPr="00C611F5">
        <w:t xml:space="preserve">cent and 15 per cent of their time on Minamata activities, based on the extensive programme of </w:t>
      </w:r>
      <w:r w:rsidR="00083982" w:rsidRPr="00C611F5">
        <w:t>capacity-building</w:t>
      </w:r>
      <w:r w:rsidRPr="00C611F5">
        <w:t xml:space="preserve"> and </w:t>
      </w:r>
      <w:r w:rsidR="00E4676B" w:rsidRPr="00C611F5">
        <w:t>awareness-raising</w:t>
      </w:r>
      <w:r w:rsidRPr="00C611F5">
        <w:t xml:space="preserve"> within the first two years of the project.</w:t>
      </w:r>
      <w:r w:rsidR="008C2603" w:rsidRPr="00C611F5">
        <w:t xml:space="preserve"> </w:t>
      </w:r>
      <w:r w:rsidRPr="00C611F5">
        <w:t>Substantive support on legal issues was provided directly by the Division of Environmental Law and Conventions, with an estimate</w:t>
      </w:r>
      <w:r w:rsidR="00E4676B" w:rsidRPr="00C611F5">
        <w:t>d</w:t>
      </w:r>
      <w:r w:rsidRPr="00C611F5">
        <w:t xml:space="preserve"> 5 per cent of </w:t>
      </w:r>
      <w:r w:rsidR="00E4676B" w:rsidRPr="00C611F5">
        <w:t xml:space="preserve">its </w:t>
      </w:r>
      <w:r w:rsidRPr="00C611F5">
        <w:t>time based on supporting Minamata activities.</w:t>
      </w:r>
      <w:r w:rsidR="008C2603" w:rsidRPr="00C611F5">
        <w:t xml:space="preserve"> </w:t>
      </w:r>
      <w:r w:rsidRPr="00C611F5">
        <w:t xml:space="preserve">As needed, substantive support from the Division of Communication and Public Information has been provided on a </w:t>
      </w:r>
      <w:r w:rsidR="001A2647" w:rsidRPr="00C611F5">
        <w:br/>
      </w:r>
      <w:r w:rsidRPr="00C611F5">
        <w:t>fee-for-service basis.</w:t>
      </w:r>
      <w:r w:rsidR="008C2603" w:rsidRPr="00C611F5">
        <w:t xml:space="preserve"> </w:t>
      </w:r>
      <w:r w:rsidR="00E4676B" w:rsidRPr="00C611F5">
        <w:t xml:space="preserve">Although it </w:t>
      </w:r>
      <w:r w:rsidRPr="00C611F5">
        <w:t xml:space="preserve">was not reflected in the staffing table of the project, </w:t>
      </w:r>
      <w:r w:rsidR="00E4676B" w:rsidRPr="00C611F5">
        <w:t xml:space="preserve">it </w:t>
      </w:r>
      <w:r w:rsidRPr="00C611F5">
        <w:t xml:space="preserve">was factored into the budget </w:t>
      </w:r>
      <w:r w:rsidR="00E4676B" w:rsidRPr="00C611F5">
        <w:t>as “</w:t>
      </w:r>
      <w:r w:rsidRPr="00C611F5">
        <w:t>printing and translation</w:t>
      </w:r>
      <w:r w:rsidR="00E4676B" w:rsidRPr="00C611F5">
        <w:t>”</w:t>
      </w:r>
      <w:r w:rsidRPr="00C611F5">
        <w:t xml:space="preserve"> costs. </w:t>
      </w:r>
    </w:p>
    <w:p w:rsidR="00527342" w:rsidRPr="00C611F5" w:rsidRDefault="00527342" w:rsidP="00527342">
      <w:pPr>
        <w:pStyle w:val="Normalnumber"/>
        <w:numPr>
          <w:ilvl w:val="0"/>
          <w:numId w:val="0"/>
        </w:numPr>
        <w:ind w:left="1247"/>
        <w:rPr>
          <w:b/>
          <w:bCs/>
        </w:rPr>
      </w:pPr>
      <w:r w:rsidRPr="00C611F5">
        <w:rPr>
          <w:b/>
          <w:bCs/>
        </w:rPr>
        <w:t>Administrative support</w:t>
      </w:r>
    </w:p>
    <w:p w:rsidR="00527342" w:rsidRPr="00C611F5" w:rsidRDefault="00527342" w:rsidP="00EB66CA">
      <w:pPr>
        <w:pStyle w:val="Normalnumber"/>
        <w:numPr>
          <w:ilvl w:val="0"/>
          <w:numId w:val="109"/>
        </w:numPr>
        <w:tabs>
          <w:tab w:val="clear" w:pos="1134"/>
          <w:tab w:val="num" w:pos="1135"/>
        </w:tabs>
      </w:pPr>
      <w:r w:rsidRPr="00C611F5">
        <w:t xml:space="preserve">Support for funds and contract management and personnel activities have been delivered either through the UNEP </w:t>
      </w:r>
      <w:r w:rsidR="00422E1D" w:rsidRPr="00C611F5">
        <w:t xml:space="preserve">Chemicals and Waste </w:t>
      </w:r>
      <w:r w:rsidRPr="00C611F5">
        <w:t>Branch, which maintains one F</w:t>
      </w:r>
      <w:r w:rsidR="008D42E4" w:rsidRPr="00C611F5">
        <w:t xml:space="preserve">und </w:t>
      </w:r>
      <w:r w:rsidRPr="00C611F5">
        <w:t>M</w:t>
      </w:r>
      <w:r w:rsidR="008D42E4" w:rsidRPr="00C611F5">
        <w:t xml:space="preserve">anagement </w:t>
      </w:r>
      <w:r w:rsidRPr="00C611F5">
        <w:t>O</w:t>
      </w:r>
      <w:r w:rsidR="008D42E4" w:rsidRPr="00C611F5">
        <w:t>fficer</w:t>
      </w:r>
      <w:r w:rsidRPr="00C611F5">
        <w:t xml:space="preserve"> and on</w:t>
      </w:r>
      <w:r w:rsidR="00E4676B" w:rsidRPr="00C611F5">
        <w:t>e</w:t>
      </w:r>
      <w:r w:rsidRPr="00C611F5">
        <w:t xml:space="preserve"> administrative assistant to manage finance and contracts, or through the UNEP administrative support centre based in International Environment House, which provides day</w:t>
      </w:r>
      <w:r w:rsidR="00E4676B" w:rsidRPr="00C611F5">
        <w:noBreakHyphen/>
      </w:r>
      <w:r w:rsidRPr="00C611F5">
        <w:t>to</w:t>
      </w:r>
      <w:r w:rsidR="00E4676B" w:rsidRPr="00C611F5">
        <w:noBreakHyphen/>
      </w:r>
      <w:r w:rsidRPr="00C611F5">
        <w:t>day personnel support and serves as a liaison with personnel management based in Nairobi.</w:t>
      </w:r>
      <w:r w:rsidR="008C2603" w:rsidRPr="00C611F5">
        <w:t xml:space="preserve"> </w:t>
      </w:r>
      <w:r w:rsidRPr="00C611F5">
        <w:t xml:space="preserve">The costs for </w:t>
      </w:r>
      <w:r w:rsidR="00E4676B" w:rsidRPr="00C611F5">
        <w:t xml:space="preserve">such </w:t>
      </w:r>
      <w:r w:rsidRPr="00C611F5">
        <w:t xml:space="preserve">administrative support are covered by the programme support costs </w:t>
      </w:r>
      <w:r w:rsidR="00E4676B" w:rsidRPr="00C611F5">
        <w:t xml:space="preserve">that </w:t>
      </w:r>
      <w:r w:rsidRPr="00C611F5">
        <w:t>apply to the contributions to the trust fund for support of the secretariat</w:t>
      </w:r>
      <w:r w:rsidR="00E4676B" w:rsidRPr="00C611F5">
        <w:t>,</w:t>
      </w:r>
      <w:r w:rsidRPr="00C611F5">
        <w:t xml:space="preserve"> including support for activities.</w:t>
      </w:r>
      <w:r w:rsidR="008C2603" w:rsidRPr="00C611F5">
        <w:t xml:space="preserve"> </w:t>
      </w:r>
      <w:r w:rsidRPr="00C611F5">
        <w:t>For most contributions, programme support costs are applied at 13 per cent of the contribution, although under certain agreements a lower support cost may be applied.</w:t>
      </w:r>
      <w:r w:rsidR="008C2603" w:rsidRPr="00C611F5">
        <w:t xml:space="preserve"> </w:t>
      </w:r>
      <w:r w:rsidRPr="00C611F5">
        <w:t>The programme support costs also cover the overall administration of the trust fund and the financial services (such as receipt of contributions)</w:t>
      </w:r>
      <w:r w:rsidR="00E4676B" w:rsidRPr="00C611F5">
        <w:t>,</w:t>
      </w:r>
      <w:r w:rsidRPr="00C611F5">
        <w:t xml:space="preserve"> which are provided through UNEP headquarters. </w:t>
      </w:r>
    </w:p>
    <w:p w:rsidR="00527342" w:rsidRPr="00C611F5" w:rsidRDefault="00466F89" w:rsidP="00466F89">
      <w:pPr>
        <w:pStyle w:val="CH2"/>
      </w:pPr>
      <w:r w:rsidRPr="00C611F5">
        <w:tab/>
      </w:r>
      <w:r w:rsidRPr="00C611F5">
        <w:tab/>
      </w:r>
      <w:r w:rsidR="00527342" w:rsidRPr="00C611F5">
        <w:t>Activities</w:t>
      </w:r>
    </w:p>
    <w:p w:rsidR="00527342" w:rsidRPr="00C611F5" w:rsidRDefault="00527342" w:rsidP="002B60EA">
      <w:pPr>
        <w:pStyle w:val="Normalnumber"/>
        <w:numPr>
          <w:ilvl w:val="0"/>
          <w:numId w:val="109"/>
        </w:numPr>
        <w:tabs>
          <w:tab w:val="clear" w:pos="1134"/>
          <w:tab w:val="num" w:pos="1135"/>
        </w:tabs>
      </w:pPr>
      <w:r w:rsidRPr="00C611F5">
        <w:t>The interim secretariat has been responsible for all activities to support the early implementation and ratification of the Minamata Convention on Mercury, including</w:t>
      </w:r>
      <w:r w:rsidR="00E4676B" w:rsidRPr="00C611F5">
        <w:t xml:space="preserve"> the following:</w:t>
      </w:r>
    </w:p>
    <w:p w:rsidR="005D09A5" w:rsidRPr="00C611F5" w:rsidRDefault="00E4676B" w:rsidP="002B60EA">
      <w:pPr>
        <w:pStyle w:val="Normalnumber"/>
        <w:numPr>
          <w:ilvl w:val="1"/>
          <w:numId w:val="109"/>
        </w:numPr>
        <w:tabs>
          <w:tab w:val="clear" w:pos="1134"/>
          <w:tab w:val="num" w:pos="1135"/>
        </w:tabs>
      </w:pPr>
      <w:r w:rsidRPr="00C611F5">
        <w:t>A</w:t>
      </w:r>
      <w:r w:rsidR="00527342" w:rsidRPr="00C611F5">
        <w:t>rrangements for the further sessions of the intergovernmental negotiating committee and relevant intersessional meetings</w:t>
      </w:r>
      <w:r w:rsidRPr="00C611F5">
        <w:t>;</w:t>
      </w:r>
    </w:p>
    <w:p w:rsidR="005D09A5" w:rsidRPr="00C611F5" w:rsidRDefault="00E4676B" w:rsidP="002B60EA">
      <w:pPr>
        <w:pStyle w:val="Normalnumber"/>
        <w:numPr>
          <w:ilvl w:val="1"/>
          <w:numId w:val="109"/>
        </w:numPr>
        <w:tabs>
          <w:tab w:val="clear" w:pos="1134"/>
          <w:tab w:val="num" w:pos="1135"/>
        </w:tabs>
      </w:pPr>
      <w:r w:rsidRPr="00C611F5">
        <w:t xml:space="preserve">Arrangements </w:t>
      </w:r>
      <w:r w:rsidR="00527342" w:rsidRPr="00C611F5">
        <w:t>for the meeting of, and support for the intersessional work relating to, the group of technical experts established by the Conference of Plenipotentiaries</w:t>
      </w:r>
      <w:r w:rsidRPr="00C611F5">
        <w:t>;</w:t>
      </w:r>
      <w:r w:rsidR="00527342" w:rsidRPr="00C611F5">
        <w:t xml:space="preserve"> </w:t>
      </w:r>
    </w:p>
    <w:p w:rsidR="005D09A5" w:rsidRPr="00C611F5" w:rsidRDefault="00E4676B" w:rsidP="002B60EA">
      <w:pPr>
        <w:pStyle w:val="Normalnumber"/>
        <w:numPr>
          <w:ilvl w:val="1"/>
          <w:numId w:val="109"/>
        </w:numPr>
        <w:tabs>
          <w:tab w:val="clear" w:pos="1134"/>
          <w:tab w:val="num" w:pos="1135"/>
        </w:tabs>
      </w:pPr>
      <w:r w:rsidRPr="00C611F5">
        <w:t>P</w:t>
      </w:r>
      <w:r w:rsidR="00527342" w:rsidRPr="00C611F5">
        <w:t xml:space="preserve">rovision of technical assistance and </w:t>
      </w:r>
      <w:r w:rsidRPr="00C611F5">
        <w:t>awareness-raising</w:t>
      </w:r>
      <w:r w:rsidR="00527342" w:rsidRPr="00C611F5">
        <w:t xml:space="preserve"> activities to facilitate early implementation and ratification of the Convention</w:t>
      </w:r>
      <w:r w:rsidR="00422E1D" w:rsidRPr="00C611F5">
        <w:t>.</w:t>
      </w:r>
    </w:p>
    <w:p w:rsidR="00527342" w:rsidRPr="00C611F5" w:rsidRDefault="00527342" w:rsidP="002B60EA">
      <w:pPr>
        <w:pStyle w:val="Normalnumber"/>
        <w:numPr>
          <w:ilvl w:val="0"/>
          <w:numId w:val="109"/>
        </w:numPr>
        <w:tabs>
          <w:tab w:val="clear" w:pos="1134"/>
          <w:tab w:val="num" w:pos="1135"/>
        </w:tabs>
      </w:pPr>
      <w:r w:rsidRPr="00C611F5">
        <w:t>To date, these activities have been delivered in a timely manner.</w:t>
      </w:r>
      <w:r w:rsidR="008C2603" w:rsidRPr="00C611F5">
        <w:t xml:space="preserve"> </w:t>
      </w:r>
      <w:r w:rsidRPr="00C611F5">
        <w:t xml:space="preserve">The </w:t>
      </w:r>
      <w:r w:rsidR="00E504D9" w:rsidRPr="00C611F5">
        <w:t>experience gained by the interim secretariat during the negotiations of the Minamata Convention has</w:t>
      </w:r>
      <w:r w:rsidRPr="00C611F5">
        <w:t xml:space="preserve"> contributed to </w:t>
      </w:r>
      <w:r w:rsidR="00422E1D" w:rsidRPr="00C611F5">
        <w:t xml:space="preserve">its </w:t>
      </w:r>
      <w:r w:rsidRPr="00C611F5">
        <w:t xml:space="preserve">ability to streamline activities and </w:t>
      </w:r>
      <w:r w:rsidR="00E4676B" w:rsidRPr="00C611F5">
        <w:t xml:space="preserve">ensure </w:t>
      </w:r>
      <w:r w:rsidRPr="00C611F5">
        <w:t>efficient organization of meetings and other process</w:t>
      </w:r>
      <w:r w:rsidR="00422E1D" w:rsidRPr="00C611F5">
        <w:t>es</w:t>
      </w:r>
      <w:r w:rsidRPr="00C611F5">
        <w:t>.</w:t>
      </w:r>
      <w:r w:rsidR="008C2603" w:rsidRPr="00C611F5">
        <w:t xml:space="preserve"> </w:t>
      </w:r>
      <w:r w:rsidRPr="00C611F5">
        <w:t xml:space="preserve">The close relationship between the interim secretariat and the UNEP Global Mercury Partnership has facilitated work on technical aspects, while the opportunities to build on the experience of the Basel, Rotterdam and </w:t>
      </w:r>
      <w:r w:rsidR="00BB72E8" w:rsidRPr="00C611F5">
        <w:t>Stockholm conventions</w:t>
      </w:r>
      <w:r w:rsidRPr="00C611F5">
        <w:t xml:space="preserve"> and their secretariat have been utilized in substantive, technical, logistical and legal areas. </w:t>
      </w:r>
    </w:p>
    <w:p w:rsidR="00527342" w:rsidRPr="00C611F5" w:rsidRDefault="00527342" w:rsidP="002B60EA">
      <w:pPr>
        <w:pStyle w:val="Normalnumber"/>
        <w:numPr>
          <w:ilvl w:val="0"/>
          <w:numId w:val="109"/>
        </w:numPr>
        <w:tabs>
          <w:tab w:val="clear" w:pos="1134"/>
          <w:tab w:val="num" w:pos="1135"/>
        </w:tabs>
      </w:pPr>
      <w:r w:rsidRPr="00C611F5">
        <w:t xml:space="preserve">The work </w:t>
      </w:r>
      <w:r w:rsidR="002465F0" w:rsidRPr="00C611F5">
        <w:t xml:space="preserve">undertaken </w:t>
      </w:r>
      <w:r w:rsidRPr="00C611F5">
        <w:t>during 2014</w:t>
      </w:r>
      <w:r w:rsidR="002465F0" w:rsidRPr="00C611F5">
        <w:t xml:space="preserve"> and </w:t>
      </w:r>
      <w:r w:rsidRPr="00C611F5">
        <w:t xml:space="preserve">2015 has been relatively intense, as </w:t>
      </w:r>
      <w:r w:rsidR="00BB471B" w:rsidRPr="00C611F5">
        <w:t>t</w:t>
      </w:r>
      <w:r w:rsidRPr="00C611F5">
        <w:t xml:space="preserve">he interim secretariat organized one meeting of the </w:t>
      </w:r>
      <w:r w:rsidR="00313E40" w:rsidRPr="00C611F5">
        <w:rPr>
          <w:rFonts w:eastAsia="MS Mincho"/>
        </w:rPr>
        <w:t xml:space="preserve">intergovernmental negotiating committee </w:t>
      </w:r>
      <w:r w:rsidRPr="00C611F5">
        <w:t xml:space="preserve">in November 2014, with 23 pre-meeting documents prepared, </w:t>
      </w:r>
      <w:r w:rsidR="00BB471B" w:rsidRPr="00C611F5">
        <w:t xml:space="preserve">one meeting of the ad hoc expert group on financing established at </w:t>
      </w:r>
      <w:r w:rsidR="00313E40" w:rsidRPr="00C611F5">
        <w:t xml:space="preserve">the sixth session of the </w:t>
      </w:r>
      <w:r w:rsidR="00313E40" w:rsidRPr="00C611F5">
        <w:rPr>
          <w:rFonts w:eastAsia="MS Mincho"/>
        </w:rPr>
        <w:t>intergovernmental negotiating committee</w:t>
      </w:r>
      <w:r w:rsidR="002465F0" w:rsidRPr="00C611F5">
        <w:t xml:space="preserve"> and</w:t>
      </w:r>
      <w:r w:rsidR="00BB471B" w:rsidRPr="00C611F5">
        <w:t xml:space="preserve"> </w:t>
      </w:r>
      <w:r w:rsidR="00313E40" w:rsidRPr="00C611F5">
        <w:t>three</w:t>
      </w:r>
      <w:r w:rsidR="00BB471B" w:rsidRPr="00C611F5">
        <w:t xml:space="preserve"> meetings of the Bureau, </w:t>
      </w:r>
      <w:r w:rsidRPr="00C611F5">
        <w:t xml:space="preserve">and </w:t>
      </w:r>
      <w:r w:rsidR="002465F0" w:rsidRPr="00C611F5">
        <w:t xml:space="preserve">it </w:t>
      </w:r>
      <w:r w:rsidRPr="00C611F5">
        <w:t xml:space="preserve">is undertaking preparations for the next meeting of the </w:t>
      </w:r>
      <w:r w:rsidR="00313E40" w:rsidRPr="00C611F5">
        <w:rPr>
          <w:rFonts w:eastAsia="MS Mincho"/>
        </w:rPr>
        <w:t xml:space="preserve">intergovernmental negotiating committee, </w:t>
      </w:r>
      <w:r w:rsidRPr="00C611F5">
        <w:t>to be held in March 2016</w:t>
      </w:r>
      <w:r w:rsidR="00313E40" w:rsidRPr="00C611F5">
        <w:t>,</w:t>
      </w:r>
      <w:r w:rsidR="00BB471B" w:rsidRPr="00C611F5">
        <w:t xml:space="preserve"> as well as regional preparatory meetings</w:t>
      </w:r>
      <w:r w:rsidRPr="00C611F5">
        <w:t xml:space="preserve">. </w:t>
      </w:r>
      <w:r w:rsidR="00BB471B" w:rsidRPr="00C611F5">
        <w:t>Work has also included the development of major technical guidance required under the Convention, with four meetings of the group of technical experts</w:t>
      </w:r>
      <w:r w:rsidR="002465F0" w:rsidRPr="00C611F5">
        <w:t>,</w:t>
      </w:r>
      <w:r w:rsidR="00BB471B" w:rsidRPr="00C611F5">
        <w:t xml:space="preserve"> in addition to intersessional work by experts and by the secretariat.</w:t>
      </w:r>
      <w:r w:rsidRPr="00C611F5">
        <w:t xml:space="preserve"> </w:t>
      </w:r>
      <w:r w:rsidR="002465F0" w:rsidRPr="00C611F5">
        <w:t>Capacity-</w:t>
      </w:r>
      <w:r w:rsidRPr="00C611F5">
        <w:t>building and technical assistance activities have also been a major focus</w:t>
      </w:r>
      <w:r w:rsidR="002465F0" w:rsidRPr="00C611F5">
        <w:t>,</w:t>
      </w:r>
      <w:r w:rsidRPr="00C611F5">
        <w:t xml:space="preserve"> with </w:t>
      </w:r>
      <w:r w:rsidR="002465F0" w:rsidRPr="00C611F5">
        <w:t>12</w:t>
      </w:r>
      <w:r w:rsidR="00C757DF" w:rsidRPr="00C611F5">
        <w:t> </w:t>
      </w:r>
      <w:r w:rsidRPr="00C611F5">
        <w:t xml:space="preserve">subregional workshops delivered between March 2014 and February 2015, </w:t>
      </w:r>
      <w:r w:rsidR="002465F0" w:rsidRPr="00C611F5">
        <w:t>and</w:t>
      </w:r>
      <w:r w:rsidRPr="00C611F5">
        <w:t xml:space="preserve"> four regional workshops delivered in cooperation with the </w:t>
      </w:r>
      <w:r w:rsidR="00BB72E8" w:rsidRPr="00C611F5">
        <w:t>secretariat of the Basel, Rotterdam and Stockholm conventions</w:t>
      </w:r>
      <w:r w:rsidRPr="00C611F5">
        <w:t xml:space="preserve"> in March and April 2015.</w:t>
      </w:r>
      <w:r w:rsidR="008C2603" w:rsidRPr="00C611F5">
        <w:t xml:space="preserve"> </w:t>
      </w:r>
      <w:r w:rsidRPr="00C611F5">
        <w:t xml:space="preserve">In support </w:t>
      </w:r>
      <w:r w:rsidR="00CB0BAE" w:rsidRPr="00C611F5">
        <w:t xml:space="preserve">of </w:t>
      </w:r>
      <w:r w:rsidRPr="00C611F5">
        <w:t>this work</w:t>
      </w:r>
      <w:r w:rsidR="002465F0" w:rsidRPr="00C611F5">
        <w:t>,</w:t>
      </w:r>
      <w:r w:rsidRPr="00C611F5">
        <w:t xml:space="preserve"> the secretariat has developed a package of </w:t>
      </w:r>
      <w:r w:rsidR="00E4676B" w:rsidRPr="00C611F5">
        <w:t>awareness-raising</w:t>
      </w:r>
      <w:r w:rsidRPr="00C611F5">
        <w:t xml:space="preserve"> material and presentations </w:t>
      </w:r>
      <w:r w:rsidR="002465F0" w:rsidRPr="00C611F5">
        <w:t xml:space="preserve">that </w:t>
      </w:r>
      <w:r w:rsidRPr="00C611F5">
        <w:t>are being used to facilitate ongoing activities.</w:t>
      </w:r>
      <w:r w:rsidR="008C2603" w:rsidRPr="00C611F5">
        <w:t xml:space="preserve"> </w:t>
      </w:r>
      <w:r w:rsidRPr="00C611F5">
        <w:t xml:space="preserve">The interim secretariat has also coordinated with the secretariat of the </w:t>
      </w:r>
      <w:r w:rsidR="0015269F" w:rsidRPr="00C611F5">
        <w:t>Global Environment Facility</w:t>
      </w:r>
      <w:r w:rsidRPr="00C611F5">
        <w:t xml:space="preserve"> and the implementing agencies in the delivery of enabling activities.</w:t>
      </w:r>
      <w:r w:rsidR="008C2603" w:rsidRPr="00C611F5">
        <w:t xml:space="preserve"> </w:t>
      </w:r>
      <w:r w:rsidRPr="00C611F5">
        <w:t xml:space="preserve">Limited country-based activities have been undertaken by the secretariat, as </w:t>
      </w:r>
      <w:r w:rsidR="002465F0" w:rsidRPr="00C611F5">
        <w:t>they were</w:t>
      </w:r>
      <w:r w:rsidRPr="00C611F5">
        <w:t xml:space="preserve"> considered to be more appropriately </w:t>
      </w:r>
      <w:r w:rsidR="002465F0" w:rsidRPr="00C611F5">
        <w:t xml:space="preserve">carried out </w:t>
      </w:r>
      <w:r w:rsidRPr="00C611F5">
        <w:t>by the implementing agencies as part of their coordinated support activities.</w:t>
      </w:r>
      <w:r w:rsidR="008C2603" w:rsidRPr="00C611F5">
        <w:t xml:space="preserve"> </w:t>
      </w:r>
    </w:p>
    <w:p w:rsidR="00527342" w:rsidRPr="00C611F5" w:rsidRDefault="00466F89" w:rsidP="00466F89">
      <w:pPr>
        <w:pStyle w:val="CH2"/>
      </w:pPr>
      <w:r w:rsidRPr="00C611F5">
        <w:tab/>
      </w:r>
      <w:r w:rsidRPr="00C611F5">
        <w:tab/>
      </w:r>
      <w:r w:rsidR="00527342" w:rsidRPr="00C611F5">
        <w:t>Budget</w:t>
      </w:r>
    </w:p>
    <w:p w:rsidR="00527342" w:rsidRPr="00C611F5" w:rsidRDefault="00527342" w:rsidP="002B60EA">
      <w:pPr>
        <w:pStyle w:val="Normalnumber"/>
        <w:numPr>
          <w:ilvl w:val="0"/>
          <w:numId w:val="109"/>
        </w:numPr>
        <w:tabs>
          <w:tab w:val="clear" w:pos="1134"/>
          <w:tab w:val="num" w:pos="1135"/>
        </w:tabs>
      </w:pPr>
      <w:r w:rsidRPr="00C611F5">
        <w:t xml:space="preserve">In the current approved </w:t>
      </w:r>
      <w:r w:rsidR="00025467" w:rsidRPr="00C611F5">
        <w:t>project</w:t>
      </w:r>
      <w:r w:rsidR="002465F0" w:rsidRPr="00C611F5">
        <w:t>,</w:t>
      </w:r>
      <w:r w:rsidR="00025467" w:rsidRPr="00C611F5">
        <w:t xml:space="preserve"> </w:t>
      </w:r>
      <w:r w:rsidRPr="00C611F5">
        <w:t xml:space="preserve">an annual budget </w:t>
      </w:r>
      <w:r w:rsidR="002B4128" w:rsidRPr="00C611F5">
        <w:t xml:space="preserve">is elaborated </w:t>
      </w:r>
      <w:r w:rsidRPr="00C611F5">
        <w:t>for the interim secretariat, including staffing and activities.</w:t>
      </w:r>
      <w:r w:rsidR="008C2603" w:rsidRPr="00C611F5">
        <w:t xml:space="preserve"> </w:t>
      </w:r>
      <w:r w:rsidRPr="00C611F5">
        <w:t>During the interim period, UNEP has provided staff to the interim secretariat, with one P</w:t>
      </w:r>
      <w:r w:rsidR="002465F0" w:rsidRPr="00C611F5">
        <w:t>-</w:t>
      </w:r>
      <w:r w:rsidRPr="00C611F5">
        <w:t>4</w:t>
      </w:r>
      <w:r w:rsidR="002465F0" w:rsidRPr="00C611F5">
        <w:t xml:space="preserve"> post</w:t>
      </w:r>
      <w:r w:rsidRPr="00C611F5">
        <w:t xml:space="preserve"> and 40</w:t>
      </w:r>
      <w:r w:rsidR="002465F0" w:rsidRPr="00C611F5">
        <w:t xml:space="preserve"> </w:t>
      </w:r>
      <w:r w:rsidR="00680E43" w:rsidRPr="00C611F5">
        <w:t>per cent</w:t>
      </w:r>
      <w:r w:rsidR="00BB471B" w:rsidRPr="00C611F5">
        <w:t xml:space="preserve"> </w:t>
      </w:r>
      <w:r w:rsidRPr="00C611F5">
        <w:t>of a D</w:t>
      </w:r>
      <w:r w:rsidR="002465F0" w:rsidRPr="00C611F5">
        <w:t>-</w:t>
      </w:r>
      <w:r w:rsidRPr="00C611F5">
        <w:t xml:space="preserve">1 </w:t>
      </w:r>
      <w:r w:rsidR="002465F0" w:rsidRPr="00C611F5">
        <w:t xml:space="preserve">post </w:t>
      </w:r>
      <w:r w:rsidRPr="00C611F5">
        <w:t>provided through environment fund contributions.</w:t>
      </w:r>
      <w:r w:rsidR="008C2603" w:rsidRPr="00C611F5">
        <w:t xml:space="preserve"> </w:t>
      </w:r>
      <w:r w:rsidRPr="00C611F5">
        <w:t xml:space="preserve">The costs of these positions would need to be added to the overall budget once the permanent secretariat is established. </w:t>
      </w:r>
    </w:p>
    <w:p w:rsidR="00527342" w:rsidRPr="00C611F5" w:rsidRDefault="00527342" w:rsidP="002B60EA">
      <w:pPr>
        <w:pStyle w:val="Normalnumber"/>
        <w:numPr>
          <w:ilvl w:val="0"/>
          <w:numId w:val="109"/>
        </w:numPr>
        <w:tabs>
          <w:tab w:val="clear" w:pos="1134"/>
          <w:tab w:val="num" w:pos="1135"/>
        </w:tabs>
      </w:pPr>
      <w:r w:rsidRPr="00C611F5">
        <w:t>The budget approved in the project document, present</w:t>
      </w:r>
      <w:r w:rsidR="00BB471B" w:rsidRPr="00C611F5">
        <w:t>ed</w:t>
      </w:r>
      <w:r w:rsidRPr="00C611F5">
        <w:t xml:space="preserve"> in USD</w:t>
      </w:r>
      <w:r w:rsidR="00E504D9" w:rsidRPr="00C611F5">
        <w:t>, is</w:t>
      </w:r>
      <w:r w:rsidRPr="00C611F5">
        <w:t xml:space="preserve"> summarized below. </w:t>
      </w:r>
    </w:p>
    <w:tbl>
      <w:tblPr>
        <w:tblW w:w="0" w:type="auto"/>
        <w:tblInd w:w="1384" w:type="dxa"/>
        <w:tblLook w:val="04A0" w:firstRow="1" w:lastRow="0" w:firstColumn="1" w:lastColumn="0" w:noHBand="0" w:noVBand="1"/>
      </w:tblPr>
      <w:tblGrid>
        <w:gridCol w:w="3119"/>
        <w:gridCol w:w="2693"/>
        <w:gridCol w:w="2047"/>
      </w:tblGrid>
      <w:tr w:rsidR="00043773" w:rsidRPr="00C611F5" w:rsidTr="002B60EA">
        <w:tc>
          <w:tcPr>
            <w:tcW w:w="3119" w:type="dxa"/>
            <w:tcBorders>
              <w:top w:val="single" w:sz="4" w:space="0" w:color="auto"/>
              <w:bottom w:val="single" w:sz="12" w:space="0" w:color="auto"/>
            </w:tcBorders>
            <w:shd w:val="clear" w:color="auto" w:fill="auto"/>
          </w:tcPr>
          <w:p w:rsidR="00527342" w:rsidRPr="00C611F5" w:rsidRDefault="00527342" w:rsidP="002B60EA">
            <w:pPr>
              <w:spacing w:before="20" w:after="40"/>
              <w:rPr>
                <w:bCs/>
                <w:i/>
              </w:rPr>
            </w:pPr>
          </w:p>
        </w:tc>
        <w:tc>
          <w:tcPr>
            <w:tcW w:w="2693" w:type="dxa"/>
            <w:tcBorders>
              <w:top w:val="single" w:sz="4" w:space="0" w:color="auto"/>
              <w:bottom w:val="single" w:sz="12" w:space="0" w:color="auto"/>
            </w:tcBorders>
            <w:shd w:val="clear" w:color="auto" w:fill="auto"/>
          </w:tcPr>
          <w:p w:rsidR="00527342" w:rsidRPr="00C611F5" w:rsidRDefault="00527342" w:rsidP="002B60EA">
            <w:pPr>
              <w:spacing w:before="20" w:after="40"/>
              <w:jc w:val="right"/>
              <w:rPr>
                <w:bCs/>
                <w:i/>
              </w:rPr>
            </w:pPr>
            <w:r w:rsidRPr="00C611F5">
              <w:rPr>
                <w:bCs/>
                <w:i/>
              </w:rPr>
              <w:t>2014</w:t>
            </w:r>
          </w:p>
        </w:tc>
        <w:tc>
          <w:tcPr>
            <w:tcW w:w="2047" w:type="dxa"/>
            <w:tcBorders>
              <w:top w:val="single" w:sz="4" w:space="0" w:color="auto"/>
              <w:bottom w:val="single" w:sz="12" w:space="0" w:color="auto"/>
            </w:tcBorders>
            <w:shd w:val="clear" w:color="auto" w:fill="auto"/>
          </w:tcPr>
          <w:p w:rsidR="00527342" w:rsidRPr="00C611F5" w:rsidRDefault="00527342" w:rsidP="002B60EA">
            <w:pPr>
              <w:spacing w:before="20" w:after="40"/>
              <w:jc w:val="right"/>
              <w:rPr>
                <w:bCs/>
                <w:i/>
              </w:rPr>
            </w:pPr>
            <w:r w:rsidRPr="00C611F5">
              <w:rPr>
                <w:bCs/>
                <w:i/>
              </w:rPr>
              <w:t>2015</w:t>
            </w:r>
          </w:p>
        </w:tc>
      </w:tr>
      <w:tr w:rsidR="00043773" w:rsidRPr="00C611F5" w:rsidTr="002B60EA">
        <w:tc>
          <w:tcPr>
            <w:tcW w:w="3119" w:type="dxa"/>
            <w:tcBorders>
              <w:top w:val="single" w:sz="12" w:space="0" w:color="auto"/>
            </w:tcBorders>
            <w:shd w:val="clear" w:color="auto" w:fill="auto"/>
          </w:tcPr>
          <w:p w:rsidR="00527342" w:rsidRPr="00C611F5" w:rsidRDefault="00527342" w:rsidP="002B60EA">
            <w:pPr>
              <w:spacing w:before="20" w:after="40"/>
              <w:rPr>
                <w:bCs/>
              </w:rPr>
            </w:pPr>
            <w:r w:rsidRPr="00C611F5">
              <w:rPr>
                <w:bCs/>
              </w:rPr>
              <w:t>Staff</w:t>
            </w:r>
          </w:p>
        </w:tc>
        <w:tc>
          <w:tcPr>
            <w:tcW w:w="2693" w:type="dxa"/>
            <w:tcBorders>
              <w:top w:val="single" w:sz="12" w:space="0" w:color="auto"/>
            </w:tcBorders>
            <w:shd w:val="clear" w:color="auto" w:fill="auto"/>
            <w:vAlign w:val="bottom"/>
          </w:tcPr>
          <w:p w:rsidR="00527342" w:rsidRPr="00C611F5" w:rsidRDefault="00527342" w:rsidP="00EE1335">
            <w:pPr>
              <w:spacing w:before="20" w:after="40"/>
              <w:jc w:val="right"/>
              <w:rPr>
                <w:color w:val="000000"/>
              </w:rPr>
            </w:pPr>
            <w:r w:rsidRPr="00C611F5">
              <w:rPr>
                <w:color w:val="000000"/>
              </w:rPr>
              <w:t>380</w:t>
            </w:r>
            <w:r w:rsidR="00EE1335" w:rsidRPr="00C611F5">
              <w:rPr>
                <w:color w:val="000000"/>
              </w:rPr>
              <w:t xml:space="preserve"> </w:t>
            </w:r>
            <w:r w:rsidRPr="00C611F5">
              <w:rPr>
                <w:color w:val="000000"/>
              </w:rPr>
              <w:t xml:space="preserve">000 </w:t>
            </w:r>
          </w:p>
        </w:tc>
        <w:tc>
          <w:tcPr>
            <w:tcW w:w="2047" w:type="dxa"/>
            <w:tcBorders>
              <w:top w:val="single" w:sz="12" w:space="0" w:color="auto"/>
            </w:tcBorders>
            <w:shd w:val="clear" w:color="auto" w:fill="auto"/>
            <w:vAlign w:val="bottom"/>
          </w:tcPr>
          <w:p w:rsidR="00527342" w:rsidRPr="00C611F5" w:rsidRDefault="00527342" w:rsidP="006D078D">
            <w:pPr>
              <w:spacing w:before="20" w:after="40"/>
              <w:jc w:val="right"/>
              <w:rPr>
                <w:color w:val="000000"/>
              </w:rPr>
            </w:pPr>
            <w:r w:rsidRPr="00C611F5">
              <w:rPr>
                <w:color w:val="000000"/>
              </w:rPr>
              <w:t>510</w:t>
            </w:r>
            <w:r w:rsidR="006D078D" w:rsidRPr="00C611F5">
              <w:rPr>
                <w:color w:val="000000"/>
              </w:rPr>
              <w:t xml:space="preserve"> </w:t>
            </w:r>
            <w:r w:rsidRPr="00C611F5">
              <w:rPr>
                <w:color w:val="000000"/>
              </w:rPr>
              <w:t xml:space="preserve">000 </w:t>
            </w:r>
          </w:p>
        </w:tc>
      </w:tr>
      <w:tr w:rsidR="00043773" w:rsidRPr="00C611F5" w:rsidTr="002B60EA">
        <w:tc>
          <w:tcPr>
            <w:tcW w:w="3119" w:type="dxa"/>
            <w:shd w:val="clear" w:color="auto" w:fill="auto"/>
          </w:tcPr>
          <w:p w:rsidR="00527342" w:rsidRPr="00C611F5" w:rsidRDefault="00527342" w:rsidP="002B60EA">
            <w:pPr>
              <w:spacing w:before="20" w:after="40"/>
              <w:rPr>
                <w:bCs/>
              </w:rPr>
            </w:pPr>
            <w:r w:rsidRPr="00C611F5">
              <w:rPr>
                <w:bCs/>
              </w:rPr>
              <w:t>Consultants/expert support</w:t>
            </w:r>
          </w:p>
        </w:tc>
        <w:tc>
          <w:tcPr>
            <w:tcW w:w="2693" w:type="dxa"/>
            <w:shd w:val="clear" w:color="auto" w:fill="auto"/>
            <w:vAlign w:val="bottom"/>
          </w:tcPr>
          <w:p w:rsidR="00527342" w:rsidRPr="00C611F5" w:rsidRDefault="00527342" w:rsidP="006D078D">
            <w:pPr>
              <w:spacing w:before="20" w:after="40"/>
              <w:jc w:val="right"/>
              <w:rPr>
                <w:color w:val="000000"/>
              </w:rPr>
            </w:pPr>
            <w:r w:rsidRPr="00C611F5">
              <w:rPr>
                <w:color w:val="000000"/>
              </w:rPr>
              <w:t>145</w:t>
            </w:r>
            <w:r w:rsidR="006D078D" w:rsidRPr="00C611F5">
              <w:rPr>
                <w:color w:val="000000"/>
              </w:rPr>
              <w:t xml:space="preserve"> </w:t>
            </w:r>
            <w:r w:rsidRPr="00C611F5">
              <w:rPr>
                <w:color w:val="000000"/>
              </w:rPr>
              <w:t xml:space="preserve">000 </w:t>
            </w:r>
          </w:p>
        </w:tc>
        <w:tc>
          <w:tcPr>
            <w:tcW w:w="2047" w:type="dxa"/>
            <w:shd w:val="clear" w:color="auto" w:fill="auto"/>
            <w:vAlign w:val="bottom"/>
          </w:tcPr>
          <w:p w:rsidR="00527342" w:rsidRPr="00C611F5" w:rsidRDefault="00527342" w:rsidP="006D078D">
            <w:pPr>
              <w:spacing w:before="20" w:after="40"/>
              <w:jc w:val="right"/>
              <w:rPr>
                <w:color w:val="000000"/>
              </w:rPr>
            </w:pPr>
            <w:r w:rsidRPr="00C611F5">
              <w:rPr>
                <w:color w:val="000000"/>
              </w:rPr>
              <w:t>80</w:t>
            </w:r>
            <w:r w:rsidR="006D078D" w:rsidRPr="00C611F5">
              <w:rPr>
                <w:color w:val="000000"/>
              </w:rPr>
              <w:t xml:space="preserve"> </w:t>
            </w:r>
            <w:r w:rsidRPr="00C611F5">
              <w:rPr>
                <w:color w:val="000000"/>
              </w:rPr>
              <w:t xml:space="preserve">000 </w:t>
            </w:r>
          </w:p>
        </w:tc>
      </w:tr>
      <w:tr w:rsidR="00043773" w:rsidRPr="00C611F5" w:rsidTr="002B60EA">
        <w:tc>
          <w:tcPr>
            <w:tcW w:w="3119" w:type="dxa"/>
            <w:shd w:val="clear" w:color="auto" w:fill="auto"/>
          </w:tcPr>
          <w:p w:rsidR="00527342" w:rsidRPr="00C611F5" w:rsidRDefault="00527342" w:rsidP="002B60EA">
            <w:pPr>
              <w:spacing w:before="20" w:after="40"/>
              <w:rPr>
                <w:bCs/>
              </w:rPr>
            </w:pPr>
            <w:r w:rsidRPr="00C611F5">
              <w:rPr>
                <w:bCs/>
              </w:rPr>
              <w:t>Staff travel</w:t>
            </w:r>
          </w:p>
        </w:tc>
        <w:tc>
          <w:tcPr>
            <w:tcW w:w="2693" w:type="dxa"/>
            <w:shd w:val="clear" w:color="auto" w:fill="auto"/>
            <w:vAlign w:val="center"/>
          </w:tcPr>
          <w:p w:rsidR="00527342" w:rsidRPr="00C611F5" w:rsidRDefault="00527342" w:rsidP="006D078D">
            <w:pPr>
              <w:spacing w:before="20" w:after="40"/>
              <w:jc w:val="right"/>
              <w:rPr>
                <w:color w:val="000000"/>
              </w:rPr>
            </w:pPr>
            <w:r w:rsidRPr="00C611F5">
              <w:rPr>
                <w:color w:val="000000"/>
              </w:rPr>
              <w:t>190</w:t>
            </w:r>
            <w:r w:rsidR="006D078D" w:rsidRPr="00C611F5">
              <w:rPr>
                <w:color w:val="000000"/>
              </w:rPr>
              <w:t xml:space="preserve"> </w:t>
            </w:r>
            <w:r w:rsidRPr="00C611F5">
              <w:rPr>
                <w:color w:val="000000"/>
              </w:rPr>
              <w:t xml:space="preserve">000 </w:t>
            </w:r>
          </w:p>
        </w:tc>
        <w:tc>
          <w:tcPr>
            <w:tcW w:w="2047" w:type="dxa"/>
            <w:shd w:val="clear" w:color="auto" w:fill="auto"/>
            <w:vAlign w:val="center"/>
          </w:tcPr>
          <w:p w:rsidR="00527342" w:rsidRPr="00C611F5" w:rsidRDefault="00527342" w:rsidP="006D078D">
            <w:pPr>
              <w:spacing w:before="20" w:after="40"/>
              <w:jc w:val="right"/>
              <w:rPr>
                <w:color w:val="000000"/>
              </w:rPr>
            </w:pPr>
            <w:r w:rsidRPr="00C611F5">
              <w:rPr>
                <w:color w:val="000000"/>
              </w:rPr>
              <w:t>120</w:t>
            </w:r>
            <w:r w:rsidR="006D078D" w:rsidRPr="00C611F5">
              <w:rPr>
                <w:color w:val="000000"/>
              </w:rPr>
              <w:t xml:space="preserve"> </w:t>
            </w:r>
            <w:r w:rsidRPr="00C611F5">
              <w:rPr>
                <w:color w:val="000000"/>
              </w:rPr>
              <w:t xml:space="preserve">000 </w:t>
            </w:r>
          </w:p>
        </w:tc>
      </w:tr>
      <w:tr w:rsidR="00043773" w:rsidRPr="00C611F5" w:rsidTr="002B60EA">
        <w:tc>
          <w:tcPr>
            <w:tcW w:w="3119" w:type="dxa"/>
            <w:shd w:val="clear" w:color="auto" w:fill="auto"/>
          </w:tcPr>
          <w:p w:rsidR="00527342" w:rsidRPr="00C611F5" w:rsidRDefault="00313E40" w:rsidP="002B60EA">
            <w:pPr>
              <w:spacing w:before="20" w:after="40"/>
              <w:rPr>
                <w:bCs/>
              </w:rPr>
            </w:pPr>
            <w:r w:rsidRPr="00C611F5">
              <w:rPr>
                <w:rFonts w:eastAsia="MS Mincho"/>
              </w:rPr>
              <w:t xml:space="preserve">Intergovernmental negotiating committee </w:t>
            </w:r>
            <w:r w:rsidR="00527342" w:rsidRPr="00C611F5">
              <w:rPr>
                <w:bCs/>
              </w:rPr>
              <w:t>support other than travel</w:t>
            </w:r>
          </w:p>
        </w:tc>
        <w:tc>
          <w:tcPr>
            <w:tcW w:w="2693" w:type="dxa"/>
            <w:shd w:val="clear" w:color="auto" w:fill="auto"/>
            <w:vAlign w:val="bottom"/>
          </w:tcPr>
          <w:p w:rsidR="00527342" w:rsidRPr="00C611F5" w:rsidRDefault="00527342" w:rsidP="006D078D">
            <w:pPr>
              <w:spacing w:before="20" w:after="40"/>
              <w:jc w:val="right"/>
              <w:rPr>
                <w:color w:val="000000"/>
              </w:rPr>
            </w:pPr>
            <w:r w:rsidRPr="00C611F5">
              <w:rPr>
                <w:color w:val="000000"/>
              </w:rPr>
              <w:t>482</w:t>
            </w:r>
            <w:r w:rsidR="006D078D" w:rsidRPr="00C611F5">
              <w:rPr>
                <w:color w:val="000000"/>
              </w:rPr>
              <w:t xml:space="preserve"> </w:t>
            </w:r>
            <w:r w:rsidRPr="00C611F5">
              <w:rPr>
                <w:color w:val="000000"/>
              </w:rPr>
              <w:t xml:space="preserve">500 </w:t>
            </w:r>
          </w:p>
        </w:tc>
        <w:tc>
          <w:tcPr>
            <w:tcW w:w="2047" w:type="dxa"/>
            <w:shd w:val="clear" w:color="auto" w:fill="auto"/>
            <w:vAlign w:val="bottom"/>
          </w:tcPr>
          <w:p w:rsidR="00527342" w:rsidRPr="00C611F5" w:rsidRDefault="00527342" w:rsidP="006D078D">
            <w:pPr>
              <w:spacing w:before="20" w:after="40"/>
              <w:jc w:val="right"/>
              <w:rPr>
                <w:color w:val="000000"/>
              </w:rPr>
            </w:pPr>
            <w:r w:rsidRPr="00C611F5">
              <w:rPr>
                <w:color w:val="000000"/>
              </w:rPr>
              <w:t>457</w:t>
            </w:r>
            <w:r w:rsidR="006D078D" w:rsidRPr="00C611F5">
              <w:rPr>
                <w:color w:val="000000"/>
              </w:rPr>
              <w:t xml:space="preserve"> </w:t>
            </w:r>
            <w:r w:rsidRPr="00C611F5">
              <w:rPr>
                <w:color w:val="000000"/>
              </w:rPr>
              <w:t xml:space="preserve">500 </w:t>
            </w:r>
          </w:p>
        </w:tc>
      </w:tr>
      <w:tr w:rsidR="00043773" w:rsidRPr="00C611F5" w:rsidTr="002B60EA">
        <w:tc>
          <w:tcPr>
            <w:tcW w:w="3119" w:type="dxa"/>
            <w:shd w:val="clear" w:color="auto" w:fill="auto"/>
          </w:tcPr>
          <w:p w:rsidR="00527342" w:rsidRPr="00C611F5" w:rsidRDefault="00527342" w:rsidP="002B60EA">
            <w:pPr>
              <w:spacing w:before="20" w:after="40"/>
              <w:rPr>
                <w:bCs/>
              </w:rPr>
            </w:pPr>
            <w:r w:rsidRPr="00C611F5">
              <w:rPr>
                <w:bCs/>
              </w:rPr>
              <w:t>Travel – bureau</w:t>
            </w:r>
          </w:p>
        </w:tc>
        <w:tc>
          <w:tcPr>
            <w:tcW w:w="2693" w:type="dxa"/>
            <w:shd w:val="clear" w:color="auto" w:fill="auto"/>
            <w:vAlign w:val="center"/>
          </w:tcPr>
          <w:p w:rsidR="00527342" w:rsidRPr="00C611F5" w:rsidRDefault="00527342" w:rsidP="006D078D">
            <w:pPr>
              <w:spacing w:before="20" w:after="40"/>
              <w:jc w:val="right"/>
              <w:rPr>
                <w:color w:val="000000"/>
              </w:rPr>
            </w:pPr>
            <w:r w:rsidRPr="00C611F5">
              <w:rPr>
                <w:color w:val="000000"/>
              </w:rPr>
              <w:t>35</w:t>
            </w:r>
            <w:r w:rsidR="006D078D" w:rsidRPr="00C611F5">
              <w:rPr>
                <w:color w:val="000000"/>
              </w:rPr>
              <w:t xml:space="preserve"> </w:t>
            </w:r>
            <w:r w:rsidRPr="00C611F5">
              <w:rPr>
                <w:color w:val="000000"/>
              </w:rPr>
              <w:t xml:space="preserve">000 </w:t>
            </w:r>
          </w:p>
        </w:tc>
        <w:tc>
          <w:tcPr>
            <w:tcW w:w="2047" w:type="dxa"/>
            <w:shd w:val="clear" w:color="auto" w:fill="auto"/>
            <w:vAlign w:val="center"/>
          </w:tcPr>
          <w:p w:rsidR="00527342" w:rsidRPr="00C611F5" w:rsidRDefault="00527342" w:rsidP="006D078D">
            <w:pPr>
              <w:spacing w:before="20" w:after="40"/>
              <w:jc w:val="right"/>
              <w:rPr>
                <w:color w:val="000000"/>
              </w:rPr>
            </w:pPr>
            <w:r w:rsidRPr="00C611F5">
              <w:rPr>
                <w:color w:val="000000"/>
              </w:rPr>
              <w:t>35</w:t>
            </w:r>
            <w:r w:rsidR="006D078D" w:rsidRPr="00C611F5">
              <w:rPr>
                <w:color w:val="000000"/>
              </w:rPr>
              <w:t xml:space="preserve"> </w:t>
            </w:r>
            <w:r w:rsidRPr="00C611F5">
              <w:rPr>
                <w:color w:val="000000"/>
              </w:rPr>
              <w:t xml:space="preserve">000 </w:t>
            </w:r>
          </w:p>
        </w:tc>
      </w:tr>
      <w:tr w:rsidR="00043773" w:rsidRPr="00C611F5" w:rsidTr="002B60EA">
        <w:tc>
          <w:tcPr>
            <w:tcW w:w="3119" w:type="dxa"/>
            <w:shd w:val="clear" w:color="auto" w:fill="auto"/>
          </w:tcPr>
          <w:p w:rsidR="00527342" w:rsidRPr="00C611F5" w:rsidRDefault="00527342" w:rsidP="002B60EA">
            <w:pPr>
              <w:spacing w:before="20" w:after="40"/>
              <w:rPr>
                <w:bCs/>
              </w:rPr>
            </w:pPr>
            <w:r w:rsidRPr="00C611F5">
              <w:rPr>
                <w:bCs/>
              </w:rPr>
              <w:t xml:space="preserve">Travel – </w:t>
            </w:r>
            <w:r w:rsidR="00313E40" w:rsidRPr="00C611F5">
              <w:rPr>
                <w:rFonts w:eastAsia="MS Mincho"/>
              </w:rPr>
              <w:t>intergovernmental negotiating committee</w:t>
            </w:r>
          </w:p>
        </w:tc>
        <w:tc>
          <w:tcPr>
            <w:tcW w:w="2693" w:type="dxa"/>
            <w:shd w:val="clear" w:color="auto" w:fill="auto"/>
            <w:vAlign w:val="center"/>
          </w:tcPr>
          <w:p w:rsidR="00527342" w:rsidRPr="00C611F5" w:rsidRDefault="00527342" w:rsidP="006D078D">
            <w:pPr>
              <w:spacing w:before="20" w:after="40"/>
              <w:jc w:val="right"/>
              <w:rPr>
                <w:color w:val="000000"/>
              </w:rPr>
            </w:pPr>
            <w:r w:rsidRPr="00C611F5">
              <w:rPr>
                <w:color w:val="000000"/>
              </w:rPr>
              <w:t>425</w:t>
            </w:r>
            <w:r w:rsidR="006D078D" w:rsidRPr="00C611F5">
              <w:rPr>
                <w:color w:val="000000"/>
              </w:rPr>
              <w:t xml:space="preserve"> </w:t>
            </w:r>
            <w:r w:rsidRPr="00C611F5">
              <w:rPr>
                <w:color w:val="000000"/>
              </w:rPr>
              <w:t xml:space="preserve">000 </w:t>
            </w:r>
          </w:p>
        </w:tc>
        <w:tc>
          <w:tcPr>
            <w:tcW w:w="2047" w:type="dxa"/>
            <w:shd w:val="clear" w:color="auto" w:fill="auto"/>
            <w:vAlign w:val="center"/>
          </w:tcPr>
          <w:p w:rsidR="00527342" w:rsidRPr="00C611F5" w:rsidRDefault="00527342" w:rsidP="006D078D">
            <w:pPr>
              <w:spacing w:before="20" w:after="40"/>
              <w:jc w:val="right"/>
              <w:rPr>
                <w:color w:val="000000"/>
              </w:rPr>
            </w:pPr>
            <w:r w:rsidRPr="00C611F5">
              <w:rPr>
                <w:color w:val="000000"/>
              </w:rPr>
              <w:t>450</w:t>
            </w:r>
            <w:r w:rsidR="006D078D" w:rsidRPr="00C611F5">
              <w:rPr>
                <w:color w:val="000000"/>
              </w:rPr>
              <w:t xml:space="preserve"> </w:t>
            </w:r>
            <w:r w:rsidRPr="00C611F5">
              <w:rPr>
                <w:color w:val="000000"/>
              </w:rPr>
              <w:t xml:space="preserve">000 </w:t>
            </w:r>
          </w:p>
        </w:tc>
      </w:tr>
      <w:tr w:rsidR="00043773" w:rsidRPr="00C611F5" w:rsidTr="002B60EA">
        <w:tc>
          <w:tcPr>
            <w:tcW w:w="3119" w:type="dxa"/>
            <w:shd w:val="clear" w:color="auto" w:fill="auto"/>
          </w:tcPr>
          <w:p w:rsidR="00527342" w:rsidRPr="00C611F5" w:rsidRDefault="00527342" w:rsidP="002B60EA">
            <w:pPr>
              <w:spacing w:before="20" w:after="40"/>
              <w:rPr>
                <w:bCs/>
              </w:rPr>
            </w:pPr>
            <w:r w:rsidRPr="00C611F5">
              <w:rPr>
                <w:bCs/>
              </w:rPr>
              <w:t>Travel and organization of the expert group</w:t>
            </w:r>
          </w:p>
        </w:tc>
        <w:tc>
          <w:tcPr>
            <w:tcW w:w="2693" w:type="dxa"/>
            <w:shd w:val="clear" w:color="auto" w:fill="auto"/>
            <w:vAlign w:val="center"/>
          </w:tcPr>
          <w:p w:rsidR="00527342" w:rsidRPr="00C611F5" w:rsidRDefault="00527342" w:rsidP="002B60EA">
            <w:pPr>
              <w:spacing w:before="20" w:after="40"/>
              <w:jc w:val="right"/>
              <w:rPr>
                <w:color w:val="000000"/>
              </w:rPr>
            </w:pPr>
            <w:r w:rsidRPr="00C611F5">
              <w:rPr>
                <w:color w:val="000000"/>
              </w:rPr>
              <w:t>246</w:t>
            </w:r>
            <w:r w:rsidR="006D078D" w:rsidRPr="00C611F5">
              <w:rPr>
                <w:color w:val="000000"/>
              </w:rPr>
              <w:t xml:space="preserve"> </w:t>
            </w:r>
            <w:r w:rsidRPr="00C611F5">
              <w:rPr>
                <w:color w:val="000000"/>
              </w:rPr>
              <w:t xml:space="preserve">,000 </w:t>
            </w:r>
          </w:p>
        </w:tc>
        <w:tc>
          <w:tcPr>
            <w:tcW w:w="2047" w:type="dxa"/>
            <w:shd w:val="clear" w:color="auto" w:fill="auto"/>
            <w:vAlign w:val="center"/>
          </w:tcPr>
          <w:p w:rsidR="00527342" w:rsidRPr="00C611F5" w:rsidRDefault="00527342" w:rsidP="006D078D">
            <w:pPr>
              <w:spacing w:before="20" w:after="40"/>
              <w:jc w:val="right"/>
              <w:rPr>
                <w:color w:val="000000"/>
              </w:rPr>
            </w:pPr>
            <w:r w:rsidRPr="00C611F5">
              <w:rPr>
                <w:color w:val="000000"/>
              </w:rPr>
              <w:t>240</w:t>
            </w:r>
            <w:r w:rsidR="006D078D" w:rsidRPr="00C611F5">
              <w:rPr>
                <w:color w:val="000000"/>
              </w:rPr>
              <w:t xml:space="preserve"> </w:t>
            </w:r>
            <w:r w:rsidRPr="00C611F5">
              <w:rPr>
                <w:color w:val="000000"/>
              </w:rPr>
              <w:t xml:space="preserve">000 </w:t>
            </w:r>
          </w:p>
        </w:tc>
      </w:tr>
      <w:tr w:rsidR="00043773" w:rsidRPr="00C611F5" w:rsidTr="002B60EA">
        <w:tc>
          <w:tcPr>
            <w:tcW w:w="3119" w:type="dxa"/>
            <w:shd w:val="clear" w:color="auto" w:fill="auto"/>
          </w:tcPr>
          <w:p w:rsidR="00527342" w:rsidRPr="00C611F5" w:rsidRDefault="00527342" w:rsidP="002B60EA">
            <w:pPr>
              <w:spacing w:before="20" w:after="40"/>
              <w:rPr>
                <w:bCs/>
              </w:rPr>
            </w:pPr>
            <w:r w:rsidRPr="00C611F5">
              <w:rPr>
                <w:bCs/>
              </w:rPr>
              <w:t xml:space="preserve">Travel – </w:t>
            </w:r>
            <w:r w:rsidR="00E4676B" w:rsidRPr="00C611F5">
              <w:rPr>
                <w:bCs/>
              </w:rPr>
              <w:t>awareness-raising</w:t>
            </w:r>
          </w:p>
        </w:tc>
        <w:tc>
          <w:tcPr>
            <w:tcW w:w="2693" w:type="dxa"/>
            <w:shd w:val="clear" w:color="auto" w:fill="auto"/>
            <w:vAlign w:val="center"/>
          </w:tcPr>
          <w:p w:rsidR="00527342" w:rsidRPr="00C611F5" w:rsidRDefault="00527342" w:rsidP="006D078D">
            <w:pPr>
              <w:spacing w:before="20" w:after="40"/>
              <w:jc w:val="right"/>
              <w:rPr>
                <w:color w:val="000000"/>
              </w:rPr>
            </w:pPr>
            <w:r w:rsidRPr="00C611F5">
              <w:rPr>
                <w:color w:val="000000"/>
              </w:rPr>
              <w:t>690</w:t>
            </w:r>
            <w:r w:rsidR="006D078D" w:rsidRPr="00C611F5">
              <w:rPr>
                <w:color w:val="000000"/>
              </w:rPr>
              <w:t xml:space="preserve"> </w:t>
            </w:r>
            <w:r w:rsidRPr="00C611F5">
              <w:rPr>
                <w:color w:val="000000"/>
              </w:rPr>
              <w:t xml:space="preserve">000 </w:t>
            </w:r>
          </w:p>
        </w:tc>
        <w:tc>
          <w:tcPr>
            <w:tcW w:w="2047" w:type="dxa"/>
            <w:shd w:val="clear" w:color="auto" w:fill="auto"/>
            <w:vAlign w:val="center"/>
          </w:tcPr>
          <w:p w:rsidR="00527342" w:rsidRPr="00C611F5" w:rsidRDefault="00527342" w:rsidP="006D078D">
            <w:pPr>
              <w:spacing w:before="20" w:after="40"/>
              <w:jc w:val="right"/>
              <w:rPr>
                <w:color w:val="000000"/>
              </w:rPr>
            </w:pPr>
            <w:r w:rsidRPr="00C611F5">
              <w:rPr>
                <w:color w:val="000000"/>
              </w:rPr>
              <w:t>400</w:t>
            </w:r>
            <w:r w:rsidR="006D078D" w:rsidRPr="00C611F5">
              <w:rPr>
                <w:color w:val="000000"/>
              </w:rPr>
              <w:t xml:space="preserve"> </w:t>
            </w:r>
            <w:r w:rsidRPr="00C611F5">
              <w:rPr>
                <w:color w:val="000000"/>
              </w:rPr>
              <w:t xml:space="preserve">000 </w:t>
            </w:r>
          </w:p>
        </w:tc>
      </w:tr>
      <w:tr w:rsidR="00043773" w:rsidRPr="00C611F5" w:rsidTr="002B60EA">
        <w:tc>
          <w:tcPr>
            <w:tcW w:w="3119" w:type="dxa"/>
            <w:shd w:val="clear" w:color="auto" w:fill="auto"/>
          </w:tcPr>
          <w:p w:rsidR="00527342" w:rsidRPr="00C611F5" w:rsidRDefault="00E4676B" w:rsidP="002B60EA">
            <w:pPr>
              <w:spacing w:before="20" w:after="40"/>
              <w:rPr>
                <w:bCs/>
              </w:rPr>
            </w:pPr>
            <w:r w:rsidRPr="00C611F5">
              <w:rPr>
                <w:bCs/>
              </w:rPr>
              <w:t>Awareness-raising</w:t>
            </w:r>
            <w:r w:rsidR="00527342" w:rsidRPr="00C611F5">
              <w:rPr>
                <w:bCs/>
              </w:rPr>
              <w:t xml:space="preserve"> meeting</w:t>
            </w:r>
          </w:p>
        </w:tc>
        <w:tc>
          <w:tcPr>
            <w:tcW w:w="2693" w:type="dxa"/>
            <w:shd w:val="clear" w:color="auto" w:fill="auto"/>
            <w:vAlign w:val="bottom"/>
          </w:tcPr>
          <w:p w:rsidR="00527342" w:rsidRPr="00C611F5" w:rsidRDefault="00527342" w:rsidP="006D078D">
            <w:pPr>
              <w:spacing w:before="20" w:after="40"/>
              <w:jc w:val="right"/>
              <w:rPr>
                <w:color w:val="000000"/>
              </w:rPr>
            </w:pPr>
            <w:r w:rsidRPr="00C611F5">
              <w:rPr>
                <w:color w:val="000000"/>
              </w:rPr>
              <w:t>335</w:t>
            </w:r>
            <w:r w:rsidR="006D078D" w:rsidRPr="00C611F5">
              <w:rPr>
                <w:color w:val="000000"/>
              </w:rPr>
              <w:t xml:space="preserve"> </w:t>
            </w:r>
            <w:r w:rsidRPr="00C611F5">
              <w:rPr>
                <w:color w:val="000000"/>
              </w:rPr>
              <w:t xml:space="preserve">000 </w:t>
            </w:r>
          </w:p>
        </w:tc>
        <w:tc>
          <w:tcPr>
            <w:tcW w:w="2047" w:type="dxa"/>
            <w:shd w:val="clear" w:color="auto" w:fill="auto"/>
            <w:vAlign w:val="bottom"/>
          </w:tcPr>
          <w:p w:rsidR="00527342" w:rsidRPr="00C611F5" w:rsidRDefault="006D078D" w:rsidP="002B60EA">
            <w:pPr>
              <w:spacing w:before="20" w:after="40"/>
              <w:jc w:val="right"/>
              <w:rPr>
                <w:color w:val="000000"/>
              </w:rPr>
            </w:pPr>
            <w:r w:rsidRPr="00C611F5">
              <w:rPr>
                <w:color w:val="000000"/>
              </w:rPr>
              <w:t xml:space="preserve">305 </w:t>
            </w:r>
            <w:r w:rsidR="00527342" w:rsidRPr="00C611F5">
              <w:rPr>
                <w:color w:val="000000"/>
              </w:rPr>
              <w:t xml:space="preserve">000 </w:t>
            </w:r>
          </w:p>
        </w:tc>
      </w:tr>
      <w:tr w:rsidR="00043773" w:rsidRPr="00C611F5" w:rsidTr="002B60EA">
        <w:tc>
          <w:tcPr>
            <w:tcW w:w="3119" w:type="dxa"/>
            <w:tcBorders>
              <w:bottom w:val="single" w:sz="4" w:space="0" w:color="auto"/>
            </w:tcBorders>
            <w:shd w:val="clear" w:color="auto" w:fill="auto"/>
          </w:tcPr>
          <w:p w:rsidR="00527342" w:rsidRPr="00C611F5" w:rsidRDefault="00527342" w:rsidP="002B60EA">
            <w:pPr>
              <w:spacing w:before="20" w:after="40"/>
              <w:rPr>
                <w:bCs/>
              </w:rPr>
            </w:pPr>
            <w:r w:rsidRPr="00C611F5">
              <w:rPr>
                <w:bCs/>
              </w:rPr>
              <w:t>Communication</w:t>
            </w:r>
          </w:p>
        </w:tc>
        <w:tc>
          <w:tcPr>
            <w:tcW w:w="2693" w:type="dxa"/>
            <w:tcBorders>
              <w:bottom w:val="single" w:sz="4" w:space="0" w:color="auto"/>
            </w:tcBorders>
            <w:shd w:val="clear" w:color="auto" w:fill="auto"/>
            <w:vAlign w:val="bottom"/>
          </w:tcPr>
          <w:p w:rsidR="00527342" w:rsidRPr="00C611F5" w:rsidRDefault="00527342" w:rsidP="006D078D">
            <w:pPr>
              <w:spacing w:before="20" w:after="40"/>
              <w:jc w:val="right"/>
              <w:rPr>
                <w:color w:val="000000"/>
              </w:rPr>
            </w:pPr>
            <w:r w:rsidRPr="00C611F5">
              <w:rPr>
                <w:color w:val="000000"/>
              </w:rPr>
              <w:t>130</w:t>
            </w:r>
            <w:r w:rsidR="006D078D" w:rsidRPr="00C611F5">
              <w:rPr>
                <w:color w:val="000000"/>
              </w:rPr>
              <w:t xml:space="preserve"> </w:t>
            </w:r>
            <w:r w:rsidRPr="00C611F5">
              <w:rPr>
                <w:color w:val="000000"/>
              </w:rPr>
              <w:t xml:space="preserve">000 </w:t>
            </w:r>
          </w:p>
        </w:tc>
        <w:tc>
          <w:tcPr>
            <w:tcW w:w="2047" w:type="dxa"/>
            <w:tcBorders>
              <w:bottom w:val="single" w:sz="4" w:space="0" w:color="auto"/>
            </w:tcBorders>
            <w:shd w:val="clear" w:color="auto" w:fill="auto"/>
            <w:vAlign w:val="bottom"/>
          </w:tcPr>
          <w:p w:rsidR="00527342" w:rsidRPr="00C611F5" w:rsidRDefault="006D078D" w:rsidP="002B60EA">
            <w:pPr>
              <w:spacing w:before="20" w:after="40"/>
              <w:jc w:val="right"/>
              <w:rPr>
                <w:color w:val="000000"/>
              </w:rPr>
            </w:pPr>
            <w:r w:rsidRPr="00C611F5">
              <w:rPr>
                <w:color w:val="000000"/>
              </w:rPr>
              <w:t xml:space="preserve">70 </w:t>
            </w:r>
            <w:r w:rsidR="00527342" w:rsidRPr="00C611F5">
              <w:rPr>
                <w:color w:val="000000"/>
              </w:rPr>
              <w:t xml:space="preserve">000 </w:t>
            </w:r>
          </w:p>
        </w:tc>
      </w:tr>
      <w:tr w:rsidR="00043773" w:rsidRPr="00C611F5" w:rsidTr="002B60EA">
        <w:tc>
          <w:tcPr>
            <w:tcW w:w="3119" w:type="dxa"/>
            <w:tcBorders>
              <w:top w:val="single" w:sz="4" w:space="0" w:color="auto"/>
              <w:bottom w:val="single" w:sz="4" w:space="0" w:color="auto"/>
            </w:tcBorders>
            <w:shd w:val="clear" w:color="auto" w:fill="auto"/>
          </w:tcPr>
          <w:p w:rsidR="00527342" w:rsidRPr="00C611F5" w:rsidRDefault="00527342" w:rsidP="002B60EA">
            <w:pPr>
              <w:spacing w:before="20" w:after="40"/>
              <w:rPr>
                <w:b/>
              </w:rPr>
            </w:pPr>
            <w:r w:rsidRPr="00C611F5">
              <w:rPr>
                <w:b/>
              </w:rPr>
              <w:t xml:space="preserve">Subtotal </w:t>
            </w:r>
          </w:p>
        </w:tc>
        <w:tc>
          <w:tcPr>
            <w:tcW w:w="2693" w:type="dxa"/>
            <w:tcBorders>
              <w:top w:val="single" w:sz="4" w:space="0" w:color="auto"/>
              <w:bottom w:val="single" w:sz="4" w:space="0" w:color="auto"/>
            </w:tcBorders>
            <w:shd w:val="clear" w:color="auto" w:fill="auto"/>
          </w:tcPr>
          <w:p w:rsidR="00527342" w:rsidRPr="00C611F5" w:rsidRDefault="006D078D" w:rsidP="006D078D">
            <w:pPr>
              <w:spacing w:before="20" w:after="40"/>
              <w:jc w:val="right"/>
              <w:rPr>
                <w:b/>
              </w:rPr>
            </w:pPr>
            <w:r w:rsidRPr="00C611F5">
              <w:rPr>
                <w:b/>
              </w:rPr>
              <w:t xml:space="preserve">3 </w:t>
            </w:r>
            <w:r w:rsidR="00527342" w:rsidRPr="00C611F5">
              <w:rPr>
                <w:b/>
              </w:rPr>
              <w:t>058</w:t>
            </w:r>
            <w:r w:rsidRPr="00C611F5">
              <w:rPr>
                <w:b/>
              </w:rPr>
              <w:t xml:space="preserve"> </w:t>
            </w:r>
            <w:r w:rsidR="00527342" w:rsidRPr="00C611F5">
              <w:rPr>
                <w:b/>
              </w:rPr>
              <w:t>500</w:t>
            </w:r>
          </w:p>
        </w:tc>
        <w:tc>
          <w:tcPr>
            <w:tcW w:w="2047" w:type="dxa"/>
            <w:tcBorders>
              <w:top w:val="single" w:sz="4" w:space="0" w:color="auto"/>
              <w:bottom w:val="single" w:sz="4" w:space="0" w:color="auto"/>
            </w:tcBorders>
            <w:shd w:val="clear" w:color="auto" w:fill="auto"/>
          </w:tcPr>
          <w:p w:rsidR="00527342" w:rsidRPr="00C611F5" w:rsidRDefault="00527342" w:rsidP="006D078D">
            <w:pPr>
              <w:spacing w:before="20" w:after="40"/>
              <w:jc w:val="right"/>
              <w:rPr>
                <w:b/>
              </w:rPr>
            </w:pPr>
            <w:r w:rsidRPr="00C611F5">
              <w:rPr>
                <w:b/>
              </w:rPr>
              <w:t>2</w:t>
            </w:r>
            <w:r w:rsidR="006D078D" w:rsidRPr="00C611F5">
              <w:rPr>
                <w:b/>
              </w:rPr>
              <w:t xml:space="preserve"> </w:t>
            </w:r>
            <w:r w:rsidRPr="00C611F5">
              <w:rPr>
                <w:b/>
              </w:rPr>
              <w:t>667</w:t>
            </w:r>
            <w:r w:rsidR="006D078D" w:rsidRPr="00C611F5">
              <w:rPr>
                <w:b/>
              </w:rPr>
              <w:t xml:space="preserve"> </w:t>
            </w:r>
            <w:r w:rsidRPr="00C611F5">
              <w:rPr>
                <w:b/>
              </w:rPr>
              <w:t>500</w:t>
            </w:r>
          </w:p>
        </w:tc>
      </w:tr>
      <w:tr w:rsidR="00043773" w:rsidRPr="00C611F5" w:rsidTr="002B60EA">
        <w:trPr>
          <w:trHeight w:val="70"/>
        </w:trPr>
        <w:tc>
          <w:tcPr>
            <w:tcW w:w="3119" w:type="dxa"/>
            <w:tcBorders>
              <w:top w:val="single" w:sz="4" w:space="0" w:color="auto"/>
            </w:tcBorders>
            <w:shd w:val="clear" w:color="auto" w:fill="auto"/>
          </w:tcPr>
          <w:p w:rsidR="00527342" w:rsidRPr="00C611F5" w:rsidRDefault="00527342" w:rsidP="002D4DBC">
            <w:pPr>
              <w:rPr>
                <w:bCs/>
              </w:rPr>
            </w:pPr>
          </w:p>
        </w:tc>
        <w:tc>
          <w:tcPr>
            <w:tcW w:w="2693" w:type="dxa"/>
            <w:tcBorders>
              <w:top w:val="single" w:sz="4" w:space="0" w:color="auto"/>
            </w:tcBorders>
            <w:shd w:val="clear" w:color="auto" w:fill="auto"/>
          </w:tcPr>
          <w:p w:rsidR="00527342" w:rsidRPr="00C611F5" w:rsidRDefault="00527342" w:rsidP="002F12CF">
            <w:pPr>
              <w:jc w:val="right"/>
              <w:rPr>
                <w:bCs/>
              </w:rPr>
            </w:pPr>
          </w:p>
        </w:tc>
        <w:tc>
          <w:tcPr>
            <w:tcW w:w="2047" w:type="dxa"/>
            <w:tcBorders>
              <w:top w:val="single" w:sz="4" w:space="0" w:color="auto"/>
            </w:tcBorders>
            <w:shd w:val="clear" w:color="auto" w:fill="auto"/>
          </w:tcPr>
          <w:p w:rsidR="00527342" w:rsidRPr="00C611F5" w:rsidRDefault="00527342" w:rsidP="001306B9">
            <w:pPr>
              <w:jc w:val="right"/>
              <w:rPr>
                <w:bCs/>
              </w:rPr>
            </w:pPr>
          </w:p>
        </w:tc>
      </w:tr>
      <w:tr w:rsidR="00043773" w:rsidRPr="00C611F5" w:rsidTr="002B60EA">
        <w:tc>
          <w:tcPr>
            <w:tcW w:w="3119" w:type="dxa"/>
            <w:tcBorders>
              <w:bottom w:val="single" w:sz="4" w:space="0" w:color="auto"/>
            </w:tcBorders>
            <w:shd w:val="clear" w:color="auto" w:fill="auto"/>
          </w:tcPr>
          <w:p w:rsidR="00527342" w:rsidRPr="00C611F5" w:rsidRDefault="00C91832" w:rsidP="002B60EA">
            <w:pPr>
              <w:spacing w:before="20" w:after="40"/>
              <w:rPr>
                <w:bCs/>
              </w:rPr>
            </w:pPr>
            <w:r w:rsidRPr="00C611F5">
              <w:rPr>
                <w:rFonts w:eastAsia="MS Mincho"/>
              </w:rPr>
              <w:t>Programme support costs</w:t>
            </w:r>
            <w:r w:rsidR="00527342" w:rsidRPr="00C611F5">
              <w:rPr>
                <w:bCs/>
              </w:rPr>
              <w:t>*</w:t>
            </w:r>
          </w:p>
        </w:tc>
        <w:tc>
          <w:tcPr>
            <w:tcW w:w="2693" w:type="dxa"/>
            <w:tcBorders>
              <w:bottom w:val="single" w:sz="4" w:space="0" w:color="auto"/>
            </w:tcBorders>
            <w:shd w:val="clear" w:color="auto" w:fill="auto"/>
          </w:tcPr>
          <w:p w:rsidR="00527342" w:rsidRPr="00C611F5" w:rsidRDefault="006D078D" w:rsidP="002B60EA">
            <w:pPr>
              <w:spacing w:before="20" w:after="40"/>
              <w:jc w:val="right"/>
              <w:rPr>
                <w:bCs/>
              </w:rPr>
            </w:pPr>
            <w:r w:rsidRPr="00C611F5">
              <w:rPr>
                <w:bCs/>
              </w:rPr>
              <w:t xml:space="preserve">397 </w:t>
            </w:r>
            <w:r w:rsidR="00527342" w:rsidRPr="00C611F5">
              <w:rPr>
                <w:bCs/>
              </w:rPr>
              <w:t>605</w:t>
            </w:r>
          </w:p>
        </w:tc>
        <w:tc>
          <w:tcPr>
            <w:tcW w:w="2047" w:type="dxa"/>
            <w:tcBorders>
              <w:bottom w:val="single" w:sz="4" w:space="0" w:color="auto"/>
            </w:tcBorders>
            <w:shd w:val="clear" w:color="auto" w:fill="auto"/>
          </w:tcPr>
          <w:p w:rsidR="00527342" w:rsidRPr="00C611F5" w:rsidRDefault="00527342" w:rsidP="006D078D">
            <w:pPr>
              <w:spacing w:before="20" w:after="40"/>
              <w:jc w:val="right"/>
              <w:rPr>
                <w:bCs/>
              </w:rPr>
            </w:pPr>
            <w:r w:rsidRPr="00C611F5">
              <w:rPr>
                <w:bCs/>
              </w:rPr>
              <w:t>346</w:t>
            </w:r>
            <w:r w:rsidR="006D078D" w:rsidRPr="00C611F5">
              <w:rPr>
                <w:bCs/>
              </w:rPr>
              <w:t xml:space="preserve"> </w:t>
            </w:r>
            <w:r w:rsidRPr="00C611F5">
              <w:rPr>
                <w:bCs/>
              </w:rPr>
              <w:t>775</w:t>
            </w:r>
          </w:p>
        </w:tc>
      </w:tr>
      <w:tr w:rsidR="00043773" w:rsidRPr="00C611F5" w:rsidTr="002B60EA">
        <w:tc>
          <w:tcPr>
            <w:tcW w:w="3119" w:type="dxa"/>
            <w:tcBorders>
              <w:top w:val="single" w:sz="4" w:space="0" w:color="auto"/>
              <w:bottom w:val="single" w:sz="12" w:space="0" w:color="auto"/>
            </w:tcBorders>
            <w:shd w:val="clear" w:color="auto" w:fill="auto"/>
          </w:tcPr>
          <w:p w:rsidR="00527342" w:rsidRPr="00C611F5" w:rsidRDefault="00527342" w:rsidP="002B60EA">
            <w:pPr>
              <w:spacing w:before="20" w:after="40"/>
              <w:rPr>
                <w:b/>
              </w:rPr>
            </w:pPr>
            <w:r w:rsidRPr="00C611F5">
              <w:rPr>
                <w:b/>
              </w:rPr>
              <w:t>Total</w:t>
            </w:r>
          </w:p>
        </w:tc>
        <w:tc>
          <w:tcPr>
            <w:tcW w:w="2693" w:type="dxa"/>
            <w:tcBorders>
              <w:top w:val="single" w:sz="4" w:space="0" w:color="auto"/>
              <w:bottom w:val="single" w:sz="12" w:space="0" w:color="auto"/>
            </w:tcBorders>
            <w:shd w:val="clear" w:color="auto" w:fill="auto"/>
          </w:tcPr>
          <w:p w:rsidR="00527342" w:rsidRPr="00C611F5" w:rsidRDefault="006D078D" w:rsidP="006D078D">
            <w:pPr>
              <w:spacing w:before="20" w:after="40"/>
              <w:jc w:val="right"/>
              <w:rPr>
                <w:b/>
              </w:rPr>
            </w:pPr>
            <w:r w:rsidRPr="00C611F5">
              <w:rPr>
                <w:b/>
              </w:rPr>
              <w:t xml:space="preserve">3 </w:t>
            </w:r>
            <w:r w:rsidR="00527342" w:rsidRPr="00C611F5">
              <w:rPr>
                <w:b/>
              </w:rPr>
              <w:t>456</w:t>
            </w:r>
            <w:r w:rsidRPr="00C611F5">
              <w:rPr>
                <w:b/>
              </w:rPr>
              <w:t xml:space="preserve"> </w:t>
            </w:r>
            <w:r w:rsidR="00527342" w:rsidRPr="00C611F5">
              <w:rPr>
                <w:b/>
              </w:rPr>
              <w:t>105</w:t>
            </w:r>
          </w:p>
        </w:tc>
        <w:tc>
          <w:tcPr>
            <w:tcW w:w="2047" w:type="dxa"/>
            <w:tcBorders>
              <w:top w:val="single" w:sz="4" w:space="0" w:color="auto"/>
              <w:bottom w:val="single" w:sz="12" w:space="0" w:color="auto"/>
            </w:tcBorders>
            <w:shd w:val="clear" w:color="auto" w:fill="auto"/>
          </w:tcPr>
          <w:p w:rsidR="00527342" w:rsidRPr="00C611F5" w:rsidRDefault="006D078D" w:rsidP="006D078D">
            <w:pPr>
              <w:spacing w:before="20" w:after="40"/>
              <w:jc w:val="right"/>
              <w:rPr>
                <w:b/>
              </w:rPr>
            </w:pPr>
            <w:r w:rsidRPr="00C611F5">
              <w:rPr>
                <w:b/>
              </w:rPr>
              <w:t xml:space="preserve">3 </w:t>
            </w:r>
            <w:r w:rsidR="00527342" w:rsidRPr="00C611F5">
              <w:rPr>
                <w:b/>
              </w:rPr>
              <w:t>014</w:t>
            </w:r>
            <w:r w:rsidRPr="00C611F5">
              <w:rPr>
                <w:b/>
              </w:rPr>
              <w:t xml:space="preserve"> </w:t>
            </w:r>
            <w:r w:rsidR="00527342" w:rsidRPr="00C611F5">
              <w:rPr>
                <w:b/>
              </w:rPr>
              <w:t>275</w:t>
            </w:r>
          </w:p>
        </w:tc>
      </w:tr>
    </w:tbl>
    <w:p w:rsidR="005609D9" w:rsidRDefault="00527342" w:rsidP="00CA7660">
      <w:pPr>
        <w:pStyle w:val="Normalnumber"/>
        <w:numPr>
          <w:ilvl w:val="0"/>
          <w:numId w:val="0"/>
        </w:numPr>
        <w:ind w:left="1248"/>
        <w:rPr>
          <w:bCs/>
          <w:sz w:val="18"/>
          <w:szCs w:val="18"/>
        </w:rPr>
        <w:sectPr w:rsidR="005609D9" w:rsidSect="00102802">
          <w:headerReference w:type="even" r:id="rId21"/>
          <w:headerReference w:type="default" r:id="rId22"/>
          <w:headerReference w:type="first" r:id="rId23"/>
          <w:footerReference w:type="first" r:id="rId24"/>
          <w:footnotePr>
            <w:numRestart w:val="eachSect"/>
          </w:footnotePr>
          <w:pgSz w:w="11906" w:h="16838" w:code="9"/>
          <w:pgMar w:top="907" w:right="992" w:bottom="1418" w:left="1418" w:header="539" w:footer="975" w:gutter="0"/>
          <w:cols w:space="539"/>
          <w:titlePg/>
          <w:docGrid w:linePitch="360"/>
        </w:sectPr>
      </w:pPr>
      <w:r w:rsidRPr="00C611F5">
        <w:rPr>
          <w:bCs/>
          <w:sz w:val="18"/>
          <w:szCs w:val="18"/>
        </w:rPr>
        <w:t>*</w:t>
      </w:r>
      <w:r w:rsidR="00C91832" w:rsidRPr="00C611F5">
        <w:rPr>
          <w:rFonts w:eastAsia="MS Mincho"/>
        </w:rPr>
        <w:t xml:space="preserve"> </w:t>
      </w:r>
      <w:r w:rsidR="00C91832" w:rsidRPr="00C611F5">
        <w:rPr>
          <w:bCs/>
          <w:sz w:val="18"/>
          <w:szCs w:val="18"/>
        </w:rPr>
        <w:t>Programme support costs are</w:t>
      </w:r>
      <w:r w:rsidRPr="00C611F5">
        <w:rPr>
          <w:bCs/>
          <w:sz w:val="18"/>
          <w:szCs w:val="18"/>
        </w:rPr>
        <w:t xml:space="preserve"> calculated based on </w:t>
      </w:r>
      <w:r w:rsidR="002B4128" w:rsidRPr="00C611F5">
        <w:rPr>
          <w:bCs/>
          <w:sz w:val="18"/>
          <w:szCs w:val="18"/>
        </w:rPr>
        <w:t xml:space="preserve">a </w:t>
      </w:r>
      <w:r w:rsidRPr="00C611F5">
        <w:rPr>
          <w:bCs/>
          <w:sz w:val="18"/>
          <w:szCs w:val="18"/>
        </w:rPr>
        <w:t>rate of 13</w:t>
      </w:r>
      <w:r w:rsidR="00680E43" w:rsidRPr="00C611F5">
        <w:rPr>
          <w:bCs/>
          <w:sz w:val="18"/>
          <w:szCs w:val="18"/>
        </w:rPr>
        <w:t xml:space="preserve"> per cent</w:t>
      </w:r>
      <w:r w:rsidRPr="00C611F5">
        <w:rPr>
          <w:bCs/>
          <w:sz w:val="18"/>
          <w:szCs w:val="18"/>
        </w:rPr>
        <w:t>.</w:t>
      </w:r>
      <w:r w:rsidR="008C2603" w:rsidRPr="00C611F5">
        <w:rPr>
          <w:bCs/>
          <w:sz w:val="18"/>
          <w:szCs w:val="18"/>
        </w:rPr>
        <w:t xml:space="preserve"> </w:t>
      </w:r>
      <w:r w:rsidRPr="00C611F5">
        <w:rPr>
          <w:bCs/>
          <w:sz w:val="18"/>
          <w:szCs w:val="18"/>
        </w:rPr>
        <w:t xml:space="preserve">Some contributions were at a lower rate based on the contribution agreement. </w:t>
      </w:r>
    </w:p>
    <w:p w:rsidR="000B4ED9" w:rsidRPr="00C611F5" w:rsidRDefault="004D530D" w:rsidP="00CA7660">
      <w:pPr>
        <w:pStyle w:val="ZZAnxheader"/>
      </w:pPr>
      <w:r w:rsidRPr="00C611F5">
        <w:t xml:space="preserve">Appendix </w:t>
      </w:r>
      <w:r w:rsidR="000B4ED9" w:rsidRPr="00C611F5">
        <w:t>2</w:t>
      </w:r>
    </w:p>
    <w:p w:rsidR="00125810" w:rsidRPr="00C611F5" w:rsidRDefault="000B4ED9" w:rsidP="00EE1335">
      <w:pPr>
        <w:pStyle w:val="ZZAnxtitle"/>
        <w:rPr>
          <w:rFonts w:eastAsia="MS Mincho"/>
        </w:rPr>
      </w:pPr>
      <w:r w:rsidRPr="00C611F5">
        <w:t xml:space="preserve">Structure of the </w:t>
      </w:r>
      <w:r w:rsidR="00527290" w:rsidRPr="00C611F5">
        <w:t>secretariat</w:t>
      </w:r>
      <w:r w:rsidRPr="00C611F5">
        <w:t xml:space="preserve"> of the Basel, Rotterdam and </w:t>
      </w:r>
      <w:r w:rsidR="00BB72E8" w:rsidRPr="00C611F5">
        <w:t>Stockholm conventions</w:t>
      </w:r>
      <w:r w:rsidRPr="00C611F5">
        <w:t xml:space="preserve"> </w:t>
      </w:r>
    </w:p>
    <w:p w:rsidR="000B4ED9" w:rsidRPr="00C611F5" w:rsidRDefault="000B4ED9" w:rsidP="002B60EA">
      <w:pPr>
        <w:pStyle w:val="Normalnumber"/>
        <w:numPr>
          <w:ilvl w:val="0"/>
          <w:numId w:val="0"/>
        </w:numPr>
        <w:ind w:left="1247" w:firstLine="624"/>
        <w:rPr>
          <w:rFonts w:eastAsia="MS Mincho"/>
        </w:rPr>
      </w:pPr>
      <w:r w:rsidRPr="00C611F5">
        <w:rPr>
          <w:rFonts w:eastAsia="MS Mincho"/>
        </w:rPr>
        <w:t xml:space="preserve">Based on the functional </w:t>
      </w:r>
      <w:r w:rsidR="0056430E" w:rsidRPr="00C611F5">
        <w:rPr>
          <w:rFonts w:eastAsia="MS Mincho"/>
        </w:rPr>
        <w:t xml:space="preserve">organization chart </w:t>
      </w:r>
      <w:r w:rsidRPr="00C611F5">
        <w:rPr>
          <w:rFonts w:eastAsia="MS Mincho"/>
        </w:rPr>
        <w:t xml:space="preserve">of the </w:t>
      </w:r>
      <w:r w:rsidR="00BB72E8" w:rsidRPr="00C611F5">
        <w:rPr>
          <w:rFonts w:eastAsia="MS Mincho"/>
        </w:rPr>
        <w:t>secretariat of the Basel, Rotterdam and Stockholm conventions</w:t>
      </w:r>
      <w:r w:rsidR="0056430E" w:rsidRPr="00C611F5">
        <w:rPr>
          <w:rFonts w:eastAsia="MS Mincho"/>
        </w:rPr>
        <w:t>,</w:t>
      </w:r>
      <w:r w:rsidR="00AA30F5" w:rsidRPr="00C611F5">
        <w:rPr>
          <w:rStyle w:val="FootnoteReference"/>
          <w:rFonts w:eastAsia="MS Mincho"/>
        </w:rPr>
        <w:footnoteReference w:id="5"/>
      </w:r>
      <w:r w:rsidRPr="00C611F5">
        <w:rPr>
          <w:rFonts w:eastAsia="MS Mincho"/>
        </w:rPr>
        <w:t xml:space="preserve"> it consists of three main branches, headed by an </w:t>
      </w:r>
      <w:r w:rsidR="00BB471B" w:rsidRPr="00C611F5">
        <w:rPr>
          <w:rFonts w:eastAsia="MS Mincho"/>
        </w:rPr>
        <w:t>E</w:t>
      </w:r>
      <w:r w:rsidRPr="00C611F5">
        <w:rPr>
          <w:rFonts w:eastAsia="MS Mincho"/>
        </w:rPr>
        <w:t xml:space="preserve">xecutive </w:t>
      </w:r>
      <w:r w:rsidR="00BB471B" w:rsidRPr="00C611F5">
        <w:rPr>
          <w:rFonts w:eastAsia="MS Mincho"/>
        </w:rPr>
        <w:t>S</w:t>
      </w:r>
      <w:r w:rsidRPr="00C611F5">
        <w:rPr>
          <w:rFonts w:eastAsia="MS Mincho"/>
        </w:rPr>
        <w:t xml:space="preserve">ecretary who is supported by an </w:t>
      </w:r>
      <w:r w:rsidR="00BB471B" w:rsidRPr="00C611F5">
        <w:rPr>
          <w:rFonts w:eastAsia="MS Mincho"/>
        </w:rPr>
        <w:t>E</w:t>
      </w:r>
      <w:r w:rsidRPr="00C611F5">
        <w:rPr>
          <w:rFonts w:eastAsia="MS Mincho"/>
        </w:rPr>
        <w:t xml:space="preserve">xecutive </w:t>
      </w:r>
      <w:r w:rsidR="00CD5583" w:rsidRPr="00C611F5">
        <w:rPr>
          <w:rFonts w:eastAsia="MS Mincho"/>
        </w:rPr>
        <w:t>O</w:t>
      </w:r>
      <w:r w:rsidR="00AA30F5" w:rsidRPr="00C611F5">
        <w:rPr>
          <w:rFonts w:eastAsia="MS Mincho"/>
        </w:rPr>
        <w:t>ffice</w:t>
      </w:r>
      <w:r w:rsidRPr="00C611F5">
        <w:rPr>
          <w:rFonts w:eastAsia="MS Mincho"/>
        </w:rPr>
        <w:t>.</w:t>
      </w:r>
      <w:r w:rsidR="008C2603" w:rsidRPr="00C611F5">
        <w:rPr>
          <w:rFonts w:eastAsia="MS Mincho"/>
        </w:rPr>
        <w:t xml:space="preserve"> </w:t>
      </w:r>
      <w:r w:rsidRPr="00C611F5">
        <w:rPr>
          <w:rFonts w:eastAsia="MS Mincho"/>
        </w:rPr>
        <w:t xml:space="preserve">The three branches are the Convention Operations Branch, the </w:t>
      </w:r>
      <w:r w:rsidRPr="00C611F5">
        <w:t>Technical</w:t>
      </w:r>
      <w:r w:rsidRPr="00C611F5">
        <w:rPr>
          <w:rFonts w:eastAsia="MS Mincho"/>
        </w:rPr>
        <w:t xml:space="preserve"> Assistance Branch and the Scientific Support Branch.</w:t>
      </w:r>
      <w:r w:rsidR="008C2603" w:rsidRPr="00C611F5">
        <w:rPr>
          <w:rFonts w:eastAsia="MS Mincho"/>
        </w:rPr>
        <w:t xml:space="preserve"> </w:t>
      </w:r>
    </w:p>
    <w:p w:rsidR="000B4ED9" w:rsidRPr="00C611F5" w:rsidRDefault="000B4ED9" w:rsidP="007504EE">
      <w:pPr>
        <w:pStyle w:val="Normalnumber"/>
        <w:numPr>
          <w:ilvl w:val="0"/>
          <w:numId w:val="125"/>
        </w:numPr>
        <w:tabs>
          <w:tab w:val="clear" w:pos="1134"/>
          <w:tab w:val="num" w:pos="1135"/>
        </w:tabs>
        <w:spacing w:after="100"/>
        <w:ind w:left="1248"/>
        <w:rPr>
          <w:rFonts w:eastAsia="MS Mincho"/>
        </w:rPr>
      </w:pPr>
      <w:r w:rsidRPr="00C611F5">
        <w:rPr>
          <w:rFonts w:eastAsia="MS Mincho"/>
        </w:rPr>
        <w:t xml:space="preserve">The Executive </w:t>
      </w:r>
      <w:r w:rsidR="00CD5583" w:rsidRPr="00C611F5">
        <w:t>O</w:t>
      </w:r>
      <w:r w:rsidR="00AA30F5" w:rsidRPr="00C611F5">
        <w:t>ffice</w:t>
      </w:r>
      <w:r w:rsidR="00AA30F5" w:rsidRPr="00C611F5">
        <w:rPr>
          <w:rFonts w:eastAsia="MS Mincho"/>
        </w:rPr>
        <w:t xml:space="preserve"> </w:t>
      </w:r>
      <w:r w:rsidRPr="00C611F5">
        <w:rPr>
          <w:rFonts w:eastAsia="MS Mincho"/>
        </w:rPr>
        <w:t xml:space="preserve">covers </w:t>
      </w:r>
      <w:r w:rsidR="0056430E" w:rsidRPr="00C611F5">
        <w:rPr>
          <w:rFonts w:eastAsia="MS Mincho"/>
        </w:rPr>
        <w:t xml:space="preserve">the following </w:t>
      </w:r>
      <w:r w:rsidRPr="00C611F5">
        <w:rPr>
          <w:rFonts w:eastAsia="MS Mincho"/>
        </w:rPr>
        <w:t>corporate activities:</w:t>
      </w:r>
    </w:p>
    <w:p w:rsidR="005D09A5" w:rsidRPr="00C611F5" w:rsidRDefault="00CD5583" w:rsidP="007504EE">
      <w:pPr>
        <w:pStyle w:val="Normalnumber"/>
        <w:numPr>
          <w:ilvl w:val="1"/>
          <w:numId w:val="109"/>
        </w:numPr>
        <w:tabs>
          <w:tab w:val="clear" w:pos="1134"/>
          <w:tab w:val="num" w:pos="1135"/>
        </w:tabs>
        <w:spacing w:after="100"/>
        <w:ind w:left="1248"/>
      </w:pPr>
      <w:r w:rsidRPr="00C611F5">
        <w:t>Leadership and executive direction;</w:t>
      </w:r>
    </w:p>
    <w:p w:rsidR="005D09A5" w:rsidRPr="00C611F5" w:rsidRDefault="0056430E" w:rsidP="007504EE">
      <w:pPr>
        <w:pStyle w:val="Normalnumber"/>
        <w:numPr>
          <w:ilvl w:val="1"/>
          <w:numId w:val="109"/>
        </w:numPr>
        <w:tabs>
          <w:tab w:val="clear" w:pos="1134"/>
          <w:tab w:val="num" w:pos="1135"/>
        </w:tabs>
        <w:spacing w:after="100"/>
        <w:ind w:left="1248"/>
      </w:pPr>
      <w:r w:rsidRPr="00C611F5">
        <w:t>M</w:t>
      </w:r>
      <w:r w:rsidR="000B4ED9" w:rsidRPr="00C611F5">
        <w:t xml:space="preserve">anagement, oversight and monitoring; </w:t>
      </w:r>
    </w:p>
    <w:p w:rsidR="005D09A5" w:rsidRPr="00C611F5" w:rsidRDefault="0056430E" w:rsidP="007504EE">
      <w:pPr>
        <w:pStyle w:val="Normalnumber"/>
        <w:numPr>
          <w:ilvl w:val="1"/>
          <w:numId w:val="109"/>
        </w:numPr>
        <w:tabs>
          <w:tab w:val="clear" w:pos="1134"/>
          <w:tab w:val="num" w:pos="1135"/>
        </w:tabs>
        <w:spacing w:after="100"/>
        <w:ind w:left="1248"/>
      </w:pPr>
      <w:r w:rsidRPr="00C611F5">
        <w:t>S</w:t>
      </w:r>
      <w:r w:rsidR="000B4ED9" w:rsidRPr="00C611F5">
        <w:t>ynergies coordination</w:t>
      </w:r>
      <w:r w:rsidR="002B4128" w:rsidRPr="00C611F5">
        <w:t>;</w:t>
      </w:r>
      <w:r w:rsidR="000B4ED9" w:rsidRPr="00C611F5">
        <w:t xml:space="preserve"> </w:t>
      </w:r>
    </w:p>
    <w:p w:rsidR="005D09A5" w:rsidRPr="00C611F5" w:rsidRDefault="0056430E" w:rsidP="007504EE">
      <w:pPr>
        <w:pStyle w:val="Normalnumber"/>
        <w:numPr>
          <w:ilvl w:val="1"/>
          <w:numId w:val="109"/>
        </w:numPr>
        <w:tabs>
          <w:tab w:val="clear" w:pos="1134"/>
          <w:tab w:val="num" w:pos="1135"/>
        </w:tabs>
        <w:spacing w:after="100"/>
        <w:ind w:left="1248"/>
      </w:pPr>
      <w:r w:rsidRPr="00C611F5">
        <w:t>A</w:t>
      </w:r>
      <w:r w:rsidR="000B4ED9" w:rsidRPr="00C611F5">
        <w:t xml:space="preserve">dministration (finance, budget, human resources); </w:t>
      </w:r>
    </w:p>
    <w:p w:rsidR="006B66DC" w:rsidRPr="00C611F5" w:rsidRDefault="0056430E" w:rsidP="007504EE">
      <w:pPr>
        <w:pStyle w:val="Normalnumber"/>
        <w:numPr>
          <w:ilvl w:val="1"/>
          <w:numId w:val="109"/>
        </w:numPr>
        <w:tabs>
          <w:tab w:val="clear" w:pos="1134"/>
          <w:tab w:val="num" w:pos="1136"/>
        </w:tabs>
        <w:spacing w:after="100"/>
        <w:ind w:left="1248"/>
      </w:pPr>
      <w:r w:rsidRPr="00C611F5">
        <w:t>R</w:t>
      </w:r>
      <w:r w:rsidR="000B4ED9" w:rsidRPr="00C611F5">
        <w:t xml:space="preserve">esource mobilization; </w:t>
      </w:r>
    </w:p>
    <w:p w:rsidR="000B4ED9" w:rsidRPr="00C611F5" w:rsidRDefault="0056430E" w:rsidP="007504EE">
      <w:pPr>
        <w:pStyle w:val="Normalnumber"/>
        <w:numPr>
          <w:ilvl w:val="1"/>
          <w:numId w:val="109"/>
        </w:numPr>
        <w:spacing w:after="100"/>
        <w:ind w:left="1248"/>
      </w:pPr>
      <w:r w:rsidRPr="00C611F5">
        <w:t>C</w:t>
      </w:r>
      <w:r w:rsidR="000B4ED9" w:rsidRPr="00C611F5">
        <w:t xml:space="preserve">oordination </w:t>
      </w:r>
      <w:r w:rsidR="00AA30F5" w:rsidRPr="00C611F5">
        <w:t>with</w:t>
      </w:r>
      <w:r w:rsidR="000B4ED9" w:rsidRPr="00C611F5">
        <w:t xml:space="preserve"> the financial mechanism under the Stockholm Convention.</w:t>
      </w:r>
      <w:r w:rsidR="008C2603" w:rsidRPr="00C611F5">
        <w:t xml:space="preserve"> </w:t>
      </w:r>
    </w:p>
    <w:p w:rsidR="000B4ED9" w:rsidRPr="00C611F5" w:rsidRDefault="000B4ED9" w:rsidP="007504EE">
      <w:pPr>
        <w:pStyle w:val="Normalnumber"/>
        <w:numPr>
          <w:ilvl w:val="0"/>
          <w:numId w:val="125"/>
        </w:numPr>
        <w:spacing w:after="100"/>
        <w:rPr>
          <w:rFonts w:eastAsia="MS Mincho"/>
        </w:rPr>
      </w:pPr>
      <w:r w:rsidRPr="00C611F5">
        <w:t>The</w:t>
      </w:r>
      <w:r w:rsidRPr="00C611F5">
        <w:rPr>
          <w:rFonts w:eastAsia="MS Mincho"/>
        </w:rPr>
        <w:t xml:space="preserve"> Conventions Operations Branch is responsible for</w:t>
      </w:r>
      <w:r w:rsidR="00430140" w:rsidRPr="00C611F5">
        <w:rPr>
          <w:rFonts w:eastAsia="MS Mincho"/>
        </w:rPr>
        <w:t xml:space="preserve"> the following</w:t>
      </w:r>
      <w:r w:rsidRPr="00C611F5">
        <w:rPr>
          <w:rFonts w:eastAsia="MS Mincho"/>
        </w:rPr>
        <w:t>:</w:t>
      </w:r>
    </w:p>
    <w:p w:rsidR="005D09A5" w:rsidRPr="00C611F5" w:rsidRDefault="000B4ED9" w:rsidP="007504EE">
      <w:pPr>
        <w:pStyle w:val="Normalnumber"/>
        <w:numPr>
          <w:ilvl w:val="1"/>
          <w:numId w:val="109"/>
        </w:numPr>
        <w:spacing w:after="100"/>
        <w:ind w:left="1248"/>
      </w:pPr>
      <w:r w:rsidRPr="00C611F5">
        <w:t>Management of meetings of the conferences of the parties and subsidiary bodies</w:t>
      </w:r>
      <w:r w:rsidR="00430140" w:rsidRPr="00C611F5">
        <w:t>;</w:t>
      </w:r>
    </w:p>
    <w:p w:rsidR="005D09A5" w:rsidRPr="00C611F5" w:rsidRDefault="000B4ED9" w:rsidP="007504EE">
      <w:pPr>
        <w:pStyle w:val="Normalnumber"/>
        <w:numPr>
          <w:ilvl w:val="1"/>
          <w:numId w:val="109"/>
        </w:numPr>
        <w:spacing w:after="100"/>
        <w:ind w:left="1248"/>
      </w:pPr>
      <w:r w:rsidRPr="00C611F5">
        <w:t>Legal</w:t>
      </w:r>
      <w:r w:rsidR="00F121E6" w:rsidRPr="00C611F5">
        <w:t xml:space="preserve"> and governance</w:t>
      </w:r>
      <w:r w:rsidR="00430140" w:rsidRPr="00C611F5">
        <w:t>;</w:t>
      </w:r>
    </w:p>
    <w:p w:rsidR="005D09A5" w:rsidRPr="00C611F5" w:rsidRDefault="000B4ED9" w:rsidP="007504EE">
      <w:pPr>
        <w:pStyle w:val="Normalnumber"/>
        <w:numPr>
          <w:ilvl w:val="1"/>
          <w:numId w:val="109"/>
        </w:numPr>
        <w:spacing w:after="100"/>
        <w:ind w:left="1248"/>
      </w:pPr>
      <w:r w:rsidRPr="00C611F5">
        <w:t>Compliance</w:t>
      </w:r>
      <w:r w:rsidR="00430140" w:rsidRPr="00C611F5">
        <w:t>;</w:t>
      </w:r>
    </w:p>
    <w:p w:rsidR="005D09A5" w:rsidRPr="00C611F5" w:rsidRDefault="000B4ED9" w:rsidP="007504EE">
      <w:pPr>
        <w:pStyle w:val="Normalnumber"/>
        <w:numPr>
          <w:ilvl w:val="1"/>
          <w:numId w:val="109"/>
        </w:numPr>
        <w:spacing w:after="100"/>
        <w:ind w:left="1248"/>
      </w:pPr>
      <w:r w:rsidRPr="00C611F5">
        <w:t>International cooperation with multilateral environment</w:t>
      </w:r>
      <w:r w:rsidR="002B4128" w:rsidRPr="00C611F5">
        <w:t>al</w:t>
      </w:r>
      <w:r w:rsidRPr="00C611F5">
        <w:t xml:space="preserve"> agreements, intergovernmental organizations and non-governmental organizations</w:t>
      </w:r>
      <w:r w:rsidR="00430140" w:rsidRPr="00C611F5">
        <w:t>;</w:t>
      </w:r>
    </w:p>
    <w:p w:rsidR="005D09A5" w:rsidRPr="00C611F5" w:rsidRDefault="000B4ED9" w:rsidP="007504EE">
      <w:pPr>
        <w:pStyle w:val="Normalnumber"/>
        <w:numPr>
          <w:ilvl w:val="1"/>
          <w:numId w:val="109"/>
        </w:numPr>
        <w:spacing w:after="100"/>
        <w:ind w:left="1248"/>
      </w:pPr>
      <w:r w:rsidRPr="00C611F5">
        <w:t xml:space="preserve">Cooperation </w:t>
      </w:r>
      <w:r w:rsidR="002B4128" w:rsidRPr="00C611F5">
        <w:t xml:space="preserve">on the Rotterdam Convention </w:t>
      </w:r>
      <w:r w:rsidRPr="00C611F5">
        <w:t xml:space="preserve">between UNEP and </w:t>
      </w:r>
      <w:r w:rsidR="00CE1B6B" w:rsidRPr="00C611F5">
        <w:t xml:space="preserve">the Food and </w:t>
      </w:r>
      <w:r w:rsidRPr="00C611F5">
        <w:t>A</w:t>
      </w:r>
      <w:r w:rsidR="00CE1B6B" w:rsidRPr="00C611F5">
        <w:t xml:space="preserve">griculture </w:t>
      </w:r>
      <w:r w:rsidRPr="00C611F5">
        <w:t>O</w:t>
      </w:r>
      <w:r w:rsidR="00CE1B6B" w:rsidRPr="00C611F5">
        <w:t>rganization of the United Nations</w:t>
      </w:r>
      <w:r w:rsidR="00430140" w:rsidRPr="00C611F5">
        <w:t>;</w:t>
      </w:r>
    </w:p>
    <w:p w:rsidR="005D09A5" w:rsidRPr="00C611F5" w:rsidRDefault="000B4ED9" w:rsidP="007504EE">
      <w:pPr>
        <w:pStyle w:val="Normalnumber"/>
        <w:numPr>
          <w:ilvl w:val="1"/>
          <w:numId w:val="109"/>
        </w:numPr>
        <w:spacing w:after="100"/>
        <w:ind w:left="1248"/>
      </w:pPr>
      <w:r w:rsidRPr="00C611F5">
        <w:t>Conference services</w:t>
      </w:r>
      <w:r w:rsidR="00430140" w:rsidRPr="00C611F5">
        <w:t>;</w:t>
      </w:r>
    </w:p>
    <w:p w:rsidR="005D09A5" w:rsidRPr="00C611F5" w:rsidRDefault="000B4ED9" w:rsidP="007504EE">
      <w:pPr>
        <w:pStyle w:val="Normalnumber"/>
        <w:numPr>
          <w:ilvl w:val="1"/>
          <w:numId w:val="109"/>
        </w:numPr>
        <w:spacing w:after="100"/>
        <w:ind w:left="1248"/>
      </w:pPr>
      <w:r w:rsidRPr="00C611F5">
        <w:t>Knowledge/information management and public awareness</w:t>
      </w:r>
      <w:r w:rsidR="00430140" w:rsidRPr="00C611F5">
        <w:t>;</w:t>
      </w:r>
    </w:p>
    <w:p w:rsidR="000B4ED9" w:rsidRPr="00C611F5" w:rsidRDefault="000B4ED9" w:rsidP="007504EE">
      <w:pPr>
        <w:pStyle w:val="Normalnumber"/>
        <w:numPr>
          <w:ilvl w:val="1"/>
          <w:numId w:val="109"/>
        </w:numPr>
        <w:spacing w:after="100"/>
        <w:ind w:left="1248"/>
      </w:pPr>
      <w:r w:rsidRPr="00C611F5">
        <w:t xml:space="preserve">Information technology. </w:t>
      </w:r>
    </w:p>
    <w:p w:rsidR="000B4ED9" w:rsidRPr="00C611F5" w:rsidRDefault="000B4ED9" w:rsidP="007504EE">
      <w:pPr>
        <w:pStyle w:val="Normalnumber"/>
        <w:numPr>
          <w:ilvl w:val="0"/>
          <w:numId w:val="125"/>
        </w:numPr>
        <w:spacing w:after="100"/>
        <w:rPr>
          <w:rFonts w:eastAsia="MS Mincho"/>
        </w:rPr>
      </w:pPr>
      <w:r w:rsidRPr="00C611F5">
        <w:t>The</w:t>
      </w:r>
      <w:r w:rsidRPr="00C611F5">
        <w:rPr>
          <w:rFonts w:eastAsia="MS Mincho"/>
        </w:rPr>
        <w:t xml:space="preserve"> Technical </w:t>
      </w:r>
      <w:r w:rsidRPr="00C611F5">
        <w:t>Assistance</w:t>
      </w:r>
      <w:r w:rsidRPr="00C611F5">
        <w:rPr>
          <w:rFonts w:eastAsia="MS Mincho"/>
        </w:rPr>
        <w:t xml:space="preserve"> Branch is responsible for</w:t>
      </w:r>
      <w:r w:rsidR="00CE1B6B" w:rsidRPr="00C611F5">
        <w:rPr>
          <w:rFonts w:eastAsia="MS Mincho"/>
        </w:rPr>
        <w:t xml:space="preserve"> the following</w:t>
      </w:r>
      <w:r w:rsidRPr="00C611F5">
        <w:rPr>
          <w:rFonts w:eastAsia="MS Mincho"/>
        </w:rPr>
        <w:t>:</w:t>
      </w:r>
    </w:p>
    <w:p w:rsidR="005D09A5" w:rsidRPr="00C611F5" w:rsidRDefault="00CE1B6B" w:rsidP="007504EE">
      <w:pPr>
        <w:pStyle w:val="Normalnumber"/>
        <w:numPr>
          <w:ilvl w:val="1"/>
          <w:numId w:val="148"/>
        </w:numPr>
        <w:spacing w:after="100"/>
      </w:pPr>
      <w:r w:rsidRPr="00C611F5">
        <w:t>D</w:t>
      </w:r>
      <w:r w:rsidR="000B4ED9" w:rsidRPr="00C611F5">
        <w:t>evelopment and management of the technical assistance program</w:t>
      </w:r>
      <w:r w:rsidRPr="00C611F5">
        <w:t>me</w:t>
      </w:r>
      <w:r w:rsidR="000B4ED9" w:rsidRPr="00C611F5">
        <w:t xml:space="preserve"> for the conventions</w:t>
      </w:r>
      <w:r w:rsidRPr="00C611F5">
        <w:t>;</w:t>
      </w:r>
    </w:p>
    <w:p w:rsidR="005D09A5" w:rsidRPr="00C611F5" w:rsidRDefault="000B4ED9" w:rsidP="007504EE">
      <w:pPr>
        <w:pStyle w:val="Normalnumber"/>
        <w:numPr>
          <w:ilvl w:val="1"/>
          <w:numId w:val="109"/>
        </w:numPr>
        <w:spacing w:after="100"/>
        <w:ind w:left="1248"/>
      </w:pPr>
      <w:r w:rsidRPr="00C611F5">
        <w:t xml:space="preserve">Needs assessments (including </w:t>
      </w:r>
      <w:r w:rsidR="00CE1B6B" w:rsidRPr="00C611F5">
        <w:t>n</w:t>
      </w:r>
      <w:r w:rsidRPr="00C611F5">
        <w:t xml:space="preserve">ational </w:t>
      </w:r>
      <w:r w:rsidR="00CE1B6B" w:rsidRPr="00C611F5">
        <w:t>i</w:t>
      </w:r>
      <w:r w:rsidRPr="00C611F5">
        <w:t xml:space="preserve">mplementation </w:t>
      </w:r>
      <w:r w:rsidR="00CE1B6B" w:rsidRPr="00C611F5">
        <w:t>p</w:t>
      </w:r>
      <w:r w:rsidRPr="00C611F5">
        <w:t xml:space="preserve">lans, </w:t>
      </w:r>
      <w:r w:rsidR="00CE1B6B" w:rsidRPr="00C611F5">
        <w:t>n</w:t>
      </w:r>
      <w:r w:rsidRPr="00C611F5">
        <w:t xml:space="preserve">ational </w:t>
      </w:r>
      <w:r w:rsidR="00CE1B6B" w:rsidRPr="00C611F5">
        <w:t>a</w:t>
      </w:r>
      <w:r w:rsidRPr="00C611F5">
        <w:t xml:space="preserve">ction </w:t>
      </w:r>
      <w:r w:rsidR="00CE1B6B" w:rsidRPr="00C611F5">
        <w:t>p</w:t>
      </w:r>
      <w:r w:rsidRPr="00C611F5">
        <w:t>lans</w:t>
      </w:r>
      <w:r w:rsidR="00CE1B6B" w:rsidRPr="00C611F5">
        <w:t>,</w:t>
      </w:r>
      <w:r w:rsidRPr="00C611F5">
        <w:t xml:space="preserve"> </w:t>
      </w:r>
      <w:r w:rsidR="00E504D9" w:rsidRPr="00C611F5">
        <w:t>etc.</w:t>
      </w:r>
      <w:r w:rsidRPr="00C611F5">
        <w:t>)</w:t>
      </w:r>
      <w:r w:rsidR="00CE1B6B" w:rsidRPr="00C611F5">
        <w:t>;</w:t>
      </w:r>
    </w:p>
    <w:p w:rsidR="005D09A5" w:rsidRPr="00C611F5" w:rsidRDefault="002465F0" w:rsidP="007504EE">
      <w:pPr>
        <w:pStyle w:val="Normalnumber"/>
        <w:numPr>
          <w:ilvl w:val="1"/>
          <w:numId w:val="109"/>
        </w:numPr>
        <w:spacing w:after="100"/>
        <w:ind w:left="1248"/>
      </w:pPr>
      <w:r w:rsidRPr="00C611F5">
        <w:t>Capacity-</w:t>
      </w:r>
      <w:r w:rsidR="000B4ED9" w:rsidRPr="00C611F5">
        <w:t>building and training activities (including projects, workshops, webinars, online training</w:t>
      </w:r>
      <w:r w:rsidR="006458CE" w:rsidRPr="00C611F5">
        <w:t>,</w:t>
      </w:r>
      <w:r w:rsidR="000B4ED9" w:rsidRPr="00C611F5">
        <w:t xml:space="preserve"> </w:t>
      </w:r>
      <w:r w:rsidR="00E504D9" w:rsidRPr="00C611F5">
        <w:t>etc.</w:t>
      </w:r>
      <w:r w:rsidR="000B4ED9" w:rsidRPr="00C611F5">
        <w:t>)</w:t>
      </w:r>
      <w:r w:rsidR="00CE1B6B" w:rsidRPr="00C611F5">
        <w:t>;</w:t>
      </w:r>
    </w:p>
    <w:p w:rsidR="005D09A5" w:rsidRPr="00C611F5" w:rsidRDefault="000B4ED9" w:rsidP="007504EE">
      <w:pPr>
        <w:pStyle w:val="Normalnumber"/>
        <w:numPr>
          <w:ilvl w:val="1"/>
          <w:numId w:val="109"/>
        </w:numPr>
        <w:spacing w:after="100"/>
        <w:ind w:left="1248"/>
      </w:pPr>
      <w:r w:rsidRPr="00C611F5">
        <w:t>Partnerships</w:t>
      </w:r>
      <w:r w:rsidR="00CE1B6B" w:rsidRPr="00C611F5">
        <w:t>;</w:t>
      </w:r>
    </w:p>
    <w:p w:rsidR="000B4ED9" w:rsidRPr="00C611F5" w:rsidRDefault="000B4ED9" w:rsidP="007504EE">
      <w:pPr>
        <w:pStyle w:val="Normalnumber"/>
        <w:numPr>
          <w:ilvl w:val="1"/>
          <w:numId w:val="109"/>
        </w:numPr>
        <w:spacing w:after="100"/>
        <w:ind w:left="1248"/>
      </w:pPr>
      <w:r w:rsidRPr="00C611F5">
        <w:t xml:space="preserve">Regional centres. </w:t>
      </w:r>
    </w:p>
    <w:p w:rsidR="000B4ED9" w:rsidRPr="00C611F5" w:rsidRDefault="000B4ED9" w:rsidP="007504EE">
      <w:pPr>
        <w:pStyle w:val="Normalnumber"/>
        <w:numPr>
          <w:ilvl w:val="0"/>
          <w:numId w:val="125"/>
        </w:numPr>
        <w:spacing w:after="100"/>
      </w:pPr>
      <w:r w:rsidRPr="00C611F5">
        <w:t>The Scientific Support Branch is responsible for</w:t>
      </w:r>
      <w:r w:rsidR="00CE1B6B" w:rsidRPr="00C611F5">
        <w:t xml:space="preserve"> the following</w:t>
      </w:r>
      <w:r w:rsidRPr="00C611F5">
        <w:t>:</w:t>
      </w:r>
    </w:p>
    <w:p w:rsidR="005D09A5" w:rsidRPr="00C611F5" w:rsidRDefault="000B4ED9" w:rsidP="007504EE">
      <w:pPr>
        <w:pStyle w:val="Normalnumber"/>
        <w:numPr>
          <w:ilvl w:val="1"/>
          <w:numId w:val="149"/>
        </w:numPr>
        <w:spacing w:after="100"/>
      </w:pPr>
      <w:r w:rsidRPr="00C611F5">
        <w:t>Providing technical and scientific input</w:t>
      </w:r>
      <w:r w:rsidR="00CE1B6B" w:rsidRPr="00C611F5">
        <w:t>;</w:t>
      </w:r>
    </w:p>
    <w:p w:rsidR="005D09A5" w:rsidRPr="00C611F5" w:rsidRDefault="000B4ED9" w:rsidP="007504EE">
      <w:pPr>
        <w:pStyle w:val="Normalnumber"/>
        <w:numPr>
          <w:ilvl w:val="1"/>
          <w:numId w:val="109"/>
        </w:numPr>
        <w:spacing w:after="100"/>
        <w:ind w:left="1248"/>
      </w:pPr>
      <w:r w:rsidRPr="00C611F5">
        <w:t>Supporting the scientific work of the conferences of the parties and their subsidiary bodies, including intersessional work</w:t>
      </w:r>
      <w:r w:rsidR="00CE1B6B" w:rsidRPr="00C611F5">
        <w:t>;</w:t>
      </w:r>
    </w:p>
    <w:p w:rsidR="005D09A5" w:rsidRPr="00C611F5" w:rsidRDefault="000B4ED9" w:rsidP="007504EE">
      <w:pPr>
        <w:pStyle w:val="Normalnumber"/>
        <w:numPr>
          <w:ilvl w:val="1"/>
          <w:numId w:val="109"/>
        </w:numPr>
        <w:spacing w:after="100"/>
        <w:ind w:left="1248"/>
      </w:pPr>
      <w:r w:rsidRPr="00C611F5">
        <w:t>Develop</w:t>
      </w:r>
      <w:r w:rsidR="00CE1B6B" w:rsidRPr="00C611F5">
        <w:t>ing</w:t>
      </w:r>
      <w:r w:rsidRPr="00C611F5">
        <w:t xml:space="preserve"> technical documents, including guidelines and guidance</w:t>
      </w:r>
      <w:r w:rsidR="00CE1B6B" w:rsidRPr="00C611F5">
        <w:t>;</w:t>
      </w:r>
    </w:p>
    <w:p w:rsidR="005D09A5" w:rsidRPr="00C611F5" w:rsidRDefault="000B4ED9" w:rsidP="007504EE">
      <w:pPr>
        <w:pStyle w:val="Normalnumber"/>
        <w:numPr>
          <w:ilvl w:val="1"/>
          <w:numId w:val="109"/>
        </w:numPr>
        <w:spacing w:after="100"/>
        <w:ind w:left="1248"/>
      </w:pPr>
      <w:r w:rsidRPr="00C611F5">
        <w:t>Managing the collection, review, assessment and evaluation of scientific and technical information</w:t>
      </w:r>
      <w:r w:rsidR="00CE1B6B" w:rsidRPr="00C611F5">
        <w:t>;</w:t>
      </w:r>
    </w:p>
    <w:p w:rsidR="005974D6" w:rsidRDefault="00CE1B6B" w:rsidP="007504EE">
      <w:pPr>
        <w:pStyle w:val="Normalnumber"/>
        <w:numPr>
          <w:ilvl w:val="1"/>
          <w:numId w:val="109"/>
        </w:numPr>
        <w:spacing w:after="100"/>
        <w:ind w:left="1248"/>
      </w:pPr>
      <w:r w:rsidRPr="00C611F5">
        <w:t>Drawing up n</w:t>
      </w:r>
      <w:r w:rsidR="000B4ED9" w:rsidRPr="00C611F5">
        <w:t>ational reports, notifications and exemptions.</w:t>
      </w:r>
    </w:p>
    <w:p w:rsidR="006D078D" w:rsidRPr="00C611F5" w:rsidRDefault="000B4ED9" w:rsidP="005974D6">
      <w:pPr>
        <w:pStyle w:val="Normal-pool"/>
        <w:sectPr w:rsidR="006D078D" w:rsidRPr="00C611F5" w:rsidSect="00102802">
          <w:footnotePr>
            <w:numRestart w:val="eachSect"/>
          </w:footnotePr>
          <w:pgSz w:w="11906" w:h="16838" w:code="9"/>
          <w:pgMar w:top="907" w:right="992" w:bottom="1418" w:left="1418" w:header="539" w:footer="975" w:gutter="0"/>
          <w:cols w:space="539"/>
          <w:titlePg/>
          <w:docGrid w:linePitch="360"/>
        </w:sectPr>
      </w:pPr>
      <w:r w:rsidRPr="00C611F5">
        <w:t xml:space="preserve"> </w:t>
      </w:r>
    </w:p>
    <w:p w:rsidR="000B4ED9" w:rsidRPr="00C611F5" w:rsidRDefault="00E573F4" w:rsidP="00EE1335">
      <w:pPr>
        <w:pStyle w:val="ZZAnxheader"/>
      </w:pPr>
      <w:r w:rsidRPr="00C611F5">
        <w:t xml:space="preserve">Appendix </w:t>
      </w:r>
      <w:r w:rsidR="000B4ED9" w:rsidRPr="00C611F5">
        <w:t>3</w:t>
      </w:r>
    </w:p>
    <w:p w:rsidR="00527342" w:rsidRPr="00C611F5" w:rsidRDefault="000B4ED9" w:rsidP="00EE1335">
      <w:pPr>
        <w:pStyle w:val="ZZAnxtitle"/>
      </w:pPr>
      <w:r w:rsidRPr="00C611F5">
        <w:t xml:space="preserve">Assessment of </w:t>
      </w:r>
      <w:r w:rsidR="00BB471B" w:rsidRPr="00C611F5">
        <w:t>select</w:t>
      </w:r>
      <w:r w:rsidR="00CB0BAE" w:rsidRPr="00C611F5">
        <w:t>ed</w:t>
      </w:r>
      <w:r w:rsidRPr="00C611F5">
        <w:t xml:space="preserve"> locations for the </w:t>
      </w:r>
      <w:r w:rsidR="00527290" w:rsidRPr="00C611F5">
        <w:t>secretariat of the Minamata Convention</w:t>
      </w:r>
      <w:r w:rsidRPr="00C611F5">
        <w:t xml:space="preserve"> on Mercury</w:t>
      </w:r>
    </w:p>
    <w:tbl>
      <w:tblPr>
        <w:tblW w:w="836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260"/>
        <w:gridCol w:w="3260"/>
      </w:tblGrid>
      <w:tr w:rsidR="00043773" w:rsidRPr="00C611F5" w:rsidTr="00D64993">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D300A" w:rsidRPr="00C611F5" w:rsidRDefault="000D300A" w:rsidP="00D424C5">
            <w:pPr>
              <w:spacing w:after="60"/>
              <w:rPr>
                <w:sz w:val="18"/>
                <w:szCs w:val="18"/>
              </w:rPr>
            </w:pPr>
            <w:r w:rsidRPr="00C611F5">
              <w:rPr>
                <w:sz w:val="18"/>
                <w:szCs w:val="18"/>
              </w:rPr>
              <w:t xml:space="preserve">Location </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D300A" w:rsidRPr="00C611F5" w:rsidRDefault="000D300A" w:rsidP="00D424C5">
            <w:pPr>
              <w:spacing w:after="60"/>
              <w:rPr>
                <w:sz w:val="18"/>
                <w:szCs w:val="18"/>
              </w:rPr>
            </w:pPr>
            <w:r w:rsidRPr="00C611F5">
              <w:rPr>
                <w:sz w:val="18"/>
                <w:szCs w:val="18"/>
              </w:rPr>
              <w:t>Advantages</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D300A" w:rsidRPr="00C611F5" w:rsidRDefault="000D300A" w:rsidP="00D424C5">
            <w:pPr>
              <w:spacing w:after="60"/>
              <w:rPr>
                <w:sz w:val="18"/>
                <w:szCs w:val="18"/>
              </w:rPr>
            </w:pPr>
            <w:r w:rsidRPr="00C611F5">
              <w:rPr>
                <w:sz w:val="18"/>
                <w:szCs w:val="18"/>
              </w:rPr>
              <w:t>Costs in USD</w:t>
            </w:r>
            <w:r w:rsidR="004F4FE0" w:rsidRPr="00C611F5">
              <w:rPr>
                <w:rStyle w:val="FootnoteReference"/>
                <w:sz w:val="18"/>
              </w:rPr>
              <w:footnoteReference w:id="6"/>
            </w:r>
          </w:p>
        </w:tc>
      </w:tr>
      <w:tr w:rsidR="00043773" w:rsidRPr="00C611F5" w:rsidTr="00D64993">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D300A" w:rsidRPr="00C611F5" w:rsidRDefault="000D300A" w:rsidP="00D424C5">
            <w:pPr>
              <w:spacing w:after="60"/>
              <w:rPr>
                <w:sz w:val="18"/>
                <w:szCs w:val="18"/>
              </w:rPr>
            </w:pPr>
            <w:r w:rsidRPr="00C611F5">
              <w:rPr>
                <w:sz w:val="18"/>
                <w:szCs w:val="18"/>
              </w:rPr>
              <w:t>Geneva</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B4218" w:rsidRPr="00C611F5" w:rsidRDefault="00555D13" w:rsidP="00EF3F60">
            <w:pPr>
              <w:spacing w:after="60"/>
              <w:rPr>
                <w:sz w:val="18"/>
                <w:szCs w:val="18"/>
              </w:rPr>
            </w:pPr>
            <w:r w:rsidRPr="00C611F5">
              <w:rPr>
                <w:sz w:val="18"/>
                <w:szCs w:val="18"/>
              </w:rPr>
              <w:t>L</w:t>
            </w:r>
            <w:r w:rsidR="000D300A" w:rsidRPr="00C611F5">
              <w:rPr>
                <w:sz w:val="18"/>
                <w:szCs w:val="18"/>
              </w:rPr>
              <w:t xml:space="preserve">ocation </w:t>
            </w:r>
            <w:r w:rsidRPr="00C611F5">
              <w:rPr>
                <w:sz w:val="18"/>
                <w:szCs w:val="18"/>
              </w:rPr>
              <w:t xml:space="preserve">close </w:t>
            </w:r>
            <w:r w:rsidR="000D300A" w:rsidRPr="00C611F5">
              <w:rPr>
                <w:sz w:val="18"/>
                <w:szCs w:val="18"/>
              </w:rPr>
              <w:t xml:space="preserve">to </w:t>
            </w:r>
            <w:r w:rsidR="00E573F4" w:rsidRPr="00C611F5">
              <w:rPr>
                <w:sz w:val="18"/>
                <w:szCs w:val="18"/>
              </w:rPr>
              <w:t xml:space="preserve">the secretariat of the </w:t>
            </w:r>
            <w:r w:rsidR="008330C4" w:rsidRPr="00C611F5">
              <w:rPr>
                <w:sz w:val="18"/>
                <w:szCs w:val="18"/>
              </w:rPr>
              <w:t>Basel, Rotterdam and Stockholm</w:t>
            </w:r>
            <w:r w:rsidR="00E573F4" w:rsidRPr="00C611F5">
              <w:rPr>
                <w:sz w:val="18"/>
                <w:szCs w:val="18"/>
              </w:rPr>
              <w:t xml:space="preserve"> conventions</w:t>
            </w:r>
            <w:r w:rsidR="000D300A" w:rsidRPr="00C611F5">
              <w:rPr>
                <w:sz w:val="18"/>
                <w:szCs w:val="18"/>
              </w:rPr>
              <w:t xml:space="preserve">, </w:t>
            </w:r>
            <w:r w:rsidRPr="00C611F5">
              <w:rPr>
                <w:sz w:val="18"/>
                <w:szCs w:val="18"/>
              </w:rPr>
              <w:t xml:space="preserve">the </w:t>
            </w:r>
            <w:r w:rsidR="000D300A" w:rsidRPr="00C611F5">
              <w:rPr>
                <w:sz w:val="18"/>
                <w:szCs w:val="18"/>
              </w:rPr>
              <w:t>Chemical</w:t>
            </w:r>
            <w:r w:rsidR="00E573F4" w:rsidRPr="00C611F5">
              <w:rPr>
                <w:sz w:val="18"/>
                <w:szCs w:val="18"/>
              </w:rPr>
              <w:t>s</w:t>
            </w:r>
            <w:r w:rsidR="000D300A" w:rsidRPr="00C611F5">
              <w:rPr>
                <w:sz w:val="18"/>
                <w:szCs w:val="18"/>
              </w:rPr>
              <w:t xml:space="preserve"> and </w:t>
            </w:r>
            <w:r w:rsidR="00647A0F" w:rsidRPr="00C611F5">
              <w:rPr>
                <w:sz w:val="18"/>
                <w:szCs w:val="18"/>
              </w:rPr>
              <w:t>W</w:t>
            </w:r>
            <w:r w:rsidR="000D300A" w:rsidRPr="00C611F5">
              <w:rPr>
                <w:sz w:val="18"/>
                <w:szCs w:val="18"/>
              </w:rPr>
              <w:t xml:space="preserve">aste </w:t>
            </w:r>
            <w:r w:rsidR="00E573F4" w:rsidRPr="00C611F5">
              <w:rPr>
                <w:sz w:val="18"/>
                <w:szCs w:val="18"/>
              </w:rPr>
              <w:t>Branch</w:t>
            </w:r>
            <w:r w:rsidR="000D300A" w:rsidRPr="00C611F5">
              <w:rPr>
                <w:sz w:val="18"/>
                <w:szCs w:val="18"/>
              </w:rPr>
              <w:t xml:space="preserve">, </w:t>
            </w:r>
            <w:r w:rsidR="00E573F4" w:rsidRPr="00C611F5">
              <w:rPr>
                <w:sz w:val="18"/>
                <w:szCs w:val="18"/>
              </w:rPr>
              <w:t xml:space="preserve">the </w:t>
            </w:r>
            <w:r w:rsidR="002B4128" w:rsidRPr="00C611F5">
              <w:rPr>
                <w:sz w:val="18"/>
                <w:szCs w:val="18"/>
              </w:rPr>
              <w:t xml:space="preserve">secretariat of the </w:t>
            </w:r>
            <w:r w:rsidR="00697B38" w:rsidRPr="00C611F5">
              <w:rPr>
                <w:sz w:val="18"/>
                <w:szCs w:val="18"/>
              </w:rPr>
              <w:t>S</w:t>
            </w:r>
            <w:r w:rsidR="00E573F4" w:rsidRPr="00C611F5">
              <w:rPr>
                <w:sz w:val="18"/>
                <w:szCs w:val="18"/>
              </w:rPr>
              <w:t xml:space="preserve">trategic </w:t>
            </w:r>
            <w:r w:rsidR="00697B38" w:rsidRPr="00C611F5">
              <w:rPr>
                <w:sz w:val="18"/>
                <w:szCs w:val="18"/>
              </w:rPr>
              <w:t>A</w:t>
            </w:r>
            <w:r w:rsidR="00E573F4" w:rsidRPr="00C611F5">
              <w:rPr>
                <w:sz w:val="18"/>
                <w:szCs w:val="18"/>
              </w:rPr>
              <w:t xml:space="preserve">pproach to </w:t>
            </w:r>
            <w:r w:rsidR="00697B38" w:rsidRPr="00C611F5">
              <w:rPr>
                <w:sz w:val="18"/>
                <w:szCs w:val="18"/>
              </w:rPr>
              <w:t>I</w:t>
            </w:r>
            <w:r w:rsidR="00E573F4" w:rsidRPr="00C611F5">
              <w:rPr>
                <w:sz w:val="18"/>
                <w:szCs w:val="18"/>
              </w:rPr>
              <w:t xml:space="preserve">nternational </w:t>
            </w:r>
            <w:r w:rsidR="00697B38" w:rsidRPr="00C611F5">
              <w:rPr>
                <w:sz w:val="18"/>
                <w:szCs w:val="18"/>
              </w:rPr>
              <w:t>C</w:t>
            </w:r>
            <w:r w:rsidR="00E573F4" w:rsidRPr="00C611F5">
              <w:rPr>
                <w:sz w:val="18"/>
                <w:szCs w:val="18"/>
              </w:rPr>
              <w:t xml:space="preserve">hemicals </w:t>
            </w:r>
            <w:r w:rsidR="00697B38" w:rsidRPr="00C611F5">
              <w:rPr>
                <w:sz w:val="18"/>
                <w:szCs w:val="18"/>
              </w:rPr>
              <w:t>M</w:t>
            </w:r>
            <w:r w:rsidR="00E573F4" w:rsidRPr="00C611F5">
              <w:rPr>
                <w:sz w:val="18"/>
                <w:szCs w:val="18"/>
              </w:rPr>
              <w:t>anagement</w:t>
            </w:r>
            <w:r w:rsidR="00697B38" w:rsidRPr="00C611F5">
              <w:rPr>
                <w:sz w:val="18"/>
                <w:szCs w:val="18"/>
              </w:rPr>
              <w:t xml:space="preserve">, </w:t>
            </w:r>
            <w:r w:rsidR="000D300A" w:rsidRPr="00C611F5">
              <w:rPr>
                <w:sz w:val="18"/>
                <w:szCs w:val="18"/>
              </w:rPr>
              <w:t>UNEP G</w:t>
            </w:r>
            <w:r w:rsidR="00E573F4" w:rsidRPr="00C611F5">
              <w:rPr>
                <w:sz w:val="18"/>
                <w:szCs w:val="18"/>
              </w:rPr>
              <w:t xml:space="preserve">lobal </w:t>
            </w:r>
            <w:r w:rsidR="000D300A" w:rsidRPr="00C611F5">
              <w:rPr>
                <w:sz w:val="18"/>
                <w:szCs w:val="18"/>
              </w:rPr>
              <w:t>M</w:t>
            </w:r>
            <w:r w:rsidR="00E573F4" w:rsidRPr="00C611F5">
              <w:rPr>
                <w:sz w:val="18"/>
                <w:szCs w:val="18"/>
              </w:rPr>
              <w:t xml:space="preserve">ercury </w:t>
            </w:r>
            <w:r w:rsidR="000D300A" w:rsidRPr="00C611F5">
              <w:rPr>
                <w:sz w:val="18"/>
                <w:szCs w:val="18"/>
              </w:rPr>
              <w:t>P</w:t>
            </w:r>
            <w:r w:rsidR="00E573F4" w:rsidRPr="00C611F5">
              <w:rPr>
                <w:sz w:val="18"/>
                <w:szCs w:val="18"/>
              </w:rPr>
              <w:t>roject</w:t>
            </w:r>
            <w:r w:rsidR="000D300A" w:rsidRPr="00C611F5">
              <w:rPr>
                <w:sz w:val="18"/>
                <w:szCs w:val="18"/>
              </w:rPr>
              <w:t xml:space="preserve">, </w:t>
            </w:r>
            <w:r w:rsidRPr="00C611F5">
              <w:rPr>
                <w:sz w:val="18"/>
                <w:szCs w:val="18"/>
              </w:rPr>
              <w:t>the R</w:t>
            </w:r>
            <w:r w:rsidR="00BB471B" w:rsidRPr="00C611F5">
              <w:rPr>
                <w:sz w:val="18"/>
                <w:szCs w:val="18"/>
              </w:rPr>
              <w:t xml:space="preserve">egional </w:t>
            </w:r>
            <w:r w:rsidRPr="00C611F5">
              <w:rPr>
                <w:sz w:val="18"/>
                <w:szCs w:val="18"/>
              </w:rPr>
              <w:t>O</w:t>
            </w:r>
            <w:r w:rsidR="00BB471B" w:rsidRPr="00C611F5">
              <w:rPr>
                <w:sz w:val="18"/>
                <w:szCs w:val="18"/>
              </w:rPr>
              <w:t>ffice for Europe,</w:t>
            </w:r>
            <w:r w:rsidR="008C2603" w:rsidRPr="00C611F5">
              <w:rPr>
                <w:sz w:val="18"/>
                <w:szCs w:val="18"/>
              </w:rPr>
              <w:t xml:space="preserve"> </w:t>
            </w:r>
            <w:r w:rsidRPr="00C611F5">
              <w:rPr>
                <w:sz w:val="18"/>
                <w:szCs w:val="18"/>
              </w:rPr>
              <w:t xml:space="preserve">the </w:t>
            </w:r>
            <w:r w:rsidR="000D300A" w:rsidRPr="00C611F5">
              <w:rPr>
                <w:sz w:val="18"/>
                <w:szCs w:val="18"/>
              </w:rPr>
              <w:t>W</w:t>
            </w:r>
            <w:r w:rsidR="00E573F4" w:rsidRPr="00C611F5">
              <w:rPr>
                <w:sz w:val="18"/>
                <w:szCs w:val="18"/>
              </w:rPr>
              <w:t xml:space="preserve">orld </w:t>
            </w:r>
            <w:r w:rsidR="000D300A" w:rsidRPr="00C611F5">
              <w:rPr>
                <w:sz w:val="18"/>
                <w:szCs w:val="18"/>
              </w:rPr>
              <w:t>H</w:t>
            </w:r>
            <w:r w:rsidR="00E573F4" w:rsidRPr="00C611F5">
              <w:rPr>
                <w:sz w:val="18"/>
                <w:szCs w:val="18"/>
              </w:rPr>
              <w:t xml:space="preserve">ealth </w:t>
            </w:r>
            <w:r w:rsidR="000D300A" w:rsidRPr="00C611F5">
              <w:rPr>
                <w:sz w:val="18"/>
                <w:szCs w:val="18"/>
              </w:rPr>
              <w:t>O</w:t>
            </w:r>
            <w:r w:rsidR="00E573F4" w:rsidRPr="00C611F5">
              <w:rPr>
                <w:sz w:val="18"/>
                <w:szCs w:val="18"/>
              </w:rPr>
              <w:t>rganization</w:t>
            </w:r>
            <w:r w:rsidR="000D300A" w:rsidRPr="00C611F5">
              <w:rPr>
                <w:sz w:val="18"/>
                <w:szCs w:val="18"/>
              </w:rPr>
              <w:t xml:space="preserve">, </w:t>
            </w:r>
            <w:r w:rsidRPr="00C611F5">
              <w:rPr>
                <w:sz w:val="18"/>
                <w:szCs w:val="18"/>
              </w:rPr>
              <w:t xml:space="preserve">the </w:t>
            </w:r>
            <w:r w:rsidR="000D300A" w:rsidRPr="00C611F5">
              <w:rPr>
                <w:sz w:val="18"/>
                <w:szCs w:val="18"/>
              </w:rPr>
              <w:t>I</w:t>
            </w:r>
            <w:r w:rsidR="00E573F4" w:rsidRPr="00C611F5">
              <w:rPr>
                <w:sz w:val="18"/>
                <w:szCs w:val="18"/>
              </w:rPr>
              <w:t xml:space="preserve">nternational </w:t>
            </w:r>
            <w:r w:rsidR="000D300A" w:rsidRPr="00C611F5">
              <w:rPr>
                <w:sz w:val="18"/>
                <w:szCs w:val="18"/>
              </w:rPr>
              <w:t>L</w:t>
            </w:r>
            <w:r w:rsidR="00E573F4" w:rsidRPr="00C611F5">
              <w:rPr>
                <w:sz w:val="18"/>
                <w:szCs w:val="18"/>
              </w:rPr>
              <w:t xml:space="preserve">abour </w:t>
            </w:r>
            <w:r w:rsidR="000D300A" w:rsidRPr="00C611F5">
              <w:rPr>
                <w:sz w:val="18"/>
                <w:szCs w:val="18"/>
              </w:rPr>
              <w:t>O</w:t>
            </w:r>
            <w:r w:rsidR="00E573F4" w:rsidRPr="00C611F5">
              <w:rPr>
                <w:sz w:val="18"/>
                <w:szCs w:val="18"/>
              </w:rPr>
              <w:t>rganization</w:t>
            </w:r>
            <w:r w:rsidR="000D300A" w:rsidRPr="00C611F5">
              <w:rPr>
                <w:sz w:val="18"/>
                <w:szCs w:val="18"/>
              </w:rPr>
              <w:t xml:space="preserve">, </w:t>
            </w:r>
            <w:r w:rsidRPr="00C611F5">
              <w:rPr>
                <w:sz w:val="18"/>
                <w:szCs w:val="18"/>
              </w:rPr>
              <w:t xml:space="preserve">the </w:t>
            </w:r>
            <w:r w:rsidR="000D300A" w:rsidRPr="00C611F5">
              <w:rPr>
                <w:sz w:val="18"/>
                <w:szCs w:val="18"/>
              </w:rPr>
              <w:t>W</w:t>
            </w:r>
            <w:r w:rsidR="00E573F4" w:rsidRPr="00C611F5">
              <w:rPr>
                <w:sz w:val="18"/>
                <w:szCs w:val="18"/>
              </w:rPr>
              <w:t xml:space="preserve">orld </w:t>
            </w:r>
            <w:r w:rsidR="000D300A" w:rsidRPr="00C611F5">
              <w:rPr>
                <w:sz w:val="18"/>
                <w:szCs w:val="18"/>
              </w:rPr>
              <w:t>T</w:t>
            </w:r>
            <w:r w:rsidR="00E573F4" w:rsidRPr="00C611F5">
              <w:rPr>
                <w:sz w:val="18"/>
                <w:szCs w:val="18"/>
              </w:rPr>
              <w:t xml:space="preserve">rade </w:t>
            </w:r>
            <w:r w:rsidR="000D300A" w:rsidRPr="00C611F5">
              <w:rPr>
                <w:sz w:val="18"/>
                <w:szCs w:val="18"/>
              </w:rPr>
              <w:t>O</w:t>
            </w:r>
            <w:r w:rsidR="00E573F4" w:rsidRPr="00C611F5">
              <w:rPr>
                <w:sz w:val="18"/>
                <w:szCs w:val="18"/>
              </w:rPr>
              <w:t>rganization</w:t>
            </w:r>
            <w:r w:rsidR="000D300A" w:rsidRPr="00C611F5">
              <w:rPr>
                <w:sz w:val="18"/>
                <w:szCs w:val="18"/>
              </w:rPr>
              <w:t xml:space="preserve">, </w:t>
            </w:r>
            <w:r w:rsidRPr="00C611F5">
              <w:rPr>
                <w:sz w:val="18"/>
                <w:szCs w:val="18"/>
              </w:rPr>
              <w:t xml:space="preserve">the </w:t>
            </w:r>
            <w:r w:rsidR="00BB4218" w:rsidRPr="00C611F5">
              <w:rPr>
                <w:sz w:val="18"/>
                <w:szCs w:val="18"/>
              </w:rPr>
              <w:t>U</w:t>
            </w:r>
            <w:r w:rsidR="00E573F4" w:rsidRPr="00C611F5">
              <w:rPr>
                <w:sz w:val="18"/>
                <w:szCs w:val="18"/>
              </w:rPr>
              <w:t>nited</w:t>
            </w:r>
            <w:r w:rsidR="00EF3F60">
              <w:rPr>
                <w:sz w:val="18"/>
                <w:szCs w:val="18"/>
              </w:rPr>
              <w:t> </w:t>
            </w:r>
            <w:r w:rsidR="00BB4218" w:rsidRPr="00C611F5">
              <w:rPr>
                <w:sz w:val="18"/>
                <w:szCs w:val="18"/>
              </w:rPr>
              <w:t>N</w:t>
            </w:r>
            <w:r w:rsidR="00E573F4" w:rsidRPr="00C611F5">
              <w:rPr>
                <w:sz w:val="18"/>
                <w:szCs w:val="18"/>
              </w:rPr>
              <w:t xml:space="preserve">ations </w:t>
            </w:r>
            <w:r w:rsidR="00BB4218" w:rsidRPr="00C611F5">
              <w:rPr>
                <w:sz w:val="18"/>
                <w:szCs w:val="18"/>
              </w:rPr>
              <w:t>I</w:t>
            </w:r>
            <w:r w:rsidR="00E573F4" w:rsidRPr="00C611F5">
              <w:rPr>
                <w:sz w:val="18"/>
                <w:szCs w:val="18"/>
              </w:rPr>
              <w:t xml:space="preserve">nstitute for </w:t>
            </w:r>
            <w:r w:rsidR="00BB4218" w:rsidRPr="00C611F5">
              <w:rPr>
                <w:sz w:val="18"/>
                <w:szCs w:val="18"/>
              </w:rPr>
              <w:t>T</w:t>
            </w:r>
            <w:r w:rsidR="00E573F4" w:rsidRPr="00C611F5">
              <w:rPr>
                <w:sz w:val="18"/>
                <w:szCs w:val="18"/>
              </w:rPr>
              <w:t xml:space="preserve">raining and </w:t>
            </w:r>
            <w:r w:rsidR="00BB4218" w:rsidRPr="00C611F5">
              <w:rPr>
                <w:sz w:val="18"/>
                <w:szCs w:val="18"/>
              </w:rPr>
              <w:t>R</w:t>
            </w:r>
            <w:r w:rsidR="00E573F4" w:rsidRPr="00C611F5">
              <w:rPr>
                <w:sz w:val="18"/>
                <w:szCs w:val="18"/>
              </w:rPr>
              <w:t>esearch</w:t>
            </w:r>
            <w:r w:rsidR="00BB4218" w:rsidRPr="00C611F5">
              <w:rPr>
                <w:sz w:val="18"/>
                <w:szCs w:val="18"/>
              </w:rPr>
              <w:t>,</w:t>
            </w:r>
            <w:r w:rsidR="008C2603" w:rsidRPr="00C611F5">
              <w:rPr>
                <w:sz w:val="18"/>
                <w:szCs w:val="18"/>
              </w:rPr>
              <w:t xml:space="preserve"> </w:t>
            </w:r>
            <w:r w:rsidRPr="00C611F5">
              <w:rPr>
                <w:sz w:val="18"/>
                <w:szCs w:val="18"/>
              </w:rPr>
              <w:t xml:space="preserve">the </w:t>
            </w:r>
            <w:r w:rsidR="00BB4218" w:rsidRPr="00C611F5">
              <w:rPr>
                <w:sz w:val="18"/>
                <w:szCs w:val="18"/>
              </w:rPr>
              <w:t>E</w:t>
            </w:r>
            <w:r w:rsidR="00E573F4" w:rsidRPr="00C611F5">
              <w:rPr>
                <w:sz w:val="18"/>
                <w:szCs w:val="18"/>
              </w:rPr>
              <w:t xml:space="preserve">conomic </w:t>
            </w:r>
            <w:r w:rsidR="00BB4218" w:rsidRPr="00C611F5">
              <w:rPr>
                <w:sz w:val="18"/>
                <w:szCs w:val="18"/>
              </w:rPr>
              <w:t>C</w:t>
            </w:r>
            <w:r w:rsidR="00E573F4" w:rsidRPr="00C611F5">
              <w:rPr>
                <w:sz w:val="18"/>
                <w:szCs w:val="18"/>
              </w:rPr>
              <w:t xml:space="preserve">ommission for </w:t>
            </w:r>
            <w:r w:rsidR="00BB4218" w:rsidRPr="00C611F5">
              <w:rPr>
                <w:sz w:val="18"/>
                <w:szCs w:val="18"/>
              </w:rPr>
              <w:t>E</w:t>
            </w:r>
            <w:r w:rsidR="00E573F4" w:rsidRPr="00C611F5">
              <w:rPr>
                <w:sz w:val="18"/>
                <w:szCs w:val="18"/>
              </w:rPr>
              <w:t>urope</w:t>
            </w:r>
            <w:r w:rsidR="00BB4218" w:rsidRPr="00C611F5">
              <w:rPr>
                <w:sz w:val="18"/>
                <w:szCs w:val="18"/>
              </w:rPr>
              <w:t xml:space="preserve">, </w:t>
            </w:r>
            <w:r w:rsidR="00697B38" w:rsidRPr="00C611F5">
              <w:rPr>
                <w:sz w:val="18"/>
                <w:szCs w:val="18"/>
              </w:rPr>
              <w:t xml:space="preserve">other </w:t>
            </w:r>
            <w:r w:rsidR="00E573F4" w:rsidRPr="00C611F5">
              <w:rPr>
                <w:sz w:val="18"/>
                <w:szCs w:val="18"/>
              </w:rPr>
              <w:t>intergovernmental organizations</w:t>
            </w:r>
            <w:r w:rsidR="00697B38" w:rsidRPr="00C611F5">
              <w:rPr>
                <w:sz w:val="18"/>
                <w:szCs w:val="18"/>
              </w:rPr>
              <w:t xml:space="preserve"> and </w:t>
            </w:r>
            <w:r w:rsidR="00BB471B" w:rsidRPr="00C611F5">
              <w:rPr>
                <w:sz w:val="18"/>
                <w:szCs w:val="18"/>
              </w:rPr>
              <w:t xml:space="preserve">permanent </w:t>
            </w:r>
            <w:r w:rsidR="000D300A" w:rsidRPr="00C611F5">
              <w:rPr>
                <w:sz w:val="18"/>
                <w:szCs w:val="18"/>
              </w:rPr>
              <w:t>missions</w:t>
            </w:r>
            <w:r w:rsidR="00697B38" w:rsidRPr="00C611F5">
              <w:rPr>
                <w:sz w:val="18"/>
                <w:szCs w:val="18"/>
              </w:rPr>
              <w:t xml:space="preserve"> (joint briefing on chemicals and waste issues)</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D300A" w:rsidRPr="00C611F5" w:rsidRDefault="000D300A" w:rsidP="00D424C5">
            <w:pPr>
              <w:spacing w:after="60"/>
              <w:rPr>
                <w:sz w:val="18"/>
                <w:szCs w:val="18"/>
              </w:rPr>
            </w:pPr>
            <w:r w:rsidRPr="00C611F5">
              <w:rPr>
                <w:sz w:val="18"/>
                <w:szCs w:val="18"/>
              </w:rPr>
              <w:t>Salaries</w:t>
            </w:r>
            <w:r w:rsidR="00E573F4" w:rsidRPr="00C611F5">
              <w:rPr>
                <w:sz w:val="18"/>
                <w:szCs w:val="18"/>
              </w:rPr>
              <w:t>:</w:t>
            </w:r>
            <w:r w:rsidRPr="00C611F5">
              <w:rPr>
                <w:sz w:val="18"/>
                <w:szCs w:val="18"/>
              </w:rPr>
              <w:t xml:space="preserve"> $</w:t>
            </w:r>
            <w:r w:rsidR="00D01B80">
              <w:rPr>
                <w:sz w:val="18"/>
                <w:szCs w:val="18"/>
              </w:rPr>
              <w:t>2,818,983</w:t>
            </w:r>
          </w:p>
          <w:p w:rsidR="000D300A" w:rsidRPr="00C611F5" w:rsidRDefault="000D300A" w:rsidP="00555D13">
            <w:pPr>
              <w:spacing w:after="60"/>
              <w:rPr>
                <w:sz w:val="18"/>
                <w:szCs w:val="18"/>
              </w:rPr>
            </w:pPr>
            <w:r w:rsidRPr="00C611F5">
              <w:rPr>
                <w:sz w:val="18"/>
                <w:szCs w:val="18"/>
              </w:rPr>
              <w:t>Office</w:t>
            </w:r>
            <w:r w:rsidR="00E573F4" w:rsidRPr="00C611F5">
              <w:rPr>
                <w:sz w:val="18"/>
                <w:szCs w:val="18"/>
              </w:rPr>
              <w:t>:</w:t>
            </w:r>
            <w:r w:rsidRPr="00C611F5">
              <w:rPr>
                <w:sz w:val="18"/>
                <w:szCs w:val="18"/>
              </w:rPr>
              <w:t xml:space="preserve"> provided </w:t>
            </w:r>
            <w:r w:rsidR="008A5067" w:rsidRPr="00C611F5">
              <w:rPr>
                <w:sz w:val="18"/>
                <w:szCs w:val="18"/>
              </w:rPr>
              <w:t>rent-</w:t>
            </w:r>
            <w:r w:rsidRPr="00C611F5">
              <w:rPr>
                <w:sz w:val="18"/>
                <w:szCs w:val="18"/>
              </w:rPr>
              <w:t>free under Swiss</w:t>
            </w:r>
            <w:r w:rsidR="003301BC" w:rsidRPr="00C611F5">
              <w:rPr>
                <w:sz w:val="18"/>
                <w:szCs w:val="18"/>
              </w:rPr>
              <w:t> </w:t>
            </w:r>
            <w:r w:rsidRPr="00C611F5">
              <w:rPr>
                <w:sz w:val="18"/>
                <w:szCs w:val="18"/>
              </w:rPr>
              <w:t>host country agreement</w:t>
            </w:r>
          </w:p>
        </w:tc>
      </w:tr>
      <w:tr w:rsidR="00043773" w:rsidRPr="00C611F5" w:rsidTr="00D64993">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D300A" w:rsidRPr="00C611F5" w:rsidRDefault="000D300A" w:rsidP="00D424C5">
            <w:pPr>
              <w:spacing w:after="60"/>
              <w:rPr>
                <w:sz w:val="18"/>
                <w:szCs w:val="18"/>
              </w:rPr>
            </w:pPr>
            <w:r w:rsidRPr="00C611F5">
              <w:rPr>
                <w:sz w:val="18"/>
                <w:szCs w:val="18"/>
              </w:rPr>
              <w:t>Nairobi</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D300A" w:rsidRPr="00C611F5" w:rsidRDefault="00555D13" w:rsidP="008E45DF">
            <w:pPr>
              <w:spacing w:after="60"/>
              <w:rPr>
                <w:sz w:val="18"/>
                <w:szCs w:val="18"/>
              </w:rPr>
            </w:pPr>
            <w:r w:rsidRPr="00C611F5">
              <w:rPr>
                <w:sz w:val="18"/>
                <w:szCs w:val="18"/>
              </w:rPr>
              <w:t>L</w:t>
            </w:r>
            <w:r w:rsidR="000D300A" w:rsidRPr="00C611F5">
              <w:rPr>
                <w:sz w:val="18"/>
                <w:szCs w:val="18"/>
              </w:rPr>
              <w:t xml:space="preserve">ocation </w:t>
            </w:r>
            <w:r w:rsidRPr="00C611F5">
              <w:rPr>
                <w:sz w:val="18"/>
                <w:szCs w:val="18"/>
              </w:rPr>
              <w:t xml:space="preserve">close </w:t>
            </w:r>
            <w:r w:rsidR="000D300A" w:rsidRPr="00C611F5">
              <w:rPr>
                <w:sz w:val="18"/>
                <w:szCs w:val="18"/>
              </w:rPr>
              <w:t xml:space="preserve">to </w:t>
            </w:r>
            <w:r w:rsidRPr="00C611F5">
              <w:rPr>
                <w:sz w:val="18"/>
                <w:szCs w:val="18"/>
              </w:rPr>
              <w:t xml:space="preserve">the </w:t>
            </w:r>
            <w:r w:rsidR="000D300A" w:rsidRPr="00C611F5">
              <w:rPr>
                <w:sz w:val="18"/>
                <w:szCs w:val="18"/>
              </w:rPr>
              <w:t xml:space="preserve">Office of Operations, </w:t>
            </w:r>
            <w:r w:rsidRPr="00C611F5">
              <w:rPr>
                <w:sz w:val="18"/>
                <w:szCs w:val="18"/>
              </w:rPr>
              <w:t xml:space="preserve">the </w:t>
            </w:r>
            <w:r w:rsidR="00D767E9" w:rsidRPr="00C611F5">
              <w:rPr>
                <w:sz w:val="18"/>
                <w:szCs w:val="18"/>
              </w:rPr>
              <w:t>Division of Environmental Law and Conventions</w:t>
            </w:r>
            <w:r w:rsidR="000D300A" w:rsidRPr="00C611F5">
              <w:rPr>
                <w:sz w:val="18"/>
                <w:szCs w:val="18"/>
              </w:rPr>
              <w:t xml:space="preserve">, </w:t>
            </w:r>
            <w:r w:rsidRPr="00C611F5">
              <w:rPr>
                <w:sz w:val="18"/>
                <w:szCs w:val="18"/>
              </w:rPr>
              <w:t xml:space="preserve">the </w:t>
            </w:r>
            <w:r w:rsidR="000D300A" w:rsidRPr="00C611F5">
              <w:rPr>
                <w:sz w:val="18"/>
                <w:szCs w:val="18"/>
              </w:rPr>
              <w:t>D</w:t>
            </w:r>
            <w:r w:rsidR="008A5067" w:rsidRPr="00C611F5">
              <w:rPr>
                <w:sz w:val="18"/>
                <w:szCs w:val="18"/>
              </w:rPr>
              <w:t xml:space="preserve">ivision of </w:t>
            </w:r>
            <w:r w:rsidR="000D300A" w:rsidRPr="00C611F5">
              <w:rPr>
                <w:sz w:val="18"/>
                <w:szCs w:val="18"/>
              </w:rPr>
              <w:t>C</w:t>
            </w:r>
            <w:r w:rsidR="008A5067" w:rsidRPr="00C611F5">
              <w:rPr>
                <w:sz w:val="18"/>
                <w:szCs w:val="18"/>
              </w:rPr>
              <w:t xml:space="preserve">ommunications and </w:t>
            </w:r>
            <w:r w:rsidR="000D300A" w:rsidRPr="00C611F5">
              <w:rPr>
                <w:sz w:val="18"/>
                <w:szCs w:val="18"/>
              </w:rPr>
              <w:t>P</w:t>
            </w:r>
            <w:r w:rsidR="008A5067" w:rsidRPr="00C611F5">
              <w:rPr>
                <w:sz w:val="18"/>
                <w:szCs w:val="18"/>
              </w:rPr>
              <w:t xml:space="preserve">ublic </w:t>
            </w:r>
            <w:r w:rsidR="000D300A" w:rsidRPr="00C611F5">
              <w:rPr>
                <w:sz w:val="18"/>
                <w:szCs w:val="18"/>
              </w:rPr>
              <w:t>I</w:t>
            </w:r>
            <w:r w:rsidR="008A5067" w:rsidRPr="00C611F5">
              <w:rPr>
                <w:sz w:val="18"/>
                <w:szCs w:val="18"/>
              </w:rPr>
              <w:t>nformation</w:t>
            </w:r>
            <w:r w:rsidR="000D300A" w:rsidRPr="00C611F5">
              <w:rPr>
                <w:sz w:val="18"/>
                <w:szCs w:val="18"/>
              </w:rPr>
              <w:t xml:space="preserve">, </w:t>
            </w:r>
            <w:r w:rsidRPr="00C611F5">
              <w:rPr>
                <w:sz w:val="18"/>
                <w:szCs w:val="18"/>
              </w:rPr>
              <w:t xml:space="preserve">the </w:t>
            </w:r>
            <w:r w:rsidR="00BB471B" w:rsidRPr="00C611F5">
              <w:rPr>
                <w:sz w:val="18"/>
                <w:szCs w:val="18"/>
              </w:rPr>
              <w:t xml:space="preserve">Ozone </w:t>
            </w:r>
            <w:r w:rsidR="00527290" w:rsidRPr="00C611F5">
              <w:rPr>
                <w:sz w:val="18"/>
                <w:szCs w:val="18"/>
              </w:rPr>
              <w:t>secretariat</w:t>
            </w:r>
            <w:r w:rsidR="00BB471B" w:rsidRPr="00C611F5">
              <w:rPr>
                <w:sz w:val="18"/>
                <w:szCs w:val="18"/>
              </w:rPr>
              <w:t xml:space="preserve">, </w:t>
            </w:r>
            <w:r w:rsidRPr="00C611F5">
              <w:rPr>
                <w:sz w:val="18"/>
                <w:szCs w:val="18"/>
              </w:rPr>
              <w:t>the Regional O</w:t>
            </w:r>
            <w:r w:rsidR="00BB471B" w:rsidRPr="00C611F5">
              <w:rPr>
                <w:sz w:val="18"/>
                <w:szCs w:val="18"/>
              </w:rPr>
              <w:t>ffice for Africa</w:t>
            </w:r>
            <w:r w:rsidRPr="00C611F5">
              <w:rPr>
                <w:sz w:val="18"/>
                <w:szCs w:val="18"/>
              </w:rPr>
              <w:t xml:space="preserve"> and </w:t>
            </w:r>
            <w:r w:rsidR="00BB471B" w:rsidRPr="00C611F5">
              <w:rPr>
                <w:sz w:val="18"/>
                <w:szCs w:val="18"/>
              </w:rPr>
              <w:t>permanent</w:t>
            </w:r>
            <w:r w:rsidR="000D300A" w:rsidRPr="00C611F5">
              <w:rPr>
                <w:sz w:val="18"/>
                <w:szCs w:val="18"/>
              </w:rPr>
              <w:t xml:space="preserve"> missions</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D300A" w:rsidRPr="00C611F5" w:rsidRDefault="000D300A" w:rsidP="00D424C5">
            <w:pPr>
              <w:spacing w:after="60"/>
              <w:rPr>
                <w:sz w:val="18"/>
                <w:szCs w:val="18"/>
              </w:rPr>
            </w:pPr>
            <w:r w:rsidRPr="00C611F5">
              <w:rPr>
                <w:sz w:val="18"/>
                <w:szCs w:val="18"/>
              </w:rPr>
              <w:t>Salaries</w:t>
            </w:r>
            <w:r w:rsidR="008A5067" w:rsidRPr="00C611F5">
              <w:rPr>
                <w:sz w:val="18"/>
                <w:szCs w:val="18"/>
              </w:rPr>
              <w:t>:</w:t>
            </w:r>
            <w:r w:rsidRPr="00C611F5">
              <w:rPr>
                <w:sz w:val="18"/>
                <w:szCs w:val="18"/>
              </w:rPr>
              <w:t xml:space="preserve"> $</w:t>
            </w:r>
            <w:r w:rsidR="00D01B80">
              <w:rPr>
                <w:sz w:val="18"/>
                <w:szCs w:val="18"/>
              </w:rPr>
              <w:t>2,209,376</w:t>
            </w:r>
          </w:p>
          <w:p w:rsidR="000D300A" w:rsidRPr="00C611F5" w:rsidRDefault="000D300A" w:rsidP="00D424C5">
            <w:pPr>
              <w:spacing w:after="60"/>
              <w:rPr>
                <w:sz w:val="18"/>
                <w:szCs w:val="18"/>
              </w:rPr>
            </w:pPr>
            <w:r w:rsidRPr="00C611F5">
              <w:rPr>
                <w:sz w:val="18"/>
                <w:szCs w:val="18"/>
              </w:rPr>
              <w:t>Office</w:t>
            </w:r>
            <w:r w:rsidR="008A5067" w:rsidRPr="00C611F5">
              <w:rPr>
                <w:sz w:val="18"/>
                <w:szCs w:val="18"/>
              </w:rPr>
              <w:t>:</w:t>
            </w:r>
            <w:r w:rsidRPr="00C611F5">
              <w:rPr>
                <w:sz w:val="18"/>
                <w:szCs w:val="18"/>
              </w:rPr>
              <w:t xml:space="preserve"> integration within UNEP structure </w:t>
            </w:r>
            <w:r w:rsidR="008A5067" w:rsidRPr="00C611F5">
              <w:rPr>
                <w:sz w:val="18"/>
                <w:szCs w:val="18"/>
              </w:rPr>
              <w:t>rent-</w:t>
            </w:r>
            <w:r w:rsidRPr="00C611F5">
              <w:rPr>
                <w:sz w:val="18"/>
                <w:szCs w:val="18"/>
              </w:rPr>
              <w:t>free</w:t>
            </w:r>
          </w:p>
          <w:p w:rsidR="000D300A" w:rsidRPr="00C611F5" w:rsidRDefault="00555D13" w:rsidP="008E45DF">
            <w:pPr>
              <w:spacing w:after="60"/>
              <w:rPr>
                <w:sz w:val="18"/>
                <w:szCs w:val="18"/>
              </w:rPr>
            </w:pPr>
            <w:r w:rsidRPr="00C611F5">
              <w:rPr>
                <w:sz w:val="18"/>
                <w:szCs w:val="18"/>
              </w:rPr>
              <w:t>L</w:t>
            </w:r>
            <w:r w:rsidR="000D300A" w:rsidRPr="00C611F5">
              <w:rPr>
                <w:sz w:val="18"/>
                <w:szCs w:val="18"/>
              </w:rPr>
              <w:t>ikely to require new office equipment</w:t>
            </w:r>
          </w:p>
        </w:tc>
      </w:tr>
      <w:tr w:rsidR="00043773" w:rsidRPr="00C611F5" w:rsidTr="00D64993">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D300A" w:rsidRPr="00C611F5" w:rsidRDefault="000D300A" w:rsidP="00D424C5">
            <w:pPr>
              <w:spacing w:after="60"/>
              <w:rPr>
                <w:sz w:val="18"/>
                <w:szCs w:val="18"/>
              </w:rPr>
            </w:pPr>
            <w:r w:rsidRPr="00C611F5">
              <w:rPr>
                <w:sz w:val="18"/>
                <w:szCs w:val="18"/>
              </w:rPr>
              <w:t>Washington</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D300A" w:rsidRPr="00C611F5" w:rsidRDefault="00555D13" w:rsidP="008E45DF">
            <w:pPr>
              <w:spacing w:after="60"/>
              <w:rPr>
                <w:sz w:val="18"/>
                <w:szCs w:val="18"/>
              </w:rPr>
            </w:pPr>
            <w:r w:rsidRPr="00C611F5">
              <w:rPr>
                <w:sz w:val="18"/>
                <w:szCs w:val="18"/>
              </w:rPr>
              <w:t>L</w:t>
            </w:r>
            <w:r w:rsidR="000D300A" w:rsidRPr="00C611F5">
              <w:rPr>
                <w:sz w:val="18"/>
                <w:szCs w:val="18"/>
              </w:rPr>
              <w:t xml:space="preserve">ocation </w:t>
            </w:r>
            <w:r w:rsidRPr="00C611F5">
              <w:rPr>
                <w:sz w:val="18"/>
                <w:szCs w:val="18"/>
              </w:rPr>
              <w:t xml:space="preserve">close </w:t>
            </w:r>
            <w:r w:rsidR="000D300A" w:rsidRPr="00C611F5">
              <w:rPr>
                <w:sz w:val="18"/>
                <w:szCs w:val="18"/>
              </w:rPr>
              <w:t>to</w:t>
            </w:r>
            <w:r w:rsidRPr="00C611F5">
              <w:rPr>
                <w:sz w:val="18"/>
                <w:szCs w:val="18"/>
              </w:rPr>
              <w:t xml:space="preserve"> the</w:t>
            </w:r>
            <w:r w:rsidR="000D300A" w:rsidRPr="00C611F5">
              <w:rPr>
                <w:sz w:val="18"/>
                <w:szCs w:val="18"/>
              </w:rPr>
              <w:t xml:space="preserve"> </w:t>
            </w:r>
            <w:r w:rsidR="0015269F" w:rsidRPr="00C611F5">
              <w:rPr>
                <w:sz w:val="18"/>
                <w:szCs w:val="18"/>
              </w:rPr>
              <w:t>Global Environment Facility</w:t>
            </w:r>
            <w:r w:rsidR="000D300A" w:rsidRPr="00C611F5">
              <w:rPr>
                <w:sz w:val="18"/>
                <w:szCs w:val="18"/>
              </w:rPr>
              <w:t xml:space="preserve">, </w:t>
            </w:r>
            <w:r w:rsidRPr="00C611F5">
              <w:rPr>
                <w:sz w:val="18"/>
                <w:szCs w:val="18"/>
              </w:rPr>
              <w:t xml:space="preserve">the </w:t>
            </w:r>
            <w:r w:rsidR="000D300A" w:rsidRPr="00C611F5">
              <w:rPr>
                <w:sz w:val="18"/>
                <w:szCs w:val="18"/>
              </w:rPr>
              <w:t xml:space="preserve">World Bank, </w:t>
            </w:r>
            <w:r w:rsidRPr="00C611F5">
              <w:rPr>
                <w:sz w:val="18"/>
                <w:szCs w:val="18"/>
              </w:rPr>
              <w:t>the Regional O</w:t>
            </w:r>
            <w:r w:rsidR="00BB471B" w:rsidRPr="00C611F5">
              <w:rPr>
                <w:sz w:val="18"/>
                <w:szCs w:val="18"/>
              </w:rPr>
              <w:t>ffice for North America</w:t>
            </w:r>
            <w:r w:rsidRPr="00C611F5">
              <w:rPr>
                <w:sz w:val="18"/>
                <w:szCs w:val="18"/>
              </w:rPr>
              <w:t xml:space="preserve"> and</w:t>
            </w:r>
            <w:r w:rsidR="008C2603" w:rsidRPr="00C611F5">
              <w:rPr>
                <w:sz w:val="18"/>
                <w:szCs w:val="18"/>
              </w:rPr>
              <w:t xml:space="preserve"> </w:t>
            </w:r>
            <w:r w:rsidR="00BB471B" w:rsidRPr="00C611F5">
              <w:rPr>
                <w:sz w:val="18"/>
                <w:szCs w:val="18"/>
              </w:rPr>
              <w:t>permanent</w:t>
            </w:r>
            <w:r w:rsidR="000D300A" w:rsidRPr="00C611F5">
              <w:rPr>
                <w:sz w:val="18"/>
                <w:szCs w:val="18"/>
              </w:rPr>
              <w:t xml:space="preserve"> missions</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D300A" w:rsidRPr="00C611F5" w:rsidRDefault="000D300A" w:rsidP="00D424C5">
            <w:pPr>
              <w:spacing w:after="60"/>
              <w:rPr>
                <w:rFonts w:cs="Arial"/>
                <w:sz w:val="18"/>
                <w:szCs w:val="18"/>
              </w:rPr>
            </w:pPr>
            <w:r w:rsidRPr="00C611F5">
              <w:rPr>
                <w:sz w:val="18"/>
                <w:szCs w:val="18"/>
              </w:rPr>
              <w:t>Salaries</w:t>
            </w:r>
            <w:r w:rsidR="00555D13" w:rsidRPr="00C611F5">
              <w:rPr>
                <w:sz w:val="18"/>
                <w:szCs w:val="18"/>
              </w:rPr>
              <w:t>:</w:t>
            </w:r>
            <w:r w:rsidRPr="00C611F5">
              <w:rPr>
                <w:sz w:val="18"/>
                <w:szCs w:val="18"/>
              </w:rPr>
              <w:t xml:space="preserve"> </w:t>
            </w:r>
            <w:r w:rsidRPr="00C611F5">
              <w:rPr>
                <w:rFonts w:cs="Arial"/>
                <w:sz w:val="18"/>
                <w:szCs w:val="18"/>
              </w:rPr>
              <w:t>$</w:t>
            </w:r>
            <w:r w:rsidR="00D01B80">
              <w:rPr>
                <w:rFonts w:cs="Arial"/>
                <w:sz w:val="18"/>
                <w:szCs w:val="18"/>
              </w:rPr>
              <w:t>2,589,395</w:t>
            </w:r>
          </w:p>
          <w:p w:rsidR="000D300A" w:rsidRPr="00C611F5" w:rsidRDefault="000D300A" w:rsidP="00D424C5">
            <w:pPr>
              <w:spacing w:after="60"/>
              <w:rPr>
                <w:i/>
                <w:iCs/>
                <w:sz w:val="18"/>
                <w:szCs w:val="18"/>
              </w:rPr>
            </w:pPr>
            <w:r w:rsidRPr="00C611F5">
              <w:rPr>
                <w:sz w:val="18"/>
                <w:szCs w:val="18"/>
              </w:rPr>
              <w:t>Office</w:t>
            </w:r>
            <w:r w:rsidR="00555D13" w:rsidRPr="00C611F5">
              <w:rPr>
                <w:sz w:val="18"/>
                <w:szCs w:val="18"/>
              </w:rPr>
              <w:t>:</w:t>
            </w:r>
            <w:r w:rsidRPr="00C611F5">
              <w:rPr>
                <w:sz w:val="18"/>
                <w:szCs w:val="18"/>
              </w:rPr>
              <w:t xml:space="preserve"> could be integrated within</w:t>
            </w:r>
            <w:r w:rsidR="00555D13" w:rsidRPr="00C611F5">
              <w:rPr>
                <w:sz w:val="18"/>
                <w:szCs w:val="18"/>
              </w:rPr>
              <w:t xml:space="preserve"> the</w:t>
            </w:r>
            <w:r w:rsidRPr="00C611F5">
              <w:rPr>
                <w:sz w:val="18"/>
                <w:szCs w:val="18"/>
              </w:rPr>
              <w:t xml:space="preserve"> </w:t>
            </w:r>
            <w:r w:rsidR="00555D13" w:rsidRPr="00C611F5">
              <w:rPr>
                <w:sz w:val="18"/>
                <w:szCs w:val="18"/>
              </w:rPr>
              <w:t>Regional Office for North America</w:t>
            </w:r>
            <w:r w:rsidR="00AF4A5F" w:rsidRPr="00C611F5">
              <w:rPr>
                <w:sz w:val="18"/>
                <w:szCs w:val="18"/>
              </w:rPr>
              <w:t>. C</w:t>
            </w:r>
            <w:r w:rsidR="006C14D7" w:rsidRPr="00C611F5">
              <w:rPr>
                <w:sz w:val="18"/>
                <w:szCs w:val="18"/>
              </w:rPr>
              <w:t>osts to be determined</w:t>
            </w:r>
          </w:p>
          <w:p w:rsidR="000D300A" w:rsidRPr="00C611F5" w:rsidRDefault="00555D13" w:rsidP="008E45DF">
            <w:pPr>
              <w:spacing w:after="60"/>
              <w:rPr>
                <w:i/>
                <w:iCs/>
                <w:sz w:val="18"/>
                <w:szCs w:val="18"/>
              </w:rPr>
            </w:pPr>
            <w:r w:rsidRPr="00C611F5">
              <w:rPr>
                <w:sz w:val="18"/>
                <w:szCs w:val="18"/>
              </w:rPr>
              <w:t>L</w:t>
            </w:r>
            <w:r w:rsidR="000D300A" w:rsidRPr="00C611F5">
              <w:rPr>
                <w:sz w:val="18"/>
                <w:szCs w:val="18"/>
              </w:rPr>
              <w:t>ikely to require new office equipment</w:t>
            </w:r>
          </w:p>
        </w:tc>
      </w:tr>
      <w:tr w:rsidR="00043773" w:rsidRPr="00C611F5" w:rsidTr="00D64993">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D300A" w:rsidRPr="00C611F5" w:rsidRDefault="000D300A" w:rsidP="00D424C5">
            <w:pPr>
              <w:spacing w:after="60"/>
              <w:rPr>
                <w:sz w:val="18"/>
                <w:szCs w:val="18"/>
              </w:rPr>
            </w:pPr>
            <w:r w:rsidRPr="00C611F5">
              <w:rPr>
                <w:sz w:val="18"/>
                <w:szCs w:val="18"/>
              </w:rPr>
              <w:t>Osaka</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D300A" w:rsidRPr="00C611F5" w:rsidRDefault="00555D13" w:rsidP="008E45DF">
            <w:pPr>
              <w:spacing w:after="60"/>
              <w:rPr>
                <w:sz w:val="18"/>
                <w:szCs w:val="18"/>
              </w:rPr>
            </w:pPr>
            <w:r w:rsidRPr="00C611F5">
              <w:rPr>
                <w:sz w:val="18"/>
                <w:szCs w:val="18"/>
              </w:rPr>
              <w:t>Location c</w:t>
            </w:r>
            <w:r w:rsidR="000D300A" w:rsidRPr="00C611F5">
              <w:rPr>
                <w:sz w:val="18"/>
                <w:szCs w:val="18"/>
              </w:rPr>
              <w:t xml:space="preserve">lose to </w:t>
            </w:r>
            <w:r w:rsidR="00EB5A54" w:rsidRPr="00C611F5">
              <w:rPr>
                <w:sz w:val="18"/>
                <w:szCs w:val="18"/>
              </w:rPr>
              <w:t>the International Environmental Technology Centre</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D300A" w:rsidRPr="00C611F5" w:rsidRDefault="000D300A" w:rsidP="00D424C5">
            <w:pPr>
              <w:spacing w:after="60"/>
              <w:rPr>
                <w:rFonts w:cs="Arial"/>
                <w:sz w:val="18"/>
                <w:szCs w:val="18"/>
              </w:rPr>
            </w:pPr>
            <w:r w:rsidRPr="00C611F5">
              <w:rPr>
                <w:sz w:val="18"/>
                <w:szCs w:val="18"/>
              </w:rPr>
              <w:t>Salaries</w:t>
            </w:r>
            <w:r w:rsidR="00555D13" w:rsidRPr="00C611F5">
              <w:rPr>
                <w:sz w:val="18"/>
                <w:szCs w:val="18"/>
              </w:rPr>
              <w:t>:</w:t>
            </w:r>
            <w:r w:rsidRPr="00C611F5">
              <w:rPr>
                <w:sz w:val="18"/>
                <w:szCs w:val="18"/>
              </w:rPr>
              <w:t xml:space="preserve"> </w:t>
            </w:r>
            <w:r w:rsidRPr="00C611F5">
              <w:rPr>
                <w:rFonts w:cs="Arial"/>
                <w:sz w:val="18"/>
                <w:szCs w:val="18"/>
              </w:rPr>
              <w:t>$</w:t>
            </w:r>
            <w:r w:rsidR="00D01B80">
              <w:rPr>
                <w:rFonts w:cs="Arial"/>
                <w:sz w:val="18"/>
                <w:szCs w:val="18"/>
              </w:rPr>
              <w:t>2,795,338</w:t>
            </w:r>
          </w:p>
          <w:p w:rsidR="000D300A" w:rsidRPr="00C611F5" w:rsidRDefault="000D300A" w:rsidP="00D424C5">
            <w:pPr>
              <w:spacing w:after="60"/>
              <w:rPr>
                <w:i/>
                <w:iCs/>
                <w:sz w:val="18"/>
                <w:szCs w:val="18"/>
              </w:rPr>
            </w:pPr>
            <w:r w:rsidRPr="00C611F5">
              <w:rPr>
                <w:sz w:val="18"/>
                <w:szCs w:val="18"/>
              </w:rPr>
              <w:t>Office</w:t>
            </w:r>
            <w:r w:rsidR="00555D13" w:rsidRPr="00C611F5">
              <w:rPr>
                <w:sz w:val="18"/>
                <w:szCs w:val="18"/>
              </w:rPr>
              <w:t>:</w:t>
            </w:r>
            <w:r w:rsidRPr="00C611F5">
              <w:rPr>
                <w:sz w:val="18"/>
                <w:szCs w:val="18"/>
              </w:rPr>
              <w:t xml:space="preserve"> could be integrated with </w:t>
            </w:r>
            <w:r w:rsidR="00EB5A54" w:rsidRPr="00C611F5">
              <w:rPr>
                <w:sz w:val="18"/>
                <w:szCs w:val="18"/>
              </w:rPr>
              <w:t>the International Environmental Technology Centre</w:t>
            </w:r>
            <w:r w:rsidR="00AF4A5F" w:rsidRPr="00C611F5">
              <w:rPr>
                <w:sz w:val="18"/>
                <w:szCs w:val="18"/>
              </w:rPr>
              <w:t>. C</w:t>
            </w:r>
            <w:r w:rsidR="006C14D7" w:rsidRPr="00C611F5">
              <w:rPr>
                <w:sz w:val="18"/>
                <w:szCs w:val="18"/>
              </w:rPr>
              <w:t>osts to be determined</w:t>
            </w:r>
          </w:p>
          <w:p w:rsidR="000D300A" w:rsidRPr="00C611F5" w:rsidRDefault="000D300A" w:rsidP="00D424C5">
            <w:pPr>
              <w:spacing w:after="60"/>
              <w:rPr>
                <w:i/>
                <w:iCs/>
                <w:sz w:val="18"/>
                <w:szCs w:val="18"/>
              </w:rPr>
            </w:pPr>
            <w:r w:rsidRPr="00C611F5">
              <w:rPr>
                <w:sz w:val="18"/>
                <w:szCs w:val="18"/>
              </w:rPr>
              <w:t>Would be likely to require new office equipment</w:t>
            </w:r>
          </w:p>
        </w:tc>
      </w:tr>
      <w:tr w:rsidR="00043773" w:rsidRPr="00C611F5" w:rsidTr="00D64993">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D300A" w:rsidRPr="00C611F5" w:rsidRDefault="000D300A" w:rsidP="00D424C5">
            <w:pPr>
              <w:spacing w:after="60"/>
              <w:rPr>
                <w:sz w:val="18"/>
                <w:szCs w:val="18"/>
              </w:rPr>
            </w:pPr>
            <w:r w:rsidRPr="00C611F5">
              <w:rPr>
                <w:sz w:val="18"/>
                <w:szCs w:val="18"/>
              </w:rPr>
              <w:t>Vienna</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D300A" w:rsidRPr="00C611F5" w:rsidRDefault="00555D13" w:rsidP="008E45DF">
            <w:pPr>
              <w:spacing w:after="60"/>
              <w:rPr>
                <w:sz w:val="18"/>
                <w:szCs w:val="18"/>
              </w:rPr>
            </w:pPr>
            <w:r w:rsidRPr="00C611F5">
              <w:rPr>
                <w:sz w:val="18"/>
                <w:szCs w:val="18"/>
              </w:rPr>
              <w:t>L</w:t>
            </w:r>
            <w:r w:rsidR="000D300A" w:rsidRPr="00C611F5">
              <w:rPr>
                <w:sz w:val="18"/>
                <w:szCs w:val="18"/>
              </w:rPr>
              <w:t xml:space="preserve">ocation </w:t>
            </w:r>
            <w:r w:rsidRPr="00C611F5">
              <w:rPr>
                <w:sz w:val="18"/>
                <w:szCs w:val="18"/>
              </w:rPr>
              <w:t xml:space="preserve">close </w:t>
            </w:r>
            <w:r w:rsidR="000D300A" w:rsidRPr="00C611F5">
              <w:rPr>
                <w:sz w:val="18"/>
                <w:szCs w:val="18"/>
              </w:rPr>
              <w:t xml:space="preserve">to </w:t>
            </w:r>
            <w:r w:rsidRPr="00C611F5">
              <w:rPr>
                <w:sz w:val="18"/>
                <w:szCs w:val="18"/>
              </w:rPr>
              <w:t xml:space="preserve">the </w:t>
            </w:r>
            <w:r w:rsidR="000D300A" w:rsidRPr="00C611F5">
              <w:rPr>
                <w:sz w:val="18"/>
                <w:szCs w:val="18"/>
              </w:rPr>
              <w:t>U</w:t>
            </w:r>
            <w:r w:rsidRPr="00C611F5">
              <w:rPr>
                <w:sz w:val="18"/>
                <w:szCs w:val="18"/>
              </w:rPr>
              <w:t xml:space="preserve">nited </w:t>
            </w:r>
            <w:r w:rsidR="000D300A" w:rsidRPr="00C611F5">
              <w:rPr>
                <w:sz w:val="18"/>
                <w:szCs w:val="18"/>
              </w:rPr>
              <w:t>N</w:t>
            </w:r>
            <w:r w:rsidRPr="00C611F5">
              <w:rPr>
                <w:sz w:val="18"/>
                <w:szCs w:val="18"/>
              </w:rPr>
              <w:t xml:space="preserve">ations </w:t>
            </w:r>
            <w:r w:rsidR="000D300A" w:rsidRPr="00C611F5">
              <w:rPr>
                <w:sz w:val="18"/>
                <w:szCs w:val="18"/>
              </w:rPr>
              <w:t>I</w:t>
            </w:r>
            <w:r w:rsidRPr="00C611F5">
              <w:rPr>
                <w:sz w:val="18"/>
                <w:szCs w:val="18"/>
              </w:rPr>
              <w:t xml:space="preserve">ndustrial </w:t>
            </w:r>
            <w:r w:rsidR="000D300A" w:rsidRPr="00C611F5">
              <w:rPr>
                <w:sz w:val="18"/>
                <w:szCs w:val="18"/>
              </w:rPr>
              <w:t>D</w:t>
            </w:r>
            <w:r w:rsidRPr="00C611F5">
              <w:rPr>
                <w:sz w:val="18"/>
                <w:szCs w:val="18"/>
              </w:rPr>
              <w:t xml:space="preserve">evelopment </w:t>
            </w:r>
            <w:r w:rsidR="000D300A" w:rsidRPr="00C611F5">
              <w:rPr>
                <w:sz w:val="18"/>
                <w:szCs w:val="18"/>
              </w:rPr>
              <w:t>O</w:t>
            </w:r>
            <w:r w:rsidRPr="00C611F5">
              <w:rPr>
                <w:sz w:val="18"/>
                <w:szCs w:val="18"/>
              </w:rPr>
              <w:t>rganization</w:t>
            </w:r>
            <w:r w:rsidR="006C14D7" w:rsidRPr="00C611F5">
              <w:rPr>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D300A" w:rsidRPr="00C611F5" w:rsidRDefault="000D300A" w:rsidP="00D424C5">
            <w:pPr>
              <w:spacing w:after="60"/>
              <w:rPr>
                <w:rFonts w:cs="Arial"/>
                <w:sz w:val="18"/>
                <w:szCs w:val="18"/>
              </w:rPr>
            </w:pPr>
            <w:r w:rsidRPr="00C611F5">
              <w:rPr>
                <w:sz w:val="18"/>
                <w:szCs w:val="18"/>
              </w:rPr>
              <w:t>Salaries</w:t>
            </w:r>
            <w:r w:rsidR="00555D13" w:rsidRPr="00C611F5">
              <w:rPr>
                <w:sz w:val="18"/>
                <w:szCs w:val="18"/>
              </w:rPr>
              <w:t>:</w:t>
            </w:r>
            <w:r w:rsidRPr="00C611F5">
              <w:rPr>
                <w:sz w:val="18"/>
                <w:szCs w:val="18"/>
              </w:rPr>
              <w:t xml:space="preserve"> </w:t>
            </w:r>
            <w:r w:rsidRPr="00C611F5">
              <w:rPr>
                <w:rFonts w:cs="Arial"/>
                <w:sz w:val="18"/>
                <w:szCs w:val="18"/>
              </w:rPr>
              <w:t>$</w:t>
            </w:r>
            <w:r w:rsidR="00D01B80">
              <w:rPr>
                <w:rFonts w:cs="Arial"/>
                <w:sz w:val="18"/>
                <w:szCs w:val="18"/>
              </w:rPr>
              <w:t>2,350,892</w:t>
            </w:r>
          </w:p>
          <w:p w:rsidR="000D300A" w:rsidRPr="00C611F5" w:rsidRDefault="000D300A" w:rsidP="00D424C5">
            <w:pPr>
              <w:spacing w:after="60"/>
              <w:rPr>
                <w:i/>
                <w:iCs/>
                <w:sz w:val="18"/>
                <w:szCs w:val="18"/>
              </w:rPr>
            </w:pPr>
            <w:r w:rsidRPr="00C611F5">
              <w:rPr>
                <w:sz w:val="18"/>
                <w:szCs w:val="18"/>
              </w:rPr>
              <w:t>Office</w:t>
            </w:r>
            <w:r w:rsidR="00555D13" w:rsidRPr="00C611F5">
              <w:rPr>
                <w:sz w:val="18"/>
                <w:szCs w:val="18"/>
              </w:rPr>
              <w:t>:</w:t>
            </w:r>
            <w:r w:rsidRPr="00C611F5">
              <w:rPr>
                <w:sz w:val="18"/>
                <w:szCs w:val="18"/>
              </w:rPr>
              <w:t xml:space="preserve"> could be integrated within UNEP office, possibly co-hosted with the interim secretariat of the </w:t>
            </w:r>
            <w:r w:rsidR="00AF4A5F" w:rsidRPr="00C611F5">
              <w:rPr>
                <w:sz w:val="18"/>
                <w:szCs w:val="18"/>
              </w:rPr>
              <w:t xml:space="preserve">Framework Convention on the Protection and Sustainable Development of the </w:t>
            </w:r>
            <w:r w:rsidRPr="00C611F5">
              <w:rPr>
                <w:sz w:val="18"/>
                <w:szCs w:val="18"/>
              </w:rPr>
              <w:t>Carpathian</w:t>
            </w:r>
            <w:r w:rsidR="00AF4A5F" w:rsidRPr="00C611F5">
              <w:rPr>
                <w:sz w:val="18"/>
                <w:szCs w:val="18"/>
              </w:rPr>
              <w:t>s. Costs to be confirmed</w:t>
            </w:r>
            <w:r w:rsidRPr="00C611F5">
              <w:rPr>
                <w:i/>
                <w:iCs/>
                <w:sz w:val="18"/>
                <w:szCs w:val="18"/>
              </w:rPr>
              <w:t xml:space="preserve"> </w:t>
            </w:r>
          </w:p>
          <w:p w:rsidR="000D300A" w:rsidRPr="00C611F5" w:rsidRDefault="000D300A" w:rsidP="00D424C5">
            <w:pPr>
              <w:spacing w:after="60"/>
              <w:rPr>
                <w:i/>
                <w:iCs/>
                <w:sz w:val="18"/>
                <w:szCs w:val="18"/>
              </w:rPr>
            </w:pPr>
            <w:r w:rsidRPr="00C611F5">
              <w:rPr>
                <w:sz w:val="18"/>
                <w:szCs w:val="18"/>
              </w:rPr>
              <w:t>Would be likely to require new office equipment</w:t>
            </w:r>
          </w:p>
        </w:tc>
      </w:tr>
      <w:tr w:rsidR="00043773" w:rsidRPr="00C611F5" w:rsidTr="00D64993">
        <w:tc>
          <w:tcPr>
            <w:tcW w:w="1843" w:type="dxa"/>
            <w:tcBorders>
              <w:top w:val="single" w:sz="4" w:space="0" w:color="auto"/>
              <w:left w:val="single" w:sz="4" w:space="0" w:color="auto"/>
              <w:bottom w:val="single" w:sz="4" w:space="0" w:color="auto"/>
              <w:right w:val="single" w:sz="4" w:space="0" w:color="auto"/>
            </w:tcBorders>
            <w:shd w:val="clear" w:color="auto" w:fill="auto"/>
          </w:tcPr>
          <w:p w:rsidR="000D300A" w:rsidRPr="00C611F5" w:rsidRDefault="000D300A" w:rsidP="00D424C5">
            <w:pPr>
              <w:spacing w:after="60"/>
              <w:rPr>
                <w:sz w:val="18"/>
                <w:szCs w:val="18"/>
              </w:rPr>
            </w:pPr>
            <w:r w:rsidRPr="00C611F5">
              <w:rPr>
                <w:sz w:val="18"/>
                <w:szCs w:val="18"/>
              </w:rPr>
              <w:t>Bangkok</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D300A" w:rsidRPr="00C611F5" w:rsidRDefault="000D300A" w:rsidP="008E45DF">
            <w:pPr>
              <w:spacing w:after="60"/>
              <w:rPr>
                <w:sz w:val="18"/>
                <w:szCs w:val="18"/>
              </w:rPr>
            </w:pPr>
            <w:r w:rsidRPr="00C611F5">
              <w:rPr>
                <w:sz w:val="18"/>
                <w:szCs w:val="18"/>
              </w:rPr>
              <w:t xml:space="preserve">Established administrative structure, close to </w:t>
            </w:r>
            <w:r w:rsidR="002B4128" w:rsidRPr="00C611F5">
              <w:rPr>
                <w:sz w:val="18"/>
                <w:szCs w:val="18"/>
              </w:rPr>
              <w:t xml:space="preserve">the </w:t>
            </w:r>
            <w:r w:rsidRPr="00C611F5">
              <w:rPr>
                <w:sz w:val="18"/>
                <w:szCs w:val="18"/>
              </w:rPr>
              <w:t xml:space="preserve">UNEP </w:t>
            </w:r>
            <w:r w:rsidR="00AF4A5F" w:rsidRPr="00C611F5">
              <w:rPr>
                <w:sz w:val="18"/>
                <w:szCs w:val="18"/>
              </w:rPr>
              <w:t>Regional O</w:t>
            </w:r>
            <w:r w:rsidRPr="00C611F5">
              <w:rPr>
                <w:sz w:val="18"/>
                <w:szCs w:val="18"/>
              </w:rPr>
              <w:t>ffice</w:t>
            </w:r>
            <w:r w:rsidR="00BB471B" w:rsidRPr="00C611F5">
              <w:rPr>
                <w:sz w:val="18"/>
                <w:szCs w:val="18"/>
              </w:rPr>
              <w:t xml:space="preserve"> for Asia and the Pacific</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D300A" w:rsidRPr="00C611F5" w:rsidRDefault="000D300A" w:rsidP="00D424C5">
            <w:pPr>
              <w:spacing w:after="60"/>
              <w:rPr>
                <w:sz w:val="18"/>
                <w:szCs w:val="18"/>
              </w:rPr>
            </w:pPr>
            <w:r w:rsidRPr="00C611F5">
              <w:rPr>
                <w:sz w:val="18"/>
                <w:szCs w:val="18"/>
              </w:rPr>
              <w:t>Salaries</w:t>
            </w:r>
            <w:r w:rsidR="00AF4A5F" w:rsidRPr="00C611F5">
              <w:rPr>
                <w:sz w:val="18"/>
                <w:szCs w:val="18"/>
              </w:rPr>
              <w:t>:</w:t>
            </w:r>
            <w:r w:rsidRPr="00C611F5">
              <w:rPr>
                <w:sz w:val="18"/>
                <w:szCs w:val="18"/>
              </w:rPr>
              <w:t xml:space="preserve"> </w:t>
            </w:r>
            <w:r w:rsidR="004F4FE0" w:rsidRPr="00C611F5">
              <w:rPr>
                <w:sz w:val="18"/>
                <w:szCs w:val="18"/>
              </w:rPr>
              <w:t>$</w:t>
            </w:r>
            <w:r w:rsidR="00D01B80">
              <w:rPr>
                <w:sz w:val="18"/>
                <w:szCs w:val="18"/>
              </w:rPr>
              <w:t>2,212,201</w:t>
            </w:r>
          </w:p>
          <w:p w:rsidR="00F67B3F" w:rsidRPr="00C611F5" w:rsidDel="00B30A5E" w:rsidRDefault="00F67B3F" w:rsidP="008E45DF">
            <w:pPr>
              <w:spacing w:after="60"/>
              <w:rPr>
                <w:sz w:val="18"/>
                <w:szCs w:val="18"/>
              </w:rPr>
            </w:pPr>
            <w:r w:rsidRPr="00C611F5">
              <w:rPr>
                <w:sz w:val="18"/>
                <w:szCs w:val="18"/>
              </w:rPr>
              <w:t>Office</w:t>
            </w:r>
            <w:r w:rsidR="00AF4A5F" w:rsidRPr="00C611F5">
              <w:rPr>
                <w:sz w:val="18"/>
                <w:szCs w:val="18"/>
              </w:rPr>
              <w:t>:</w:t>
            </w:r>
            <w:r w:rsidRPr="00C611F5">
              <w:rPr>
                <w:sz w:val="18"/>
                <w:szCs w:val="18"/>
              </w:rPr>
              <w:t xml:space="preserve"> could be integrated within the UNEP </w:t>
            </w:r>
            <w:r w:rsidR="00AF4A5F" w:rsidRPr="00C611F5">
              <w:rPr>
                <w:sz w:val="18"/>
                <w:szCs w:val="18"/>
              </w:rPr>
              <w:t>Regional O</w:t>
            </w:r>
            <w:r w:rsidRPr="00C611F5">
              <w:rPr>
                <w:sz w:val="18"/>
                <w:szCs w:val="18"/>
              </w:rPr>
              <w:t>ffice</w:t>
            </w:r>
            <w:r w:rsidR="00AF4A5F" w:rsidRPr="00C611F5">
              <w:rPr>
                <w:sz w:val="18"/>
                <w:szCs w:val="18"/>
              </w:rPr>
              <w:t xml:space="preserve"> for Asia and the Pacific</w:t>
            </w:r>
          </w:p>
        </w:tc>
      </w:tr>
    </w:tbl>
    <w:p w:rsidR="001A2647" w:rsidRPr="00567825" w:rsidRDefault="001A2647" w:rsidP="002B60EA">
      <w:pPr>
        <w:pStyle w:val="Normal-pool"/>
        <w:rPr>
          <w:sz w:val="10"/>
          <w:szCs w:val="10"/>
        </w:rPr>
      </w:pPr>
    </w:p>
    <w:tbl>
      <w:tblPr>
        <w:tblW w:w="0" w:type="auto"/>
        <w:tblLook w:val="04A0" w:firstRow="1" w:lastRow="0" w:firstColumn="1" w:lastColumn="0" w:noHBand="0" w:noVBand="1"/>
      </w:tblPr>
      <w:tblGrid>
        <w:gridCol w:w="1941"/>
        <w:gridCol w:w="1942"/>
        <w:gridCol w:w="1943"/>
        <w:gridCol w:w="1943"/>
        <w:gridCol w:w="1943"/>
      </w:tblGrid>
      <w:tr w:rsidR="001A2647" w:rsidRPr="00C611F5" w:rsidTr="0055192B">
        <w:trPr>
          <w:trHeight w:val="642"/>
        </w:trPr>
        <w:tc>
          <w:tcPr>
            <w:tcW w:w="1941" w:type="dxa"/>
            <w:shd w:val="clear" w:color="auto" w:fill="auto"/>
          </w:tcPr>
          <w:p w:rsidR="001A2647" w:rsidRPr="00C611F5" w:rsidRDefault="001A2647" w:rsidP="0055192B">
            <w:pPr>
              <w:pStyle w:val="Normal-pool"/>
              <w:keepNext/>
              <w:keepLines/>
              <w:spacing w:before="520"/>
            </w:pPr>
          </w:p>
        </w:tc>
        <w:tc>
          <w:tcPr>
            <w:tcW w:w="1942" w:type="dxa"/>
            <w:shd w:val="clear" w:color="auto" w:fill="auto"/>
          </w:tcPr>
          <w:p w:rsidR="001A2647" w:rsidRPr="00C611F5" w:rsidRDefault="001A2647" w:rsidP="0055192B">
            <w:pPr>
              <w:pStyle w:val="Normal-pool"/>
              <w:keepNext/>
              <w:keepLines/>
              <w:spacing w:before="520"/>
            </w:pPr>
          </w:p>
        </w:tc>
        <w:tc>
          <w:tcPr>
            <w:tcW w:w="1943" w:type="dxa"/>
            <w:tcBorders>
              <w:bottom w:val="single" w:sz="4" w:space="0" w:color="auto"/>
            </w:tcBorders>
            <w:shd w:val="clear" w:color="auto" w:fill="auto"/>
          </w:tcPr>
          <w:p w:rsidR="001A2647" w:rsidRPr="00C611F5" w:rsidRDefault="001A2647" w:rsidP="0055192B">
            <w:pPr>
              <w:pStyle w:val="Normal-pool"/>
              <w:keepNext/>
              <w:keepLines/>
              <w:spacing w:before="520"/>
            </w:pPr>
          </w:p>
        </w:tc>
        <w:tc>
          <w:tcPr>
            <w:tcW w:w="1943" w:type="dxa"/>
            <w:shd w:val="clear" w:color="auto" w:fill="auto"/>
          </w:tcPr>
          <w:p w:rsidR="001A2647" w:rsidRPr="00C611F5" w:rsidRDefault="001A2647" w:rsidP="0055192B">
            <w:pPr>
              <w:pStyle w:val="Normal-pool"/>
              <w:keepNext/>
              <w:keepLines/>
              <w:spacing w:before="520"/>
            </w:pPr>
          </w:p>
        </w:tc>
        <w:tc>
          <w:tcPr>
            <w:tcW w:w="1943" w:type="dxa"/>
            <w:shd w:val="clear" w:color="auto" w:fill="auto"/>
          </w:tcPr>
          <w:p w:rsidR="001A2647" w:rsidRPr="00C611F5" w:rsidRDefault="001A2647" w:rsidP="0055192B">
            <w:pPr>
              <w:pStyle w:val="Normal-pool"/>
              <w:keepNext/>
              <w:keepLines/>
              <w:spacing w:before="520"/>
            </w:pPr>
          </w:p>
        </w:tc>
      </w:tr>
    </w:tbl>
    <w:p w:rsidR="000B4ED9" w:rsidRPr="00C611F5" w:rsidRDefault="000B4ED9" w:rsidP="002B60EA">
      <w:pPr>
        <w:pStyle w:val="Normal-pool"/>
      </w:pPr>
    </w:p>
    <w:sectPr w:rsidR="000B4ED9" w:rsidRPr="00C611F5" w:rsidSect="00102802">
      <w:headerReference w:type="first" r:id="rId25"/>
      <w:footerReference w:type="first" r:id="rId26"/>
      <w:footnotePr>
        <w:numRestart w:val="eachSect"/>
      </w:footnotePr>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7E3" w:rsidRDefault="007837E3">
      <w:r>
        <w:separator/>
      </w:r>
    </w:p>
  </w:endnote>
  <w:endnote w:type="continuationSeparator" w:id="0">
    <w:p w:rsidR="007837E3" w:rsidRDefault="007837E3">
      <w:r>
        <w:continuationSeparator/>
      </w:r>
    </w:p>
  </w:endnote>
  <w:endnote w:type="continuationNotice" w:id="1">
    <w:p w:rsidR="007837E3" w:rsidRDefault="007837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80" w:rsidRDefault="00D01B80">
    <w:pPr>
      <w:pStyle w:val="Footer"/>
    </w:pPr>
    <w:r>
      <w:rPr>
        <w:rStyle w:val="PageNumber"/>
      </w:rPr>
      <w:fldChar w:fldCharType="begin"/>
    </w:r>
    <w:r>
      <w:rPr>
        <w:rStyle w:val="PageNumber"/>
      </w:rPr>
      <w:instrText xml:space="preserve"> PAGE </w:instrText>
    </w:r>
    <w:r>
      <w:rPr>
        <w:rStyle w:val="PageNumber"/>
      </w:rPr>
      <w:fldChar w:fldCharType="separate"/>
    </w:r>
    <w:r w:rsidR="009D2DC3">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80" w:rsidRDefault="00D01B80"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B510C1">
      <w:rPr>
        <w:rStyle w:val="PageNumber"/>
        <w:noProof/>
      </w:rPr>
      <w:t>11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80" w:rsidRPr="00D431B9" w:rsidRDefault="00D01B80" w:rsidP="00B1765B">
    <w:pPr>
      <w:pStyle w:val="Footer"/>
      <w:tabs>
        <w:tab w:val="clear" w:pos="1247"/>
        <w:tab w:val="clear" w:pos="1814"/>
        <w:tab w:val="clear" w:pos="2381"/>
        <w:tab w:val="clear" w:pos="2948"/>
        <w:tab w:val="clear" w:pos="3515"/>
        <w:tab w:val="clear" w:pos="4320"/>
        <w:tab w:val="clear" w:pos="8640"/>
        <w:tab w:val="left" w:pos="624"/>
      </w:tabs>
      <w:rPr>
        <w:sz w:val="20"/>
      </w:rPr>
    </w:pPr>
    <w:r w:rsidRPr="00D431B9">
      <w:rPr>
        <w:sz w:val="20"/>
      </w:rPr>
      <w:t>K1504253</w:t>
    </w:r>
    <w:r w:rsidRPr="00D431B9">
      <w:rPr>
        <w:sz w:val="20"/>
      </w:rPr>
      <w:tab/>
    </w:r>
    <w:r w:rsidR="005609D9">
      <w:rPr>
        <w:sz w:val="20"/>
      </w:rPr>
      <w:t>0202</w:t>
    </w:r>
    <w:r w:rsidRPr="00D431B9">
      <w:rPr>
        <w:sz w:val="20"/>
      </w:rPr>
      <w:t>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80" w:rsidRPr="008164AD" w:rsidRDefault="00D01B80" w:rsidP="00C92482">
    <w:pPr>
      <w:pStyle w:val="Footer"/>
      <w:jc w:val="right"/>
      <w:rPr>
        <w:b/>
      </w:rPr>
    </w:pPr>
    <w:r w:rsidRPr="008164AD">
      <w:rPr>
        <w:b/>
      </w:rPr>
      <w:fldChar w:fldCharType="begin"/>
    </w:r>
    <w:r w:rsidRPr="008164AD">
      <w:rPr>
        <w:b/>
      </w:rPr>
      <w:instrText xml:space="preserve"> PAGE   \* MERGEFORMAT </w:instrText>
    </w:r>
    <w:r w:rsidRPr="008164AD">
      <w:rPr>
        <w:b/>
      </w:rPr>
      <w:fldChar w:fldCharType="separate"/>
    </w:r>
    <w:r w:rsidR="00B510C1">
      <w:rPr>
        <w:b/>
        <w:noProof/>
      </w:rPr>
      <w:t>15</w:t>
    </w:r>
    <w:r w:rsidRPr="008164AD">
      <w:rPr>
        <w:b/>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9BA" w:rsidRPr="008164AD" w:rsidRDefault="000D59BA" w:rsidP="000D59BA">
    <w:pPr>
      <w:pStyle w:val="Footer"/>
      <w:rPr>
        <w:b/>
      </w:rPr>
    </w:pPr>
    <w:r w:rsidRPr="008164AD">
      <w:rPr>
        <w:b/>
      </w:rPr>
      <w:fldChar w:fldCharType="begin"/>
    </w:r>
    <w:r w:rsidRPr="008164AD">
      <w:rPr>
        <w:b/>
      </w:rPr>
      <w:instrText xml:space="preserve"> PAGE   \* MERGEFORMAT </w:instrText>
    </w:r>
    <w:r w:rsidRPr="008164AD">
      <w:rPr>
        <w:b/>
      </w:rPr>
      <w:fldChar w:fldCharType="separate"/>
    </w:r>
    <w:r w:rsidR="00B510C1">
      <w:rPr>
        <w:b/>
        <w:noProof/>
      </w:rPr>
      <w:t>16</w:t>
    </w:r>
    <w:r w:rsidRPr="008164AD">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7E3" w:rsidRPr="00931D35" w:rsidRDefault="007837E3" w:rsidP="00931D35">
      <w:pPr>
        <w:spacing w:before="60"/>
        <w:ind w:left="624"/>
        <w:rPr>
          <w:sz w:val="18"/>
          <w:szCs w:val="18"/>
        </w:rPr>
      </w:pPr>
      <w:r w:rsidRPr="00931D35">
        <w:rPr>
          <w:sz w:val="18"/>
          <w:szCs w:val="18"/>
        </w:rPr>
        <w:separator/>
      </w:r>
    </w:p>
  </w:footnote>
  <w:footnote w:type="continuationSeparator" w:id="0">
    <w:p w:rsidR="007837E3" w:rsidRDefault="007837E3">
      <w:r>
        <w:continuationSeparator/>
      </w:r>
    </w:p>
  </w:footnote>
  <w:footnote w:type="continuationNotice" w:id="1">
    <w:p w:rsidR="007837E3" w:rsidRDefault="007837E3"/>
  </w:footnote>
  <w:footnote w:id="2">
    <w:p w:rsidR="00D01B80" w:rsidRPr="00067B00" w:rsidRDefault="00D01B80" w:rsidP="00931D35">
      <w:pPr>
        <w:tabs>
          <w:tab w:val="left" w:pos="624"/>
        </w:tabs>
        <w:spacing w:before="20" w:after="40"/>
        <w:ind w:left="1247"/>
        <w:rPr>
          <w:sz w:val="18"/>
          <w:szCs w:val="18"/>
        </w:rPr>
      </w:pPr>
      <w:r w:rsidRPr="00036ACD">
        <w:rPr>
          <w:sz w:val="18"/>
          <w:szCs w:val="18"/>
        </w:rPr>
        <w:t>* UNEP(DTIE)/Hg/INC.</w:t>
      </w:r>
      <w:r>
        <w:rPr>
          <w:sz w:val="18"/>
          <w:szCs w:val="18"/>
        </w:rPr>
        <w:t>7</w:t>
      </w:r>
      <w:r w:rsidRPr="00036ACD">
        <w:rPr>
          <w:sz w:val="18"/>
          <w:szCs w:val="18"/>
        </w:rPr>
        <w:t>/1.</w:t>
      </w:r>
    </w:p>
  </w:footnote>
  <w:footnote w:id="3">
    <w:p w:rsidR="00D01B80" w:rsidRPr="008164AD" w:rsidRDefault="00D01B80" w:rsidP="00931D35">
      <w:pPr>
        <w:pStyle w:val="BBTitle"/>
        <w:tabs>
          <w:tab w:val="clear" w:pos="1247"/>
          <w:tab w:val="clear" w:pos="1814"/>
          <w:tab w:val="clear" w:pos="2381"/>
          <w:tab w:val="clear" w:pos="2948"/>
          <w:tab w:val="clear" w:pos="3515"/>
          <w:tab w:val="clear" w:pos="4082"/>
          <w:tab w:val="left" w:pos="624"/>
        </w:tabs>
        <w:spacing w:before="20" w:after="40"/>
        <w:ind w:right="0"/>
        <w:rPr>
          <w:b w:val="0"/>
          <w:sz w:val="18"/>
          <w:szCs w:val="18"/>
        </w:rPr>
      </w:pPr>
      <w:r w:rsidRPr="008164AD">
        <w:rPr>
          <w:rStyle w:val="FootnoteReference"/>
          <w:b w:val="0"/>
          <w:sz w:val="18"/>
        </w:rPr>
        <w:footnoteRef/>
      </w:r>
      <w:r w:rsidRPr="008164AD">
        <w:rPr>
          <w:b w:val="0"/>
          <w:sz w:val="18"/>
          <w:szCs w:val="18"/>
        </w:rPr>
        <w:t xml:space="preserve"> </w:t>
      </w:r>
      <w:r w:rsidRPr="002D4DBC">
        <w:rPr>
          <w:rFonts w:eastAsia="MS Mincho"/>
          <w:b w:val="0"/>
          <w:bCs/>
          <w:sz w:val="18"/>
          <w:szCs w:val="18"/>
        </w:rPr>
        <w:t>Available in documents</w:t>
      </w:r>
      <w:r>
        <w:rPr>
          <w:rFonts w:eastAsia="MS Mincho"/>
          <w:b w:val="0"/>
          <w:bCs/>
          <w:sz w:val="18"/>
          <w:szCs w:val="18"/>
        </w:rPr>
        <w:t xml:space="preserve"> </w:t>
      </w:r>
      <w:r w:rsidRPr="002F12CF">
        <w:rPr>
          <w:b w:val="0"/>
          <w:bCs/>
          <w:sz w:val="18"/>
          <w:szCs w:val="18"/>
        </w:rPr>
        <w:t>UNEP(DTIE)/Hg/INC.6/22, U</w:t>
      </w:r>
      <w:r w:rsidRPr="001306B9">
        <w:rPr>
          <w:b w:val="0"/>
          <w:bCs/>
          <w:sz w:val="18"/>
          <w:szCs w:val="18"/>
          <w:lang w:val="en-US"/>
        </w:rPr>
        <w:t xml:space="preserve">NEP(DTIE)/Hg/INC.6/22/Corr.1, </w:t>
      </w:r>
      <w:r w:rsidRPr="001306B9">
        <w:rPr>
          <w:b w:val="0"/>
          <w:bCs/>
          <w:sz w:val="18"/>
          <w:szCs w:val="18"/>
        </w:rPr>
        <w:t>UNEP(DTIE)/Hg/INC.6/INF/7 and UNEP(DTIE)/Hg/INC.7/21</w:t>
      </w:r>
      <w:r>
        <w:rPr>
          <w:b w:val="0"/>
          <w:bCs/>
          <w:sz w:val="18"/>
          <w:szCs w:val="18"/>
        </w:rPr>
        <w:t>.</w:t>
      </w:r>
    </w:p>
  </w:footnote>
  <w:footnote w:id="4">
    <w:p w:rsidR="00D01B80" w:rsidRPr="002F12CF" w:rsidRDefault="00D01B80" w:rsidP="00931D35">
      <w:pPr>
        <w:pStyle w:val="FootnoteText"/>
        <w:rPr>
          <w:szCs w:val="18"/>
          <w:lang w:val="en-GB"/>
        </w:rPr>
      </w:pPr>
      <w:r w:rsidRPr="002D4DBC">
        <w:rPr>
          <w:rStyle w:val="FootnoteReference"/>
          <w:sz w:val="18"/>
        </w:rPr>
        <w:footnoteRef/>
      </w:r>
      <w:r w:rsidRPr="002F12CF">
        <w:rPr>
          <w:szCs w:val="18"/>
          <w:lang w:val="en-GB"/>
        </w:rPr>
        <w:t xml:space="preserve"> The </w:t>
      </w:r>
      <w:r w:rsidRPr="008164AD">
        <w:rPr>
          <w:rFonts w:eastAsia="MS Mincho"/>
          <w:lang w:val="en-GB"/>
        </w:rPr>
        <w:t>secretariat</w:t>
      </w:r>
      <w:r w:rsidRPr="00D431B9">
        <w:rPr>
          <w:rFonts w:eastAsia="MS Mincho"/>
          <w:lang w:val="en-GB"/>
        </w:rPr>
        <w:t xml:space="preserve"> of the </w:t>
      </w:r>
      <w:r w:rsidRPr="002F12CF">
        <w:rPr>
          <w:szCs w:val="18"/>
          <w:lang w:val="en-GB"/>
        </w:rPr>
        <w:t xml:space="preserve">Rotterdam Convention is co-administered by UNEP in Geneva and </w:t>
      </w:r>
      <w:r>
        <w:rPr>
          <w:szCs w:val="18"/>
          <w:lang w:val="en-GB"/>
        </w:rPr>
        <w:t>the Food and Agriculture Organization of the United Nations</w:t>
      </w:r>
      <w:r w:rsidRPr="002F12CF">
        <w:rPr>
          <w:szCs w:val="18"/>
          <w:lang w:val="en-GB"/>
        </w:rPr>
        <w:t xml:space="preserve"> in Rome. </w:t>
      </w:r>
    </w:p>
  </w:footnote>
  <w:footnote w:id="5">
    <w:p w:rsidR="00D01B80" w:rsidRPr="001306B9" w:rsidRDefault="00D01B80" w:rsidP="00931D35">
      <w:pPr>
        <w:pStyle w:val="FootnoteText"/>
        <w:rPr>
          <w:szCs w:val="18"/>
          <w:lang w:val="en-US"/>
        </w:rPr>
      </w:pPr>
      <w:r w:rsidRPr="001306B9">
        <w:rPr>
          <w:rStyle w:val="FootnoteReference"/>
          <w:sz w:val="18"/>
        </w:rPr>
        <w:footnoteRef/>
      </w:r>
      <w:r w:rsidRPr="001306B9">
        <w:rPr>
          <w:szCs w:val="18"/>
          <w:lang w:val="en-US"/>
        </w:rPr>
        <w:t xml:space="preserve"> http://synergies.pops.int/Secretariat/Structure/FunctionalOrganigram/tabid/2722/language/fr-CH/Default.aspx.</w:t>
      </w:r>
    </w:p>
  </w:footnote>
  <w:footnote w:id="6">
    <w:p w:rsidR="00D01B80" w:rsidRPr="001306B9" w:rsidRDefault="00D01B80" w:rsidP="00931D35">
      <w:pPr>
        <w:pStyle w:val="FootnoteText"/>
        <w:rPr>
          <w:szCs w:val="18"/>
          <w:lang w:val="en-GB"/>
        </w:rPr>
      </w:pPr>
      <w:r w:rsidRPr="001306B9">
        <w:rPr>
          <w:rStyle w:val="FootnoteReference"/>
          <w:sz w:val="18"/>
        </w:rPr>
        <w:footnoteRef/>
      </w:r>
      <w:r w:rsidRPr="001306B9">
        <w:rPr>
          <w:szCs w:val="18"/>
          <w:lang w:val="en-GB"/>
        </w:rPr>
        <w:t xml:space="preserve"> Salary costs based on standard staff costs as for 2013, with a standard secretariat structur</w:t>
      </w:r>
      <w:r>
        <w:rPr>
          <w:szCs w:val="18"/>
          <w:lang w:val="en-GB"/>
        </w:rPr>
        <w:t>e comparable for each location.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80" w:rsidRPr="00CA5CA9" w:rsidRDefault="00D01B80" w:rsidP="006C4A12">
    <w:pPr>
      <w:pStyle w:val="Header"/>
      <w:rPr>
        <w:szCs w:val="18"/>
      </w:rPr>
    </w:pPr>
    <w:r w:rsidRPr="00CA5CA9">
      <w:rPr>
        <w:bCs/>
        <w:szCs w:val="18"/>
      </w:rPr>
      <w:t>UNEP</w:t>
    </w:r>
    <w:r w:rsidRPr="00CA5CA9">
      <w:rPr>
        <w:szCs w:val="18"/>
      </w:rPr>
      <w:t>(DTIE)/Hg/INC.</w:t>
    </w:r>
    <w:r>
      <w:rPr>
        <w:szCs w:val="18"/>
      </w:rPr>
      <w:t>7</w:t>
    </w:r>
    <w:r w:rsidRPr="00CA5CA9">
      <w:rPr>
        <w:szCs w:val="18"/>
      </w:rPr>
      <w:t>/</w:t>
    </w:r>
    <w:r>
      <w:rPr>
        <w:szCs w:val="18"/>
      </w:rPr>
      <w:t>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80" w:rsidRPr="00CA5CA9" w:rsidRDefault="00D01B80" w:rsidP="006C4A12">
    <w:pPr>
      <w:pStyle w:val="Header"/>
      <w:jc w:val="right"/>
      <w:rPr>
        <w:szCs w:val="18"/>
      </w:rPr>
    </w:pPr>
    <w:r w:rsidRPr="00CA5CA9">
      <w:rPr>
        <w:bCs/>
        <w:szCs w:val="18"/>
      </w:rPr>
      <w:t>UNEP</w:t>
    </w:r>
    <w:r>
      <w:rPr>
        <w:szCs w:val="18"/>
      </w:rPr>
      <w:t>(DTIE)/Hg/INC.7</w:t>
    </w:r>
    <w:r w:rsidRPr="00CA5CA9">
      <w:rPr>
        <w:szCs w:val="18"/>
      </w:rPr>
      <w:t>/</w:t>
    </w:r>
    <w:r>
      <w:rPr>
        <w:szCs w:val="18"/>
      </w:rPr>
      <w:t>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80" w:rsidRDefault="00D01B80" w:rsidP="00032E4E">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51A" w:rsidRDefault="005609D9" w:rsidP="005609D9">
    <w:pPr>
      <w:pStyle w:val="Header"/>
    </w:pPr>
    <w:r w:rsidRPr="00CA5CA9">
      <w:rPr>
        <w:bCs/>
        <w:szCs w:val="18"/>
      </w:rPr>
      <w:t>UNEP</w:t>
    </w:r>
    <w:r w:rsidRPr="00CA5CA9">
      <w:rPr>
        <w:szCs w:val="18"/>
      </w:rPr>
      <w:t>(DTIE)/Hg/INC.</w:t>
    </w:r>
    <w:r>
      <w:rPr>
        <w:szCs w:val="18"/>
      </w:rPr>
      <w:t>7</w:t>
    </w:r>
    <w:r w:rsidRPr="00CA5CA9">
      <w:rPr>
        <w:szCs w:val="18"/>
      </w:rPr>
      <w:t>/</w:t>
    </w:r>
    <w:r>
      <w:rPr>
        <w:szCs w:val="18"/>
      </w:rPr>
      <w:t>15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51A" w:rsidRDefault="005609D9" w:rsidP="005609D9">
    <w:pPr>
      <w:pStyle w:val="Header"/>
      <w:jc w:val="right"/>
    </w:pPr>
    <w:r w:rsidRPr="00CA5CA9">
      <w:rPr>
        <w:bCs/>
        <w:szCs w:val="18"/>
      </w:rPr>
      <w:t>UNEP</w:t>
    </w:r>
    <w:r w:rsidRPr="00CA5CA9">
      <w:rPr>
        <w:szCs w:val="18"/>
      </w:rPr>
      <w:t>(DTIE)/Hg/INC.</w:t>
    </w:r>
    <w:r>
      <w:rPr>
        <w:szCs w:val="18"/>
      </w:rPr>
      <w:t>7</w:t>
    </w:r>
    <w:r w:rsidRPr="00CA5CA9">
      <w:rPr>
        <w:szCs w:val="18"/>
      </w:rPr>
      <w:t>/</w:t>
    </w:r>
    <w:r>
      <w:rPr>
        <w:szCs w:val="18"/>
      </w:rPr>
      <w:t>15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80" w:rsidRPr="002D4DBC" w:rsidRDefault="00D01B80" w:rsidP="005A1331">
    <w:pPr>
      <w:pStyle w:val="Header"/>
      <w:jc w:val="right"/>
      <w:rPr>
        <w:szCs w:val="18"/>
      </w:rPr>
    </w:pPr>
    <w:r w:rsidRPr="00CA5CA9">
      <w:rPr>
        <w:bCs/>
        <w:szCs w:val="18"/>
      </w:rPr>
      <w:t>UNEP</w:t>
    </w:r>
    <w:r w:rsidRPr="00CA5CA9">
      <w:rPr>
        <w:szCs w:val="18"/>
      </w:rPr>
      <w:t>(DTIE)/Hg/INC.</w:t>
    </w:r>
    <w:r>
      <w:rPr>
        <w:szCs w:val="18"/>
      </w:rPr>
      <w:t>7</w:t>
    </w:r>
    <w:r w:rsidRPr="00CA5CA9">
      <w:rPr>
        <w:szCs w:val="18"/>
      </w:rPr>
      <w:t>/</w:t>
    </w:r>
    <w:r>
      <w:rPr>
        <w:szCs w:val="18"/>
      </w:rPr>
      <w:t>15</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482" w:rsidRPr="002D4DBC" w:rsidRDefault="00C92482" w:rsidP="00C92482">
    <w:pPr>
      <w:pStyle w:val="Header"/>
      <w:rPr>
        <w:szCs w:val="18"/>
      </w:rPr>
    </w:pPr>
    <w:r w:rsidRPr="00CA5CA9">
      <w:rPr>
        <w:bCs/>
        <w:szCs w:val="18"/>
      </w:rPr>
      <w:t>UNEP</w:t>
    </w:r>
    <w:r w:rsidRPr="00CA5CA9">
      <w:rPr>
        <w:szCs w:val="18"/>
      </w:rPr>
      <w:t>(DTIE)/Hg/INC.</w:t>
    </w:r>
    <w:r>
      <w:rPr>
        <w:szCs w:val="18"/>
      </w:rPr>
      <w:t>7</w:t>
    </w:r>
    <w:r w:rsidRPr="00CA5CA9">
      <w:rPr>
        <w:szCs w:val="18"/>
      </w:rPr>
      <w:t>/</w:t>
    </w:r>
    <w:r>
      <w:rPr>
        <w:szCs w:val="18"/>
      </w:rPr>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6DF0"/>
    <w:multiLevelType w:val="hybridMultilevel"/>
    <w:tmpl w:val="D502522A"/>
    <w:lvl w:ilvl="0" w:tplc="388A549A">
      <w:start w:val="1"/>
      <w:numFmt w:val="lowerLetter"/>
      <w:lvlText w:val="(%1)"/>
      <w:lvlJc w:val="left"/>
      <w:pPr>
        <w:ind w:left="2232" w:hanging="360"/>
      </w:pPr>
      <w:rPr>
        <w:rFonts w:hint="default"/>
      </w:rPr>
    </w:lvl>
    <w:lvl w:ilvl="1" w:tplc="08090019" w:tentative="1">
      <w:start w:val="1"/>
      <w:numFmt w:val="lowerLetter"/>
      <w:lvlText w:val="%2."/>
      <w:lvlJc w:val="left"/>
      <w:pPr>
        <w:ind w:left="985" w:hanging="360"/>
      </w:pPr>
    </w:lvl>
    <w:lvl w:ilvl="2" w:tplc="0809001B" w:tentative="1">
      <w:start w:val="1"/>
      <w:numFmt w:val="lowerRoman"/>
      <w:lvlText w:val="%3."/>
      <w:lvlJc w:val="right"/>
      <w:pPr>
        <w:ind w:left="1705" w:hanging="180"/>
      </w:pPr>
    </w:lvl>
    <w:lvl w:ilvl="3" w:tplc="0809000F" w:tentative="1">
      <w:start w:val="1"/>
      <w:numFmt w:val="decimal"/>
      <w:lvlText w:val="%4."/>
      <w:lvlJc w:val="left"/>
      <w:pPr>
        <w:ind w:left="2425" w:hanging="360"/>
      </w:pPr>
    </w:lvl>
    <w:lvl w:ilvl="4" w:tplc="08090019" w:tentative="1">
      <w:start w:val="1"/>
      <w:numFmt w:val="lowerLetter"/>
      <w:lvlText w:val="%5."/>
      <w:lvlJc w:val="left"/>
      <w:pPr>
        <w:ind w:left="3145" w:hanging="360"/>
      </w:pPr>
    </w:lvl>
    <w:lvl w:ilvl="5" w:tplc="0809001B" w:tentative="1">
      <w:start w:val="1"/>
      <w:numFmt w:val="lowerRoman"/>
      <w:lvlText w:val="%6."/>
      <w:lvlJc w:val="right"/>
      <w:pPr>
        <w:ind w:left="3865" w:hanging="180"/>
      </w:pPr>
    </w:lvl>
    <w:lvl w:ilvl="6" w:tplc="0809000F" w:tentative="1">
      <w:start w:val="1"/>
      <w:numFmt w:val="decimal"/>
      <w:lvlText w:val="%7."/>
      <w:lvlJc w:val="left"/>
      <w:pPr>
        <w:ind w:left="4585" w:hanging="360"/>
      </w:pPr>
    </w:lvl>
    <w:lvl w:ilvl="7" w:tplc="08090019" w:tentative="1">
      <w:start w:val="1"/>
      <w:numFmt w:val="lowerLetter"/>
      <w:lvlText w:val="%8."/>
      <w:lvlJc w:val="left"/>
      <w:pPr>
        <w:ind w:left="5305" w:hanging="360"/>
      </w:pPr>
    </w:lvl>
    <w:lvl w:ilvl="8" w:tplc="0809001B" w:tentative="1">
      <w:start w:val="1"/>
      <w:numFmt w:val="lowerRoman"/>
      <w:lvlText w:val="%9."/>
      <w:lvlJc w:val="right"/>
      <w:pPr>
        <w:ind w:left="6025" w:hanging="180"/>
      </w:pPr>
    </w:lvl>
  </w:abstractNum>
  <w:abstractNum w:abstractNumId="1">
    <w:nsid w:val="08350583"/>
    <w:multiLevelType w:val="hybridMultilevel"/>
    <w:tmpl w:val="48FA1DD8"/>
    <w:lvl w:ilvl="0" w:tplc="08090001">
      <w:start w:val="1"/>
      <w:numFmt w:val="bullet"/>
      <w:lvlText w:val=""/>
      <w:lvlJc w:val="left"/>
      <w:pPr>
        <w:ind w:left="984" w:hanging="360"/>
      </w:pPr>
      <w:rPr>
        <w:rFonts w:ascii="Symbol" w:hAnsi="Symbol" w:hint="default"/>
      </w:rPr>
    </w:lvl>
    <w:lvl w:ilvl="1" w:tplc="08090003">
      <w:start w:val="1"/>
      <w:numFmt w:val="bullet"/>
      <w:lvlText w:val="o"/>
      <w:lvlJc w:val="left"/>
      <w:pPr>
        <w:ind w:left="1704" w:hanging="360"/>
      </w:pPr>
      <w:rPr>
        <w:rFonts w:ascii="Courier New" w:hAnsi="Courier New" w:cs="Courier New" w:hint="default"/>
      </w:rPr>
    </w:lvl>
    <w:lvl w:ilvl="2" w:tplc="08090001">
      <w:start w:val="1"/>
      <w:numFmt w:val="bullet"/>
      <w:lvlText w:val=""/>
      <w:lvlJc w:val="left"/>
      <w:pPr>
        <w:ind w:left="2424" w:hanging="360"/>
      </w:pPr>
      <w:rPr>
        <w:rFonts w:ascii="Symbol" w:hAnsi="Symbol"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
    <w:nsid w:val="104D1DD6"/>
    <w:multiLevelType w:val="hybridMultilevel"/>
    <w:tmpl w:val="A940811A"/>
    <w:lvl w:ilvl="0" w:tplc="08090001">
      <w:start w:val="1"/>
      <w:numFmt w:val="bullet"/>
      <w:lvlText w:val=""/>
      <w:lvlJc w:val="left"/>
      <w:pPr>
        <w:ind w:left="984" w:hanging="360"/>
      </w:pPr>
      <w:rPr>
        <w:rFonts w:ascii="Symbol" w:hAnsi="Symbol" w:hint="default"/>
      </w:rPr>
    </w:lvl>
    <w:lvl w:ilvl="1" w:tplc="08090003">
      <w:start w:val="1"/>
      <w:numFmt w:val="bullet"/>
      <w:lvlText w:val="o"/>
      <w:lvlJc w:val="left"/>
      <w:pPr>
        <w:ind w:left="1704" w:hanging="360"/>
      </w:pPr>
      <w:rPr>
        <w:rFonts w:ascii="Courier New" w:hAnsi="Courier New" w:cs="Courier New" w:hint="default"/>
      </w:rPr>
    </w:lvl>
    <w:lvl w:ilvl="2" w:tplc="08090001">
      <w:start w:val="1"/>
      <w:numFmt w:val="bullet"/>
      <w:lvlText w:val=""/>
      <w:lvlJc w:val="left"/>
      <w:pPr>
        <w:ind w:left="2424" w:hanging="360"/>
      </w:pPr>
      <w:rPr>
        <w:rFonts w:ascii="Symbol" w:hAnsi="Symbol"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
    <w:nsid w:val="12F609FC"/>
    <w:multiLevelType w:val="hybridMultilevel"/>
    <w:tmpl w:val="73ACFBEA"/>
    <w:lvl w:ilvl="0" w:tplc="0809000F">
      <w:start w:val="1"/>
      <w:numFmt w:val="decimal"/>
      <w:lvlText w:val="%1."/>
      <w:lvlJc w:val="left"/>
      <w:pPr>
        <w:ind w:left="1920" w:hanging="360"/>
      </w:pPr>
    </w:lvl>
    <w:lvl w:ilvl="1" w:tplc="388A549A">
      <w:start w:val="1"/>
      <w:numFmt w:val="lowerLetter"/>
      <w:lvlText w:val="(%2)"/>
      <w:lvlJc w:val="left"/>
      <w:pPr>
        <w:ind w:left="2687" w:hanging="360"/>
      </w:pPr>
      <w:rPr>
        <w:rFonts w:hint="default"/>
      </w:rPr>
    </w:lvl>
    <w:lvl w:ilvl="2" w:tplc="640C88A4">
      <w:start w:val="1"/>
      <w:numFmt w:val="lowerRoman"/>
      <w:lvlText w:val="(%3)"/>
      <w:lvlJc w:val="right"/>
      <w:pPr>
        <w:ind w:left="3407" w:hanging="180"/>
      </w:pPr>
      <w:rPr>
        <w:rFonts w:hint="default"/>
      </w:rPr>
    </w:lvl>
    <w:lvl w:ilvl="3" w:tplc="0809000F">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4">
    <w:nsid w:val="153F4267"/>
    <w:multiLevelType w:val="hybridMultilevel"/>
    <w:tmpl w:val="04A47A60"/>
    <w:lvl w:ilvl="0" w:tplc="503C98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25172A"/>
    <w:multiLevelType w:val="hybridMultilevel"/>
    <w:tmpl w:val="4146765E"/>
    <w:lvl w:ilvl="0" w:tplc="5EFEBE28">
      <w:start w:val="1"/>
      <w:numFmt w:val="upperLetter"/>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7">
    <w:nsid w:val="2254294F"/>
    <w:multiLevelType w:val="hybridMultilevel"/>
    <w:tmpl w:val="FA901644"/>
    <w:lvl w:ilvl="0" w:tplc="08090001">
      <w:start w:val="1"/>
      <w:numFmt w:val="bullet"/>
      <w:lvlText w:val=""/>
      <w:lvlJc w:val="left"/>
      <w:pPr>
        <w:ind w:left="1608" w:hanging="360"/>
      </w:pPr>
      <w:rPr>
        <w:rFonts w:ascii="Symbol" w:hAnsi="Symbol" w:hint="default"/>
      </w:rPr>
    </w:lvl>
    <w:lvl w:ilvl="1" w:tplc="08090003" w:tentative="1">
      <w:start w:val="1"/>
      <w:numFmt w:val="bullet"/>
      <w:lvlText w:val="o"/>
      <w:lvlJc w:val="left"/>
      <w:pPr>
        <w:ind w:left="2328" w:hanging="360"/>
      </w:pPr>
      <w:rPr>
        <w:rFonts w:ascii="Courier New" w:hAnsi="Courier New" w:cs="Courier New" w:hint="default"/>
      </w:rPr>
    </w:lvl>
    <w:lvl w:ilvl="2" w:tplc="08090005" w:tentative="1">
      <w:start w:val="1"/>
      <w:numFmt w:val="bullet"/>
      <w:lvlText w:val=""/>
      <w:lvlJc w:val="left"/>
      <w:pPr>
        <w:ind w:left="3048" w:hanging="360"/>
      </w:pPr>
      <w:rPr>
        <w:rFonts w:ascii="Wingdings" w:hAnsi="Wingdings" w:hint="default"/>
      </w:rPr>
    </w:lvl>
    <w:lvl w:ilvl="3" w:tplc="08090001" w:tentative="1">
      <w:start w:val="1"/>
      <w:numFmt w:val="bullet"/>
      <w:lvlText w:val=""/>
      <w:lvlJc w:val="left"/>
      <w:pPr>
        <w:ind w:left="3768" w:hanging="360"/>
      </w:pPr>
      <w:rPr>
        <w:rFonts w:ascii="Symbol" w:hAnsi="Symbol" w:hint="default"/>
      </w:rPr>
    </w:lvl>
    <w:lvl w:ilvl="4" w:tplc="08090003" w:tentative="1">
      <w:start w:val="1"/>
      <w:numFmt w:val="bullet"/>
      <w:lvlText w:val="o"/>
      <w:lvlJc w:val="left"/>
      <w:pPr>
        <w:ind w:left="4488" w:hanging="360"/>
      </w:pPr>
      <w:rPr>
        <w:rFonts w:ascii="Courier New" w:hAnsi="Courier New" w:cs="Courier New" w:hint="default"/>
      </w:rPr>
    </w:lvl>
    <w:lvl w:ilvl="5" w:tplc="08090005" w:tentative="1">
      <w:start w:val="1"/>
      <w:numFmt w:val="bullet"/>
      <w:lvlText w:val=""/>
      <w:lvlJc w:val="left"/>
      <w:pPr>
        <w:ind w:left="5208" w:hanging="360"/>
      </w:pPr>
      <w:rPr>
        <w:rFonts w:ascii="Wingdings" w:hAnsi="Wingdings" w:hint="default"/>
      </w:rPr>
    </w:lvl>
    <w:lvl w:ilvl="6" w:tplc="08090001" w:tentative="1">
      <w:start w:val="1"/>
      <w:numFmt w:val="bullet"/>
      <w:lvlText w:val=""/>
      <w:lvlJc w:val="left"/>
      <w:pPr>
        <w:ind w:left="5928" w:hanging="360"/>
      </w:pPr>
      <w:rPr>
        <w:rFonts w:ascii="Symbol" w:hAnsi="Symbol" w:hint="default"/>
      </w:rPr>
    </w:lvl>
    <w:lvl w:ilvl="7" w:tplc="08090003" w:tentative="1">
      <w:start w:val="1"/>
      <w:numFmt w:val="bullet"/>
      <w:lvlText w:val="o"/>
      <w:lvlJc w:val="left"/>
      <w:pPr>
        <w:ind w:left="6648" w:hanging="360"/>
      </w:pPr>
      <w:rPr>
        <w:rFonts w:ascii="Courier New" w:hAnsi="Courier New" w:cs="Courier New" w:hint="default"/>
      </w:rPr>
    </w:lvl>
    <w:lvl w:ilvl="8" w:tplc="08090005" w:tentative="1">
      <w:start w:val="1"/>
      <w:numFmt w:val="bullet"/>
      <w:lvlText w:val=""/>
      <w:lvlJc w:val="left"/>
      <w:pPr>
        <w:ind w:left="7368" w:hanging="360"/>
      </w:pPr>
      <w:rPr>
        <w:rFonts w:ascii="Wingdings" w:hAnsi="Wingdings" w:hint="default"/>
      </w:rPr>
    </w:lvl>
  </w:abstractNum>
  <w:abstractNum w:abstractNumId="8">
    <w:nsid w:val="2A0076FB"/>
    <w:multiLevelType w:val="hybridMultilevel"/>
    <w:tmpl w:val="7CAA2768"/>
    <w:lvl w:ilvl="0" w:tplc="08090001">
      <w:start w:val="1"/>
      <w:numFmt w:val="bullet"/>
      <w:lvlText w:val=""/>
      <w:lvlJc w:val="left"/>
      <w:pPr>
        <w:ind w:left="1967"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9">
    <w:nsid w:val="2A5422E4"/>
    <w:multiLevelType w:val="hybridMultilevel"/>
    <w:tmpl w:val="E0804B08"/>
    <w:lvl w:ilvl="0" w:tplc="0809000F">
      <w:start w:val="1"/>
      <w:numFmt w:val="decimal"/>
      <w:lvlText w:val="%1."/>
      <w:lvlJc w:val="left"/>
      <w:pPr>
        <w:ind w:left="1920" w:hanging="360"/>
      </w:pPr>
    </w:lvl>
    <w:lvl w:ilvl="1" w:tplc="08090019">
      <w:start w:val="1"/>
      <w:numFmt w:val="lowerLetter"/>
      <w:lvlText w:val="%2."/>
      <w:lvlJc w:val="left"/>
      <w:pPr>
        <w:ind w:left="2687" w:hanging="360"/>
      </w:pPr>
    </w:lvl>
    <w:lvl w:ilvl="2" w:tplc="0809001B">
      <w:start w:val="1"/>
      <w:numFmt w:val="lowerRoman"/>
      <w:lvlText w:val="%3."/>
      <w:lvlJc w:val="right"/>
      <w:pPr>
        <w:ind w:left="3407" w:hanging="180"/>
      </w:pPr>
    </w:lvl>
    <w:lvl w:ilvl="3" w:tplc="0809000F">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0">
    <w:nsid w:val="31722D73"/>
    <w:multiLevelType w:val="hybridMultilevel"/>
    <w:tmpl w:val="4886BDD6"/>
    <w:lvl w:ilvl="0" w:tplc="0809000F">
      <w:start w:val="1"/>
      <w:numFmt w:val="decimal"/>
      <w:lvlText w:val="%1."/>
      <w:lvlJc w:val="left"/>
      <w:pPr>
        <w:ind w:left="1967" w:hanging="360"/>
      </w:pPr>
    </w:lvl>
    <w:lvl w:ilvl="1" w:tplc="08090019">
      <w:start w:val="1"/>
      <w:numFmt w:val="lowerLetter"/>
      <w:lvlText w:val="%2."/>
      <w:lvlJc w:val="left"/>
      <w:pPr>
        <w:ind w:left="2687" w:hanging="360"/>
      </w:pPr>
    </w:lvl>
    <w:lvl w:ilvl="2" w:tplc="0809001B">
      <w:start w:val="1"/>
      <w:numFmt w:val="lowerRoman"/>
      <w:lvlText w:val="%3."/>
      <w:lvlJc w:val="right"/>
      <w:pPr>
        <w:ind w:left="3407" w:hanging="180"/>
      </w:pPr>
    </w:lvl>
    <w:lvl w:ilvl="3" w:tplc="0809000F">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1">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2">
    <w:nsid w:val="40607687"/>
    <w:multiLevelType w:val="hybridMultilevel"/>
    <w:tmpl w:val="D5ACA898"/>
    <w:lvl w:ilvl="0" w:tplc="0809000F">
      <w:start w:val="1"/>
      <w:numFmt w:val="decimal"/>
      <w:lvlText w:val="%1."/>
      <w:lvlJc w:val="left"/>
      <w:pPr>
        <w:ind w:left="1920" w:hanging="360"/>
      </w:pPr>
    </w:lvl>
    <w:lvl w:ilvl="1" w:tplc="388A549A">
      <w:start w:val="1"/>
      <w:numFmt w:val="lowerLetter"/>
      <w:lvlText w:val="(%2)"/>
      <w:lvlJc w:val="left"/>
      <w:pPr>
        <w:ind w:left="2687" w:hanging="360"/>
      </w:pPr>
      <w:rPr>
        <w:rFonts w:hint="default"/>
      </w:rPr>
    </w:lvl>
    <w:lvl w:ilvl="2" w:tplc="0809001B">
      <w:start w:val="1"/>
      <w:numFmt w:val="lowerRoman"/>
      <w:lvlText w:val="%3."/>
      <w:lvlJc w:val="right"/>
      <w:pPr>
        <w:ind w:left="3407" w:hanging="180"/>
      </w:pPr>
    </w:lvl>
    <w:lvl w:ilvl="3" w:tplc="0809000F">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3">
    <w:nsid w:val="48577B52"/>
    <w:multiLevelType w:val="hybridMultilevel"/>
    <w:tmpl w:val="826CCBF0"/>
    <w:lvl w:ilvl="0" w:tplc="388A549A">
      <w:start w:val="1"/>
      <w:numFmt w:val="lowerLetter"/>
      <w:lvlText w:val="(%1)"/>
      <w:lvlJc w:val="left"/>
      <w:pPr>
        <w:ind w:left="26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01153A6"/>
    <w:multiLevelType w:val="hybridMultilevel"/>
    <w:tmpl w:val="20CA5070"/>
    <w:lvl w:ilvl="0" w:tplc="17684FEA">
      <w:start w:val="1"/>
      <w:numFmt w:val="upperRoman"/>
      <w:lvlText w:val="%1."/>
      <w:lvlJc w:val="left"/>
      <w:pPr>
        <w:ind w:left="1287" w:hanging="72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6">
    <w:nsid w:val="5C335E3B"/>
    <w:multiLevelType w:val="hybridMultilevel"/>
    <w:tmpl w:val="4F1EBFE4"/>
    <w:lvl w:ilvl="0" w:tplc="69A41274">
      <w:start w:val="3"/>
      <w:numFmt w:val="upperLetter"/>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7">
    <w:nsid w:val="5F1D3567"/>
    <w:multiLevelType w:val="hybridMultilevel"/>
    <w:tmpl w:val="EC9E158E"/>
    <w:lvl w:ilvl="0" w:tplc="7960EDBA">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nsid w:val="62691179"/>
    <w:multiLevelType w:val="hybridMultilevel"/>
    <w:tmpl w:val="FC0CE998"/>
    <w:lvl w:ilvl="0" w:tplc="0809000F">
      <w:start w:val="1"/>
      <w:numFmt w:val="decimal"/>
      <w:lvlText w:val="%1."/>
      <w:lvlJc w:val="left"/>
      <w:pPr>
        <w:ind w:left="1920" w:hanging="360"/>
      </w:pPr>
    </w:lvl>
    <w:lvl w:ilvl="1" w:tplc="388A549A">
      <w:start w:val="1"/>
      <w:numFmt w:val="lowerLetter"/>
      <w:lvlText w:val="(%2)"/>
      <w:lvlJc w:val="left"/>
      <w:pPr>
        <w:ind w:left="2687" w:hanging="360"/>
      </w:pPr>
      <w:rPr>
        <w:rFonts w:hint="default"/>
      </w:rPr>
    </w:lvl>
    <w:lvl w:ilvl="2" w:tplc="0809001B">
      <w:start w:val="1"/>
      <w:numFmt w:val="lowerRoman"/>
      <w:lvlText w:val="%3."/>
      <w:lvlJc w:val="right"/>
      <w:pPr>
        <w:ind w:left="3407" w:hanging="180"/>
      </w:pPr>
    </w:lvl>
    <w:lvl w:ilvl="3" w:tplc="0809000F">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9">
    <w:nsid w:val="62F634A2"/>
    <w:multiLevelType w:val="hybridMultilevel"/>
    <w:tmpl w:val="E190EC56"/>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0">
    <w:nsid w:val="6B724878"/>
    <w:multiLevelType w:val="hybridMultilevel"/>
    <w:tmpl w:val="A9E66208"/>
    <w:lvl w:ilvl="0" w:tplc="0809000F">
      <w:start w:val="1"/>
      <w:numFmt w:val="decimal"/>
      <w:lvlText w:val="%1."/>
      <w:lvlJc w:val="left"/>
      <w:pPr>
        <w:ind w:left="1920" w:hanging="360"/>
      </w:pPr>
    </w:lvl>
    <w:lvl w:ilvl="1" w:tplc="388A549A">
      <w:start w:val="1"/>
      <w:numFmt w:val="lowerLetter"/>
      <w:lvlText w:val="(%2)"/>
      <w:lvlJc w:val="left"/>
      <w:pPr>
        <w:ind w:left="2687" w:hanging="360"/>
      </w:pPr>
      <w:rPr>
        <w:rFonts w:hint="default"/>
      </w:rPr>
    </w:lvl>
    <w:lvl w:ilvl="2" w:tplc="0809001B">
      <w:start w:val="1"/>
      <w:numFmt w:val="lowerRoman"/>
      <w:lvlText w:val="%3."/>
      <w:lvlJc w:val="right"/>
      <w:pPr>
        <w:ind w:left="3407" w:hanging="180"/>
      </w:pPr>
    </w:lvl>
    <w:lvl w:ilvl="3" w:tplc="0809000F">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1">
    <w:nsid w:val="77A13BE6"/>
    <w:multiLevelType w:val="hybridMultilevel"/>
    <w:tmpl w:val="65FE26CC"/>
    <w:lvl w:ilvl="0" w:tplc="0809000F">
      <w:start w:val="1"/>
      <w:numFmt w:val="decimal"/>
      <w:lvlText w:val="%1."/>
      <w:lvlJc w:val="left"/>
      <w:pPr>
        <w:ind w:left="1967" w:hanging="360"/>
      </w:pPr>
    </w:lvl>
    <w:lvl w:ilvl="1" w:tplc="388A549A">
      <w:start w:val="1"/>
      <w:numFmt w:val="lowerLetter"/>
      <w:lvlText w:val="(%2)"/>
      <w:lvlJc w:val="left"/>
      <w:pPr>
        <w:ind w:left="2687" w:hanging="360"/>
      </w:pPr>
      <w:rPr>
        <w:rFonts w:hint="default"/>
      </w:rPr>
    </w:lvl>
    <w:lvl w:ilvl="2" w:tplc="0809001B">
      <w:start w:val="1"/>
      <w:numFmt w:val="lowerRoman"/>
      <w:lvlText w:val="%3."/>
      <w:lvlJc w:val="right"/>
      <w:pPr>
        <w:ind w:left="3407" w:hanging="180"/>
      </w:pPr>
    </w:lvl>
    <w:lvl w:ilvl="3" w:tplc="0809000F">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2">
    <w:nsid w:val="7B6102B4"/>
    <w:multiLevelType w:val="hybridMultilevel"/>
    <w:tmpl w:val="A78E87F4"/>
    <w:lvl w:ilvl="0" w:tplc="08090001">
      <w:start w:val="1"/>
      <w:numFmt w:val="bullet"/>
      <w:lvlText w:val=""/>
      <w:lvlJc w:val="left"/>
      <w:pPr>
        <w:ind w:left="984" w:hanging="360"/>
      </w:pPr>
      <w:rPr>
        <w:rFonts w:ascii="Symbol" w:hAnsi="Symbol" w:hint="default"/>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num w:numId="1">
    <w:abstractNumId w:val="15"/>
  </w:num>
  <w:num w:numId="2">
    <w:abstractNumId w:val="6"/>
  </w:num>
  <w:num w:numId="3">
    <w:abstractNumId w:val="11"/>
  </w:num>
  <w:num w:numId="4">
    <w:abstractNumId w:val="15"/>
    <w:lvlOverride w:ilvl="0">
      <w:lvl w:ilvl="0">
        <w:start w:val="1"/>
        <w:numFmt w:val="decimal"/>
        <w:pStyle w:val="Normalnumber"/>
        <w:lvlText w:val="%1."/>
        <w:lvlJc w:val="left"/>
        <w:pPr>
          <w:tabs>
            <w:tab w:val="num" w:pos="6516"/>
          </w:tabs>
          <w:ind w:left="6629" w:firstLine="0"/>
        </w:pPr>
        <w:rPr>
          <w:rFonts w:hint="default"/>
        </w:rPr>
      </w:lvl>
    </w:lvlOverride>
    <w:lvlOverride w:ilvl="1">
      <w:lvl w:ilvl="1">
        <w:start w:val="1"/>
        <w:numFmt w:val="lowerLetter"/>
        <w:lvlText w:val="(%2)"/>
        <w:lvlJc w:val="left"/>
        <w:pPr>
          <w:tabs>
            <w:tab w:val="num" w:pos="6516"/>
          </w:tabs>
          <w:ind w:left="6629" w:firstLine="567"/>
        </w:pPr>
        <w:rPr>
          <w:rFonts w:hint="default"/>
        </w:rPr>
      </w:lvl>
    </w:lvlOverride>
    <w:lvlOverride w:ilvl="2">
      <w:lvl w:ilvl="2">
        <w:start w:val="1"/>
        <w:numFmt w:val="lowerRoman"/>
        <w:lvlText w:val="(%3)"/>
        <w:lvlJc w:val="left"/>
        <w:pPr>
          <w:tabs>
            <w:tab w:val="num" w:pos="6516"/>
          </w:tabs>
          <w:ind w:left="8330" w:hanging="567"/>
        </w:pPr>
        <w:rPr>
          <w:rFonts w:hint="default"/>
        </w:rPr>
      </w:lvl>
    </w:lvlOverride>
    <w:lvlOverride w:ilvl="3">
      <w:lvl w:ilvl="3">
        <w:start w:val="1"/>
        <w:numFmt w:val="lowerLetter"/>
        <w:lvlText w:val="%4."/>
        <w:lvlJc w:val="left"/>
        <w:pPr>
          <w:tabs>
            <w:tab w:val="num" w:pos="6516"/>
          </w:tabs>
          <w:ind w:left="8897" w:hanging="567"/>
        </w:pPr>
        <w:rPr>
          <w:rFonts w:hint="default"/>
        </w:rPr>
      </w:lvl>
    </w:lvlOverride>
    <w:lvlOverride w:ilvl="4">
      <w:lvl w:ilvl="4">
        <w:start w:val="1"/>
        <w:numFmt w:val="lowerRoman"/>
        <w:lvlText w:val="%5."/>
        <w:lvlJc w:val="left"/>
        <w:pPr>
          <w:tabs>
            <w:tab w:val="num" w:pos="6516"/>
          </w:tabs>
          <w:ind w:left="9464" w:hanging="567"/>
        </w:pPr>
        <w:rPr>
          <w:rFonts w:hint="default"/>
        </w:rPr>
      </w:lvl>
    </w:lvlOverride>
    <w:lvlOverride w:ilvl="5">
      <w:lvl w:ilvl="5">
        <w:start w:val="1"/>
        <w:numFmt w:val="lowerRoman"/>
        <w:lvlText w:val="%6."/>
        <w:lvlJc w:val="right"/>
        <w:pPr>
          <w:tabs>
            <w:tab w:val="num" w:pos="13217"/>
          </w:tabs>
          <w:ind w:left="13217" w:hanging="180"/>
        </w:pPr>
        <w:rPr>
          <w:rFonts w:hint="default"/>
        </w:rPr>
      </w:lvl>
    </w:lvlOverride>
    <w:lvlOverride w:ilvl="6">
      <w:lvl w:ilvl="6">
        <w:start w:val="1"/>
        <w:numFmt w:val="decimal"/>
        <w:lvlText w:val="%7."/>
        <w:lvlJc w:val="left"/>
        <w:pPr>
          <w:tabs>
            <w:tab w:val="num" w:pos="13937"/>
          </w:tabs>
          <w:ind w:left="13937" w:hanging="360"/>
        </w:pPr>
        <w:rPr>
          <w:rFonts w:hint="default"/>
        </w:rPr>
      </w:lvl>
    </w:lvlOverride>
    <w:lvlOverride w:ilvl="7">
      <w:lvl w:ilvl="7">
        <w:start w:val="1"/>
        <w:numFmt w:val="lowerLetter"/>
        <w:lvlText w:val="%8."/>
        <w:lvlJc w:val="left"/>
        <w:pPr>
          <w:tabs>
            <w:tab w:val="num" w:pos="14657"/>
          </w:tabs>
          <w:ind w:left="14657" w:hanging="360"/>
        </w:pPr>
        <w:rPr>
          <w:rFonts w:hint="default"/>
        </w:rPr>
      </w:lvl>
    </w:lvlOverride>
    <w:lvlOverride w:ilvl="8">
      <w:lvl w:ilvl="8">
        <w:start w:val="1"/>
        <w:numFmt w:val="lowerRoman"/>
        <w:lvlText w:val="%9."/>
        <w:lvlJc w:val="right"/>
        <w:pPr>
          <w:tabs>
            <w:tab w:val="num" w:pos="15377"/>
          </w:tabs>
          <w:ind w:left="15377" w:hanging="180"/>
        </w:pPr>
        <w:rPr>
          <w:rFonts w:hint="default"/>
        </w:rPr>
      </w:lvl>
    </w:lvlOverride>
  </w:num>
  <w:num w:numId="5">
    <w:abstractNumId w:val="9"/>
  </w:num>
  <w:num w:numId="6">
    <w:abstractNumId w:val="5"/>
  </w:num>
  <w:num w:numId="7">
    <w:abstractNumId w:val="17"/>
  </w:num>
  <w:num w:numId="8">
    <w:abstractNumId w:val="16"/>
  </w:num>
  <w:num w:numId="9">
    <w:abstractNumId w:val="14"/>
  </w:num>
  <w:num w:numId="10">
    <w:abstractNumId w:val="7"/>
  </w:num>
  <w:num w:numId="11">
    <w:abstractNumId w:val="8"/>
  </w:num>
  <w:num w:numId="12">
    <w:abstractNumId w:val="19"/>
  </w:num>
  <w:num w:numId="13">
    <w:abstractNumId w:val="2"/>
  </w:num>
  <w:num w:numId="14">
    <w:abstractNumId w:val="1"/>
  </w:num>
  <w:num w:numId="15">
    <w:abstractNumId w:val="22"/>
  </w:num>
  <w:num w:numId="16">
    <w:abstractNumId w:val="10"/>
  </w:num>
  <w:num w:numId="17">
    <w:abstractNumId w:val="4"/>
  </w:num>
  <w:num w:numId="18">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738"/>
          </w:tabs>
          <w:ind w:left="851"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9">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738"/>
          </w:tabs>
          <w:ind w:left="851"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0">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738"/>
          </w:tabs>
          <w:ind w:left="851"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1">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738"/>
          </w:tabs>
          <w:ind w:left="851"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2">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738"/>
          </w:tabs>
          <w:ind w:left="851"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3">
    <w:abstractNumId w:val="20"/>
  </w:num>
  <w:num w:numId="24">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738"/>
          </w:tabs>
          <w:ind w:left="851"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5">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738"/>
          </w:tabs>
          <w:ind w:left="851"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6">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738"/>
          </w:tabs>
          <w:ind w:left="851"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7">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738"/>
          </w:tabs>
          <w:ind w:left="851"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8">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738"/>
          </w:tabs>
          <w:ind w:left="851"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9">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738"/>
          </w:tabs>
          <w:ind w:left="851"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0">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738"/>
          </w:tabs>
          <w:ind w:left="851"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1">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738"/>
          </w:tabs>
          <w:ind w:left="851"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2">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738"/>
          </w:tabs>
          <w:ind w:left="851"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3">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738"/>
          </w:tabs>
          <w:ind w:left="851"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4">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738"/>
          </w:tabs>
          <w:ind w:left="851"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5">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738"/>
          </w:tabs>
          <w:ind w:left="851"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6">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738"/>
          </w:tabs>
          <w:ind w:left="851"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7">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738"/>
          </w:tabs>
          <w:ind w:left="851"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8">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738"/>
          </w:tabs>
          <w:ind w:left="851"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9">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738"/>
          </w:tabs>
          <w:ind w:left="851"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0">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738"/>
          </w:tabs>
          <w:ind w:left="851"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1">
    <w:abstractNumId w:val="12"/>
  </w:num>
  <w:num w:numId="42">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738"/>
          </w:tabs>
          <w:ind w:left="851"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3">
    <w:abstractNumId w:val="3"/>
  </w:num>
  <w:num w:numId="44">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738"/>
          </w:tabs>
          <w:ind w:left="851"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5">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738"/>
          </w:tabs>
          <w:ind w:left="851"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6">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738"/>
          </w:tabs>
          <w:ind w:left="851"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7">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738"/>
          </w:tabs>
          <w:ind w:left="851"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8">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738"/>
          </w:tabs>
          <w:ind w:left="851"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9">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738"/>
          </w:tabs>
          <w:ind w:left="851"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0">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738"/>
          </w:tabs>
          <w:ind w:left="851"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1">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738"/>
          </w:tabs>
          <w:ind w:left="851"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2">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738"/>
          </w:tabs>
          <w:ind w:left="851"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3">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738"/>
          </w:tabs>
          <w:ind w:left="851"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4">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738"/>
          </w:tabs>
          <w:ind w:left="851"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5">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738"/>
          </w:tabs>
          <w:ind w:left="851"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6">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738"/>
          </w:tabs>
          <w:ind w:left="851"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7">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738"/>
          </w:tabs>
          <w:ind w:left="851"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8">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738"/>
          </w:tabs>
          <w:ind w:left="851"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9">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738"/>
          </w:tabs>
          <w:ind w:left="851"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0">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738"/>
          </w:tabs>
          <w:ind w:left="851"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1">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738"/>
          </w:tabs>
          <w:ind w:left="851"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2">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738"/>
          </w:tabs>
          <w:ind w:left="851"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3">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738"/>
          </w:tabs>
          <w:ind w:left="851"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4">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738"/>
          </w:tabs>
          <w:ind w:left="851"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5">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738"/>
          </w:tabs>
          <w:ind w:left="851"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6">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738"/>
          </w:tabs>
          <w:ind w:left="851"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7">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738"/>
          </w:tabs>
          <w:ind w:left="851"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8">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738"/>
          </w:tabs>
          <w:ind w:left="851"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9">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738"/>
          </w:tabs>
          <w:ind w:left="851"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0">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738"/>
          </w:tabs>
          <w:ind w:left="851"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1">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738"/>
          </w:tabs>
          <w:ind w:left="851"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2">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738"/>
          </w:tabs>
          <w:ind w:left="851"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3">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738"/>
          </w:tabs>
          <w:ind w:left="851"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4">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738"/>
          </w:tabs>
          <w:ind w:left="851"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5">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738"/>
          </w:tabs>
          <w:ind w:left="851"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6">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738"/>
          </w:tabs>
          <w:ind w:left="851"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7">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738"/>
          </w:tabs>
          <w:ind w:left="851"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8">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738"/>
          </w:tabs>
          <w:ind w:left="851"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9">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738"/>
          </w:tabs>
          <w:ind w:left="851"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0">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738"/>
          </w:tabs>
          <w:ind w:left="851"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1">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738"/>
          </w:tabs>
          <w:ind w:left="851"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2">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738"/>
          </w:tabs>
          <w:ind w:left="851"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3">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738"/>
          </w:tabs>
          <w:ind w:left="851"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4">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738"/>
          </w:tabs>
          <w:ind w:left="851"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5">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738"/>
          </w:tabs>
          <w:ind w:left="851"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6">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738"/>
          </w:tabs>
          <w:ind w:left="851"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7">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738"/>
          </w:tabs>
          <w:ind w:left="851"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8">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738"/>
          </w:tabs>
          <w:ind w:left="851"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9">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738"/>
          </w:tabs>
          <w:ind w:left="851"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0">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738"/>
          </w:tabs>
          <w:ind w:left="851"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1">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738"/>
          </w:tabs>
          <w:ind w:left="851"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2">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738"/>
          </w:tabs>
          <w:ind w:left="851"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3">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738"/>
          </w:tabs>
          <w:ind w:left="851"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4">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738"/>
          </w:tabs>
          <w:ind w:left="851"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5">
    <w:abstractNumId w:val="18"/>
  </w:num>
  <w:num w:numId="96">
    <w:abstractNumId w:val="21"/>
  </w:num>
  <w:num w:numId="97">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738"/>
          </w:tabs>
          <w:ind w:left="851"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8">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738"/>
          </w:tabs>
          <w:ind w:left="851"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9">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738"/>
          </w:tabs>
          <w:ind w:left="851"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00">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738"/>
          </w:tabs>
          <w:ind w:left="851"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01">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738"/>
          </w:tabs>
          <w:ind w:left="851"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02">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738"/>
          </w:tabs>
          <w:ind w:left="851"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03">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738"/>
          </w:tabs>
          <w:ind w:left="851"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04">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738"/>
          </w:tabs>
          <w:ind w:left="851"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05">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738"/>
          </w:tabs>
          <w:ind w:left="851"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06">
    <w:abstractNumId w:val="13"/>
  </w:num>
  <w:num w:numId="107">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738"/>
          </w:tabs>
          <w:ind w:left="851"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08">
    <w:abstractNumId w:val="0"/>
  </w:num>
  <w:num w:numId="109">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10">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11">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12">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13">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14">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15">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16">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17">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18">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19">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20">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21">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22">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23">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24">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25">
    <w:abstractNumId w:val="15"/>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26">
    <w:abstractNumId w:val="15"/>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27">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28">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29">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30">
    <w:abstractNumId w:val="15"/>
    <w:lvlOverride w:ilvl="0">
      <w:lvl w:ilvl="0">
        <w:start w:val="1"/>
        <w:numFmt w:val="decimal"/>
        <w:pStyle w:val="Normalnumber"/>
        <w:lvlText w:val="%1."/>
        <w:lvlJc w:val="left"/>
        <w:pPr>
          <w:tabs>
            <w:tab w:val="num" w:pos="1135"/>
          </w:tabs>
          <w:ind w:left="1248" w:firstLine="0"/>
        </w:pPr>
        <w:rPr>
          <w:rFonts w:hint="default"/>
        </w:rPr>
      </w:lvl>
    </w:lvlOverride>
    <w:lvlOverride w:ilvl="1">
      <w:lvl w:ilvl="1">
        <w:start w:val="1"/>
        <w:numFmt w:val="lowerLetter"/>
        <w:lvlText w:val="(%2)"/>
        <w:lvlJc w:val="left"/>
        <w:pPr>
          <w:tabs>
            <w:tab w:val="num" w:pos="1135"/>
          </w:tabs>
          <w:ind w:left="1248" w:firstLine="567"/>
        </w:pPr>
        <w:rPr>
          <w:rFonts w:hint="default"/>
        </w:rPr>
      </w:lvl>
    </w:lvlOverride>
    <w:lvlOverride w:ilvl="2">
      <w:lvl w:ilvl="2">
        <w:start w:val="1"/>
        <w:numFmt w:val="lowerRoman"/>
        <w:lvlText w:val="(%3)"/>
        <w:lvlJc w:val="left"/>
        <w:pPr>
          <w:tabs>
            <w:tab w:val="num" w:pos="1135"/>
          </w:tabs>
          <w:ind w:left="2949" w:hanging="567"/>
        </w:pPr>
        <w:rPr>
          <w:rFonts w:hint="default"/>
        </w:rPr>
      </w:lvl>
    </w:lvlOverride>
    <w:lvlOverride w:ilvl="3">
      <w:lvl w:ilvl="3">
        <w:start w:val="1"/>
        <w:numFmt w:val="lowerLetter"/>
        <w:lvlText w:val="%4."/>
        <w:lvlJc w:val="left"/>
        <w:pPr>
          <w:tabs>
            <w:tab w:val="num" w:pos="1135"/>
          </w:tabs>
          <w:ind w:left="3516" w:hanging="567"/>
        </w:pPr>
        <w:rPr>
          <w:rFonts w:hint="default"/>
        </w:rPr>
      </w:lvl>
    </w:lvlOverride>
    <w:lvlOverride w:ilvl="4">
      <w:lvl w:ilvl="4">
        <w:start w:val="1"/>
        <w:numFmt w:val="lowerRoman"/>
        <w:lvlText w:val="%5."/>
        <w:lvlJc w:val="left"/>
        <w:pPr>
          <w:tabs>
            <w:tab w:val="num" w:pos="1135"/>
          </w:tabs>
          <w:ind w:left="4083" w:hanging="567"/>
        </w:pPr>
        <w:rPr>
          <w:rFonts w:hint="default"/>
        </w:rPr>
      </w:lvl>
    </w:lvlOverride>
    <w:lvlOverride w:ilvl="5">
      <w:lvl w:ilvl="5">
        <w:start w:val="1"/>
        <w:numFmt w:val="lowerRoman"/>
        <w:lvlText w:val="%6."/>
        <w:lvlJc w:val="right"/>
        <w:pPr>
          <w:tabs>
            <w:tab w:val="num" w:pos="7836"/>
          </w:tabs>
          <w:ind w:left="7836" w:hanging="180"/>
        </w:pPr>
        <w:rPr>
          <w:rFonts w:hint="default"/>
        </w:rPr>
      </w:lvl>
    </w:lvlOverride>
    <w:lvlOverride w:ilvl="6">
      <w:lvl w:ilvl="6">
        <w:start w:val="1"/>
        <w:numFmt w:val="decimal"/>
        <w:lvlText w:val="%7."/>
        <w:lvlJc w:val="left"/>
        <w:pPr>
          <w:tabs>
            <w:tab w:val="num" w:pos="8556"/>
          </w:tabs>
          <w:ind w:left="8556" w:hanging="360"/>
        </w:pPr>
        <w:rPr>
          <w:rFonts w:hint="default"/>
        </w:rPr>
      </w:lvl>
    </w:lvlOverride>
    <w:lvlOverride w:ilvl="7">
      <w:lvl w:ilvl="7">
        <w:start w:val="1"/>
        <w:numFmt w:val="lowerLetter"/>
        <w:lvlText w:val="%8."/>
        <w:lvlJc w:val="left"/>
        <w:pPr>
          <w:tabs>
            <w:tab w:val="num" w:pos="9276"/>
          </w:tabs>
          <w:ind w:left="9276" w:hanging="360"/>
        </w:pPr>
        <w:rPr>
          <w:rFonts w:hint="default"/>
        </w:rPr>
      </w:lvl>
    </w:lvlOverride>
    <w:lvlOverride w:ilvl="8">
      <w:lvl w:ilvl="8">
        <w:start w:val="1"/>
        <w:numFmt w:val="lowerRoman"/>
        <w:lvlText w:val="%9."/>
        <w:lvlJc w:val="right"/>
        <w:pPr>
          <w:tabs>
            <w:tab w:val="num" w:pos="9996"/>
          </w:tabs>
          <w:ind w:left="9996" w:hanging="180"/>
        </w:pPr>
        <w:rPr>
          <w:rFonts w:hint="default"/>
        </w:rPr>
      </w:lvl>
    </w:lvlOverride>
  </w:num>
  <w:num w:numId="131">
    <w:abstractNumId w:val="15"/>
    <w:lvlOverride w:ilvl="0">
      <w:lvl w:ilvl="0">
        <w:start w:val="1"/>
        <w:numFmt w:val="decimal"/>
        <w:pStyle w:val="Normalnumber"/>
        <w:lvlText w:val="%1."/>
        <w:lvlJc w:val="left"/>
        <w:pPr>
          <w:tabs>
            <w:tab w:val="num" w:pos="1135"/>
          </w:tabs>
          <w:ind w:left="1248" w:firstLine="0"/>
        </w:pPr>
        <w:rPr>
          <w:rFonts w:hint="default"/>
        </w:rPr>
      </w:lvl>
    </w:lvlOverride>
    <w:lvlOverride w:ilvl="1">
      <w:lvl w:ilvl="1">
        <w:start w:val="1"/>
        <w:numFmt w:val="lowerLetter"/>
        <w:lvlText w:val="(%2)"/>
        <w:lvlJc w:val="left"/>
        <w:pPr>
          <w:tabs>
            <w:tab w:val="num" w:pos="1135"/>
          </w:tabs>
          <w:ind w:left="1248" w:firstLine="567"/>
        </w:pPr>
        <w:rPr>
          <w:rFonts w:hint="default"/>
        </w:rPr>
      </w:lvl>
    </w:lvlOverride>
    <w:lvlOverride w:ilvl="2">
      <w:lvl w:ilvl="2">
        <w:start w:val="1"/>
        <w:numFmt w:val="lowerRoman"/>
        <w:lvlText w:val="(%3)"/>
        <w:lvlJc w:val="left"/>
        <w:pPr>
          <w:tabs>
            <w:tab w:val="num" w:pos="1135"/>
          </w:tabs>
          <w:ind w:left="2949" w:hanging="567"/>
        </w:pPr>
        <w:rPr>
          <w:rFonts w:hint="default"/>
        </w:rPr>
      </w:lvl>
    </w:lvlOverride>
    <w:lvlOverride w:ilvl="3">
      <w:lvl w:ilvl="3">
        <w:start w:val="1"/>
        <w:numFmt w:val="lowerLetter"/>
        <w:lvlText w:val="%4."/>
        <w:lvlJc w:val="left"/>
        <w:pPr>
          <w:tabs>
            <w:tab w:val="num" w:pos="1135"/>
          </w:tabs>
          <w:ind w:left="3516" w:hanging="567"/>
        </w:pPr>
        <w:rPr>
          <w:rFonts w:hint="default"/>
        </w:rPr>
      </w:lvl>
    </w:lvlOverride>
    <w:lvlOverride w:ilvl="4">
      <w:lvl w:ilvl="4">
        <w:start w:val="1"/>
        <w:numFmt w:val="lowerRoman"/>
        <w:lvlText w:val="%5."/>
        <w:lvlJc w:val="left"/>
        <w:pPr>
          <w:tabs>
            <w:tab w:val="num" w:pos="1135"/>
          </w:tabs>
          <w:ind w:left="4083" w:hanging="567"/>
        </w:pPr>
        <w:rPr>
          <w:rFonts w:hint="default"/>
        </w:rPr>
      </w:lvl>
    </w:lvlOverride>
    <w:lvlOverride w:ilvl="5">
      <w:lvl w:ilvl="5">
        <w:start w:val="1"/>
        <w:numFmt w:val="lowerRoman"/>
        <w:lvlText w:val="%6."/>
        <w:lvlJc w:val="right"/>
        <w:pPr>
          <w:tabs>
            <w:tab w:val="num" w:pos="7836"/>
          </w:tabs>
          <w:ind w:left="7836" w:hanging="180"/>
        </w:pPr>
        <w:rPr>
          <w:rFonts w:hint="default"/>
        </w:rPr>
      </w:lvl>
    </w:lvlOverride>
    <w:lvlOverride w:ilvl="6">
      <w:lvl w:ilvl="6">
        <w:start w:val="1"/>
        <w:numFmt w:val="decimal"/>
        <w:lvlText w:val="%7."/>
        <w:lvlJc w:val="left"/>
        <w:pPr>
          <w:tabs>
            <w:tab w:val="num" w:pos="8556"/>
          </w:tabs>
          <w:ind w:left="8556" w:hanging="360"/>
        </w:pPr>
        <w:rPr>
          <w:rFonts w:hint="default"/>
        </w:rPr>
      </w:lvl>
    </w:lvlOverride>
    <w:lvlOverride w:ilvl="7">
      <w:lvl w:ilvl="7">
        <w:start w:val="1"/>
        <w:numFmt w:val="lowerLetter"/>
        <w:lvlText w:val="%8."/>
        <w:lvlJc w:val="left"/>
        <w:pPr>
          <w:tabs>
            <w:tab w:val="num" w:pos="9276"/>
          </w:tabs>
          <w:ind w:left="9276" w:hanging="360"/>
        </w:pPr>
        <w:rPr>
          <w:rFonts w:hint="default"/>
        </w:rPr>
      </w:lvl>
    </w:lvlOverride>
    <w:lvlOverride w:ilvl="8">
      <w:lvl w:ilvl="8">
        <w:start w:val="1"/>
        <w:numFmt w:val="lowerRoman"/>
        <w:lvlText w:val="%9."/>
        <w:lvlJc w:val="right"/>
        <w:pPr>
          <w:tabs>
            <w:tab w:val="num" w:pos="9996"/>
          </w:tabs>
          <w:ind w:left="9996" w:hanging="180"/>
        </w:pPr>
        <w:rPr>
          <w:rFonts w:hint="default"/>
        </w:rPr>
      </w:lvl>
    </w:lvlOverride>
  </w:num>
  <w:num w:numId="132">
    <w:abstractNumId w:val="15"/>
    <w:lvlOverride w:ilvl="0">
      <w:lvl w:ilvl="0">
        <w:start w:val="1"/>
        <w:numFmt w:val="decimal"/>
        <w:pStyle w:val="Normalnumber"/>
        <w:lvlText w:val="%1."/>
        <w:lvlJc w:val="left"/>
        <w:pPr>
          <w:tabs>
            <w:tab w:val="num" w:pos="1135"/>
          </w:tabs>
          <w:ind w:left="1248" w:firstLine="0"/>
        </w:pPr>
        <w:rPr>
          <w:rFonts w:hint="default"/>
        </w:rPr>
      </w:lvl>
    </w:lvlOverride>
    <w:lvlOverride w:ilvl="1">
      <w:lvl w:ilvl="1">
        <w:start w:val="1"/>
        <w:numFmt w:val="lowerLetter"/>
        <w:lvlText w:val="(%2)"/>
        <w:lvlJc w:val="left"/>
        <w:pPr>
          <w:tabs>
            <w:tab w:val="num" w:pos="1135"/>
          </w:tabs>
          <w:ind w:left="1248" w:firstLine="567"/>
        </w:pPr>
        <w:rPr>
          <w:rFonts w:hint="default"/>
        </w:rPr>
      </w:lvl>
    </w:lvlOverride>
    <w:lvlOverride w:ilvl="2">
      <w:lvl w:ilvl="2">
        <w:start w:val="1"/>
        <w:numFmt w:val="lowerRoman"/>
        <w:lvlText w:val="(%3)"/>
        <w:lvlJc w:val="left"/>
        <w:pPr>
          <w:tabs>
            <w:tab w:val="num" w:pos="1135"/>
          </w:tabs>
          <w:ind w:left="2949" w:hanging="567"/>
        </w:pPr>
        <w:rPr>
          <w:rFonts w:hint="default"/>
        </w:rPr>
      </w:lvl>
    </w:lvlOverride>
    <w:lvlOverride w:ilvl="3">
      <w:lvl w:ilvl="3">
        <w:start w:val="1"/>
        <w:numFmt w:val="lowerLetter"/>
        <w:lvlText w:val="%4."/>
        <w:lvlJc w:val="left"/>
        <w:pPr>
          <w:tabs>
            <w:tab w:val="num" w:pos="1135"/>
          </w:tabs>
          <w:ind w:left="3516" w:hanging="567"/>
        </w:pPr>
        <w:rPr>
          <w:rFonts w:hint="default"/>
        </w:rPr>
      </w:lvl>
    </w:lvlOverride>
    <w:lvlOverride w:ilvl="4">
      <w:lvl w:ilvl="4">
        <w:start w:val="1"/>
        <w:numFmt w:val="lowerRoman"/>
        <w:lvlText w:val="%5."/>
        <w:lvlJc w:val="left"/>
        <w:pPr>
          <w:tabs>
            <w:tab w:val="num" w:pos="1135"/>
          </w:tabs>
          <w:ind w:left="4083" w:hanging="567"/>
        </w:pPr>
        <w:rPr>
          <w:rFonts w:hint="default"/>
        </w:rPr>
      </w:lvl>
    </w:lvlOverride>
    <w:lvlOverride w:ilvl="5">
      <w:lvl w:ilvl="5">
        <w:start w:val="1"/>
        <w:numFmt w:val="lowerRoman"/>
        <w:lvlText w:val="%6."/>
        <w:lvlJc w:val="right"/>
        <w:pPr>
          <w:tabs>
            <w:tab w:val="num" w:pos="7836"/>
          </w:tabs>
          <w:ind w:left="7836" w:hanging="180"/>
        </w:pPr>
        <w:rPr>
          <w:rFonts w:hint="default"/>
        </w:rPr>
      </w:lvl>
    </w:lvlOverride>
    <w:lvlOverride w:ilvl="6">
      <w:lvl w:ilvl="6">
        <w:start w:val="1"/>
        <w:numFmt w:val="decimal"/>
        <w:lvlText w:val="%7."/>
        <w:lvlJc w:val="left"/>
        <w:pPr>
          <w:tabs>
            <w:tab w:val="num" w:pos="8556"/>
          </w:tabs>
          <w:ind w:left="8556" w:hanging="360"/>
        </w:pPr>
        <w:rPr>
          <w:rFonts w:hint="default"/>
        </w:rPr>
      </w:lvl>
    </w:lvlOverride>
    <w:lvlOverride w:ilvl="7">
      <w:lvl w:ilvl="7">
        <w:start w:val="1"/>
        <w:numFmt w:val="lowerLetter"/>
        <w:lvlText w:val="%8."/>
        <w:lvlJc w:val="left"/>
        <w:pPr>
          <w:tabs>
            <w:tab w:val="num" w:pos="9276"/>
          </w:tabs>
          <w:ind w:left="9276" w:hanging="360"/>
        </w:pPr>
        <w:rPr>
          <w:rFonts w:hint="default"/>
        </w:rPr>
      </w:lvl>
    </w:lvlOverride>
    <w:lvlOverride w:ilvl="8">
      <w:lvl w:ilvl="8">
        <w:start w:val="1"/>
        <w:numFmt w:val="lowerRoman"/>
        <w:lvlText w:val="%9."/>
        <w:lvlJc w:val="right"/>
        <w:pPr>
          <w:tabs>
            <w:tab w:val="num" w:pos="9996"/>
          </w:tabs>
          <w:ind w:left="9996" w:hanging="180"/>
        </w:pPr>
        <w:rPr>
          <w:rFonts w:hint="default"/>
        </w:rPr>
      </w:lvl>
    </w:lvlOverride>
  </w:num>
  <w:num w:numId="133">
    <w:abstractNumId w:val="15"/>
    <w:lvlOverride w:ilvl="0">
      <w:lvl w:ilvl="0">
        <w:start w:val="1"/>
        <w:numFmt w:val="decimal"/>
        <w:pStyle w:val="Normalnumber"/>
        <w:lvlText w:val="%1."/>
        <w:lvlJc w:val="left"/>
        <w:pPr>
          <w:tabs>
            <w:tab w:val="num" w:pos="1135"/>
          </w:tabs>
          <w:ind w:left="1248" w:firstLine="0"/>
        </w:pPr>
        <w:rPr>
          <w:rFonts w:hint="default"/>
        </w:rPr>
      </w:lvl>
    </w:lvlOverride>
    <w:lvlOverride w:ilvl="1">
      <w:lvl w:ilvl="1">
        <w:start w:val="1"/>
        <w:numFmt w:val="lowerLetter"/>
        <w:lvlText w:val="(%2)"/>
        <w:lvlJc w:val="left"/>
        <w:pPr>
          <w:tabs>
            <w:tab w:val="num" w:pos="1135"/>
          </w:tabs>
          <w:ind w:left="1248" w:firstLine="567"/>
        </w:pPr>
        <w:rPr>
          <w:rFonts w:hint="default"/>
        </w:rPr>
      </w:lvl>
    </w:lvlOverride>
    <w:lvlOverride w:ilvl="2">
      <w:lvl w:ilvl="2">
        <w:start w:val="1"/>
        <w:numFmt w:val="lowerRoman"/>
        <w:lvlText w:val="(%3)"/>
        <w:lvlJc w:val="left"/>
        <w:pPr>
          <w:tabs>
            <w:tab w:val="num" w:pos="1135"/>
          </w:tabs>
          <w:ind w:left="2949" w:hanging="567"/>
        </w:pPr>
        <w:rPr>
          <w:rFonts w:hint="default"/>
        </w:rPr>
      </w:lvl>
    </w:lvlOverride>
    <w:lvlOverride w:ilvl="3">
      <w:lvl w:ilvl="3">
        <w:start w:val="1"/>
        <w:numFmt w:val="lowerLetter"/>
        <w:lvlText w:val="%4."/>
        <w:lvlJc w:val="left"/>
        <w:pPr>
          <w:tabs>
            <w:tab w:val="num" w:pos="1135"/>
          </w:tabs>
          <w:ind w:left="3516" w:hanging="567"/>
        </w:pPr>
        <w:rPr>
          <w:rFonts w:hint="default"/>
        </w:rPr>
      </w:lvl>
    </w:lvlOverride>
    <w:lvlOverride w:ilvl="4">
      <w:lvl w:ilvl="4">
        <w:start w:val="1"/>
        <w:numFmt w:val="lowerRoman"/>
        <w:lvlText w:val="%5."/>
        <w:lvlJc w:val="left"/>
        <w:pPr>
          <w:tabs>
            <w:tab w:val="num" w:pos="1135"/>
          </w:tabs>
          <w:ind w:left="4083" w:hanging="567"/>
        </w:pPr>
        <w:rPr>
          <w:rFonts w:hint="default"/>
        </w:rPr>
      </w:lvl>
    </w:lvlOverride>
    <w:lvlOverride w:ilvl="5">
      <w:lvl w:ilvl="5">
        <w:start w:val="1"/>
        <w:numFmt w:val="lowerRoman"/>
        <w:lvlText w:val="%6."/>
        <w:lvlJc w:val="right"/>
        <w:pPr>
          <w:tabs>
            <w:tab w:val="num" w:pos="7836"/>
          </w:tabs>
          <w:ind w:left="7836" w:hanging="180"/>
        </w:pPr>
        <w:rPr>
          <w:rFonts w:hint="default"/>
        </w:rPr>
      </w:lvl>
    </w:lvlOverride>
    <w:lvlOverride w:ilvl="6">
      <w:lvl w:ilvl="6">
        <w:start w:val="1"/>
        <w:numFmt w:val="decimal"/>
        <w:lvlText w:val="%7."/>
        <w:lvlJc w:val="left"/>
        <w:pPr>
          <w:tabs>
            <w:tab w:val="num" w:pos="8556"/>
          </w:tabs>
          <w:ind w:left="8556" w:hanging="360"/>
        </w:pPr>
        <w:rPr>
          <w:rFonts w:hint="default"/>
        </w:rPr>
      </w:lvl>
    </w:lvlOverride>
    <w:lvlOverride w:ilvl="7">
      <w:lvl w:ilvl="7">
        <w:start w:val="1"/>
        <w:numFmt w:val="lowerLetter"/>
        <w:lvlText w:val="%8."/>
        <w:lvlJc w:val="left"/>
        <w:pPr>
          <w:tabs>
            <w:tab w:val="num" w:pos="9276"/>
          </w:tabs>
          <w:ind w:left="9276" w:hanging="360"/>
        </w:pPr>
        <w:rPr>
          <w:rFonts w:hint="default"/>
        </w:rPr>
      </w:lvl>
    </w:lvlOverride>
    <w:lvlOverride w:ilvl="8">
      <w:lvl w:ilvl="8">
        <w:start w:val="1"/>
        <w:numFmt w:val="lowerRoman"/>
        <w:lvlText w:val="%9."/>
        <w:lvlJc w:val="right"/>
        <w:pPr>
          <w:tabs>
            <w:tab w:val="num" w:pos="9996"/>
          </w:tabs>
          <w:ind w:left="9996" w:hanging="180"/>
        </w:pPr>
        <w:rPr>
          <w:rFonts w:hint="default"/>
        </w:rPr>
      </w:lvl>
    </w:lvlOverride>
  </w:num>
  <w:num w:numId="134">
    <w:abstractNumId w:val="15"/>
    <w:lvlOverride w:ilvl="0">
      <w:lvl w:ilvl="0">
        <w:start w:val="1"/>
        <w:numFmt w:val="decimal"/>
        <w:pStyle w:val="Normalnumber"/>
        <w:lvlText w:val="%1."/>
        <w:lvlJc w:val="left"/>
        <w:pPr>
          <w:tabs>
            <w:tab w:val="num" w:pos="1701"/>
          </w:tabs>
          <w:ind w:left="1814" w:firstLine="0"/>
        </w:pPr>
        <w:rPr>
          <w:rFonts w:hint="default"/>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35">
    <w:abstractNumId w:val="15"/>
    <w:lvlOverride w:ilvl="0">
      <w:lvl w:ilvl="0">
        <w:start w:val="1"/>
        <w:numFmt w:val="decimal"/>
        <w:pStyle w:val="Normalnumber"/>
        <w:lvlText w:val="%1."/>
        <w:lvlJc w:val="left"/>
        <w:pPr>
          <w:tabs>
            <w:tab w:val="num" w:pos="1701"/>
          </w:tabs>
          <w:ind w:left="1814" w:firstLine="0"/>
        </w:pPr>
        <w:rPr>
          <w:rFonts w:hint="default"/>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36">
    <w:abstractNumId w:val="15"/>
    <w:lvlOverride w:ilvl="0">
      <w:lvl w:ilvl="0">
        <w:start w:val="1"/>
        <w:numFmt w:val="decimal"/>
        <w:pStyle w:val="Normalnumber"/>
        <w:lvlText w:val="%1."/>
        <w:lvlJc w:val="left"/>
        <w:pPr>
          <w:tabs>
            <w:tab w:val="num" w:pos="1701"/>
          </w:tabs>
          <w:ind w:left="1814" w:firstLine="0"/>
        </w:pPr>
        <w:rPr>
          <w:rFonts w:hint="default"/>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37">
    <w:abstractNumId w:val="15"/>
    <w:lvlOverride w:ilvl="0">
      <w:lvl w:ilvl="0">
        <w:start w:val="1"/>
        <w:numFmt w:val="decimal"/>
        <w:pStyle w:val="Normalnumber"/>
        <w:lvlText w:val="%1."/>
        <w:lvlJc w:val="left"/>
        <w:pPr>
          <w:tabs>
            <w:tab w:val="num" w:pos="1701"/>
          </w:tabs>
          <w:ind w:left="1814" w:firstLine="0"/>
        </w:pPr>
        <w:rPr>
          <w:rFonts w:hint="default"/>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38">
    <w:abstractNumId w:val="15"/>
    <w:lvlOverride w:ilvl="0">
      <w:lvl w:ilvl="0">
        <w:start w:val="1"/>
        <w:numFmt w:val="decimal"/>
        <w:pStyle w:val="Normalnumber"/>
        <w:lvlText w:val="%1."/>
        <w:lvlJc w:val="left"/>
        <w:pPr>
          <w:tabs>
            <w:tab w:val="num" w:pos="1701"/>
          </w:tabs>
          <w:ind w:left="1814" w:firstLine="0"/>
        </w:pPr>
        <w:rPr>
          <w:rFonts w:hint="default"/>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39">
    <w:abstractNumId w:val="15"/>
    <w:lvlOverride w:ilvl="0">
      <w:lvl w:ilvl="0">
        <w:start w:val="1"/>
        <w:numFmt w:val="decimal"/>
        <w:pStyle w:val="Normalnumber"/>
        <w:lvlText w:val="%1."/>
        <w:lvlJc w:val="left"/>
        <w:pPr>
          <w:tabs>
            <w:tab w:val="num" w:pos="1701"/>
          </w:tabs>
          <w:ind w:left="1814" w:firstLine="0"/>
        </w:pPr>
        <w:rPr>
          <w:rFonts w:hint="default"/>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40">
    <w:abstractNumId w:val="15"/>
    <w:lvlOverride w:ilvl="0">
      <w:lvl w:ilvl="0">
        <w:start w:val="1"/>
        <w:numFmt w:val="decimal"/>
        <w:pStyle w:val="Normalnumber"/>
        <w:lvlText w:val="%1."/>
        <w:lvlJc w:val="left"/>
        <w:pPr>
          <w:tabs>
            <w:tab w:val="num" w:pos="1701"/>
          </w:tabs>
          <w:ind w:left="1814" w:firstLine="0"/>
        </w:pPr>
        <w:rPr>
          <w:rFonts w:hint="default"/>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41">
    <w:abstractNumId w:val="15"/>
    <w:lvlOverride w:ilvl="0">
      <w:lvl w:ilvl="0">
        <w:start w:val="1"/>
        <w:numFmt w:val="decimal"/>
        <w:pStyle w:val="Normalnumber"/>
        <w:lvlText w:val="%1."/>
        <w:lvlJc w:val="left"/>
        <w:pPr>
          <w:tabs>
            <w:tab w:val="num" w:pos="1701"/>
          </w:tabs>
          <w:ind w:left="1814" w:firstLine="0"/>
        </w:pPr>
        <w:rPr>
          <w:rFonts w:hint="default"/>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42">
    <w:abstractNumId w:val="15"/>
    <w:lvlOverride w:ilvl="0">
      <w:lvl w:ilvl="0">
        <w:start w:val="1"/>
        <w:numFmt w:val="decimal"/>
        <w:pStyle w:val="Normalnumber"/>
        <w:lvlText w:val="%1."/>
        <w:lvlJc w:val="left"/>
        <w:pPr>
          <w:tabs>
            <w:tab w:val="num" w:pos="1701"/>
          </w:tabs>
          <w:ind w:left="1814" w:firstLine="0"/>
        </w:pPr>
        <w:rPr>
          <w:rFonts w:hint="default"/>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43">
    <w:abstractNumId w:val="15"/>
    <w:lvlOverride w:ilvl="0">
      <w:lvl w:ilvl="0">
        <w:start w:val="1"/>
        <w:numFmt w:val="decimal"/>
        <w:pStyle w:val="Normalnumber"/>
        <w:lvlText w:val="%1."/>
        <w:lvlJc w:val="left"/>
        <w:pPr>
          <w:tabs>
            <w:tab w:val="num" w:pos="1701"/>
          </w:tabs>
          <w:ind w:left="1814" w:firstLine="0"/>
        </w:pPr>
        <w:rPr>
          <w:rFonts w:hint="default"/>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44">
    <w:abstractNumId w:val="15"/>
    <w:lvlOverride w:ilvl="0">
      <w:lvl w:ilvl="0">
        <w:start w:val="1"/>
        <w:numFmt w:val="decimal"/>
        <w:pStyle w:val="Normalnumber"/>
        <w:lvlText w:val="%1."/>
        <w:lvlJc w:val="left"/>
        <w:pPr>
          <w:tabs>
            <w:tab w:val="num" w:pos="1701"/>
          </w:tabs>
          <w:ind w:left="1814" w:firstLine="0"/>
        </w:pPr>
        <w:rPr>
          <w:rFonts w:hint="default"/>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45">
    <w:abstractNumId w:val="15"/>
    <w:lvlOverride w:ilvl="0">
      <w:lvl w:ilvl="0">
        <w:start w:val="1"/>
        <w:numFmt w:val="decimal"/>
        <w:pStyle w:val="Normalnumber"/>
        <w:lvlText w:val="%1."/>
        <w:lvlJc w:val="left"/>
        <w:pPr>
          <w:tabs>
            <w:tab w:val="num" w:pos="1701"/>
          </w:tabs>
          <w:ind w:left="1814" w:firstLine="0"/>
        </w:pPr>
        <w:rPr>
          <w:rFonts w:hint="default"/>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46">
    <w:abstractNumId w:val="15"/>
    <w:lvlOverride w:ilvl="0">
      <w:lvl w:ilvl="0">
        <w:start w:val="1"/>
        <w:numFmt w:val="decimal"/>
        <w:pStyle w:val="Normalnumber"/>
        <w:lvlText w:val="%1."/>
        <w:lvlJc w:val="left"/>
        <w:pPr>
          <w:tabs>
            <w:tab w:val="num" w:pos="1701"/>
          </w:tabs>
          <w:ind w:left="1814" w:firstLine="0"/>
        </w:pPr>
        <w:rPr>
          <w:rFonts w:hint="default"/>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47">
    <w:abstractNumId w:val="15"/>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48">
    <w:abstractNumId w:val="15"/>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49">
    <w:abstractNumId w:val="15"/>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50">
    <w:abstractNumId w:val="15"/>
    <w:lvlOverride w:ilvl="0">
      <w:lvl w:ilvl="0">
        <w:start w:val="1"/>
        <w:numFmt w:val="decimal"/>
        <w:pStyle w:val="Normalnumber"/>
        <w:lvlText w:val="%1."/>
        <w:lvlJc w:val="left"/>
        <w:pPr>
          <w:tabs>
            <w:tab w:val="num" w:pos="1701"/>
          </w:tabs>
          <w:ind w:left="1814" w:firstLine="0"/>
        </w:pPr>
        <w:rPr>
          <w:rFonts w:hint="default"/>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51">
    <w:abstractNumId w:val="15"/>
    <w:lvlOverride w:ilvl="0">
      <w:lvl w:ilvl="0">
        <w:start w:val="1"/>
        <w:numFmt w:val="decimal"/>
        <w:pStyle w:val="Normalnumber"/>
        <w:lvlText w:val="%1."/>
        <w:lvlJc w:val="left"/>
        <w:pPr>
          <w:tabs>
            <w:tab w:val="num" w:pos="1701"/>
          </w:tabs>
          <w:ind w:left="1814" w:firstLine="0"/>
        </w:pPr>
        <w:rPr>
          <w:rFonts w:hint="default"/>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52">
    <w:abstractNumId w:val="15"/>
    <w:lvlOverride w:ilvl="0">
      <w:lvl w:ilvl="0">
        <w:start w:val="1"/>
        <w:numFmt w:val="decimal"/>
        <w:pStyle w:val="Normalnumber"/>
        <w:lvlText w:val="%1."/>
        <w:lvlJc w:val="left"/>
        <w:pPr>
          <w:tabs>
            <w:tab w:val="num" w:pos="1701"/>
          </w:tabs>
          <w:ind w:left="1814" w:firstLine="0"/>
        </w:pPr>
        <w:rPr>
          <w:rFonts w:hint="default"/>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53">
    <w:abstractNumId w:val="15"/>
    <w:lvlOverride w:ilvl="0">
      <w:lvl w:ilvl="0">
        <w:start w:val="1"/>
        <w:numFmt w:val="decimal"/>
        <w:pStyle w:val="Normalnumber"/>
        <w:lvlText w:val="%1."/>
        <w:lvlJc w:val="left"/>
        <w:pPr>
          <w:tabs>
            <w:tab w:val="num" w:pos="1701"/>
          </w:tabs>
          <w:ind w:left="1814" w:firstLine="0"/>
        </w:pPr>
        <w:rPr>
          <w:rFonts w:hint="default"/>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54">
    <w:abstractNumId w:val="15"/>
    <w:lvlOverride w:ilvl="0">
      <w:lvl w:ilvl="0">
        <w:start w:val="1"/>
        <w:numFmt w:val="decimal"/>
        <w:pStyle w:val="Normalnumber"/>
        <w:lvlText w:val="%1."/>
        <w:lvlJc w:val="left"/>
        <w:pPr>
          <w:tabs>
            <w:tab w:val="num" w:pos="1701"/>
          </w:tabs>
          <w:ind w:left="1814" w:firstLine="0"/>
        </w:pPr>
        <w:rPr>
          <w:rFonts w:hint="default"/>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55">
    <w:abstractNumId w:val="15"/>
    <w:lvlOverride w:ilvl="0">
      <w:lvl w:ilvl="0">
        <w:start w:val="1"/>
        <w:numFmt w:val="decimal"/>
        <w:pStyle w:val="Normalnumber"/>
        <w:lvlText w:val="%1."/>
        <w:lvlJc w:val="left"/>
        <w:pPr>
          <w:tabs>
            <w:tab w:val="num" w:pos="1701"/>
          </w:tabs>
          <w:ind w:left="1814" w:firstLine="0"/>
        </w:pPr>
        <w:rPr>
          <w:rFonts w:hint="default"/>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56">
    <w:abstractNumId w:val="15"/>
    <w:lvlOverride w:ilvl="0">
      <w:lvl w:ilvl="0">
        <w:start w:val="1"/>
        <w:numFmt w:val="decimal"/>
        <w:pStyle w:val="Normalnumber"/>
        <w:lvlText w:val="%1."/>
        <w:lvlJc w:val="left"/>
        <w:pPr>
          <w:tabs>
            <w:tab w:val="num" w:pos="1701"/>
          </w:tabs>
          <w:ind w:left="1814" w:firstLine="0"/>
        </w:pPr>
        <w:rPr>
          <w:rFonts w:hint="default"/>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57">
    <w:abstractNumId w:val="15"/>
    <w:lvlOverride w:ilvl="0">
      <w:lvl w:ilvl="0">
        <w:start w:val="1"/>
        <w:numFmt w:val="decimal"/>
        <w:pStyle w:val="Normalnumber"/>
        <w:lvlText w:val="%1."/>
        <w:lvlJc w:val="left"/>
        <w:pPr>
          <w:tabs>
            <w:tab w:val="num" w:pos="1701"/>
          </w:tabs>
          <w:ind w:left="1814" w:firstLine="0"/>
        </w:pPr>
        <w:rPr>
          <w:rFonts w:hint="default"/>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58">
    <w:abstractNumId w:val="15"/>
    <w:lvlOverride w:ilvl="0">
      <w:lvl w:ilvl="0">
        <w:start w:val="1"/>
        <w:numFmt w:val="decimal"/>
        <w:pStyle w:val="Normalnumber"/>
        <w:lvlText w:val="%1."/>
        <w:lvlJc w:val="left"/>
        <w:pPr>
          <w:tabs>
            <w:tab w:val="num" w:pos="1701"/>
          </w:tabs>
          <w:ind w:left="1814" w:firstLine="0"/>
        </w:pPr>
        <w:rPr>
          <w:rFonts w:hint="default"/>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59">
    <w:abstractNumId w:val="15"/>
    <w:lvlOverride w:ilvl="0">
      <w:lvl w:ilvl="0">
        <w:start w:val="1"/>
        <w:numFmt w:val="decimal"/>
        <w:pStyle w:val="Normalnumber"/>
        <w:lvlText w:val="%1."/>
        <w:lvlJc w:val="left"/>
        <w:pPr>
          <w:tabs>
            <w:tab w:val="num" w:pos="1701"/>
          </w:tabs>
          <w:ind w:left="1814" w:firstLine="0"/>
        </w:pPr>
        <w:rPr>
          <w:rFonts w:hint="default"/>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60">
    <w:abstractNumId w:val="15"/>
    <w:lvlOverride w:ilvl="0">
      <w:lvl w:ilvl="0">
        <w:start w:val="1"/>
        <w:numFmt w:val="decimal"/>
        <w:pStyle w:val="Normalnumber"/>
        <w:lvlText w:val="%1."/>
        <w:lvlJc w:val="left"/>
        <w:pPr>
          <w:tabs>
            <w:tab w:val="num" w:pos="1701"/>
          </w:tabs>
          <w:ind w:left="1814" w:firstLine="0"/>
        </w:pPr>
        <w:rPr>
          <w:rFonts w:hint="default"/>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61">
    <w:abstractNumId w:val="15"/>
    <w:lvlOverride w:ilvl="0">
      <w:lvl w:ilvl="0">
        <w:start w:val="1"/>
        <w:numFmt w:val="decimal"/>
        <w:pStyle w:val="Normalnumber"/>
        <w:lvlText w:val="%1."/>
        <w:lvlJc w:val="left"/>
        <w:pPr>
          <w:tabs>
            <w:tab w:val="num" w:pos="1701"/>
          </w:tabs>
          <w:ind w:left="1814" w:firstLine="0"/>
        </w:pPr>
        <w:rPr>
          <w:rFonts w:hint="default"/>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A9"/>
    <w:rsid w:val="00000E4A"/>
    <w:rsid w:val="00002A96"/>
    <w:rsid w:val="000031E3"/>
    <w:rsid w:val="000032A3"/>
    <w:rsid w:val="00004E46"/>
    <w:rsid w:val="00005F70"/>
    <w:rsid w:val="00006E3A"/>
    <w:rsid w:val="00012F87"/>
    <w:rsid w:val="00013218"/>
    <w:rsid w:val="00013A7D"/>
    <w:rsid w:val="00013F95"/>
    <w:rsid w:val="000149E6"/>
    <w:rsid w:val="0001744A"/>
    <w:rsid w:val="00020B51"/>
    <w:rsid w:val="0002119E"/>
    <w:rsid w:val="00021CDC"/>
    <w:rsid w:val="00023DA9"/>
    <w:rsid w:val="000247B0"/>
    <w:rsid w:val="00025467"/>
    <w:rsid w:val="000256E4"/>
    <w:rsid w:val="00026036"/>
    <w:rsid w:val="00026997"/>
    <w:rsid w:val="00026A08"/>
    <w:rsid w:val="00026C62"/>
    <w:rsid w:val="000308F3"/>
    <w:rsid w:val="00032E4E"/>
    <w:rsid w:val="00032F2D"/>
    <w:rsid w:val="000335EE"/>
    <w:rsid w:val="00033E0B"/>
    <w:rsid w:val="00034794"/>
    <w:rsid w:val="00034BC4"/>
    <w:rsid w:val="000356FB"/>
    <w:rsid w:val="00035EDE"/>
    <w:rsid w:val="0004099E"/>
    <w:rsid w:val="00040E03"/>
    <w:rsid w:val="00041979"/>
    <w:rsid w:val="00043773"/>
    <w:rsid w:val="00044838"/>
    <w:rsid w:val="00045BCE"/>
    <w:rsid w:val="0004667E"/>
    <w:rsid w:val="000509B4"/>
    <w:rsid w:val="0005299B"/>
    <w:rsid w:val="000530D9"/>
    <w:rsid w:val="0005458B"/>
    <w:rsid w:val="00054F0F"/>
    <w:rsid w:val="0006035B"/>
    <w:rsid w:val="000604F1"/>
    <w:rsid w:val="000609C7"/>
    <w:rsid w:val="00064387"/>
    <w:rsid w:val="00065D79"/>
    <w:rsid w:val="0007082F"/>
    <w:rsid w:val="00071886"/>
    <w:rsid w:val="00072387"/>
    <w:rsid w:val="00072849"/>
    <w:rsid w:val="00073C3B"/>
    <w:rsid w:val="00073F2D"/>
    <w:rsid w:val="0007410D"/>
    <w:rsid w:val="000742BC"/>
    <w:rsid w:val="00074E9C"/>
    <w:rsid w:val="00074EBA"/>
    <w:rsid w:val="00075373"/>
    <w:rsid w:val="00075C2D"/>
    <w:rsid w:val="00076CC6"/>
    <w:rsid w:val="00080DD9"/>
    <w:rsid w:val="000819E4"/>
    <w:rsid w:val="00081E25"/>
    <w:rsid w:val="00082A0C"/>
    <w:rsid w:val="00083504"/>
    <w:rsid w:val="00083982"/>
    <w:rsid w:val="0008510D"/>
    <w:rsid w:val="00085A13"/>
    <w:rsid w:val="000861BC"/>
    <w:rsid w:val="000862C6"/>
    <w:rsid w:val="000867A2"/>
    <w:rsid w:val="0008739B"/>
    <w:rsid w:val="00087491"/>
    <w:rsid w:val="0008764F"/>
    <w:rsid w:val="000900D1"/>
    <w:rsid w:val="0009035D"/>
    <w:rsid w:val="00090B65"/>
    <w:rsid w:val="00092581"/>
    <w:rsid w:val="000926EF"/>
    <w:rsid w:val="00093CBF"/>
    <w:rsid w:val="000943C7"/>
    <w:rsid w:val="000951EE"/>
    <w:rsid w:val="0009640C"/>
    <w:rsid w:val="000A1DDC"/>
    <w:rsid w:val="000A2984"/>
    <w:rsid w:val="000A2A5F"/>
    <w:rsid w:val="000A3B52"/>
    <w:rsid w:val="000A5F25"/>
    <w:rsid w:val="000A5FC7"/>
    <w:rsid w:val="000A68CB"/>
    <w:rsid w:val="000B006A"/>
    <w:rsid w:val="000B037F"/>
    <w:rsid w:val="000B22A2"/>
    <w:rsid w:val="000B2B07"/>
    <w:rsid w:val="000B4ED9"/>
    <w:rsid w:val="000B588A"/>
    <w:rsid w:val="000B664C"/>
    <w:rsid w:val="000B6F81"/>
    <w:rsid w:val="000B7D36"/>
    <w:rsid w:val="000C0504"/>
    <w:rsid w:val="000C095D"/>
    <w:rsid w:val="000C2A52"/>
    <w:rsid w:val="000C5214"/>
    <w:rsid w:val="000C7F35"/>
    <w:rsid w:val="000D14DF"/>
    <w:rsid w:val="000D300A"/>
    <w:rsid w:val="000D33C0"/>
    <w:rsid w:val="000D4650"/>
    <w:rsid w:val="000D59BA"/>
    <w:rsid w:val="000D6941"/>
    <w:rsid w:val="000E09C4"/>
    <w:rsid w:val="000E1B17"/>
    <w:rsid w:val="000E4787"/>
    <w:rsid w:val="000F0C49"/>
    <w:rsid w:val="000F0E59"/>
    <w:rsid w:val="000F0E88"/>
    <w:rsid w:val="000F2E41"/>
    <w:rsid w:val="000F49AA"/>
    <w:rsid w:val="000F5ACE"/>
    <w:rsid w:val="000F5F15"/>
    <w:rsid w:val="000F6E42"/>
    <w:rsid w:val="00100E9A"/>
    <w:rsid w:val="001013B0"/>
    <w:rsid w:val="00102802"/>
    <w:rsid w:val="00103F48"/>
    <w:rsid w:val="00104D8D"/>
    <w:rsid w:val="001064B4"/>
    <w:rsid w:val="00110E2C"/>
    <w:rsid w:val="001136CF"/>
    <w:rsid w:val="00114F6E"/>
    <w:rsid w:val="00115692"/>
    <w:rsid w:val="00117F28"/>
    <w:rsid w:val="001202E3"/>
    <w:rsid w:val="00122247"/>
    <w:rsid w:val="00122D69"/>
    <w:rsid w:val="001230DF"/>
    <w:rsid w:val="00123104"/>
    <w:rsid w:val="00123109"/>
    <w:rsid w:val="00123699"/>
    <w:rsid w:val="001241FB"/>
    <w:rsid w:val="00125810"/>
    <w:rsid w:val="00126764"/>
    <w:rsid w:val="0013059D"/>
    <w:rsid w:val="001306B9"/>
    <w:rsid w:val="001310A9"/>
    <w:rsid w:val="001316BC"/>
    <w:rsid w:val="00131ED2"/>
    <w:rsid w:val="00133F4A"/>
    <w:rsid w:val="001346B4"/>
    <w:rsid w:val="00136E80"/>
    <w:rsid w:val="00137CE0"/>
    <w:rsid w:val="00141A55"/>
    <w:rsid w:val="001429EC"/>
    <w:rsid w:val="0014397D"/>
    <w:rsid w:val="001446A3"/>
    <w:rsid w:val="00146212"/>
    <w:rsid w:val="00146E21"/>
    <w:rsid w:val="0015269F"/>
    <w:rsid w:val="0015419D"/>
    <w:rsid w:val="00154A1D"/>
    <w:rsid w:val="00155395"/>
    <w:rsid w:val="00156B6B"/>
    <w:rsid w:val="00157358"/>
    <w:rsid w:val="001600B2"/>
    <w:rsid w:val="00160D74"/>
    <w:rsid w:val="00161D8B"/>
    <w:rsid w:val="00164A02"/>
    <w:rsid w:val="00164A0D"/>
    <w:rsid w:val="00165100"/>
    <w:rsid w:val="001655DF"/>
    <w:rsid w:val="00165827"/>
    <w:rsid w:val="00166157"/>
    <w:rsid w:val="00166230"/>
    <w:rsid w:val="00167D02"/>
    <w:rsid w:val="001715B4"/>
    <w:rsid w:val="00173258"/>
    <w:rsid w:val="00173D29"/>
    <w:rsid w:val="00177147"/>
    <w:rsid w:val="001774F3"/>
    <w:rsid w:val="00180C3F"/>
    <w:rsid w:val="00181EC8"/>
    <w:rsid w:val="001830B3"/>
    <w:rsid w:val="00183AC3"/>
    <w:rsid w:val="00184349"/>
    <w:rsid w:val="00185C99"/>
    <w:rsid w:val="001877A4"/>
    <w:rsid w:val="001935C0"/>
    <w:rsid w:val="001945F5"/>
    <w:rsid w:val="00194FEC"/>
    <w:rsid w:val="00195685"/>
    <w:rsid w:val="00195DD2"/>
    <w:rsid w:val="00195F33"/>
    <w:rsid w:val="00197E61"/>
    <w:rsid w:val="001A054D"/>
    <w:rsid w:val="001A2078"/>
    <w:rsid w:val="001A2647"/>
    <w:rsid w:val="001B0C1D"/>
    <w:rsid w:val="001B1617"/>
    <w:rsid w:val="001B1DA1"/>
    <w:rsid w:val="001B1EF2"/>
    <w:rsid w:val="001B4163"/>
    <w:rsid w:val="001B504B"/>
    <w:rsid w:val="001B7B34"/>
    <w:rsid w:val="001B7C89"/>
    <w:rsid w:val="001C1D1C"/>
    <w:rsid w:val="001C38B6"/>
    <w:rsid w:val="001C7784"/>
    <w:rsid w:val="001D1529"/>
    <w:rsid w:val="001D197C"/>
    <w:rsid w:val="001D32CD"/>
    <w:rsid w:val="001D3874"/>
    <w:rsid w:val="001D3910"/>
    <w:rsid w:val="001D510B"/>
    <w:rsid w:val="001D5F99"/>
    <w:rsid w:val="001D7197"/>
    <w:rsid w:val="001D7548"/>
    <w:rsid w:val="001D7E75"/>
    <w:rsid w:val="001E0246"/>
    <w:rsid w:val="001E0D73"/>
    <w:rsid w:val="001E1740"/>
    <w:rsid w:val="001E1D97"/>
    <w:rsid w:val="001E23C3"/>
    <w:rsid w:val="001E2E57"/>
    <w:rsid w:val="001E56D2"/>
    <w:rsid w:val="001E76D0"/>
    <w:rsid w:val="001E7D56"/>
    <w:rsid w:val="001F0727"/>
    <w:rsid w:val="001F4346"/>
    <w:rsid w:val="001F5AE1"/>
    <w:rsid w:val="001F75DE"/>
    <w:rsid w:val="00200D58"/>
    <w:rsid w:val="0020114E"/>
    <w:rsid w:val="002013BE"/>
    <w:rsid w:val="00201BA7"/>
    <w:rsid w:val="00201EDC"/>
    <w:rsid w:val="0020392E"/>
    <w:rsid w:val="002063A4"/>
    <w:rsid w:val="00206674"/>
    <w:rsid w:val="00207E0C"/>
    <w:rsid w:val="0021145B"/>
    <w:rsid w:val="002115DB"/>
    <w:rsid w:val="00211C5E"/>
    <w:rsid w:val="002127FB"/>
    <w:rsid w:val="002138EC"/>
    <w:rsid w:val="00213F4C"/>
    <w:rsid w:val="0021444E"/>
    <w:rsid w:val="00214A70"/>
    <w:rsid w:val="0021518B"/>
    <w:rsid w:val="00215F4C"/>
    <w:rsid w:val="0021629F"/>
    <w:rsid w:val="00220C23"/>
    <w:rsid w:val="00220CF4"/>
    <w:rsid w:val="00220E93"/>
    <w:rsid w:val="00222822"/>
    <w:rsid w:val="00222BC2"/>
    <w:rsid w:val="002231C7"/>
    <w:rsid w:val="0022321F"/>
    <w:rsid w:val="0022389A"/>
    <w:rsid w:val="00225499"/>
    <w:rsid w:val="00225DF1"/>
    <w:rsid w:val="0022675A"/>
    <w:rsid w:val="00226FAB"/>
    <w:rsid w:val="002307BA"/>
    <w:rsid w:val="0023119F"/>
    <w:rsid w:val="00232D0E"/>
    <w:rsid w:val="00233724"/>
    <w:rsid w:val="00234B56"/>
    <w:rsid w:val="00241362"/>
    <w:rsid w:val="0024375A"/>
    <w:rsid w:val="00243D36"/>
    <w:rsid w:val="002465F0"/>
    <w:rsid w:val="00246867"/>
    <w:rsid w:val="00247707"/>
    <w:rsid w:val="00250C1A"/>
    <w:rsid w:val="00251094"/>
    <w:rsid w:val="00251FE2"/>
    <w:rsid w:val="0026018E"/>
    <w:rsid w:val="00261778"/>
    <w:rsid w:val="00261A54"/>
    <w:rsid w:val="002659D8"/>
    <w:rsid w:val="0026606E"/>
    <w:rsid w:val="002706E3"/>
    <w:rsid w:val="00271BE4"/>
    <w:rsid w:val="0027276A"/>
    <w:rsid w:val="00273272"/>
    <w:rsid w:val="002732A2"/>
    <w:rsid w:val="002739F2"/>
    <w:rsid w:val="002742A9"/>
    <w:rsid w:val="002751E7"/>
    <w:rsid w:val="0027731A"/>
    <w:rsid w:val="00281A23"/>
    <w:rsid w:val="002853F5"/>
    <w:rsid w:val="002858E1"/>
    <w:rsid w:val="00286740"/>
    <w:rsid w:val="00286825"/>
    <w:rsid w:val="0029017A"/>
    <w:rsid w:val="002905F6"/>
    <w:rsid w:val="002907C4"/>
    <w:rsid w:val="00291D9B"/>
    <w:rsid w:val="002920E7"/>
    <w:rsid w:val="00292295"/>
    <w:rsid w:val="00292834"/>
    <w:rsid w:val="002929D8"/>
    <w:rsid w:val="00293230"/>
    <w:rsid w:val="0029379C"/>
    <w:rsid w:val="00294860"/>
    <w:rsid w:val="00297486"/>
    <w:rsid w:val="00297AC6"/>
    <w:rsid w:val="002A1607"/>
    <w:rsid w:val="002A237D"/>
    <w:rsid w:val="002A38F1"/>
    <w:rsid w:val="002A3941"/>
    <w:rsid w:val="002A3B3F"/>
    <w:rsid w:val="002A3F4B"/>
    <w:rsid w:val="002A4C53"/>
    <w:rsid w:val="002A6ABC"/>
    <w:rsid w:val="002A7914"/>
    <w:rsid w:val="002A792E"/>
    <w:rsid w:val="002B0672"/>
    <w:rsid w:val="002B247F"/>
    <w:rsid w:val="002B309F"/>
    <w:rsid w:val="002B32B2"/>
    <w:rsid w:val="002B4128"/>
    <w:rsid w:val="002B50D4"/>
    <w:rsid w:val="002B60EA"/>
    <w:rsid w:val="002C042E"/>
    <w:rsid w:val="002C145D"/>
    <w:rsid w:val="002C2C3E"/>
    <w:rsid w:val="002C2E16"/>
    <w:rsid w:val="002C4395"/>
    <w:rsid w:val="002C4AC1"/>
    <w:rsid w:val="002C533E"/>
    <w:rsid w:val="002C6AC5"/>
    <w:rsid w:val="002D027F"/>
    <w:rsid w:val="002D0BA7"/>
    <w:rsid w:val="002D2581"/>
    <w:rsid w:val="002D4DBC"/>
    <w:rsid w:val="002D5DFD"/>
    <w:rsid w:val="002D69F1"/>
    <w:rsid w:val="002D6FB3"/>
    <w:rsid w:val="002D7A85"/>
    <w:rsid w:val="002D7B60"/>
    <w:rsid w:val="002E0BD7"/>
    <w:rsid w:val="002E2C3B"/>
    <w:rsid w:val="002E2C67"/>
    <w:rsid w:val="002E3E02"/>
    <w:rsid w:val="002E4207"/>
    <w:rsid w:val="002E4680"/>
    <w:rsid w:val="002E615E"/>
    <w:rsid w:val="002E6479"/>
    <w:rsid w:val="002E7687"/>
    <w:rsid w:val="002F0C3C"/>
    <w:rsid w:val="002F12CF"/>
    <w:rsid w:val="002F1CED"/>
    <w:rsid w:val="002F2D0F"/>
    <w:rsid w:val="002F341C"/>
    <w:rsid w:val="002F3F92"/>
    <w:rsid w:val="002F431D"/>
    <w:rsid w:val="002F4761"/>
    <w:rsid w:val="002F4A1F"/>
    <w:rsid w:val="002F571E"/>
    <w:rsid w:val="002F5C79"/>
    <w:rsid w:val="002F6D52"/>
    <w:rsid w:val="002F7F2D"/>
    <w:rsid w:val="003019E2"/>
    <w:rsid w:val="0030217C"/>
    <w:rsid w:val="00302750"/>
    <w:rsid w:val="003075D7"/>
    <w:rsid w:val="00307C04"/>
    <w:rsid w:val="00310FB1"/>
    <w:rsid w:val="00311621"/>
    <w:rsid w:val="0031373F"/>
    <w:rsid w:val="00313E40"/>
    <w:rsid w:val="00314050"/>
    <w:rsid w:val="0031413F"/>
    <w:rsid w:val="003148BB"/>
    <w:rsid w:val="00316FBA"/>
    <w:rsid w:val="00317976"/>
    <w:rsid w:val="003206B8"/>
    <w:rsid w:val="00320E56"/>
    <w:rsid w:val="00321980"/>
    <w:rsid w:val="00324642"/>
    <w:rsid w:val="00326550"/>
    <w:rsid w:val="00326CC0"/>
    <w:rsid w:val="00327B28"/>
    <w:rsid w:val="003301BC"/>
    <w:rsid w:val="00330401"/>
    <w:rsid w:val="00331183"/>
    <w:rsid w:val="003341DB"/>
    <w:rsid w:val="00334FD6"/>
    <w:rsid w:val="00336096"/>
    <w:rsid w:val="003376E8"/>
    <w:rsid w:val="00337F67"/>
    <w:rsid w:val="00341043"/>
    <w:rsid w:val="00341510"/>
    <w:rsid w:val="00342428"/>
    <w:rsid w:val="00345448"/>
    <w:rsid w:val="00345AE4"/>
    <w:rsid w:val="00346B10"/>
    <w:rsid w:val="00347676"/>
    <w:rsid w:val="0035051E"/>
    <w:rsid w:val="00351844"/>
    <w:rsid w:val="00351CEB"/>
    <w:rsid w:val="0035454F"/>
    <w:rsid w:val="00355EA9"/>
    <w:rsid w:val="0035605E"/>
    <w:rsid w:val="003578DE"/>
    <w:rsid w:val="0036085E"/>
    <w:rsid w:val="00360D2B"/>
    <w:rsid w:val="003612A7"/>
    <w:rsid w:val="00361688"/>
    <w:rsid w:val="00366B3B"/>
    <w:rsid w:val="003732E6"/>
    <w:rsid w:val="00373A1F"/>
    <w:rsid w:val="00373C8B"/>
    <w:rsid w:val="003744EF"/>
    <w:rsid w:val="00377BB3"/>
    <w:rsid w:val="00382A20"/>
    <w:rsid w:val="00383580"/>
    <w:rsid w:val="00384AFA"/>
    <w:rsid w:val="003878B7"/>
    <w:rsid w:val="00387DEC"/>
    <w:rsid w:val="003926F7"/>
    <w:rsid w:val="003929B8"/>
    <w:rsid w:val="0039411C"/>
    <w:rsid w:val="00396257"/>
    <w:rsid w:val="00396B4C"/>
    <w:rsid w:val="00397B06"/>
    <w:rsid w:val="00397EB8"/>
    <w:rsid w:val="003A0582"/>
    <w:rsid w:val="003A0D9B"/>
    <w:rsid w:val="003A1BBE"/>
    <w:rsid w:val="003A1FED"/>
    <w:rsid w:val="003A4FD0"/>
    <w:rsid w:val="003A547E"/>
    <w:rsid w:val="003A69D1"/>
    <w:rsid w:val="003A7705"/>
    <w:rsid w:val="003A77F1"/>
    <w:rsid w:val="003B1488"/>
    <w:rsid w:val="003B1545"/>
    <w:rsid w:val="003B299C"/>
    <w:rsid w:val="003B4A9A"/>
    <w:rsid w:val="003C1E71"/>
    <w:rsid w:val="003C409D"/>
    <w:rsid w:val="003C4A95"/>
    <w:rsid w:val="003C5BA6"/>
    <w:rsid w:val="003D047B"/>
    <w:rsid w:val="003D0980"/>
    <w:rsid w:val="003D20D5"/>
    <w:rsid w:val="003D3752"/>
    <w:rsid w:val="003D6FC0"/>
    <w:rsid w:val="003D79FE"/>
    <w:rsid w:val="003E02EB"/>
    <w:rsid w:val="003E105D"/>
    <w:rsid w:val="003E35DA"/>
    <w:rsid w:val="003E593A"/>
    <w:rsid w:val="003E65BF"/>
    <w:rsid w:val="003E7029"/>
    <w:rsid w:val="003E7D73"/>
    <w:rsid w:val="003F0718"/>
    <w:rsid w:val="003F0E85"/>
    <w:rsid w:val="003F3A67"/>
    <w:rsid w:val="003F3FDB"/>
    <w:rsid w:val="003F62FC"/>
    <w:rsid w:val="003F65CE"/>
    <w:rsid w:val="003F6843"/>
    <w:rsid w:val="003F69F6"/>
    <w:rsid w:val="003F7B67"/>
    <w:rsid w:val="00402A7D"/>
    <w:rsid w:val="00403D4C"/>
    <w:rsid w:val="004058C3"/>
    <w:rsid w:val="00405C13"/>
    <w:rsid w:val="004077A0"/>
    <w:rsid w:val="00407863"/>
    <w:rsid w:val="00407961"/>
    <w:rsid w:val="00410C55"/>
    <w:rsid w:val="004117DC"/>
    <w:rsid w:val="004131F6"/>
    <w:rsid w:val="004148ED"/>
    <w:rsid w:val="00415EC2"/>
    <w:rsid w:val="00416854"/>
    <w:rsid w:val="00417302"/>
    <w:rsid w:val="004176F1"/>
    <w:rsid w:val="00417725"/>
    <w:rsid w:val="00417B8B"/>
    <w:rsid w:val="00421871"/>
    <w:rsid w:val="00422E1D"/>
    <w:rsid w:val="004243C6"/>
    <w:rsid w:val="00425312"/>
    <w:rsid w:val="00425917"/>
    <w:rsid w:val="00430140"/>
    <w:rsid w:val="00430F97"/>
    <w:rsid w:val="004312A7"/>
    <w:rsid w:val="00433473"/>
    <w:rsid w:val="004336F9"/>
    <w:rsid w:val="00433A02"/>
    <w:rsid w:val="0043439A"/>
    <w:rsid w:val="004367C1"/>
    <w:rsid w:val="0043723E"/>
    <w:rsid w:val="00437F26"/>
    <w:rsid w:val="00441735"/>
    <w:rsid w:val="00441B8F"/>
    <w:rsid w:val="00444097"/>
    <w:rsid w:val="004448BC"/>
    <w:rsid w:val="00445487"/>
    <w:rsid w:val="0044561F"/>
    <w:rsid w:val="00447E0D"/>
    <w:rsid w:val="00450C54"/>
    <w:rsid w:val="0045449C"/>
    <w:rsid w:val="00454769"/>
    <w:rsid w:val="00455C01"/>
    <w:rsid w:val="0045764F"/>
    <w:rsid w:val="0046078C"/>
    <w:rsid w:val="00460948"/>
    <w:rsid w:val="00460F71"/>
    <w:rsid w:val="00461B52"/>
    <w:rsid w:val="00463CF5"/>
    <w:rsid w:val="00465897"/>
    <w:rsid w:val="00466991"/>
    <w:rsid w:val="00466F89"/>
    <w:rsid w:val="00467962"/>
    <w:rsid w:val="00467FD9"/>
    <w:rsid w:val="0047064C"/>
    <w:rsid w:val="00470762"/>
    <w:rsid w:val="0047357E"/>
    <w:rsid w:val="00474359"/>
    <w:rsid w:val="00474714"/>
    <w:rsid w:val="004767F8"/>
    <w:rsid w:val="00477FEE"/>
    <w:rsid w:val="0048162C"/>
    <w:rsid w:val="00483CB1"/>
    <w:rsid w:val="0048428C"/>
    <w:rsid w:val="00484E87"/>
    <w:rsid w:val="00485B03"/>
    <w:rsid w:val="00485DEE"/>
    <w:rsid w:val="00486291"/>
    <w:rsid w:val="0049084F"/>
    <w:rsid w:val="00490E62"/>
    <w:rsid w:val="00492691"/>
    <w:rsid w:val="0049469E"/>
    <w:rsid w:val="00494719"/>
    <w:rsid w:val="0049472D"/>
    <w:rsid w:val="00495C9B"/>
    <w:rsid w:val="004A2178"/>
    <w:rsid w:val="004A2512"/>
    <w:rsid w:val="004A2824"/>
    <w:rsid w:val="004A3D9D"/>
    <w:rsid w:val="004A42E1"/>
    <w:rsid w:val="004A63EA"/>
    <w:rsid w:val="004B034A"/>
    <w:rsid w:val="004B0B8B"/>
    <w:rsid w:val="004B162C"/>
    <w:rsid w:val="004B2ABE"/>
    <w:rsid w:val="004B5ABD"/>
    <w:rsid w:val="004B5E37"/>
    <w:rsid w:val="004B7E47"/>
    <w:rsid w:val="004C279B"/>
    <w:rsid w:val="004C306B"/>
    <w:rsid w:val="004C3DBE"/>
    <w:rsid w:val="004C5C96"/>
    <w:rsid w:val="004C6B6A"/>
    <w:rsid w:val="004C7436"/>
    <w:rsid w:val="004C75E4"/>
    <w:rsid w:val="004C77AD"/>
    <w:rsid w:val="004D06A4"/>
    <w:rsid w:val="004D102F"/>
    <w:rsid w:val="004D153C"/>
    <w:rsid w:val="004D1997"/>
    <w:rsid w:val="004D1B95"/>
    <w:rsid w:val="004D21B9"/>
    <w:rsid w:val="004D530D"/>
    <w:rsid w:val="004D7C8F"/>
    <w:rsid w:val="004E21FC"/>
    <w:rsid w:val="004E651A"/>
    <w:rsid w:val="004E65F7"/>
    <w:rsid w:val="004F0CC1"/>
    <w:rsid w:val="004F1A81"/>
    <w:rsid w:val="004F1E53"/>
    <w:rsid w:val="004F2618"/>
    <w:rsid w:val="004F4FE0"/>
    <w:rsid w:val="004F66EA"/>
    <w:rsid w:val="004F784B"/>
    <w:rsid w:val="00500E5F"/>
    <w:rsid w:val="005016F0"/>
    <w:rsid w:val="005031E0"/>
    <w:rsid w:val="0050475A"/>
    <w:rsid w:val="00504C85"/>
    <w:rsid w:val="00504F31"/>
    <w:rsid w:val="00505CBC"/>
    <w:rsid w:val="00507877"/>
    <w:rsid w:val="00507A9F"/>
    <w:rsid w:val="0051006E"/>
    <w:rsid w:val="00510FCA"/>
    <w:rsid w:val="00511445"/>
    <w:rsid w:val="0051475D"/>
    <w:rsid w:val="00515B79"/>
    <w:rsid w:val="00517FE1"/>
    <w:rsid w:val="00520DB1"/>
    <w:rsid w:val="005218D9"/>
    <w:rsid w:val="0052201F"/>
    <w:rsid w:val="005223DA"/>
    <w:rsid w:val="005237BC"/>
    <w:rsid w:val="00524DA3"/>
    <w:rsid w:val="005265AF"/>
    <w:rsid w:val="00526F3F"/>
    <w:rsid w:val="00527086"/>
    <w:rsid w:val="00527290"/>
    <w:rsid w:val="00527342"/>
    <w:rsid w:val="00531092"/>
    <w:rsid w:val="005342B1"/>
    <w:rsid w:val="0053452E"/>
    <w:rsid w:val="00534A14"/>
    <w:rsid w:val="00536186"/>
    <w:rsid w:val="005367CF"/>
    <w:rsid w:val="0054042F"/>
    <w:rsid w:val="00540E87"/>
    <w:rsid w:val="005412E8"/>
    <w:rsid w:val="005419C6"/>
    <w:rsid w:val="0054353D"/>
    <w:rsid w:val="00544CBB"/>
    <w:rsid w:val="005501BD"/>
    <w:rsid w:val="0055192B"/>
    <w:rsid w:val="00553391"/>
    <w:rsid w:val="005542EA"/>
    <w:rsid w:val="00555A20"/>
    <w:rsid w:val="00555D13"/>
    <w:rsid w:val="0055685D"/>
    <w:rsid w:val="00556F02"/>
    <w:rsid w:val="00557438"/>
    <w:rsid w:val="005576E6"/>
    <w:rsid w:val="005609D9"/>
    <w:rsid w:val="0056131C"/>
    <w:rsid w:val="0056193E"/>
    <w:rsid w:val="00562129"/>
    <w:rsid w:val="00563A8D"/>
    <w:rsid w:val="00563F4B"/>
    <w:rsid w:val="0056424C"/>
    <w:rsid w:val="0056430E"/>
    <w:rsid w:val="005656D7"/>
    <w:rsid w:val="00566919"/>
    <w:rsid w:val="00567825"/>
    <w:rsid w:val="00567892"/>
    <w:rsid w:val="005679D8"/>
    <w:rsid w:val="0057060E"/>
    <w:rsid w:val="0057110A"/>
    <w:rsid w:val="0057315F"/>
    <w:rsid w:val="005744B5"/>
    <w:rsid w:val="0057450D"/>
    <w:rsid w:val="00576104"/>
    <w:rsid w:val="00577AA6"/>
    <w:rsid w:val="00577BA6"/>
    <w:rsid w:val="00577F84"/>
    <w:rsid w:val="005815D0"/>
    <w:rsid w:val="0058342F"/>
    <w:rsid w:val="005853D7"/>
    <w:rsid w:val="00585EBE"/>
    <w:rsid w:val="005863DE"/>
    <w:rsid w:val="00586F4B"/>
    <w:rsid w:val="00587A40"/>
    <w:rsid w:val="005901D4"/>
    <w:rsid w:val="00590731"/>
    <w:rsid w:val="0059155E"/>
    <w:rsid w:val="005920FD"/>
    <w:rsid w:val="00592277"/>
    <w:rsid w:val="005938CA"/>
    <w:rsid w:val="00595062"/>
    <w:rsid w:val="00595829"/>
    <w:rsid w:val="005974D6"/>
    <w:rsid w:val="005A0821"/>
    <w:rsid w:val="005A1331"/>
    <w:rsid w:val="005A218B"/>
    <w:rsid w:val="005A22F2"/>
    <w:rsid w:val="005A2A89"/>
    <w:rsid w:val="005A3A95"/>
    <w:rsid w:val="005A41ED"/>
    <w:rsid w:val="005A4E58"/>
    <w:rsid w:val="005A5AE1"/>
    <w:rsid w:val="005A661B"/>
    <w:rsid w:val="005A7869"/>
    <w:rsid w:val="005B44BF"/>
    <w:rsid w:val="005B4B6C"/>
    <w:rsid w:val="005B6B92"/>
    <w:rsid w:val="005B76DB"/>
    <w:rsid w:val="005C11B4"/>
    <w:rsid w:val="005C3B69"/>
    <w:rsid w:val="005C57A6"/>
    <w:rsid w:val="005C65F4"/>
    <w:rsid w:val="005C67C8"/>
    <w:rsid w:val="005C6DC8"/>
    <w:rsid w:val="005C72CB"/>
    <w:rsid w:val="005D0249"/>
    <w:rsid w:val="005D09A5"/>
    <w:rsid w:val="005D18FA"/>
    <w:rsid w:val="005D2700"/>
    <w:rsid w:val="005D4575"/>
    <w:rsid w:val="005D4FD4"/>
    <w:rsid w:val="005D6AB1"/>
    <w:rsid w:val="005D6E8C"/>
    <w:rsid w:val="005E0D09"/>
    <w:rsid w:val="005E345E"/>
    <w:rsid w:val="005E57F4"/>
    <w:rsid w:val="005E611D"/>
    <w:rsid w:val="005E7BE5"/>
    <w:rsid w:val="005E7D25"/>
    <w:rsid w:val="005F100C"/>
    <w:rsid w:val="005F2593"/>
    <w:rsid w:val="005F4C6A"/>
    <w:rsid w:val="005F68DA"/>
    <w:rsid w:val="00601D84"/>
    <w:rsid w:val="006023DE"/>
    <w:rsid w:val="006052AA"/>
    <w:rsid w:val="00607224"/>
    <w:rsid w:val="0060751C"/>
    <w:rsid w:val="0060773B"/>
    <w:rsid w:val="00607BAC"/>
    <w:rsid w:val="00610159"/>
    <w:rsid w:val="00611A8B"/>
    <w:rsid w:val="006120C6"/>
    <w:rsid w:val="00613374"/>
    <w:rsid w:val="00614D00"/>
    <w:rsid w:val="006157B5"/>
    <w:rsid w:val="00615D04"/>
    <w:rsid w:val="0061666C"/>
    <w:rsid w:val="006174C6"/>
    <w:rsid w:val="00617782"/>
    <w:rsid w:val="006213F0"/>
    <w:rsid w:val="006222DB"/>
    <w:rsid w:val="00622631"/>
    <w:rsid w:val="00622D4D"/>
    <w:rsid w:val="00623EE4"/>
    <w:rsid w:val="006241EC"/>
    <w:rsid w:val="00626FC6"/>
    <w:rsid w:val="006303B4"/>
    <w:rsid w:val="00630533"/>
    <w:rsid w:val="00630ADC"/>
    <w:rsid w:val="00633D3D"/>
    <w:rsid w:val="006343BA"/>
    <w:rsid w:val="0063468B"/>
    <w:rsid w:val="0063474A"/>
    <w:rsid w:val="00634BB7"/>
    <w:rsid w:val="006355FB"/>
    <w:rsid w:val="006374B5"/>
    <w:rsid w:val="00640168"/>
    <w:rsid w:val="00641703"/>
    <w:rsid w:val="00642586"/>
    <w:rsid w:val="006431A6"/>
    <w:rsid w:val="0064357E"/>
    <w:rsid w:val="00644E97"/>
    <w:rsid w:val="006458CE"/>
    <w:rsid w:val="006459F6"/>
    <w:rsid w:val="00646E86"/>
    <w:rsid w:val="00647A0F"/>
    <w:rsid w:val="006501AD"/>
    <w:rsid w:val="0065050E"/>
    <w:rsid w:val="0065073C"/>
    <w:rsid w:val="00650921"/>
    <w:rsid w:val="00651BFA"/>
    <w:rsid w:val="00652C6C"/>
    <w:rsid w:val="00653CB6"/>
    <w:rsid w:val="00654050"/>
    <w:rsid w:val="00654121"/>
    <w:rsid w:val="00654475"/>
    <w:rsid w:val="006554D4"/>
    <w:rsid w:val="0065615C"/>
    <w:rsid w:val="00657394"/>
    <w:rsid w:val="006614D2"/>
    <w:rsid w:val="006654DA"/>
    <w:rsid w:val="00665A4B"/>
    <w:rsid w:val="00665CE1"/>
    <w:rsid w:val="0066657D"/>
    <w:rsid w:val="00666D07"/>
    <w:rsid w:val="006719C2"/>
    <w:rsid w:val="00671F39"/>
    <w:rsid w:val="00672132"/>
    <w:rsid w:val="00672A8A"/>
    <w:rsid w:val="00673FF0"/>
    <w:rsid w:val="006744E7"/>
    <w:rsid w:val="00674C5C"/>
    <w:rsid w:val="00674CE1"/>
    <w:rsid w:val="00675305"/>
    <w:rsid w:val="00676B79"/>
    <w:rsid w:val="00677204"/>
    <w:rsid w:val="00680E43"/>
    <w:rsid w:val="00681254"/>
    <w:rsid w:val="0068186F"/>
    <w:rsid w:val="006865A2"/>
    <w:rsid w:val="00687FF8"/>
    <w:rsid w:val="00690056"/>
    <w:rsid w:val="0069093B"/>
    <w:rsid w:val="00690C3B"/>
    <w:rsid w:val="00690DD3"/>
    <w:rsid w:val="00692E2A"/>
    <w:rsid w:val="006948BA"/>
    <w:rsid w:val="00695D0C"/>
    <w:rsid w:val="00696E3D"/>
    <w:rsid w:val="00697B38"/>
    <w:rsid w:val="006A0983"/>
    <w:rsid w:val="006A1D43"/>
    <w:rsid w:val="006A2246"/>
    <w:rsid w:val="006A2F0C"/>
    <w:rsid w:val="006A4491"/>
    <w:rsid w:val="006A5E16"/>
    <w:rsid w:val="006A7227"/>
    <w:rsid w:val="006A76F2"/>
    <w:rsid w:val="006A7C80"/>
    <w:rsid w:val="006A7EC3"/>
    <w:rsid w:val="006B06A8"/>
    <w:rsid w:val="006B2369"/>
    <w:rsid w:val="006B2D8C"/>
    <w:rsid w:val="006B3B13"/>
    <w:rsid w:val="006B5467"/>
    <w:rsid w:val="006B66DC"/>
    <w:rsid w:val="006B7E0B"/>
    <w:rsid w:val="006C00D5"/>
    <w:rsid w:val="006C1184"/>
    <w:rsid w:val="006C1441"/>
    <w:rsid w:val="006C14D7"/>
    <w:rsid w:val="006C2E1E"/>
    <w:rsid w:val="006C4A12"/>
    <w:rsid w:val="006C6C7D"/>
    <w:rsid w:val="006C7103"/>
    <w:rsid w:val="006D078D"/>
    <w:rsid w:val="006D19D4"/>
    <w:rsid w:val="006D2D1C"/>
    <w:rsid w:val="006D7EFB"/>
    <w:rsid w:val="006E0552"/>
    <w:rsid w:val="006E1857"/>
    <w:rsid w:val="006E2D99"/>
    <w:rsid w:val="006E2E01"/>
    <w:rsid w:val="006E4E72"/>
    <w:rsid w:val="006E55D5"/>
    <w:rsid w:val="006E5B33"/>
    <w:rsid w:val="006E6672"/>
    <w:rsid w:val="006E6722"/>
    <w:rsid w:val="006F2578"/>
    <w:rsid w:val="006F3BAF"/>
    <w:rsid w:val="006F497C"/>
    <w:rsid w:val="006F606A"/>
    <w:rsid w:val="006F60FC"/>
    <w:rsid w:val="006F6157"/>
    <w:rsid w:val="006F64D2"/>
    <w:rsid w:val="00700799"/>
    <w:rsid w:val="00700F8F"/>
    <w:rsid w:val="00702773"/>
    <w:rsid w:val="007027B9"/>
    <w:rsid w:val="00712B7E"/>
    <w:rsid w:val="007145DA"/>
    <w:rsid w:val="00715E88"/>
    <w:rsid w:val="00716651"/>
    <w:rsid w:val="00716C37"/>
    <w:rsid w:val="00717F57"/>
    <w:rsid w:val="007205B8"/>
    <w:rsid w:val="00720954"/>
    <w:rsid w:val="00720CA6"/>
    <w:rsid w:val="00720CE8"/>
    <w:rsid w:val="0072258C"/>
    <w:rsid w:val="00722611"/>
    <w:rsid w:val="00724046"/>
    <w:rsid w:val="00732C8E"/>
    <w:rsid w:val="00732C9D"/>
    <w:rsid w:val="007332DA"/>
    <w:rsid w:val="00734CAA"/>
    <w:rsid w:val="00735842"/>
    <w:rsid w:val="0073687E"/>
    <w:rsid w:val="00740710"/>
    <w:rsid w:val="00741F60"/>
    <w:rsid w:val="00742680"/>
    <w:rsid w:val="00743982"/>
    <w:rsid w:val="00745E0A"/>
    <w:rsid w:val="007460BA"/>
    <w:rsid w:val="007461E9"/>
    <w:rsid w:val="00747EBB"/>
    <w:rsid w:val="007504EE"/>
    <w:rsid w:val="00750A92"/>
    <w:rsid w:val="00752F56"/>
    <w:rsid w:val="00753D8A"/>
    <w:rsid w:val="007551BE"/>
    <w:rsid w:val="0075533C"/>
    <w:rsid w:val="0075690C"/>
    <w:rsid w:val="00757027"/>
    <w:rsid w:val="00757581"/>
    <w:rsid w:val="007602F5"/>
    <w:rsid w:val="00760D36"/>
    <w:rsid w:val="007611A0"/>
    <w:rsid w:val="00762135"/>
    <w:rsid w:val="00763069"/>
    <w:rsid w:val="0076417D"/>
    <w:rsid w:val="00765306"/>
    <w:rsid w:val="00766711"/>
    <w:rsid w:val="00771617"/>
    <w:rsid w:val="00775213"/>
    <w:rsid w:val="00775A51"/>
    <w:rsid w:val="007760EE"/>
    <w:rsid w:val="0077642D"/>
    <w:rsid w:val="00777B04"/>
    <w:rsid w:val="007808EC"/>
    <w:rsid w:val="007826CB"/>
    <w:rsid w:val="00782919"/>
    <w:rsid w:val="007834F6"/>
    <w:rsid w:val="007837E3"/>
    <w:rsid w:val="00792488"/>
    <w:rsid w:val="00792F83"/>
    <w:rsid w:val="007935E6"/>
    <w:rsid w:val="0079568C"/>
    <w:rsid w:val="00795C6D"/>
    <w:rsid w:val="00795D36"/>
    <w:rsid w:val="00796D3F"/>
    <w:rsid w:val="007A1683"/>
    <w:rsid w:val="007A5C12"/>
    <w:rsid w:val="007A7CB0"/>
    <w:rsid w:val="007B0DE3"/>
    <w:rsid w:val="007B2615"/>
    <w:rsid w:val="007B43B6"/>
    <w:rsid w:val="007B68A3"/>
    <w:rsid w:val="007B7761"/>
    <w:rsid w:val="007C114F"/>
    <w:rsid w:val="007C1E0B"/>
    <w:rsid w:val="007C2541"/>
    <w:rsid w:val="007C399F"/>
    <w:rsid w:val="007C4703"/>
    <w:rsid w:val="007C5A54"/>
    <w:rsid w:val="007C6604"/>
    <w:rsid w:val="007C747E"/>
    <w:rsid w:val="007C7915"/>
    <w:rsid w:val="007C7CDF"/>
    <w:rsid w:val="007C7CE5"/>
    <w:rsid w:val="007D2046"/>
    <w:rsid w:val="007D3C14"/>
    <w:rsid w:val="007D3F1B"/>
    <w:rsid w:val="007D4107"/>
    <w:rsid w:val="007D439D"/>
    <w:rsid w:val="007D553B"/>
    <w:rsid w:val="007D58D1"/>
    <w:rsid w:val="007D66A8"/>
    <w:rsid w:val="007D6B5E"/>
    <w:rsid w:val="007E003F"/>
    <w:rsid w:val="007E0A98"/>
    <w:rsid w:val="007E0DCC"/>
    <w:rsid w:val="007E0EBA"/>
    <w:rsid w:val="007E391E"/>
    <w:rsid w:val="007E4D28"/>
    <w:rsid w:val="007E5EF5"/>
    <w:rsid w:val="007E67E6"/>
    <w:rsid w:val="007F07B8"/>
    <w:rsid w:val="007F0CF8"/>
    <w:rsid w:val="007F0D9C"/>
    <w:rsid w:val="007F239C"/>
    <w:rsid w:val="007F4823"/>
    <w:rsid w:val="007F4B7B"/>
    <w:rsid w:val="007F615D"/>
    <w:rsid w:val="007F62CB"/>
    <w:rsid w:val="007F66C8"/>
    <w:rsid w:val="007F7405"/>
    <w:rsid w:val="00805BF1"/>
    <w:rsid w:val="00811F1B"/>
    <w:rsid w:val="00813D3B"/>
    <w:rsid w:val="008142EC"/>
    <w:rsid w:val="008164AD"/>
    <w:rsid w:val="008164F2"/>
    <w:rsid w:val="00816BB9"/>
    <w:rsid w:val="00817C0B"/>
    <w:rsid w:val="00817DD3"/>
    <w:rsid w:val="00817E03"/>
    <w:rsid w:val="00820DF3"/>
    <w:rsid w:val="00821395"/>
    <w:rsid w:val="00823055"/>
    <w:rsid w:val="008258A9"/>
    <w:rsid w:val="00826B61"/>
    <w:rsid w:val="008277EC"/>
    <w:rsid w:val="00830665"/>
    <w:rsid w:val="00830E26"/>
    <w:rsid w:val="00832224"/>
    <w:rsid w:val="008330C4"/>
    <w:rsid w:val="00833327"/>
    <w:rsid w:val="0083436D"/>
    <w:rsid w:val="00835695"/>
    <w:rsid w:val="00840344"/>
    <w:rsid w:val="00843576"/>
    <w:rsid w:val="00843B64"/>
    <w:rsid w:val="00845339"/>
    <w:rsid w:val="00845A45"/>
    <w:rsid w:val="00845C77"/>
    <w:rsid w:val="008475EC"/>
    <w:rsid w:val="008478FC"/>
    <w:rsid w:val="00847E23"/>
    <w:rsid w:val="00850494"/>
    <w:rsid w:val="008507BD"/>
    <w:rsid w:val="00851C51"/>
    <w:rsid w:val="0085348E"/>
    <w:rsid w:val="00854851"/>
    <w:rsid w:val="00855A67"/>
    <w:rsid w:val="00857DEA"/>
    <w:rsid w:val="0086049B"/>
    <w:rsid w:val="00861816"/>
    <w:rsid w:val="00861D92"/>
    <w:rsid w:val="008630F4"/>
    <w:rsid w:val="00863959"/>
    <w:rsid w:val="00863DAC"/>
    <w:rsid w:val="0086474E"/>
    <w:rsid w:val="00865C5C"/>
    <w:rsid w:val="00867148"/>
    <w:rsid w:val="00867BFF"/>
    <w:rsid w:val="00867C62"/>
    <w:rsid w:val="00870419"/>
    <w:rsid w:val="00871542"/>
    <w:rsid w:val="008715FE"/>
    <w:rsid w:val="00872BF6"/>
    <w:rsid w:val="008730B6"/>
    <w:rsid w:val="008743B1"/>
    <w:rsid w:val="008744AA"/>
    <w:rsid w:val="008763E2"/>
    <w:rsid w:val="008769BD"/>
    <w:rsid w:val="00877FEF"/>
    <w:rsid w:val="008805ED"/>
    <w:rsid w:val="00881E97"/>
    <w:rsid w:val="0088480A"/>
    <w:rsid w:val="0088502B"/>
    <w:rsid w:val="008865F4"/>
    <w:rsid w:val="0088757A"/>
    <w:rsid w:val="00890F31"/>
    <w:rsid w:val="0089431B"/>
    <w:rsid w:val="00894AE9"/>
    <w:rsid w:val="00895275"/>
    <w:rsid w:val="00895668"/>
    <w:rsid w:val="008957DD"/>
    <w:rsid w:val="00895F0A"/>
    <w:rsid w:val="00897D98"/>
    <w:rsid w:val="008A1072"/>
    <w:rsid w:val="008A18B2"/>
    <w:rsid w:val="008A41B2"/>
    <w:rsid w:val="008A4BF7"/>
    <w:rsid w:val="008A5067"/>
    <w:rsid w:val="008A5515"/>
    <w:rsid w:val="008A6DF2"/>
    <w:rsid w:val="008A7807"/>
    <w:rsid w:val="008B0804"/>
    <w:rsid w:val="008B0861"/>
    <w:rsid w:val="008B4CC9"/>
    <w:rsid w:val="008B7F39"/>
    <w:rsid w:val="008C148E"/>
    <w:rsid w:val="008C20A3"/>
    <w:rsid w:val="008C2603"/>
    <w:rsid w:val="008C319E"/>
    <w:rsid w:val="008C35ED"/>
    <w:rsid w:val="008C38AD"/>
    <w:rsid w:val="008D07FB"/>
    <w:rsid w:val="008D3F62"/>
    <w:rsid w:val="008D42E4"/>
    <w:rsid w:val="008D49B9"/>
    <w:rsid w:val="008D49F6"/>
    <w:rsid w:val="008D4E9F"/>
    <w:rsid w:val="008D64B3"/>
    <w:rsid w:val="008D78FF"/>
    <w:rsid w:val="008D7C99"/>
    <w:rsid w:val="008E02FA"/>
    <w:rsid w:val="008E0FCB"/>
    <w:rsid w:val="008E2339"/>
    <w:rsid w:val="008E3CCF"/>
    <w:rsid w:val="008E3CD0"/>
    <w:rsid w:val="008E45DF"/>
    <w:rsid w:val="008E461D"/>
    <w:rsid w:val="008E4D20"/>
    <w:rsid w:val="008F0046"/>
    <w:rsid w:val="008F09D1"/>
    <w:rsid w:val="008F519A"/>
    <w:rsid w:val="0090168B"/>
    <w:rsid w:val="00906372"/>
    <w:rsid w:val="00910529"/>
    <w:rsid w:val="00911C38"/>
    <w:rsid w:val="009120AC"/>
    <w:rsid w:val="009139D6"/>
    <w:rsid w:val="00914A83"/>
    <w:rsid w:val="009158F0"/>
    <w:rsid w:val="00917CCE"/>
    <w:rsid w:val="00920A34"/>
    <w:rsid w:val="009211DC"/>
    <w:rsid w:val="0092178C"/>
    <w:rsid w:val="009217FA"/>
    <w:rsid w:val="00921B66"/>
    <w:rsid w:val="00923853"/>
    <w:rsid w:val="00927E70"/>
    <w:rsid w:val="00930078"/>
    <w:rsid w:val="00930158"/>
    <w:rsid w:val="00930B88"/>
    <w:rsid w:val="00931D35"/>
    <w:rsid w:val="00932925"/>
    <w:rsid w:val="00932BD0"/>
    <w:rsid w:val="00936128"/>
    <w:rsid w:val="00936F02"/>
    <w:rsid w:val="00936F7E"/>
    <w:rsid w:val="00940DCC"/>
    <w:rsid w:val="0094179A"/>
    <w:rsid w:val="0094395E"/>
    <w:rsid w:val="0094459E"/>
    <w:rsid w:val="00944DBC"/>
    <w:rsid w:val="009454A4"/>
    <w:rsid w:val="00945D13"/>
    <w:rsid w:val="00947054"/>
    <w:rsid w:val="009472FD"/>
    <w:rsid w:val="009477EA"/>
    <w:rsid w:val="00950977"/>
    <w:rsid w:val="00950A92"/>
    <w:rsid w:val="00950FAB"/>
    <w:rsid w:val="00951944"/>
    <w:rsid w:val="00951A7B"/>
    <w:rsid w:val="0095253A"/>
    <w:rsid w:val="0095283B"/>
    <w:rsid w:val="00952F77"/>
    <w:rsid w:val="009536E8"/>
    <w:rsid w:val="0095370D"/>
    <w:rsid w:val="0095556A"/>
    <w:rsid w:val="009564A6"/>
    <w:rsid w:val="00960460"/>
    <w:rsid w:val="009612F9"/>
    <w:rsid w:val="0096254D"/>
    <w:rsid w:val="00962F1A"/>
    <w:rsid w:val="00964524"/>
    <w:rsid w:val="00965AA7"/>
    <w:rsid w:val="00967621"/>
    <w:rsid w:val="00967E6A"/>
    <w:rsid w:val="0097388B"/>
    <w:rsid w:val="00974BA2"/>
    <w:rsid w:val="009760D7"/>
    <w:rsid w:val="00976A87"/>
    <w:rsid w:val="009772E7"/>
    <w:rsid w:val="00980738"/>
    <w:rsid w:val="0098152B"/>
    <w:rsid w:val="009822B4"/>
    <w:rsid w:val="0098276A"/>
    <w:rsid w:val="00983171"/>
    <w:rsid w:val="00983EC8"/>
    <w:rsid w:val="009843FD"/>
    <w:rsid w:val="009854E5"/>
    <w:rsid w:val="0098570D"/>
    <w:rsid w:val="009860AC"/>
    <w:rsid w:val="00986B6E"/>
    <w:rsid w:val="00987CB4"/>
    <w:rsid w:val="00987EB2"/>
    <w:rsid w:val="00991D02"/>
    <w:rsid w:val="009946D0"/>
    <w:rsid w:val="009978A6"/>
    <w:rsid w:val="009A0477"/>
    <w:rsid w:val="009A3EBE"/>
    <w:rsid w:val="009A42A5"/>
    <w:rsid w:val="009B0109"/>
    <w:rsid w:val="009B0872"/>
    <w:rsid w:val="009B1BB4"/>
    <w:rsid w:val="009B2284"/>
    <w:rsid w:val="009B2FC7"/>
    <w:rsid w:val="009B4A0F"/>
    <w:rsid w:val="009B4A73"/>
    <w:rsid w:val="009B547A"/>
    <w:rsid w:val="009B6EC8"/>
    <w:rsid w:val="009B78F2"/>
    <w:rsid w:val="009C05CD"/>
    <w:rsid w:val="009C0AFC"/>
    <w:rsid w:val="009C11D2"/>
    <w:rsid w:val="009C3D5E"/>
    <w:rsid w:val="009C3D93"/>
    <w:rsid w:val="009C4D1D"/>
    <w:rsid w:val="009C6C70"/>
    <w:rsid w:val="009C761C"/>
    <w:rsid w:val="009C78C4"/>
    <w:rsid w:val="009C7B0A"/>
    <w:rsid w:val="009D0B63"/>
    <w:rsid w:val="009D0F7F"/>
    <w:rsid w:val="009D2DC3"/>
    <w:rsid w:val="009D2E91"/>
    <w:rsid w:val="009D597F"/>
    <w:rsid w:val="009D5BA8"/>
    <w:rsid w:val="009D5BBE"/>
    <w:rsid w:val="009D5CB8"/>
    <w:rsid w:val="009E0B13"/>
    <w:rsid w:val="009E0F93"/>
    <w:rsid w:val="009E116C"/>
    <w:rsid w:val="009E1553"/>
    <w:rsid w:val="009E181D"/>
    <w:rsid w:val="009E307E"/>
    <w:rsid w:val="009E3EAD"/>
    <w:rsid w:val="009E419B"/>
    <w:rsid w:val="009E4223"/>
    <w:rsid w:val="009E423B"/>
    <w:rsid w:val="009E4377"/>
    <w:rsid w:val="009E4676"/>
    <w:rsid w:val="009E47EE"/>
    <w:rsid w:val="009E5C88"/>
    <w:rsid w:val="009E6685"/>
    <w:rsid w:val="009E66EF"/>
    <w:rsid w:val="009E702F"/>
    <w:rsid w:val="009F2615"/>
    <w:rsid w:val="009F26E8"/>
    <w:rsid w:val="009F300F"/>
    <w:rsid w:val="009F3546"/>
    <w:rsid w:val="009F7342"/>
    <w:rsid w:val="009F7899"/>
    <w:rsid w:val="00A00152"/>
    <w:rsid w:val="00A01567"/>
    <w:rsid w:val="00A01F21"/>
    <w:rsid w:val="00A021F9"/>
    <w:rsid w:val="00A02381"/>
    <w:rsid w:val="00A03997"/>
    <w:rsid w:val="00A03F0C"/>
    <w:rsid w:val="00A07870"/>
    <w:rsid w:val="00A07C54"/>
    <w:rsid w:val="00A07F19"/>
    <w:rsid w:val="00A1110C"/>
    <w:rsid w:val="00A12891"/>
    <w:rsid w:val="00A1304F"/>
    <w:rsid w:val="00A1348D"/>
    <w:rsid w:val="00A138C5"/>
    <w:rsid w:val="00A160C9"/>
    <w:rsid w:val="00A16101"/>
    <w:rsid w:val="00A168F6"/>
    <w:rsid w:val="00A1722A"/>
    <w:rsid w:val="00A20AE0"/>
    <w:rsid w:val="00A212C5"/>
    <w:rsid w:val="00A23233"/>
    <w:rsid w:val="00A232EE"/>
    <w:rsid w:val="00A250BC"/>
    <w:rsid w:val="00A2537A"/>
    <w:rsid w:val="00A25548"/>
    <w:rsid w:val="00A25CDE"/>
    <w:rsid w:val="00A317DA"/>
    <w:rsid w:val="00A32221"/>
    <w:rsid w:val="00A32A63"/>
    <w:rsid w:val="00A33396"/>
    <w:rsid w:val="00A3376B"/>
    <w:rsid w:val="00A4175F"/>
    <w:rsid w:val="00A42EC5"/>
    <w:rsid w:val="00A44411"/>
    <w:rsid w:val="00A45DB7"/>
    <w:rsid w:val="00A469FA"/>
    <w:rsid w:val="00A4724F"/>
    <w:rsid w:val="00A5059C"/>
    <w:rsid w:val="00A507BD"/>
    <w:rsid w:val="00A5108F"/>
    <w:rsid w:val="00A51105"/>
    <w:rsid w:val="00A51DA2"/>
    <w:rsid w:val="00A53662"/>
    <w:rsid w:val="00A5427E"/>
    <w:rsid w:val="00A54968"/>
    <w:rsid w:val="00A55B01"/>
    <w:rsid w:val="00A5684E"/>
    <w:rsid w:val="00A56B5B"/>
    <w:rsid w:val="00A56EA9"/>
    <w:rsid w:val="00A575C7"/>
    <w:rsid w:val="00A6011B"/>
    <w:rsid w:val="00A603FF"/>
    <w:rsid w:val="00A60569"/>
    <w:rsid w:val="00A60F40"/>
    <w:rsid w:val="00A619B6"/>
    <w:rsid w:val="00A63AE0"/>
    <w:rsid w:val="00A648CA"/>
    <w:rsid w:val="00A657DD"/>
    <w:rsid w:val="00A666A6"/>
    <w:rsid w:val="00A66855"/>
    <w:rsid w:val="00A67524"/>
    <w:rsid w:val="00A675FD"/>
    <w:rsid w:val="00A72437"/>
    <w:rsid w:val="00A72DDF"/>
    <w:rsid w:val="00A74220"/>
    <w:rsid w:val="00A75829"/>
    <w:rsid w:val="00A7667F"/>
    <w:rsid w:val="00A77589"/>
    <w:rsid w:val="00A7791B"/>
    <w:rsid w:val="00A8048B"/>
    <w:rsid w:val="00A80611"/>
    <w:rsid w:val="00A8212C"/>
    <w:rsid w:val="00A844A8"/>
    <w:rsid w:val="00A86646"/>
    <w:rsid w:val="00A92CAF"/>
    <w:rsid w:val="00A9452C"/>
    <w:rsid w:val="00A95859"/>
    <w:rsid w:val="00A95B17"/>
    <w:rsid w:val="00AA211D"/>
    <w:rsid w:val="00AA23BC"/>
    <w:rsid w:val="00AA30F5"/>
    <w:rsid w:val="00AA4ACA"/>
    <w:rsid w:val="00AB131A"/>
    <w:rsid w:val="00AB2DB7"/>
    <w:rsid w:val="00AB3094"/>
    <w:rsid w:val="00AB5340"/>
    <w:rsid w:val="00AB6BE8"/>
    <w:rsid w:val="00AB703C"/>
    <w:rsid w:val="00AC065C"/>
    <w:rsid w:val="00AC0A89"/>
    <w:rsid w:val="00AC34D1"/>
    <w:rsid w:val="00AC400E"/>
    <w:rsid w:val="00AC7C96"/>
    <w:rsid w:val="00AD26F7"/>
    <w:rsid w:val="00AD4AC4"/>
    <w:rsid w:val="00AD61CE"/>
    <w:rsid w:val="00AD717C"/>
    <w:rsid w:val="00AE02A9"/>
    <w:rsid w:val="00AE131E"/>
    <w:rsid w:val="00AE237D"/>
    <w:rsid w:val="00AE2872"/>
    <w:rsid w:val="00AE2EC4"/>
    <w:rsid w:val="00AE4D81"/>
    <w:rsid w:val="00AE502A"/>
    <w:rsid w:val="00AE5C8B"/>
    <w:rsid w:val="00AE5F69"/>
    <w:rsid w:val="00AE6E8B"/>
    <w:rsid w:val="00AF0EF2"/>
    <w:rsid w:val="00AF17BD"/>
    <w:rsid w:val="00AF1D28"/>
    <w:rsid w:val="00AF3C94"/>
    <w:rsid w:val="00AF4A5F"/>
    <w:rsid w:val="00AF56F4"/>
    <w:rsid w:val="00AF7C07"/>
    <w:rsid w:val="00B0012C"/>
    <w:rsid w:val="00B0026B"/>
    <w:rsid w:val="00B01DC6"/>
    <w:rsid w:val="00B04632"/>
    <w:rsid w:val="00B06C64"/>
    <w:rsid w:val="00B10593"/>
    <w:rsid w:val="00B10CD4"/>
    <w:rsid w:val="00B11CAC"/>
    <w:rsid w:val="00B14D01"/>
    <w:rsid w:val="00B163D7"/>
    <w:rsid w:val="00B164E5"/>
    <w:rsid w:val="00B1671D"/>
    <w:rsid w:val="00B16CB3"/>
    <w:rsid w:val="00B1758D"/>
    <w:rsid w:val="00B1765B"/>
    <w:rsid w:val="00B17A3B"/>
    <w:rsid w:val="00B21227"/>
    <w:rsid w:val="00B22C93"/>
    <w:rsid w:val="00B23598"/>
    <w:rsid w:val="00B24AE9"/>
    <w:rsid w:val="00B24C91"/>
    <w:rsid w:val="00B26D6B"/>
    <w:rsid w:val="00B27589"/>
    <w:rsid w:val="00B27DFB"/>
    <w:rsid w:val="00B27E7F"/>
    <w:rsid w:val="00B30372"/>
    <w:rsid w:val="00B30A5E"/>
    <w:rsid w:val="00B32742"/>
    <w:rsid w:val="00B3443F"/>
    <w:rsid w:val="00B37354"/>
    <w:rsid w:val="00B37A47"/>
    <w:rsid w:val="00B405B7"/>
    <w:rsid w:val="00B434A8"/>
    <w:rsid w:val="00B4372E"/>
    <w:rsid w:val="00B43DC1"/>
    <w:rsid w:val="00B43E9E"/>
    <w:rsid w:val="00B446BA"/>
    <w:rsid w:val="00B45BFD"/>
    <w:rsid w:val="00B46619"/>
    <w:rsid w:val="00B46758"/>
    <w:rsid w:val="00B46E2F"/>
    <w:rsid w:val="00B47176"/>
    <w:rsid w:val="00B50A1C"/>
    <w:rsid w:val="00B510C1"/>
    <w:rsid w:val="00B52222"/>
    <w:rsid w:val="00B52423"/>
    <w:rsid w:val="00B52452"/>
    <w:rsid w:val="00B531DA"/>
    <w:rsid w:val="00B53389"/>
    <w:rsid w:val="00B5382D"/>
    <w:rsid w:val="00B54895"/>
    <w:rsid w:val="00B54FE7"/>
    <w:rsid w:val="00B55D91"/>
    <w:rsid w:val="00B56D5E"/>
    <w:rsid w:val="00B57CA6"/>
    <w:rsid w:val="00B61128"/>
    <w:rsid w:val="00B62478"/>
    <w:rsid w:val="00B647C6"/>
    <w:rsid w:val="00B65981"/>
    <w:rsid w:val="00B66901"/>
    <w:rsid w:val="00B66BDB"/>
    <w:rsid w:val="00B71E6D"/>
    <w:rsid w:val="00B72070"/>
    <w:rsid w:val="00B751DD"/>
    <w:rsid w:val="00B758F3"/>
    <w:rsid w:val="00B77857"/>
    <w:rsid w:val="00B779E1"/>
    <w:rsid w:val="00B815CC"/>
    <w:rsid w:val="00B87E03"/>
    <w:rsid w:val="00B91C44"/>
    <w:rsid w:val="00B91EE1"/>
    <w:rsid w:val="00B91FD7"/>
    <w:rsid w:val="00B92DBE"/>
    <w:rsid w:val="00B97EC3"/>
    <w:rsid w:val="00BA0090"/>
    <w:rsid w:val="00BA1A67"/>
    <w:rsid w:val="00BA460A"/>
    <w:rsid w:val="00BA57C1"/>
    <w:rsid w:val="00BB045D"/>
    <w:rsid w:val="00BB0490"/>
    <w:rsid w:val="00BB17CD"/>
    <w:rsid w:val="00BB1897"/>
    <w:rsid w:val="00BB1C23"/>
    <w:rsid w:val="00BB37B4"/>
    <w:rsid w:val="00BB4218"/>
    <w:rsid w:val="00BB471B"/>
    <w:rsid w:val="00BB72E8"/>
    <w:rsid w:val="00BC0C92"/>
    <w:rsid w:val="00BC39C1"/>
    <w:rsid w:val="00BC3A8F"/>
    <w:rsid w:val="00BC72C2"/>
    <w:rsid w:val="00BD088D"/>
    <w:rsid w:val="00BD1C4A"/>
    <w:rsid w:val="00BD1FE1"/>
    <w:rsid w:val="00BD3C45"/>
    <w:rsid w:val="00BD3F80"/>
    <w:rsid w:val="00BD3FBC"/>
    <w:rsid w:val="00BD615C"/>
    <w:rsid w:val="00BE0AE5"/>
    <w:rsid w:val="00BE0ECF"/>
    <w:rsid w:val="00BE1DBF"/>
    <w:rsid w:val="00BE3213"/>
    <w:rsid w:val="00BE3945"/>
    <w:rsid w:val="00BE5B5F"/>
    <w:rsid w:val="00BE68BD"/>
    <w:rsid w:val="00BF0849"/>
    <w:rsid w:val="00BF5961"/>
    <w:rsid w:val="00C0027A"/>
    <w:rsid w:val="00C00AD0"/>
    <w:rsid w:val="00C03F3E"/>
    <w:rsid w:val="00C044D8"/>
    <w:rsid w:val="00C05511"/>
    <w:rsid w:val="00C05740"/>
    <w:rsid w:val="00C06644"/>
    <w:rsid w:val="00C078AF"/>
    <w:rsid w:val="00C10257"/>
    <w:rsid w:val="00C119C1"/>
    <w:rsid w:val="00C11ED2"/>
    <w:rsid w:val="00C165B2"/>
    <w:rsid w:val="00C167DC"/>
    <w:rsid w:val="00C17D16"/>
    <w:rsid w:val="00C17F51"/>
    <w:rsid w:val="00C26D14"/>
    <w:rsid w:val="00C26F55"/>
    <w:rsid w:val="00C27032"/>
    <w:rsid w:val="00C30C63"/>
    <w:rsid w:val="00C31269"/>
    <w:rsid w:val="00C32DAC"/>
    <w:rsid w:val="00C3621B"/>
    <w:rsid w:val="00C36B8B"/>
    <w:rsid w:val="00C40330"/>
    <w:rsid w:val="00C40A8E"/>
    <w:rsid w:val="00C40D7C"/>
    <w:rsid w:val="00C41321"/>
    <w:rsid w:val="00C415C1"/>
    <w:rsid w:val="00C44455"/>
    <w:rsid w:val="00C44DD3"/>
    <w:rsid w:val="00C45613"/>
    <w:rsid w:val="00C47255"/>
    <w:rsid w:val="00C47DBF"/>
    <w:rsid w:val="00C5040E"/>
    <w:rsid w:val="00C533C0"/>
    <w:rsid w:val="00C552FF"/>
    <w:rsid w:val="00C558DA"/>
    <w:rsid w:val="00C55AF3"/>
    <w:rsid w:val="00C56E53"/>
    <w:rsid w:val="00C5723D"/>
    <w:rsid w:val="00C57875"/>
    <w:rsid w:val="00C60492"/>
    <w:rsid w:val="00C611F5"/>
    <w:rsid w:val="00C61C52"/>
    <w:rsid w:val="00C62673"/>
    <w:rsid w:val="00C70D4C"/>
    <w:rsid w:val="00C71198"/>
    <w:rsid w:val="00C716DF"/>
    <w:rsid w:val="00C74607"/>
    <w:rsid w:val="00C757DF"/>
    <w:rsid w:val="00C7635D"/>
    <w:rsid w:val="00C767B5"/>
    <w:rsid w:val="00C76B14"/>
    <w:rsid w:val="00C76FC9"/>
    <w:rsid w:val="00C80636"/>
    <w:rsid w:val="00C815BB"/>
    <w:rsid w:val="00C84759"/>
    <w:rsid w:val="00C84963"/>
    <w:rsid w:val="00C871AB"/>
    <w:rsid w:val="00C909A4"/>
    <w:rsid w:val="00C912D9"/>
    <w:rsid w:val="00C91832"/>
    <w:rsid w:val="00C92482"/>
    <w:rsid w:val="00C930FC"/>
    <w:rsid w:val="00C93572"/>
    <w:rsid w:val="00C944E4"/>
    <w:rsid w:val="00C94897"/>
    <w:rsid w:val="00C96CCA"/>
    <w:rsid w:val="00CA083B"/>
    <w:rsid w:val="00CA0CEA"/>
    <w:rsid w:val="00CA16EA"/>
    <w:rsid w:val="00CA3CD1"/>
    <w:rsid w:val="00CA41EC"/>
    <w:rsid w:val="00CA5600"/>
    <w:rsid w:val="00CA561D"/>
    <w:rsid w:val="00CA5CA9"/>
    <w:rsid w:val="00CA6C7F"/>
    <w:rsid w:val="00CA6E36"/>
    <w:rsid w:val="00CA7660"/>
    <w:rsid w:val="00CA7C77"/>
    <w:rsid w:val="00CB087F"/>
    <w:rsid w:val="00CB0A42"/>
    <w:rsid w:val="00CB0BAE"/>
    <w:rsid w:val="00CB7890"/>
    <w:rsid w:val="00CC08C3"/>
    <w:rsid w:val="00CC10A6"/>
    <w:rsid w:val="00CC248C"/>
    <w:rsid w:val="00CC3A86"/>
    <w:rsid w:val="00CC5AF9"/>
    <w:rsid w:val="00CC7232"/>
    <w:rsid w:val="00CC766A"/>
    <w:rsid w:val="00CD054C"/>
    <w:rsid w:val="00CD1498"/>
    <w:rsid w:val="00CD3AFA"/>
    <w:rsid w:val="00CD4524"/>
    <w:rsid w:val="00CD4FAB"/>
    <w:rsid w:val="00CD52E0"/>
    <w:rsid w:val="00CD5338"/>
    <w:rsid w:val="00CD5583"/>
    <w:rsid w:val="00CD5EB8"/>
    <w:rsid w:val="00CD7044"/>
    <w:rsid w:val="00CD7766"/>
    <w:rsid w:val="00CD7BA2"/>
    <w:rsid w:val="00CE08B9"/>
    <w:rsid w:val="00CE0D9D"/>
    <w:rsid w:val="00CE1B6B"/>
    <w:rsid w:val="00CE1FD8"/>
    <w:rsid w:val="00CE29D4"/>
    <w:rsid w:val="00CE369D"/>
    <w:rsid w:val="00CE524C"/>
    <w:rsid w:val="00CE7044"/>
    <w:rsid w:val="00CF0C5A"/>
    <w:rsid w:val="00CF1046"/>
    <w:rsid w:val="00CF141F"/>
    <w:rsid w:val="00CF17AD"/>
    <w:rsid w:val="00CF2A1B"/>
    <w:rsid w:val="00CF4777"/>
    <w:rsid w:val="00CF5691"/>
    <w:rsid w:val="00CF6A1E"/>
    <w:rsid w:val="00D01B80"/>
    <w:rsid w:val="00D020F9"/>
    <w:rsid w:val="00D02E60"/>
    <w:rsid w:val="00D03917"/>
    <w:rsid w:val="00D03AFE"/>
    <w:rsid w:val="00D0445D"/>
    <w:rsid w:val="00D067BB"/>
    <w:rsid w:val="00D06D21"/>
    <w:rsid w:val="00D107F1"/>
    <w:rsid w:val="00D1352A"/>
    <w:rsid w:val="00D1449E"/>
    <w:rsid w:val="00D14DAD"/>
    <w:rsid w:val="00D169AF"/>
    <w:rsid w:val="00D16CB3"/>
    <w:rsid w:val="00D20071"/>
    <w:rsid w:val="00D20C01"/>
    <w:rsid w:val="00D215D1"/>
    <w:rsid w:val="00D2186E"/>
    <w:rsid w:val="00D22839"/>
    <w:rsid w:val="00D22AD6"/>
    <w:rsid w:val="00D24526"/>
    <w:rsid w:val="00D25249"/>
    <w:rsid w:val="00D265B7"/>
    <w:rsid w:val="00D27902"/>
    <w:rsid w:val="00D32EF6"/>
    <w:rsid w:val="00D34B24"/>
    <w:rsid w:val="00D37CDC"/>
    <w:rsid w:val="00D41766"/>
    <w:rsid w:val="00D41D06"/>
    <w:rsid w:val="00D424C5"/>
    <w:rsid w:val="00D431B9"/>
    <w:rsid w:val="00D43505"/>
    <w:rsid w:val="00D44172"/>
    <w:rsid w:val="00D446F1"/>
    <w:rsid w:val="00D44AF3"/>
    <w:rsid w:val="00D45FFB"/>
    <w:rsid w:val="00D47106"/>
    <w:rsid w:val="00D51F34"/>
    <w:rsid w:val="00D537D7"/>
    <w:rsid w:val="00D54908"/>
    <w:rsid w:val="00D54CF5"/>
    <w:rsid w:val="00D55FC1"/>
    <w:rsid w:val="00D617FC"/>
    <w:rsid w:val="00D61D05"/>
    <w:rsid w:val="00D62B2C"/>
    <w:rsid w:val="00D62BA0"/>
    <w:rsid w:val="00D63B8C"/>
    <w:rsid w:val="00D63D45"/>
    <w:rsid w:val="00D64993"/>
    <w:rsid w:val="00D6757F"/>
    <w:rsid w:val="00D67AEC"/>
    <w:rsid w:val="00D70AE2"/>
    <w:rsid w:val="00D739CC"/>
    <w:rsid w:val="00D7406F"/>
    <w:rsid w:val="00D742C9"/>
    <w:rsid w:val="00D767E9"/>
    <w:rsid w:val="00D8093D"/>
    <w:rsid w:val="00D80C86"/>
    <w:rsid w:val="00D8108C"/>
    <w:rsid w:val="00D81315"/>
    <w:rsid w:val="00D82623"/>
    <w:rsid w:val="00D842AE"/>
    <w:rsid w:val="00D86E78"/>
    <w:rsid w:val="00D87B7D"/>
    <w:rsid w:val="00D87BBD"/>
    <w:rsid w:val="00D903C8"/>
    <w:rsid w:val="00D91DE3"/>
    <w:rsid w:val="00D9211C"/>
    <w:rsid w:val="00D92DE0"/>
    <w:rsid w:val="00D92FEF"/>
    <w:rsid w:val="00D93A0F"/>
    <w:rsid w:val="00D9537D"/>
    <w:rsid w:val="00D958F1"/>
    <w:rsid w:val="00D95B4E"/>
    <w:rsid w:val="00DA1806"/>
    <w:rsid w:val="00DA1BCA"/>
    <w:rsid w:val="00DA298B"/>
    <w:rsid w:val="00DA2B41"/>
    <w:rsid w:val="00DA2C1B"/>
    <w:rsid w:val="00DA314F"/>
    <w:rsid w:val="00DA4E09"/>
    <w:rsid w:val="00DA67E2"/>
    <w:rsid w:val="00DA6EBC"/>
    <w:rsid w:val="00DB19B4"/>
    <w:rsid w:val="00DB267F"/>
    <w:rsid w:val="00DB4140"/>
    <w:rsid w:val="00DB5CF3"/>
    <w:rsid w:val="00DB5EA2"/>
    <w:rsid w:val="00DC0D6D"/>
    <w:rsid w:val="00DC29A1"/>
    <w:rsid w:val="00DC2FBC"/>
    <w:rsid w:val="00DC46FF"/>
    <w:rsid w:val="00DC4FB0"/>
    <w:rsid w:val="00DC5254"/>
    <w:rsid w:val="00DC569D"/>
    <w:rsid w:val="00DC57E3"/>
    <w:rsid w:val="00DC6DBA"/>
    <w:rsid w:val="00DD0E22"/>
    <w:rsid w:val="00DD1A4F"/>
    <w:rsid w:val="00DD2083"/>
    <w:rsid w:val="00DD30B7"/>
    <w:rsid w:val="00DD3107"/>
    <w:rsid w:val="00DD7C2C"/>
    <w:rsid w:val="00DE04F8"/>
    <w:rsid w:val="00DE130E"/>
    <w:rsid w:val="00DE3181"/>
    <w:rsid w:val="00DE4C90"/>
    <w:rsid w:val="00DE5537"/>
    <w:rsid w:val="00DE6B15"/>
    <w:rsid w:val="00DF05C9"/>
    <w:rsid w:val="00DF23E4"/>
    <w:rsid w:val="00DF2D8B"/>
    <w:rsid w:val="00E0035A"/>
    <w:rsid w:val="00E02566"/>
    <w:rsid w:val="00E02F17"/>
    <w:rsid w:val="00E0340C"/>
    <w:rsid w:val="00E03999"/>
    <w:rsid w:val="00E03BC2"/>
    <w:rsid w:val="00E04192"/>
    <w:rsid w:val="00E04933"/>
    <w:rsid w:val="00E06797"/>
    <w:rsid w:val="00E06A00"/>
    <w:rsid w:val="00E1053F"/>
    <w:rsid w:val="00E11D51"/>
    <w:rsid w:val="00E1265B"/>
    <w:rsid w:val="00E13B48"/>
    <w:rsid w:val="00E1404F"/>
    <w:rsid w:val="00E148D6"/>
    <w:rsid w:val="00E17213"/>
    <w:rsid w:val="00E20838"/>
    <w:rsid w:val="00E21C83"/>
    <w:rsid w:val="00E22F8B"/>
    <w:rsid w:val="00E233D2"/>
    <w:rsid w:val="00E2390A"/>
    <w:rsid w:val="00E24007"/>
    <w:rsid w:val="00E24ADA"/>
    <w:rsid w:val="00E27005"/>
    <w:rsid w:val="00E279E5"/>
    <w:rsid w:val="00E27B95"/>
    <w:rsid w:val="00E307E6"/>
    <w:rsid w:val="00E308CE"/>
    <w:rsid w:val="00E317CD"/>
    <w:rsid w:val="00E32F59"/>
    <w:rsid w:val="00E35AC2"/>
    <w:rsid w:val="00E40EA3"/>
    <w:rsid w:val="00E44C39"/>
    <w:rsid w:val="00E4676B"/>
    <w:rsid w:val="00E46D9A"/>
    <w:rsid w:val="00E504D9"/>
    <w:rsid w:val="00E509F7"/>
    <w:rsid w:val="00E5168E"/>
    <w:rsid w:val="00E52ED6"/>
    <w:rsid w:val="00E54474"/>
    <w:rsid w:val="00E55B9F"/>
    <w:rsid w:val="00E565FF"/>
    <w:rsid w:val="00E573F4"/>
    <w:rsid w:val="00E60AA4"/>
    <w:rsid w:val="00E60E67"/>
    <w:rsid w:val="00E61D6B"/>
    <w:rsid w:val="00E64497"/>
    <w:rsid w:val="00E65388"/>
    <w:rsid w:val="00E65A6E"/>
    <w:rsid w:val="00E65E9B"/>
    <w:rsid w:val="00E6724B"/>
    <w:rsid w:val="00E677AD"/>
    <w:rsid w:val="00E67E4E"/>
    <w:rsid w:val="00E70DFE"/>
    <w:rsid w:val="00E70F96"/>
    <w:rsid w:val="00E7353B"/>
    <w:rsid w:val="00E74E08"/>
    <w:rsid w:val="00E75C56"/>
    <w:rsid w:val="00E761D8"/>
    <w:rsid w:val="00E76CD8"/>
    <w:rsid w:val="00E8352B"/>
    <w:rsid w:val="00E84359"/>
    <w:rsid w:val="00E85B7D"/>
    <w:rsid w:val="00E86A58"/>
    <w:rsid w:val="00E87D52"/>
    <w:rsid w:val="00E9121B"/>
    <w:rsid w:val="00E938B0"/>
    <w:rsid w:val="00E93D43"/>
    <w:rsid w:val="00EA0AE2"/>
    <w:rsid w:val="00EA115F"/>
    <w:rsid w:val="00EA28DB"/>
    <w:rsid w:val="00EA39E5"/>
    <w:rsid w:val="00EA42F7"/>
    <w:rsid w:val="00EA57C5"/>
    <w:rsid w:val="00EA66D8"/>
    <w:rsid w:val="00EB0973"/>
    <w:rsid w:val="00EB3730"/>
    <w:rsid w:val="00EB44AC"/>
    <w:rsid w:val="00EB5A54"/>
    <w:rsid w:val="00EB66CA"/>
    <w:rsid w:val="00EB6E9E"/>
    <w:rsid w:val="00EC079C"/>
    <w:rsid w:val="00EC2813"/>
    <w:rsid w:val="00EC4C0F"/>
    <w:rsid w:val="00EC4D6C"/>
    <w:rsid w:val="00EC5845"/>
    <w:rsid w:val="00EC5A46"/>
    <w:rsid w:val="00EC63E2"/>
    <w:rsid w:val="00EC74DE"/>
    <w:rsid w:val="00ED2732"/>
    <w:rsid w:val="00ED366A"/>
    <w:rsid w:val="00ED3B71"/>
    <w:rsid w:val="00ED76CF"/>
    <w:rsid w:val="00EE0CDC"/>
    <w:rsid w:val="00EE1335"/>
    <w:rsid w:val="00EE49A2"/>
    <w:rsid w:val="00EE5064"/>
    <w:rsid w:val="00EE76DF"/>
    <w:rsid w:val="00EF22B3"/>
    <w:rsid w:val="00EF3767"/>
    <w:rsid w:val="00EF3F60"/>
    <w:rsid w:val="00EF4241"/>
    <w:rsid w:val="00EF52CB"/>
    <w:rsid w:val="00EF590A"/>
    <w:rsid w:val="00EF5A7B"/>
    <w:rsid w:val="00F0312F"/>
    <w:rsid w:val="00F037F3"/>
    <w:rsid w:val="00F03B69"/>
    <w:rsid w:val="00F0509D"/>
    <w:rsid w:val="00F0517D"/>
    <w:rsid w:val="00F07A50"/>
    <w:rsid w:val="00F07D76"/>
    <w:rsid w:val="00F109E1"/>
    <w:rsid w:val="00F113DA"/>
    <w:rsid w:val="00F121E6"/>
    <w:rsid w:val="00F13B2C"/>
    <w:rsid w:val="00F15F2C"/>
    <w:rsid w:val="00F15F78"/>
    <w:rsid w:val="00F1770D"/>
    <w:rsid w:val="00F23053"/>
    <w:rsid w:val="00F23AD7"/>
    <w:rsid w:val="00F25401"/>
    <w:rsid w:val="00F254E5"/>
    <w:rsid w:val="00F25CD7"/>
    <w:rsid w:val="00F260AC"/>
    <w:rsid w:val="00F2690F"/>
    <w:rsid w:val="00F275A5"/>
    <w:rsid w:val="00F3001B"/>
    <w:rsid w:val="00F30805"/>
    <w:rsid w:val="00F31587"/>
    <w:rsid w:val="00F31904"/>
    <w:rsid w:val="00F3465A"/>
    <w:rsid w:val="00F346D7"/>
    <w:rsid w:val="00F37DC8"/>
    <w:rsid w:val="00F41EBA"/>
    <w:rsid w:val="00F439B3"/>
    <w:rsid w:val="00F43BDA"/>
    <w:rsid w:val="00F45120"/>
    <w:rsid w:val="00F45DDA"/>
    <w:rsid w:val="00F46ADD"/>
    <w:rsid w:val="00F46EA4"/>
    <w:rsid w:val="00F47740"/>
    <w:rsid w:val="00F5014A"/>
    <w:rsid w:val="00F5021A"/>
    <w:rsid w:val="00F53146"/>
    <w:rsid w:val="00F54196"/>
    <w:rsid w:val="00F60A23"/>
    <w:rsid w:val="00F650C3"/>
    <w:rsid w:val="00F65C7C"/>
    <w:rsid w:val="00F65D85"/>
    <w:rsid w:val="00F65F5D"/>
    <w:rsid w:val="00F66DB0"/>
    <w:rsid w:val="00F67B3F"/>
    <w:rsid w:val="00F67BB3"/>
    <w:rsid w:val="00F705EF"/>
    <w:rsid w:val="00F71727"/>
    <w:rsid w:val="00F732D7"/>
    <w:rsid w:val="00F738E5"/>
    <w:rsid w:val="00F73B68"/>
    <w:rsid w:val="00F744B3"/>
    <w:rsid w:val="00F74705"/>
    <w:rsid w:val="00F7773A"/>
    <w:rsid w:val="00F77D8A"/>
    <w:rsid w:val="00F806FF"/>
    <w:rsid w:val="00F8091E"/>
    <w:rsid w:val="00F81043"/>
    <w:rsid w:val="00F85F48"/>
    <w:rsid w:val="00F8615C"/>
    <w:rsid w:val="00F86329"/>
    <w:rsid w:val="00F873F2"/>
    <w:rsid w:val="00F90264"/>
    <w:rsid w:val="00F90C24"/>
    <w:rsid w:val="00F90F23"/>
    <w:rsid w:val="00F91577"/>
    <w:rsid w:val="00F9157F"/>
    <w:rsid w:val="00F9339C"/>
    <w:rsid w:val="00F94FEC"/>
    <w:rsid w:val="00F95818"/>
    <w:rsid w:val="00F95A14"/>
    <w:rsid w:val="00F962CF"/>
    <w:rsid w:val="00F969E5"/>
    <w:rsid w:val="00FA1B3B"/>
    <w:rsid w:val="00FA3664"/>
    <w:rsid w:val="00FA5049"/>
    <w:rsid w:val="00FA6BB0"/>
    <w:rsid w:val="00FA7F24"/>
    <w:rsid w:val="00FB07BA"/>
    <w:rsid w:val="00FB0ED5"/>
    <w:rsid w:val="00FB3B4B"/>
    <w:rsid w:val="00FB592F"/>
    <w:rsid w:val="00FB70BB"/>
    <w:rsid w:val="00FB7891"/>
    <w:rsid w:val="00FC0E94"/>
    <w:rsid w:val="00FC1D14"/>
    <w:rsid w:val="00FC35A0"/>
    <w:rsid w:val="00FC3DC8"/>
    <w:rsid w:val="00FC4029"/>
    <w:rsid w:val="00FC5BD2"/>
    <w:rsid w:val="00FC6B61"/>
    <w:rsid w:val="00FD041E"/>
    <w:rsid w:val="00FD06AC"/>
    <w:rsid w:val="00FD1BC2"/>
    <w:rsid w:val="00FD1E72"/>
    <w:rsid w:val="00FD211D"/>
    <w:rsid w:val="00FD5860"/>
    <w:rsid w:val="00FE0C3E"/>
    <w:rsid w:val="00FE0F46"/>
    <w:rsid w:val="00FE1AD4"/>
    <w:rsid w:val="00FE1B06"/>
    <w:rsid w:val="00FE352D"/>
    <w:rsid w:val="00FE40EB"/>
    <w:rsid w:val="00FE4661"/>
    <w:rsid w:val="00FE4D02"/>
    <w:rsid w:val="00FE634A"/>
    <w:rsid w:val="00FE7D62"/>
    <w:rsid w:val="00FF0E77"/>
    <w:rsid w:val="00FF27A7"/>
    <w:rsid w:val="00FF2BB4"/>
    <w:rsid w:val="00FF3819"/>
    <w:rsid w:val="00FF588E"/>
    <w:rsid w:val="00FF5ACC"/>
    <w:rsid w:val="00FF5AD4"/>
    <w:rsid w:val="00FF690E"/>
    <w:rsid w:val="00FF6B71"/>
    <w:rsid w:val="00FF7E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E4E"/>
    <w:pPr>
      <w:tabs>
        <w:tab w:val="left" w:pos="1247"/>
        <w:tab w:val="left" w:pos="1814"/>
        <w:tab w:val="left" w:pos="2381"/>
        <w:tab w:val="left" w:pos="2948"/>
        <w:tab w:val="left" w:pos="3515"/>
      </w:tabs>
    </w:pPr>
    <w:rPr>
      <w:lang w:val="en-GB"/>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F2E41"/>
    <w:pPr>
      <w:spacing w:after="120"/>
      <w:ind w:left="1247" w:hanging="680"/>
      <w:outlineLvl w:val="2"/>
    </w:pPr>
    <w:rPr>
      <w:u w:val="single"/>
    </w:rPr>
  </w:style>
  <w:style w:type="paragraph" w:styleId="Heading4">
    <w:name w:val="heading 4"/>
    <w:basedOn w:val="Heading3"/>
    <w:next w:val="Normalnumber"/>
    <w:qFormat/>
    <w:rsid w:val="002A3941"/>
    <w:pPr>
      <w:keepNext/>
      <w:outlineLvl w:val="3"/>
    </w:pPr>
    <w:rPr>
      <w:b/>
    </w:r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uiPriority w:val="99"/>
    <w:semiHidden/>
    <w:rsid w:val="000D6941"/>
    <w:rPr>
      <w:rFonts w:ascii="Times New Roman" w:hAnsi="Times New Roman"/>
      <w:color w:val="auto"/>
      <w:sz w:val="20"/>
      <w:szCs w:val="18"/>
      <w:vertAlign w:val="superscript"/>
    </w:rPr>
  </w:style>
  <w:style w:type="paragraph" w:styleId="FootnoteText">
    <w:name w:val="footnote text"/>
    <w:basedOn w:val="Normalpool"/>
    <w:link w:val="FootnoteTextChar"/>
    <w:uiPriority w:val="99"/>
    <w:semiHidden/>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Symbol" w:hAnsi="Symbol"/>
        <w:b/>
        <w:i w:val="0"/>
        <w:caps/>
        <w:smallCaps w:val="0"/>
        <w:color w:val="auto"/>
        <w:sz w:val="27"/>
        <w:szCs w:val="27"/>
      </w:rPr>
    </w:tblStylePr>
    <w:tblStylePr w:type="lastRow">
      <w:pPr>
        <w:wordWrap/>
        <w:spacing w:afterLines="0" w:afterAutospacing="0"/>
        <w:ind w:rightChars="0" w:right="567"/>
      </w:pPr>
      <w:rPr>
        <w:rFonts w:ascii="Symbol" w:hAnsi="Symbo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Symbol" w:hAnsi="Symbol"/>
        <w:b/>
        <w:i w:val="0"/>
        <w:color w:val="auto"/>
        <w:sz w:val="64"/>
        <w:szCs w:val="64"/>
      </w:rPr>
    </w:tblStylePr>
    <w:tblStylePr w:type="nwCell">
      <w:rPr>
        <w:rFonts w:ascii="Symbol" w:hAnsi="Symbo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136CF"/>
    <w:pPr>
      <w:numPr>
        <w:numId w:val="4"/>
      </w:numPr>
      <w:tabs>
        <w:tab w:val="clear" w:pos="1814"/>
        <w:tab w:val="clear" w:pos="2381"/>
        <w:tab w:val="clear" w:pos="2948"/>
        <w:tab w:val="clear" w:pos="3515"/>
        <w:tab w:val="clear" w:pos="4082"/>
        <w:tab w:val="clear" w:pos="6516"/>
        <w:tab w:val="left" w:pos="624"/>
        <w:tab w:val="left" w:pos="1871"/>
      </w:tabs>
      <w:spacing w:after="120"/>
      <w:ind w:left="1247"/>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Caption">
    <w:name w:val="caption"/>
    <w:basedOn w:val="Normal"/>
    <w:next w:val="Normal"/>
    <w:qFormat/>
    <w:rsid w:val="00DF05C9"/>
    <w:pPr>
      <w:widowControl w:val="0"/>
      <w:tabs>
        <w:tab w:val="clear" w:pos="1247"/>
        <w:tab w:val="clear" w:pos="1814"/>
        <w:tab w:val="clear" w:pos="2381"/>
        <w:tab w:val="clear" w:pos="2948"/>
        <w:tab w:val="clear" w:pos="3515"/>
      </w:tabs>
    </w:pPr>
    <w:rPr>
      <w:snapToGrid w:val="0"/>
      <w:sz w:val="24"/>
    </w:rPr>
  </w:style>
  <w:style w:type="character" w:customStyle="1" w:styleId="CH3Char">
    <w:name w:val="CH3 Char"/>
    <w:link w:val="CH3"/>
    <w:rsid w:val="00DF05C9"/>
    <w:rPr>
      <w:b/>
      <w:lang w:eastAsia="en-US"/>
    </w:rPr>
  </w:style>
  <w:style w:type="character" w:customStyle="1" w:styleId="FootnoteTextChar">
    <w:name w:val="Footnote Text Char"/>
    <w:link w:val="FootnoteText"/>
    <w:uiPriority w:val="99"/>
    <w:semiHidden/>
    <w:rsid w:val="00DF05C9"/>
    <w:rPr>
      <w:sz w:val="18"/>
      <w:lang w:val="fr-FR" w:eastAsia="en-US"/>
    </w:rPr>
  </w:style>
  <w:style w:type="paragraph" w:customStyle="1" w:styleId="Style10ptLeft043Firstline043After6pt">
    <w:name w:val="Style 10 pt Left:  0.43&quot; First line:  0.43&quot; After:  6 pt"/>
    <w:basedOn w:val="Normal"/>
    <w:uiPriority w:val="99"/>
    <w:rsid w:val="00DF05C9"/>
    <w:pPr>
      <w:tabs>
        <w:tab w:val="clear" w:pos="1247"/>
        <w:tab w:val="clear" w:pos="1814"/>
        <w:tab w:val="clear" w:pos="2381"/>
        <w:tab w:val="clear" w:pos="2948"/>
        <w:tab w:val="clear" w:pos="3515"/>
      </w:tabs>
      <w:spacing w:after="120"/>
      <w:ind w:left="1260" w:hanging="17"/>
    </w:pPr>
    <w:rPr>
      <w:sz w:val="24"/>
    </w:rPr>
  </w:style>
  <w:style w:type="paragraph" w:styleId="BodyTextIndent">
    <w:name w:val="Body Text Indent"/>
    <w:basedOn w:val="Normal"/>
    <w:link w:val="BodyTextIndentChar"/>
    <w:rsid w:val="00DF05C9"/>
    <w:pPr>
      <w:tabs>
        <w:tab w:val="clear" w:pos="1247"/>
        <w:tab w:val="clear" w:pos="1814"/>
        <w:tab w:val="clear" w:pos="2381"/>
        <w:tab w:val="clear" w:pos="2948"/>
        <w:tab w:val="clear" w:pos="3515"/>
      </w:tabs>
      <w:spacing w:after="120"/>
      <w:ind w:left="360"/>
    </w:pPr>
    <w:rPr>
      <w:sz w:val="24"/>
    </w:rPr>
  </w:style>
  <w:style w:type="character" w:customStyle="1" w:styleId="BodyTextIndentChar">
    <w:name w:val="Body Text Indent Char"/>
    <w:link w:val="BodyTextIndent"/>
    <w:rsid w:val="00DF05C9"/>
    <w:rPr>
      <w:sz w:val="24"/>
      <w:lang w:eastAsia="en-US"/>
    </w:rPr>
  </w:style>
  <w:style w:type="character" w:customStyle="1" w:styleId="CH2Char">
    <w:name w:val="CH2 Char"/>
    <w:link w:val="CH2"/>
    <w:rsid w:val="00DF05C9"/>
    <w:rPr>
      <w:b/>
      <w:sz w:val="24"/>
      <w:szCs w:val="24"/>
      <w:lang w:eastAsia="en-US"/>
    </w:rPr>
  </w:style>
  <w:style w:type="character" w:customStyle="1" w:styleId="ZZAnxtitleChar">
    <w:name w:val="ZZ_Anx_title Char"/>
    <w:link w:val="ZZAnxtitle"/>
    <w:rsid w:val="00DF05C9"/>
    <w:rPr>
      <w:b/>
      <w:bCs/>
      <w:sz w:val="28"/>
      <w:szCs w:val="26"/>
      <w:lang w:eastAsia="en-US"/>
    </w:rPr>
  </w:style>
  <w:style w:type="paragraph" w:customStyle="1" w:styleId="Default">
    <w:name w:val="Default"/>
    <w:rsid w:val="00960460"/>
    <w:pPr>
      <w:autoSpaceDE w:val="0"/>
      <w:autoSpaceDN w:val="0"/>
      <w:adjustRightInd w:val="0"/>
    </w:pPr>
    <w:rPr>
      <w:color w:val="000000"/>
      <w:sz w:val="24"/>
      <w:szCs w:val="24"/>
      <w:lang w:val="en-GB" w:eastAsia="zh-CN"/>
    </w:rPr>
  </w:style>
  <w:style w:type="table" w:styleId="TableGrid">
    <w:name w:val="Table Grid"/>
    <w:basedOn w:val="TableNormal"/>
    <w:uiPriority w:val="59"/>
    <w:rsid w:val="002E4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71"/>
    <w:rsid w:val="00817E03"/>
    <w:rPr>
      <w:lang w:val="en-GB"/>
    </w:rPr>
  </w:style>
  <w:style w:type="character" w:customStyle="1" w:styleId="Normal-poolChar">
    <w:name w:val="Normal-pool Char"/>
    <w:link w:val="Normal-pool"/>
    <w:uiPriority w:val="99"/>
    <w:rsid w:val="00527342"/>
    <w:rPr>
      <w:lang w:eastAsia="en-US"/>
    </w:rPr>
  </w:style>
  <w:style w:type="character" w:customStyle="1" w:styleId="BBTitleChar">
    <w:name w:val="BB_Title Char"/>
    <w:link w:val="BBTitle"/>
    <w:rsid w:val="00753D8A"/>
    <w:rPr>
      <w:b/>
      <w:sz w:val="28"/>
      <w:szCs w:val="28"/>
      <w:lang w:eastAsia="en-US"/>
    </w:rPr>
  </w:style>
  <w:style w:type="paragraph" w:customStyle="1" w:styleId="ColorfulList-Accent11">
    <w:name w:val="Colorful List - Accent 11"/>
    <w:basedOn w:val="Normal"/>
    <w:uiPriority w:val="72"/>
    <w:rsid w:val="00BB471B"/>
    <w:pPr>
      <w:ind w:left="720"/>
      <w:contextualSpacing/>
    </w:pPr>
  </w:style>
  <w:style w:type="character" w:customStyle="1" w:styleId="FooterChar">
    <w:name w:val="Footer Char"/>
    <w:link w:val="Footer"/>
    <w:uiPriority w:val="99"/>
    <w:rsid w:val="001B1DA1"/>
    <w:rPr>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E4E"/>
    <w:pPr>
      <w:tabs>
        <w:tab w:val="left" w:pos="1247"/>
        <w:tab w:val="left" w:pos="1814"/>
        <w:tab w:val="left" w:pos="2381"/>
        <w:tab w:val="left" w:pos="2948"/>
        <w:tab w:val="left" w:pos="3515"/>
      </w:tabs>
    </w:pPr>
    <w:rPr>
      <w:lang w:val="en-GB"/>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F2E41"/>
    <w:pPr>
      <w:spacing w:after="120"/>
      <w:ind w:left="1247" w:hanging="680"/>
      <w:outlineLvl w:val="2"/>
    </w:pPr>
    <w:rPr>
      <w:u w:val="single"/>
    </w:rPr>
  </w:style>
  <w:style w:type="paragraph" w:styleId="Heading4">
    <w:name w:val="heading 4"/>
    <w:basedOn w:val="Heading3"/>
    <w:next w:val="Normalnumber"/>
    <w:qFormat/>
    <w:rsid w:val="002A3941"/>
    <w:pPr>
      <w:keepNext/>
      <w:outlineLvl w:val="3"/>
    </w:pPr>
    <w:rPr>
      <w:b/>
    </w:r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uiPriority w:val="99"/>
    <w:semiHidden/>
    <w:rsid w:val="000D6941"/>
    <w:rPr>
      <w:rFonts w:ascii="Times New Roman" w:hAnsi="Times New Roman"/>
      <w:color w:val="auto"/>
      <w:sz w:val="20"/>
      <w:szCs w:val="18"/>
      <w:vertAlign w:val="superscript"/>
    </w:rPr>
  </w:style>
  <w:style w:type="paragraph" w:styleId="FootnoteText">
    <w:name w:val="footnote text"/>
    <w:basedOn w:val="Normalpool"/>
    <w:link w:val="FootnoteTextChar"/>
    <w:uiPriority w:val="99"/>
    <w:semiHidden/>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Symbol" w:hAnsi="Symbol"/>
        <w:b/>
        <w:i w:val="0"/>
        <w:caps/>
        <w:smallCaps w:val="0"/>
        <w:color w:val="auto"/>
        <w:sz w:val="27"/>
        <w:szCs w:val="27"/>
      </w:rPr>
    </w:tblStylePr>
    <w:tblStylePr w:type="lastRow">
      <w:pPr>
        <w:wordWrap/>
        <w:spacing w:afterLines="0" w:afterAutospacing="0"/>
        <w:ind w:rightChars="0" w:right="567"/>
      </w:pPr>
      <w:rPr>
        <w:rFonts w:ascii="Symbol" w:hAnsi="Symbo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Symbol" w:hAnsi="Symbol"/>
        <w:b/>
        <w:i w:val="0"/>
        <w:color w:val="auto"/>
        <w:sz w:val="64"/>
        <w:szCs w:val="64"/>
      </w:rPr>
    </w:tblStylePr>
    <w:tblStylePr w:type="nwCell">
      <w:rPr>
        <w:rFonts w:ascii="Symbol" w:hAnsi="Symbo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136CF"/>
    <w:pPr>
      <w:numPr>
        <w:numId w:val="4"/>
      </w:numPr>
      <w:tabs>
        <w:tab w:val="clear" w:pos="1814"/>
        <w:tab w:val="clear" w:pos="2381"/>
        <w:tab w:val="clear" w:pos="2948"/>
        <w:tab w:val="clear" w:pos="3515"/>
        <w:tab w:val="clear" w:pos="4082"/>
        <w:tab w:val="clear" w:pos="6516"/>
        <w:tab w:val="left" w:pos="624"/>
        <w:tab w:val="left" w:pos="1871"/>
      </w:tabs>
      <w:spacing w:after="120"/>
      <w:ind w:left="1247"/>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Caption">
    <w:name w:val="caption"/>
    <w:basedOn w:val="Normal"/>
    <w:next w:val="Normal"/>
    <w:qFormat/>
    <w:rsid w:val="00DF05C9"/>
    <w:pPr>
      <w:widowControl w:val="0"/>
      <w:tabs>
        <w:tab w:val="clear" w:pos="1247"/>
        <w:tab w:val="clear" w:pos="1814"/>
        <w:tab w:val="clear" w:pos="2381"/>
        <w:tab w:val="clear" w:pos="2948"/>
        <w:tab w:val="clear" w:pos="3515"/>
      </w:tabs>
    </w:pPr>
    <w:rPr>
      <w:snapToGrid w:val="0"/>
      <w:sz w:val="24"/>
    </w:rPr>
  </w:style>
  <w:style w:type="character" w:customStyle="1" w:styleId="CH3Char">
    <w:name w:val="CH3 Char"/>
    <w:link w:val="CH3"/>
    <w:rsid w:val="00DF05C9"/>
    <w:rPr>
      <w:b/>
      <w:lang w:eastAsia="en-US"/>
    </w:rPr>
  </w:style>
  <w:style w:type="character" w:customStyle="1" w:styleId="FootnoteTextChar">
    <w:name w:val="Footnote Text Char"/>
    <w:link w:val="FootnoteText"/>
    <w:uiPriority w:val="99"/>
    <w:semiHidden/>
    <w:rsid w:val="00DF05C9"/>
    <w:rPr>
      <w:sz w:val="18"/>
      <w:lang w:val="fr-FR" w:eastAsia="en-US"/>
    </w:rPr>
  </w:style>
  <w:style w:type="paragraph" w:customStyle="1" w:styleId="Style10ptLeft043Firstline043After6pt">
    <w:name w:val="Style 10 pt Left:  0.43&quot; First line:  0.43&quot; After:  6 pt"/>
    <w:basedOn w:val="Normal"/>
    <w:uiPriority w:val="99"/>
    <w:rsid w:val="00DF05C9"/>
    <w:pPr>
      <w:tabs>
        <w:tab w:val="clear" w:pos="1247"/>
        <w:tab w:val="clear" w:pos="1814"/>
        <w:tab w:val="clear" w:pos="2381"/>
        <w:tab w:val="clear" w:pos="2948"/>
        <w:tab w:val="clear" w:pos="3515"/>
      </w:tabs>
      <w:spacing w:after="120"/>
      <w:ind w:left="1260" w:hanging="17"/>
    </w:pPr>
    <w:rPr>
      <w:sz w:val="24"/>
    </w:rPr>
  </w:style>
  <w:style w:type="paragraph" w:styleId="BodyTextIndent">
    <w:name w:val="Body Text Indent"/>
    <w:basedOn w:val="Normal"/>
    <w:link w:val="BodyTextIndentChar"/>
    <w:rsid w:val="00DF05C9"/>
    <w:pPr>
      <w:tabs>
        <w:tab w:val="clear" w:pos="1247"/>
        <w:tab w:val="clear" w:pos="1814"/>
        <w:tab w:val="clear" w:pos="2381"/>
        <w:tab w:val="clear" w:pos="2948"/>
        <w:tab w:val="clear" w:pos="3515"/>
      </w:tabs>
      <w:spacing w:after="120"/>
      <w:ind w:left="360"/>
    </w:pPr>
    <w:rPr>
      <w:sz w:val="24"/>
    </w:rPr>
  </w:style>
  <w:style w:type="character" w:customStyle="1" w:styleId="BodyTextIndentChar">
    <w:name w:val="Body Text Indent Char"/>
    <w:link w:val="BodyTextIndent"/>
    <w:rsid w:val="00DF05C9"/>
    <w:rPr>
      <w:sz w:val="24"/>
      <w:lang w:eastAsia="en-US"/>
    </w:rPr>
  </w:style>
  <w:style w:type="character" w:customStyle="1" w:styleId="CH2Char">
    <w:name w:val="CH2 Char"/>
    <w:link w:val="CH2"/>
    <w:rsid w:val="00DF05C9"/>
    <w:rPr>
      <w:b/>
      <w:sz w:val="24"/>
      <w:szCs w:val="24"/>
      <w:lang w:eastAsia="en-US"/>
    </w:rPr>
  </w:style>
  <w:style w:type="character" w:customStyle="1" w:styleId="ZZAnxtitleChar">
    <w:name w:val="ZZ_Anx_title Char"/>
    <w:link w:val="ZZAnxtitle"/>
    <w:rsid w:val="00DF05C9"/>
    <w:rPr>
      <w:b/>
      <w:bCs/>
      <w:sz w:val="28"/>
      <w:szCs w:val="26"/>
      <w:lang w:eastAsia="en-US"/>
    </w:rPr>
  </w:style>
  <w:style w:type="paragraph" w:customStyle="1" w:styleId="Default">
    <w:name w:val="Default"/>
    <w:rsid w:val="00960460"/>
    <w:pPr>
      <w:autoSpaceDE w:val="0"/>
      <w:autoSpaceDN w:val="0"/>
      <w:adjustRightInd w:val="0"/>
    </w:pPr>
    <w:rPr>
      <w:color w:val="000000"/>
      <w:sz w:val="24"/>
      <w:szCs w:val="24"/>
      <w:lang w:val="en-GB" w:eastAsia="zh-CN"/>
    </w:rPr>
  </w:style>
  <w:style w:type="table" w:styleId="TableGrid">
    <w:name w:val="Table Grid"/>
    <w:basedOn w:val="TableNormal"/>
    <w:uiPriority w:val="59"/>
    <w:rsid w:val="002E4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71"/>
    <w:rsid w:val="00817E03"/>
    <w:rPr>
      <w:lang w:val="en-GB"/>
    </w:rPr>
  </w:style>
  <w:style w:type="character" w:customStyle="1" w:styleId="Normal-poolChar">
    <w:name w:val="Normal-pool Char"/>
    <w:link w:val="Normal-pool"/>
    <w:uiPriority w:val="99"/>
    <w:rsid w:val="00527342"/>
    <w:rPr>
      <w:lang w:eastAsia="en-US"/>
    </w:rPr>
  </w:style>
  <w:style w:type="character" w:customStyle="1" w:styleId="BBTitleChar">
    <w:name w:val="BB_Title Char"/>
    <w:link w:val="BBTitle"/>
    <w:rsid w:val="00753D8A"/>
    <w:rPr>
      <w:b/>
      <w:sz w:val="28"/>
      <w:szCs w:val="28"/>
      <w:lang w:eastAsia="en-US"/>
    </w:rPr>
  </w:style>
  <w:style w:type="paragraph" w:customStyle="1" w:styleId="ColorfulList-Accent11">
    <w:name w:val="Colorful List - Accent 11"/>
    <w:basedOn w:val="Normal"/>
    <w:uiPriority w:val="72"/>
    <w:rsid w:val="00BB471B"/>
    <w:pPr>
      <w:ind w:left="720"/>
      <w:contextualSpacing/>
    </w:pPr>
  </w:style>
  <w:style w:type="character" w:customStyle="1" w:styleId="FooterChar">
    <w:name w:val="Footer Char"/>
    <w:link w:val="Footer"/>
    <w:uiPriority w:val="99"/>
    <w:rsid w:val="001B1DA1"/>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0038">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898711131">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oter" Target="footer1.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441C3-32FF-4768-8B12-6DF4BA9F3FEB}">
  <ds:schemaRefs>
    <ds:schemaRef ds:uri="http://schemas.openxmlformats.org/officeDocument/2006/bibliography"/>
  </ds:schemaRefs>
</ds:datastoreItem>
</file>

<file path=customXml/itemProps2.xml><?xml version="1.0" encoding="utf-8"?>
<ds:datastoreItem xmlns:ds="http://schemas.openxmlformats.org/officeDocument/2006/customXml" ds:itemID="{27F6EA05-11A8-4F98-9933-C4A7C6697F35}">
  <ds:schemaRefs>
    <ds:schemaRef ds:uri="http://schemas.openxmlformats.org/officeDocument/2006/bibliography"/>
  </ds:schemaRefs>
</ds:datastoreItem>
</file>

<file path=customXml/itemProps3.xml><?xml version="1.0" encoding="utf-8"?>
<ds:datastoreItem xmlns:ds="http://schemas.openxmlformats.org/officeDocument/2006/customXml" ds:itemID="{747F40D3-4179-4BE3-8BCE-FE961E1DBCC1}">
  <ds:schemaRefs>
    <ds:schemaRef ds:uri="http://schemas.openxmlformats.org/officeDocument/2006/bibliography"/>
  </ds:schemaRefs>
</ds:datastoreItem>
</file>

<file path=customXml/itemProps4.xml><?xml version="1.0" encoding="utf-8"?>
<ds:datastoreItem xmlns:ds="http://schemas.openxmlformats.org/officeDocument/2006/customXml" ds:itemID="{94616F77-72A9-42B8-B0B8-3069F9AA6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9038</Words>
  <Characters>51519</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2016-02-04T12:16:00Z</dcterms:created>
  <dcterms:modified xsi:type="dcterms:W3CDTF">2016-02-04T12:16:00Z</dcterms:modified>
</cp:coreProperties>
</file>