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bookmarkStart w:id="0" w:name="_GoBack"/>
            <w:bookmarkEnd w:id="0"/>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3BA68B84" w:rsidR="008E5088" w:rsidRPr="002927A1" w:rsidRDefault="008E5088" w:rsidP="00801181">
            <w:pPr>
              <w:rPr>
                <w:sz w:val="18"/>
                <w:szCs w:val="18"/>
              </w:rPr>
            </w:pPr>
            <w:r w:rsidRPr="002927A1">
              <w:rPr>
                <w:b/>
                <w:bCs/>
                <w:sz w:val="28"/>
              </w:rPr>
              <w:t>UNEP</w:t>
            </w:r>
            <w:r w:rsidRPr="002927A1">
              <w:rPr>
                <w:b/>
                <w:bCs/>
              </w:rPr>
              <w:t>/</w:t>
            </w:r>
            <w:r w:rsidRPr="002927A1">
              <w:t>MC/COP.3/23</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1" w:name="_MON_1021710510"/>
            <w:bookmarkEnd w:id="1"/>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99814FA" w14:textId="421BB6A0" w:rsidR="0099003C" w:rsidRPr="002927A1" w:rsidRDefault="005726B0" w:rsidP="0099003C">
      <w:pPr>
        <w:pStyle w:val="BBTitle"/>
        <w:rPr>
          <w:lang w:val="es-ES_tradnl"/>
        </w:rPr>
      </w:pPr>
      <w:r w:rsidRPr="002927A1">
        <w:rPr>
          <w:bCs/>
          <w:lang w:val="es-ES_tradnl"/>
        </w:rPr>
        <w:t>Informe de la Conferencia de las Partes en el Convenio de Minamata sobre el Mercurio acerca de la labor realizada en</w:t>
      </w:r>
      <w:r w:rsidR="00AA1F6A">
        <w:rPr>
          <w:bCs/>
          <w:lang w:val="es-ES_tradnl"/>
        </w:rPr>
        <w:t> </w:t>
      </w:r>
      <w:r w:rsidRPr="002927A1">
        <w:rPr>
          <w:bCs/>
          <w:lang w:val="es-ES_tradnl"/>
        </w:rPr>
        <w:t>su</w:t>
      </w:r>
      <w:r w:rsidR="00AA1F6A">
        <w:rPr>
          <w:bCs/>
          <w:lang w:val="es-ES_tradnl"/>
        </w:rPr>
        <w:t> </w:t>
      </w:r>
      <w:r w:rsidRPr="002927A1">
        <w:rPr>
          <w:bCs/>
          <w:lang w:val="es-ES_tradnl"/>
        </w:rPr>
        <w:t>tercera reunión</w:t>
      </w:r>
    </w:p>
    <w:p w14:paraId="09CB44A2" w14:textId="50B76467" w:rsidR="005726B0" w:rsidRPr="002927A1" w:rsidRDefault="00D60B22" w:rsidP="00AD1066">
      <w:pPr>
        <w:pStyle w:val="AATitle"/>
        <w:keepNext w:val="0"/>
        <w:keepLines w:val="0"/>
        <w:spacing w:before="240" w:after="120"/>
        <w:rPr>
          <w:bCs/>
          <w:sz w:val="28"/>
          <w:szCs w:val="28"/>
          <w:lang w:val="es-ES_tradnl"/>
        </w:rPr>
      </w:pPr>
      <w:r w:rsidRPr="002927A1">
        <w:rPr>
          <w:bCs/>
          <w:sz w:val="24"/>
          <w:szCs w:val="24"/>
          <w:lang w:val="es-ES_tradnl"/>
        </w:rPr>
        <w:tab/>
      </w:r>
      <w:r w:rsidR="005726B0" w:rsidRPr="002927A1">
        <w:rPr>
          <w:bCs/>
          <w:sz w:val="28"/>
          <w:szCs w:val="28"/>
          <w:lang w:val="es-ES_tradnl"/>
        </w:rPr>
        <w:t>Introducción</w:t>
      </w:r>
      <w:bookmarkStart w:id="2" w:name="_Toc7079401"/>
      <w:bookmarkEnd w:id="2"/>
    </w:p>
    <w:p w14:paraId="56149F0A" w14:textId="77777777"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La tercera reunión de la Conferencia de las Partes en el Convenio de Minamata sobre el Mercurio se celebró en el Centro Internacional de Conferencias de Ginebra del 25 al 29 de noviembre de 2019.</w:t>
      </w:r>
    </w:p>
    <w:p w14:paraId="70263891" w14:textId="1A1C7732" w:rsidR="005726B0" w:rsidRPr="002927A1" w:rsidRDefault="00AB38D2" w:rsidP="00AD1066">
      <w:pPr>
        <w:pStyle w:val="CH1"/>
        <w:rPr>
          <w:lang w:val="es-ES_tradnl"/>
        </w:rPr>
      </w:pPr>
      <w:r w:rsidRPr="002927A1">
        <w:rPr>
          <w:lang w:val="es-ES_tradnl"/>
        </w:rPr>
        <w:tab/>
      </w:r>
      <w:r w:rsidR="005726B0" w:rsidRPr="002927A1">
        <w:rPr>
          <w:lang w:val="es-ES_tradnl"/>
        </w:rPr>
        <w:t>I.</w:t>
      </w:r>
      <w:r w:rsidR="005726B0" w:rsidRPr="002927A1">
        <w:rPr>
          <w:lang w:val="es-ES_tradnl"/>
        </w:rPr>
        <w:tab/>
        <w:t>Apertura de la reunión</w:t>
      </w:r>
      <w:bookmarkStart w:id="3" w:name="_Toc7079402"/>
      <w:bookmarkEnd w:id="3"/>
    </w:p>
    <w:p w14:paraId="05550F23" w14:textId="77777777"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El Director de la Oficina para Europa del Programa de las Naciones Unidas para el Medio Ambiente (PNUMA), Sr. Bruno Pozzi, dio la bienvenida a los participantes a las 10.20 horas del lunes 25 de noviembre.</w:t>
      </w:r>
    </w:p>
    <w:p w14:paraId="2B3259F4" w14:textId="26E7AD17" w:rsidR="005726B0" w:rsidRPr="000F7AB2" w:rsidRDefault="008E5088" w:rsidP="00836340">
      <w:pPr>
        <w:pStyle w:val="CH1"/>
        <w:ind w:left="624" w:firstLine="0"/>
        <w:rPr>
          <w:sz w:val="24"/>
          <w:szCs w:val="24"/>
          <w:lang w:val="es-ES_tradnl"/>
        </w:rPr>
      </w:pPr>
      <w:r w:rsidRPr="002927A1">
        <w:rPr>
          <w:lang w:val="es-ES_tradnl"/>
        </w:rPr>
        <w:tab/>
      </w:r>
      <w:r w:rsidRPr="000F7AB2">
        <w:rPr>
          <w:sz w:val="24"/>
          <w:szCs w:val="24"/>
          <w:lang w:val="es-ES_tradnl"/>
        </w:rPr>
        <w:t>A.</w:t>
      </w:r>
      <w:r w:rsidRPr="000F7AB2">
        <w:rPr>
          <w:sz w:val="24"/>
          <w:szCs w:val="24"/>
          <w:lang w:val="es-ES_tradnl"/>
        </w:rPr>
        <w:tab/>
      </w:r>
      <w:r w:rsidR="005726B0" w:rsidRPr="000F7AB2">
        <w:rPr>
          <w:sz w:val="24"/>
          <w:szCs w:val="24"/>
          <w:lang w:val="es-ES_tradnl"/>
        </w:rPr>
        <w:t>Discursos de apertura</w:t>
      </w:r>
    </w:p>
    <w:p w14:paraId="45B1ADDF" w14:textId="77777777"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Tras un espectáculo de música tradicional de Suiza y una presentación en vídeo sobre el Convenio de Minamata, pronunciaron discursos de apertura el Sr. Marc Chardonnens, Secretario de Estado de la Oficina Federal para el Medio Ambiente de Suiza; la Sra. Inger Andersen, Directora Ejecutiva del PNUMA; la Sra. Rossana Silva Repetto, Secretaria Ejecutiva del Convenio de Minamata sobre el Mercurio, y el Sr. David Kapindula (Zambia), Presidente de la Conferencia de las Partes en su tercera reunión.</w:t>
      </w:r>
    </w:p>
    <w:p w14:paraId="4C6821BF" w14:textId="428F7548"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En su discurso de apertura, el Sr. Chardonnens dio la bienvenid</w:t>
      </w:r>
      <w:r w:rsidR="001A3A66" w:rsidRPr="002927A1">
        <w:rPr>
          <w:lang w:val="es-ES_tradnl"/>
        </w:rPr>
        <w:t xml:space="preserve">a a los participantes a Ginebra e hizo notar </w:t>
      </w:r>
      <w:r w:rsidRPr="002927A1">
        <w:rPr>
          <w:lang w:val="es-ES_tradnl"/>
        </w:rPr>
        <w:t xml:space="preserve">que la reunión en curso era la tercera reunión consecutiva de la Conferencia de las Partes que tenía lugar en Ginebra desde la entrada en vigor del Convenio en 2017. Al pasar revista a la historia de la creación del Convenio y los considerables progresos </w:t>
      </w:r>
      <w:r w:rsidR="001A3A66" w:rsidRPr="002927A1">
        <w:rPr>
          <w:lang w:val="es-ES_tradnl"/>
        </w:rPr>
        <w:t>alcanzados</w:t>
      </w:r>
      <w:r w:rsidRPr="002927A1">
        <w:rPr>
          <w:lang w:val="es-ES_tradnl"/>
        </w:rPr>
        <w:t xml:space="preserve"> en su aplicación, el orador señaló a la atención de los presentes los desafíos que afrontaban las Partes en la etapa actual, en particular en los ámbitos relativos a los umbrales de desechos, los sitios contaminados y los inventarios. Para hacer frente a esos y otros desafíos se precisaba una acción colectiva y la colaboración entre todas las Partes e interesados y, a ese respecto, la ubicación de la Secretaría del Convenio en Ginebra, ciudad anfitriona de una serie de instrumentos y organizaciones internacionales que trabaja</w:t>
      </w:r>
      <w:r w:rsidR="001A3A66" w:rsidRPr="002927A1">
        <w:rPr>
          <w:lang w:val="es-ES_tradnl"/>
        </w:rPr>
        <w:t>ba</w:t>
      </w:r>
      <w:r w:rsidRPr="002927A1">
        <w:rPr>
          <w:lang w:val="es-ES_tradnl"/>
        </w:rPr>
        <w:t xml:space="preserve">n en la esfera de la gobernanza mundial de los productos químicos y los desechos, planteaba considerables ventajas. La implementación decidida del Convenio y la garantía de contar con las capacidades necesarias para ese fin eran fundamentales para lograr la erradicación del uso del mercurio, así como el uso eficiente de los recursos, como quedaba demostrado con la cooperación entre la Secretaría del Convenio de Minamata y la Secretaría de los Convenios de Basilea, Estocolmo y Rotterdam. Para concluir, el orador deseó a los participantes unas deliberaciones fructíferas y les </w:t>
      </w:r>
      <w:r w:rsidRPr="002927A1">
        <w:rPr>
          <w:lang w:val="es-ES_tradnl"/>
        </w:rPr>
        <w:lastRenderedPageBreak/>
        <w:t>agradeció los esfuerzos por encarar los retos que planteaban los productos químicos y los desechos a nivel mundial para lograr un futuro sin tóxicos.</w:t>
      </w:r>
    </w:p>
    <w:p w14:paraId="51E37F24" w14:textId="1212DDEF" w:rsidR="005726B0" w:rsidRPr="002927A1" w:rsidRDefault="005726B0" w:rsidP="00A524DB">
      <w:pPr>
        <w:pStyle w:val="Normalnumber"/>
        <w:numPr>
          <w:ilvl w:val="0"/>
          <w:numId w:val="38"/>
        </w:numPr>
        <w:rPr>
          <w:lang w:val="es-ES_tradnl"/>
        </w:rPr>
      </w:pPr>
      <w:r w:rsidRPr="002927A1">
        <w:rPr>
          <w:lang w:val="es-ES_tradnl"/>
        </w:rPr>
        <w:t>En su declaración, la Sra. Andersen dijo que, como el miembro más joven de la familia de los convenios ambientales, el Convenio de Minamata tenía un potencial inmenso en cuanto a obtener resultados beneficiosos para las personas y el medio ambiente en la campaña por erradicar el uso del mercurio. Entre los logros del Convenio hasta la fecha la oradora hizo mención de un mecanismo financiero con financiación completa con una asignación</w:t>
      </w:r>
      <w:r w:rsidR="0071701A">
        <w:rPr>
          <w:lang w:val="es-ES_tradnl"/>
        </w:rPr>
        <w:t xml:space="preserve"> indicativa</w:t>
      </w:r>
      <w:r w:rsidRPr="002927A1">
        <w:rPr>
          <w:lang w:val="es-ES_tradnl"/>
        </w:rPr>
        <w:t xml:space="preserve"> de 206 millones de dólares de los Estados Unidos en el marco de la séptima reposición del Fondo para el Medio Ambiente Mundial (FMAM). Al esbozar las tareas que tendrían ante sí las Partes en la reunión en curso, la oradora destacó la propuesta de la parte dispositiva sobre un marco estable para la distribución de los servicios entre los convenios </w:t>
      </w:r>
      <w:r w:rsidR="00571B87" w:rsidRPr="002927A1">
        <w:rPr>
          <w:lang w:val="es-ES_tradnl"/>
        </w:rPr>
        <w:t>relacionados con los productos químicos</w:t>
      </w:r>
      <w:r w:rsidRPr="002927A1">
        <w:rPr>
          <w:lang w:val="es-ES_tradnl"/>
        </w:rPr>
        <w:t xml:space="preserve"> con sede en Ginebra e instó a todas las Partes </w:t>
      </w:r>
      <w:r w:rsidR="001A3A66" w:rsidRPr="002927A1">
        <w:rPr>
          <w:lang w:val="es-ES_tradnl"/>
        </w:rPr>
        <w:t>e</w:t>
      </w:r>
      <w:r w:rsidRPr="002927A1">
        <w:rPr>
          <w:lang w:val="es-ES_tradnl"/>
        </w:rPr>
        <w:t xml:space="preserve"> interesados a emprender una acción concertada en esferas fundamentales como la extracción de oro artesanal y en pequeña escala, la necesidad de frenar el comercio de mercurio, las repercusiones de la combustión de carbón –y las consiguientes emisiones de mercurio– sobre el cambio climático; y </w:t>
      </w:r>
      <w:r w:rsidR="000B76D4" w:rsidRPr="002927A1">
        <w:rPr>
          <w:lang w:val="es-ES_tradnl"/>
        </w:rPr>
        <w:t xml:space="preserve">contenido </w:t>
      </w:r>
      <w:r w:rsidRPr="002927A1">
        <w:rPr>
          <w:lang w:val="es-ES_tradnl"/>
        </w:rPr>
        <w:t>significativ</w:t>
      </w:r>
      <w:r w:rsidR="000B76D4" w:rsidRPr="002927A1">
        <w:rPr>
          <w:lang w:val="es-ES_tradnl"/>
        </w:rPr>
        <w:t>o</w:t>
      </w:r>
      <w:r w:rsidRPr="002927A1">
        <w:rPr>
          <w:lang w:val="es-ES_tradnl"/>
        </w:rPr>
        <w:t xml:space="preserve"> de mercurio en los desechos. Al hacer notar el carácter transfronterizo de la contaminación por mercurio, la oradora hizo un llamamiento a fortalecer la colaboración entre los países, sectores y convenios y subrayó la necesidad de que el Convenio tuviese una función definida en los marcos de colaboración para la gestión internacional de los productos químicos y la diversidad biológica después de 2020. Se precisaban medidas firmes en todos los ámbitos para alcanzar los Objetivos de Desarrollo Sostenible y ello incluía una acción concertada y unida para eliminar los metales pesados tóxicos, como el mercurio, que ponían en peligro la salud humana y el medio ambiente.</w:t>
      </w:r>
    </w:p>
    <w:p w14:paraId="1F91715B" w14:textId="5D1EB2E3" w:rsidR="005726B0" w:rsidRPr="002927A1" w:rsidRDefault="005726B0" w:rsidP="00A524DB">
      <w:pPr>
        <w:pStyle w:val="Normalnumber"/>
        <w:numPr>
          <w:ilvl w:val="0"/>
          <w:numId w:val="38"/>
        </w:numPr>
        <w:rPr>
          <w:lang w:val="es-ES_tradnl"/>
        </w:rPr>
      </w:pPr>
      <w:r w:rsidRPr="002927A1">
        <w:rPr>
          <w:lang w:val="es-ES_tradnl"/>
        </w:rPr>
        <w:t xml:space="preserve">En su declaración, la Sra. Silva Reppetto repasó los dos años en los que había tenido el privilegio de servir a la causa del Convenio al dirigir su Secretaría y elogió la dedicación a esa causa del personal con el que había trabajado. La oradora pasó revista a los logros alcanzados en el marco del Convenio hasta la fecha, entre otros, el establecimiento de los tres fondos fiduciarios, la creación de una sólida base administrativa para la Secretaría –que ya había logrado completar su plantilla– y el fructífero apoyo prestado por los dos componentes del mecanismo financiero del Convenio –el FMAM y el </w:t>
      </w:r>
      <w:r w:rsidR="00B33F64" w:rsidRPr="002927A1">
        <w:rPr>
          <w:lang w:val="es-ES_tradnl"/>
        </w:rPr>
        <w:t>Programa Internacional Específico</w:t>
      </w:r>
      <w:r w:rsidRPr="002927A1">
        <w:rPr>
          <w:lang w:val="es-ES_tradnl"/>
        </w:rPr>
        <w:t xml:space="preserve"> para apoyar la creación de capacidad y la asistencia técnica– a los países en el cumplimiento de sus obligaciones en virtud del Convenio. La oradora destacó la importancia de la primera evaluación de la eficacia del Convenio, la cual se realizaría próximamente, en 2023, e hizo notar la necesidad de que en la reunión en curso se definiese un mecanismo con ese fin. Al recordar su reciente e inspiradora visita a Minamata</w:t>
      </w:r>
      <w:r w:rsidR="005E75A4">
        <w:rPr>
          <w:lang w:val="es-ES_tradnl"/>
        </w:rPr>
        <w:t xml:space="preserve"> (Japón)</w:t>
      </w:r>
      <w:r w:rsidRPr="002927A1">
        <w:rPr>
          <w:lang w:val="es-ES_tradnl"/>
        </w:rPr>
        <w:t xml:space="preserve">, destacó que, a pesar de los progresos realizados en los años transcurridos entre la primera Conferencia de las Naciones Unidas sobre el Medio Humano, en 1972, y la aprobación del Convenio en 2013, todavía quedaba mucho por hacer. La oradora reiteró que la aprobación del Convenio no </w:t>
      </w:r>
      <w:r w:rsidR="002C0BB1" w:rsidRPr="002927A1">
        <w:rPr>
          <w:lang w:val="es-ES_tradnl"/>
        </w:rPr>
        <w:t>había sido</w:t>
      </w:r>
      <w:r w:rsidRPr="002927A1">
        <w:rPr>
          <w:lang w:val="es-ES_tradnl"/>
        </w:rPr>
        <w:t xml:space="preserve"> el final sino el comienzo de un proceso que solo terminaría cuando el mundo estuviese libre de emisiones y liberaciones de mercurio </w:t>
      </w:r>
      <w:r w:rsidR="000B76D4" w:rsidRPr="002927A1">
        <w:rPr>
          <w:lang w:val="es-ES_tradnl"/>
        </w:rPr>
        <w:t>resultantes</w:t>
      </w:r>
      <w:r w:rsidRPr="002927A1">
        <w:rPr>
          <w:lang w:val="es-ES_tradnl"/>
        </w:rPr>
        <w:t xml:space="preserve"> de las actividades humanas, un mundo en el que los seres humanos y el medio ambiente dejasen de vivir bajo la amenaza que plantea el mercurio, un mundo libre de la enfermedad de Minamata; en resumen, un mundo en el que el mercurio fuese historia. </w:t>
      </w:r>
    </w:p>
    <w:p w14:paraId="29B66B67" w14:textId="63021AB7" w:rsidR="005726B0" w:rsidRPr="002927A1" w:rsidRDefault="005726B0" w:rsidP="00A524DB">
      <w:pPr>
        <w:pStyle w:val="Normalnumber"/>
        <w:numPr>
          <w:ilvl w:val="0"/>
          <w:numId w:val="38"/>
        </w:numPr>
        <w:rPr>
          <w:lang w:val="es-ES_tradnl"/>
        </w:rPr>
      </w:pPr>
      <w:r w:rsidRPr="002927A1">
        <w:rPr>
          <w:lang w:val="es-ES_tradnl"/>
        </w:rPr>
        <w:t xml:space="preserve">En su declaración, el Sr. Kapindula dijo que las ambiciones que </w:t>
      </w:r>
      <w:r w:rsidR="00D620FD" w:rsidRPr="002927A1">
        <w:rPr>
          <w:lang w:val="es-ES_tradnl"/>
        </w:rPr>
        <w:t>había despertado</w:t>
      </w:r>
      <w:r w:rsidRPr="002927A1">
        <w:rPr>
          <w:lang w:val="es-ES_tradnl"/>
        </w:rPr>
        <w:t xml:space="preserve"> el Convenio habían quedado reflejadas en su pronta ratificación por 114 Partes. Superada esa etapa, el Convenio se encontraba ahora en una fase más difícil de su implementación, en la que no se lograba alcanzar un consenso respecto de algunos temas clave. El orador instó a las Partes a esforzarse por lograr un consenso sobre esas cuestiones </w:t>
      </w:r>
      <w:r w:rsidR="00D620FD" w:rsidRPr="002927A1">
        <w:rPr>
          <w:lang w:val="es-ES_tradnl"/>
        </w:rPr>
        <w:t>para evitar</w:t>
      </w:r>
      <w:r w:rsidRPr="002927A1">
        <w:rPr>
          <w:lang w:val="es-ES_tradnl"/>
        </w:rPr>
        <w:t xml:space="preserve"> aplazarlas a futuras reuniones, </w:t>
      </w:r>
      <w:r w:rsidR="00D620FD" w:rsidRPr="002927A1">
        <w:rPr>
          <w:lang w:val="es-ES_tradnl"/>
        </w:rPr>
        <w:t xml:space="preserve">lo cual </w:t>
      </w:r>
      <w:r w:rsidRPr="002927A1">
        <w:rPr>
          <w:lang w:val="es-ES_tradnl"/>
        </w:rPr>
        <w:t>crea</w:t>
      </w:r>
      <w:r w:rsidR="00D620FD" w:rsidRPr="002927A1">
        <w:rPr>
          <w:lang w:val="es-ES_tradnl"/>
        </w:rPr>
        <w:t>ría</w:t>
      </w:r>
      <w:r w:rsidRPr="002927A1">
        <w:rPr>
          <w:lang w:val="es-ES_tradnl"/>
        </w:rPr>
        <w:t xml:space="preserve"> un legado de cuestiones no resueltas que podrían obstaculizar su capacidad para alcanzar los objetivos establecidos en el artículo 1 del Convenio, en particular habida cuenta de que, en adelante, la periodicidad de las reuniones de la Conferencia </w:t>
      </w:r>
      <w:r w:rsidR="005E75A4">
        <w:rPr>
          <w:lang w:val="es-ES_tradnl"/>
        </w:rPr>
        <w:t xml:space="preserve">de las Partes </w:t>
      </w:r>
      <w:r w:rsidRPr="002927A1">
        <w:rPr>
          <w:lang w:val="es-ES_tradnl"/>
        </w:rPr>
        <w:t xml:space="preserve">se ampliaría a dos años. Al hacer notar el cargado programa que tenían ante sí los participantes, el orador pidió su apoyo y cooperación para garantizar el éxito de la reunión en curso. </w:t>
      </w:r>
    </w:p>
    <w:p w14:paraId="564322DC" w14:textId="77777777"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Concluida la declaración, el Presidente declaró oficialmente inaugurada la reunión.</w:t>
      </w:r>
    </w:p>
    <w:p w14:paraId="689D46F5" w14:textId="70929177" w:rsidR="005726B0" w:rsidRPr="00ED3A36" w:rsidRDefault="00836340" w:rsidP="00836340">
      <w:pPr>
        <w:pStyle w:val="CH1"/>
        <w:ind w:left="624" w:firstLine="0"/>
        <w:rPr>
          <w:b w:val="0"/>
          <w:sz w:val="24"/>
          <w:szCs w:val="24"/>
          <w:lang w:val="es-ES_tradnl"/>
        </w:rPr>
      </w:pPr>
      <w:r w:rsidRPr="00ED3A36">
        <w:rPr>
          <w:sz w:val="24"/>
          <w:szCs w:val="24"/>
          <w:lang w:val="es-ES_tradnl"/>
        </w:rPr>
        <w:t>B.</w:t>
      </w:r>
      <w:r w:rsidRPr="00ED3A36">
        <w:rPr>
          <w:sz w:val="24"/>
          <w:szCs w:val="24"/>
          <w:lang w:val="es-ES_tradnl"/>
        </w:rPr>
        <w:tab/>
      </w:r>
      <w:r w:rsidR="00ED3A36">
        <w:rPr>
          <w:sz w:val="24"/>
          <w:szCs w:val="24"/>
          <w:lang w:val="es-ES_tradnl"/>
        </w:rPr>
        <w:tab/>
      </w:r>
      <w:r w:rsidR="005726B0" w:rsidRPr="00ED3A36">
        <w:rPr>
          <w:sz w:val="24"/>
          <w:szCs w:val="24"/>
          <w:lang w:val="es-ES_tradnl"/>
        </w:rPr>
        <w:t>Declaraciones individuales y regionales</w:t>
      </w:r>
    </w:p>
    <w:p w14:paraId="74B81A90" w14:textId="25DA853C"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 xml:space="preserve">La Ministra de Medio Ambiente y Bosques de Indonesia, Sra. Siti Nurbaya Bakar, describió algunas de las políticas y medidas relacionadas con el mercurio </w:t>
      </w:r>
      <w:r w:rsidR="00D620FD" w:rsidRPr="002927A1">
        <w:rPr>
          <w:lang w:val="es-ES_tradnl"/>
        </w:rPr>
        <w:t xml:space="preserve">que había </w:t>
      </w:r>
      <w:r w:rsidRPr="002927A1">
        <w:rPr>
          <w:lang w:val="es-ES_tradnl"/>
        </w:rPr>
        <w:t>adoptad</w:t>
      </w:r>
      <w:r w:rsidR="00D620FD" w:rsidRPr="002927A1">
        <w:rPr>
          <w:lang w:val="es-ES_tradnl"/>
        </w:rPr>
        <w:t>o</w:t>
      </w:r>
      <w:r w:rsidRPr="002927A1">
        <w:rPr>
          <w:lang w:val="es-ES_tradnl"/>
        </w:rPr>
        <w:t xml:space="preserve"> su país y señaló que el desarrollo ambientalmente racional estaba consagrado en la Constitución de </w:t>
      </w:r>
      <w:r w:rsidR="00D620FD" w:rsidRPr="002927A1">
        <w:rPr>
          <w:lang w:val="es-ES_tradnl"/>
        </w:rPr>
        <w:t>Indonesia, que</w:t>
      </w:r>
      <w:r w:rsidRPr="002927A1">
        <w:rPr>
          <w:lang w:val="es-ES_tradnl"/>
        </w:rPr>
        <w:t xml:space="preserve"> había </w:t>
      </w:r>
      <w:r w:rsidR="00D620FD" w:rsidRPr="002927A1">
        <w:rPr>
          <w:lang w:val="es-ES_tradnl"/>
        </w:rPr>
        <w:t>desarrollado</w:t>
      </w:r>
      <w:r w:rsidRPr="002927A1">
        <w:rPr>
          <w:lang w:val="es-ES_tradnl"/>
        </w:rPr>
        <w:t xml:space="preserve"> un plan de acción nacional para eliminar el uso de mercurio en determinados sectores a más tardar en 2025. A partir de 2020 se preveía poner en vigor </w:t>
      </w:r>
      <w:r w:rsidR="00D620FD" w:rsidRPr="002927A1">
        <w:rPr>
          <w:lang w:val="es-ES_tradnl"/>
        </w:rPr>
        <w:t>la</w:t>
      </w:r>
      <w:r w:rsidRPr="002927A1">
        <w:rPr>
          <w:lang w:val="es-ES_tradnl"/>
        </w:rPr>
        <w:t xml:space="preserve"> prohibición de determinados equipos médicos que contienen mercurio en todos los servicios de salud y otros servicios públicos, y se estaba ejecutando un proyecto de creación de capacidad para mejorar la recolección y </w:t>
      </w:r>
      <w:r w:rsidRPr="002927A1">
        <w:rPr>
          <w:lang w:val="es-ES_tradnl"/>
        </w:rPr>
        <w:lastRenderedPageBreak/>
        <w:t>clasificación de desechos que contengan mercurio. Además, se estaba desarrollando un programa de transformación socioeconómica y ambiental para ofrecer otras oportunidades de empleo a las personas que trabaja</w:t>
      </w:r>
      <w:r w:rsidR="00A545D8" w:rsidRPr="002927A1">
        <w:rPr>
          <w:lang w:val="es-ES_tradnl"/>
        </w:rPr>
        <w:t>ba</w:t>
      </w:r>
      <w:r w:rsidRPr="002927A1">
        <w:rPr>
          <w:lang w:val="es-ES_tradnl"/>
        </w:rPr>
        <w:t>n en la extracción de oro artesanal y en pequeña escala, a fin de que tuviesen a su disposición técnicas más seguras para la extracción de</w:t>
      </w:r>
      <w:r w:rsidR="00A545D8" w:rsidRPr="002927A1">
        <w:rPr>
          <w:lang w:val="es-ES_tradnl"/>
        </w:rPr>
        <w:t>l</w:t>
      </w:r>
      <w:r w:rsidRPr="002927A1">
        <w:rPr>
          <w:lang w:val="es-ES_tradnl"/>
        </w:rPr>
        <w:t xml:space="preserve"> oro. </w:t>
      </w:r>
      <w:r w:rsidR="00A545D8" w:rsidRPr="002927A1">
        <w:rPr>
          <w:lang w:val="es-ES_tradnl"/>
        </w:rPr>
        <w:t>Por otra parte</w:t>
      </w:r>
      <w:r w:rsidRPr="002927A1">
        <w:rPr>
          <w:lang w:val="es-ES_tradnl"/>
        </w:rPr>
        <w:t>, abogados, policías y administraciones locales estaban cooperando entre sí para prevenir y reducir el uso ilícito de mercurio, por ejemplo, al poner fin a la producción de mercurio mediante el cierre de instalaciones de extracción de mineral de cinabrio. La oradora aseguró a la reunión que su país seguía decidido a aplicar su plan y alcanzar sus metas nacionales y a colaborar de forma constructiva con otros países en cuestiones relacionadas con el mercurio. Las alianzas, dijo, eran esenciales ya que ningún país, tanto en desarrollo como desarrollado, era inmune a los efectos de la mala gestión del mercurio.</w:t>
      </w:r>
      <w:bookmarkStart w:id="4" w:name="_Hlk25593791"/>
      <w:bookmarkEnd w:id="4"/>
    </w:p>
    <w:p w14:paraId="55E0064A" w14:textId="73BC6E2A" w:rsidR="005726B0" w:rsidRPr="002927A1" w:rsidRDefault="00A545D8" w:rsidP="00A524DB">
      <w:pPr>
        <w:pStyle w:val="Normalnumber"/>
        <w:numPr>
          <w:ilvl w:val="0"/>
          <w:numId w:val="38"/>
        </w:numPr>
        <w:tabs>
          <w:tab w:val="clear" w:pos="624"/>
          <w:tab w:val="clear" w:pos="1134"/>
          <w:tab w:val="clear" w:pos="1247"/>
        </w:tabs>
        <w:rPr>
          <w:lang w:val="es-ES_tradnl"/>
        </w:rPr>
      </w:pPr>
      <w:r w:rsidRPr="002927A1">
        <w:rPr>
          <w:lang w:val="es-ES_tradnl"/>
        </w:rPr>
        <w:t>El</w:t>
      </w:r>
      <w:r w:rsidR="005726B0" w:rsidRPr="002927A1">
        <w:rPr>
          <w:lang w:val="es-ES_tradnl"/>
        </w:rPr>
        <w:t xml:space="preserve"> representante que hizo uso de la palabra en nombre de los Estados de África agradeció a la Secretaria Ejecutiva su labor y puso de relieve cuestiones que la región tenía u</w:t>
      </w:r>
      <w:r w:rsidR="005823B5" w:rsidRPr="002927A1">
        <w:rPr>
          <w:lang w:val="es-ES_tradnl"/>
        </w:rPr>
        <w:t xml:space="preserve">n especial interés en resolver; por ejemplo, </w:t>
      </w:r>
      <w:r w:rsidR="005726B0" w:rsidRPr="002927A1">
        <w:rPr>
          <w:lang w:val="es-ES_tradnl"/>
        </w:rPr>
        <w:t xml:space="preserve">la </w:t>
      </w:r>
      <w:r w:rsidR="005823B5" w:rsidRPr="002927A1">
        <w:rPr>
          <w:lang w:val="es-ES_tradnl"/>
        </w:rPr>
        <w:t xml:space="preserve">cuestión de la amalgama dental, que se abordaba en </w:t>
      </w:r>
      <w:r w:rsidR="005726B0" w:rsidRPr="002927A1">
        <w:rPr>
          <w:lang w:val="es-ES_tradnl"/>
        </w:rPr>
        <w:t>una propuesta de enmienda del anexo A</w:t>
      </w:r>
      <w:r w:rsidRPr="002927A1">
        <w:rPr>
          <w:lang w:val="es-ES_tradnl"/>
        </w:rPr>
        <w:t>, en la cual se sugería</w:t>
      </w:r>
      <w:r w:rsidR="005726B0" w:rsidRPr="002927A1">
        <w:rPr>
          <w:lang w:val="es-ES_tradnl"/>
        </w:rPr>
        <w:t xml:space="preserve"> que la cuestión de la amalgama dental se transfiriese de la parte II a la parte I del anexo</w:t>
      </w:r>
      <w:r w:rsidR="005823B5" w:rsidRPr="002927A1">
        <w:rPr>
          <w:lang w:val="es-ES_tradnl"/>
        </w:rPr>
        <w:t xml:space="preserve">; </w:t>
      </w:r>
      <w:r w:rsidR="005726B0" w:rsidRPr="002927A1">
        <w:rPr>
          <w:lang w:val="es-ES_tradnl"/>
        </w:rPr>
        <w:t xml:space="preserve">los códigos aduaneros, </w:t>
      </w:r>
      <w:r w:rsidR="005823B5" w:rsidRPr="002927A1">
        <w:rPr>
          <w:lang w:val="es-ES_tradnl"/>
        </w:rPr>
        <w:t>para</w:t>
      </w:r>
      <w:r w:rsidR="005726B0" w:rsidRPr="002927A1">
        <w:rPr>
          <w:lang w:val="es-ES_tradnl"/>
        </w:rPr>
        <w:t xml:space="preserve"> contribuir a los esfuerzos por controlar el comercio de mercurio y de productos con mercurio añadido; las liberaciones de mercurio y la identificación de las liberaciones que no estaban cubiertas por el Convenio de Minamata; la quema a cielo abierto de desechos que contienen mercurio; el establecimiento de umbrales de emisión o liberación de mercurio, en particular para apoyar la adopción de decisiones normativas; la gestión de sitios contaminados, manteniendo actualizadas las directrices sobre esa cuestión y la puesta en marcha de proyectos experimentales para poner a prueba su utilización; la evaluación de la eficacia</w:t>
      </w:r>
      <w:r w:rsidR="00571B87" w:rsidRPr="002927A1">
        <w:rPr>
          <w:lang w:val="es-ES_tradnl"/>
        </w:rPr>
        <w:t xml:space="preserve"> del Convenio</w:t>
      </w:r>
      <w:r w:rsidR="005726B0" w:rsidRPr="002927A1">
        <w:rPr>
          <w:lang w:val="es-ES_tradnl"/>
        </w:rPr>
        <w:t xml:space="preserve">; y la necesidad de garantizar la provisión de recursos adecuados, previsibles, sostenibles y oportunos, junto con la asistencia técnica y la transferencia de tecnología. El orador agradeció a todos los países </w:t>
      </w:r>
      <w:r w:rsidR="005823B5" w:rsidRPr="002927A1">
        <w:rPr>
          <w:lang w:val="es-ES_tradnl"/>
        </w:rPr>
        <w:t xml:space="preserve">las contribuciones al </w:t>
      </w:r>
      <w:r w:rsidR="00B33F64" w:rsidRPr="002927A1">
        <w:rPr>
          <w:lang w:val="es-ES_tradnl"/>
        </w:rPr>
        <w:t>Programa Internacional Específico</w:t>
      </w:r>
      <w:r w:rsidR="005726B0" w:rsidRPr="002927A1">
        <w:rPr>
          <w:lang w:val="es-ES_tradnl"/>
        </w:rPr>
        <w:t xml:space="preserve">, </w:t>
      </w:r>
      <w:r w:rsidR="005823B5" w:rsidRPr="002927A1">
        <w:rPr>
          <w:lang w:val="es-ES_tradnl"/>
        </w:rPr>
        <w:t>que</w:t>
      </w:r>
      <w:r w:rsidR="005726B0" w:rsidRPr="002927A1">
        <w:rPr>
          <w:lang w:val="es-ES_tradnl"/>
        </w:rPr>
        <w:t xml:space="preserve"> habían beneficiado </w:t>
      </w:r>
      <w:r w:rsidR="005823B5" w:rsidRPr="002927A1">
        <w:rPr>
          <w:lang w:val="es-ES_tradnl"/>
        </w:rPr>
        <w:t xml:space="preserve">a </w:t>
      </w:r>
      <w:r w:rsidR="005726B0" w:rsidRPr="002927A1">
        <w:rPr>
          <w:lang w:val="es-ES_tradnl"/>
        </w:rPr>
        <w:t>proyectos en África.</w:t>
      </w:r>
    </w:p>
    <w:p w14:paraId="0E5E2804" w14:textId="1C0F4087"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 xml:space="preserve">El representante que habló en nombre de los Estados de Asia y el Pacífico dijo que su región había adoptado muchas medidas en los planos nacional, regional e internacional. No obstante, quedaban </w:t>
      </w:r>
      <w:r w:rsidR="005823B5" w:rsidRPr="002927A1">
        <w:rPr>
          <w:lang w:val="es-ES_tradnl"/>
        </w:rPr>
        <w:t xml:space="preserve">por resolver algunos </w:t>
      </w:r>
      <w:r w:rsidRPr="002927A1">
        <w:rPr>
          <w:lang w:val="es-ES_tradnl"/>
        </w:rPr>
        <w:t>asuntos</w:t>
      </w:r>
      <w:r w:rsidR="005823B5" w:rsidRPr="002927A1">
        <w:rPr>
          <w:lang w:val="es-ES_tradnl"/>
        </w:rPr>
        <w:t xml:space="preserve"> debido </w:t>
      </w:r>
      <w:r w:rsidRPr="002927A1">
        <w:rPr>
          <w:lang w:val="es-ES_tradnl"/>
        </w:rPr>
        <w:t xml:space="preserve">en particular a la falta de recursos técnicos y financieros y de capacidades de los países. Por ello, al examinar la evaluación de la eficacia era imprescindible tener en cuenta los diferentes niveles de desarrollo económico e industrial y las capacidades de los países. Del mismo modo, el principio de las responsabilidades comunes pero diferenciadas de los Estados, que se recordaba en el preámbulo del Convenio, debería ocupar un lugar central en las obligaciones que se derivaban del examen de los anexos A y B. Cualquier mecanismo financiero debería velar por que los países en desarrollo tuviesen acceso a financiación sostenible, específica, suficiente, transparente y previsible a la hora de implementar el Convenio; la financiación actual era insuficiente y era necesario actualizar </w:t>
      </w:r>
      <w:r w:rsidR="005823B5" w:rsidRPr="002927A1">
        <w:rPr>
          <w:lang w:val="es-ES_tradnl"/>
        </w:rPr>
        <w:t>su</w:t>
      </w:r>
      <w:r w:rsidRPr="002927A1">
        <w:rPr>
          <w:lang w:val="es-ES_tradnl"/>
        </w:rPr>
        <w:t xml:space="preserve"> mecanismo. Por último, el orador dijo que su región consideraba que la adopción de decisiones por consenso era un activo y que debería reflejarse en el reglamento. </w:t>
      </w:r>
    </w:p>
    <w:p w14:paraId="4D31E0D8" w14:textId="156FB305" w:rsidR="005726B0" w:rsidRPr="002927A1" w:rsidRDefault="005726B0" w:rsidP="00A524DB">
      <w:pPr>
        <w:pStyle w:val="Normalnumber"/>
        <w:numPr>
          <w:ilvl w:val="0"/>
          <w:numId w:val="38"/>
        </w:numPr>
        <w:tabs>
          <w:tab w:val="clear" w:pos="624"/>
          <w:tab w:val="clear" w:pos="1134"/>
          <w:tab w:val="clear" w:pos="1247"/>
        </w:tabs>
        <w:rPr>
          <w:lang w:val="es-ES_tradnl"/>
        </w:rPr>
      </w:pPr>
      <w:r w:rsidRPr="002927A1">
        <w:rPr>
          <w:lang w:val="es-ES_tradnl"/>
        </w:rPr>
        <w:t xml:space="preserve">La representante que </w:t>
      </w:r>
      <w:r w:rsidR="009D28CB" w:rsidRPr="002927A1">
        <w:rPr>
          <w:lang w:val="es-ES_tradnl"/>
        </w:rPr>
        <w:t xml:space="preserve">hizo uso de la palabra </w:t>
      </w:r>
      <w:r w:rsidRPr="002927A1">
        <w:rPr>
          <w:lang w:val="es-ES_tradnl"/>
        </w:rPr>
        <w:t>en nombre de los Estados de Europa Oriental puso</w:t>
      </w:r>
      <w:r w:rsidR="00790BF8" w:rsidRPr="002927A1">
        <w:rPr>
          <w:lang w:val="es-ES_tradnl"/>
        </w:rPr>
        <w:t> </w:t>
      </w:r>
      <w:r w:rsidRPr="002927A1">
        <w:rPr>
          <w:lang w:val="es-ES_tradnl"/>
        </w:rPr>
        <w:t xml:space="preserve">como ejemplo las actividades emprendidas en un país de su región para </w:t>
      </w:r>
      <w:r w:rsidR="00676D2F" w:rsidRPr="002927A1">
        <w:rPr>
          <w:lang w:val="es-ES_tradnl"/>
        </w:rPr>
        <w:t>poner de relieve</w:t>
      </w:r>
      <w:r w:rsidRPr="002927A1">
        <w:rPr>
          <w:lang w:val="es-ES_tradnl"/>
        </w:rPr>
        <w:t xml:space="preserve"> la importancia de la legislación en la lucha contra el mercurio. Después de promulgar una legislación que</w:t>
      </w:r>
      <w:r w:rsidR="00790BF8" w:rsidRPr="002927A1">
        <w:rPr>
          <w:lang w:val="es-ES_tradnl"/>
        </w:rPr>
        <w:t> </w:t>
      </w:r>
      <w:r w:rsidRPr="002927A1">
        <w:rPr>
          <w:lang w:val="es-ES_tradnl"/>
        </w:rPr>
        <w:t>abarcaba todos los productos químicos, ese país estaba tratando de prohibir los termómetros de mercurio en 2024 y reducir el uso de mercurio en determinados productos. La ponente alentó a todos los países que habían ratificado el Convenio a que pusiesen en marcha su aplicación e instó a todos los</w:t>
      </w:r>
      <w:r w:rsidR="00790BF8" w:rsidRPr="002927A1">
        <w:rPr>
          <w:lang w:val="es-ES_tradnl"/>
        </w:rPr>
        <w:t> </w:t>
      </w:r>
      <w:r w:rsidRPr="002927A1">
        <w:rPr>
          <w:lang w:val="es-ES_tradnl"/>
        </w:rPr>
        <w:t>demás países</w:t>
      </w:r>
      <w:r w:rsidR="005823B5" w:rsidRPr="002927A1">
        <w:rPr>
          <w:lang w:val="es-ES_tradnl"/>
        </w:rPr>
        <w:t xml:space="preserve"> a ratificarlo </w:t>
      </w:r>
      <w:r w:rsidRPr="002927A1">
        <w:rPr>
          <w:lang w:val="es-ES_tradnl"/>
        </w:rPr>
        <w:t>lo antes posible. También puso de relieve la necesidad de redoblar los esfuerzos de cooperación con las secretarías de otros acuerdos ambientales multilaterales con un enfoque holístico para la gestión de los productos químicos.</w:t>
      </w:r>
    </w:p>
    <w:p w14:paraId="0D8B8B93" w14:textId="45710716" w:rsidR="005726B0" w:rsidRPr="002927A1" w:rsidRDefault="005726B0" w:rsidP="00A524DB">
      <w:pPr>
        <w:pStyle w:val="Normalnumber"/>
        <w:numPr>
          <w:ilvl w:val="0"/>
          <w:numId w:val="39"/>
        </w:numPr>
        <w:tabs>
          <w:tab w:val="clear" w:pos="624"/>
          <w:tab w:val="clear" w:pos="1134"/>
          <w:tab w:val="clear" w:pos="1247"/>
        </w:tabs>
        <w:rPr>
          <w:lang w:val="es-ES_tradnl"/>
        </w:rPr>
      </w:pPr>
      <w:r w:rsidRPr="002927A1">
        <w:rPr>
          <w:lang w:val="es-ES_tradnl"/>
        </w:rPr>
        <w:t xml:space="preserve">La representante que habló en nombre de los Estados de América Latina y el Caribe expresó su gratitud a la Secretaria Ejecutiva por su labor </w:t>
      </w:r>
      <w:r w:rsidR="00676D2F" w:rsidRPr="002927A1">
        <w:rPr>
          <w:lang w:val="es-ES_tradnl"/>
        </w:rPr>
        <w:t xml:space="preserve">en relación con el </w:t>
      </w:r>
      <w:r w:rsidRPr="002927A1">
        <w:rPr>
          <w:lang w:val="es-ES_tradnl"/>
        </w:rPr>
        <w:t>Convenio de Minamata</w:t>
      </w:r>
      <w:r w:rsidR="00676D2F" w:rsidRPr="002927A1">
        <w:rPr>
          <w:lang w:val="es-ES_tradnl"/>
        </w:rPr>
        <w:t xml:space="preserve"> y el compromiso demostrado respecto de él</w:t>
      </w:r>
      <w:r w:rsidRPr="002927A1">
        <w:rPr>
          <w:lang w:val="es-ES_tradnl"/>
        </w:rPr>
        <w:t xml:space="preserve">. Explicó que los países de su región necesitaban recursos técnicos y financieros para aplicar el Convenio y, por lo tanto, hacía falta que </w:t>
      </w:r>
      <w:r w:rsidR="005823B5" w:rsidRPr="002927A1">
        <w:rPr>
          <w:lang w:val="es-ES_tradnl"/>
        </w:rPr>
        <w:t>su m</w:t>
      </w:r>
      <w:r w:rsidRPr="002927A1">
        <w:rPr>
          <w:lang w:val="es-ES_tradnl"/>
        </w:rPr>
        <w:t>ecanismo financiero fuese muy sólido. También realzó la importancia de la vigilancia y la verificación del cumplimiento y de su eficacia; la necesidad de fortalecer la cooperación y la coordinación con la Secretaría de los Convenios de Basilea, Estocolmo y Rotterdam con miras a hacer el mejor uso posible de los recursos; y la importancia de los centros regionales de los Convenios</w:t>
      </w:r>
      <w:r w:rsidR="00571B87" w:rsidRPr="002927A1">
        <w:rPr>
          <w:lang w:val="es-ES_tradnl"/>
        </w:rPr>
        <w:t xml:space="preserve"> de Basilea y Estocolmo</w:t>
      </w:r>
      <w:r w:rsidRPr="002927A1">
        <w:rPr>
          <w:lang w:val="es-ES_tradnl"/>
        </w:rPr>
        <w:t xml:space="preserve">, en particular su apoyo y sus conocimientos especializados en materia de creación de capacidad y transferencia de tecnología. </w:t>
      </w:r>
      <w:r w:rsidR="005823B5" w:rsidRPr="002927A1">
        <w:rPr>
          <w:lang w:val="es-ES_tradnl"/>
        </w:rPr>
        <w:t>Expresó su agradecimiento a</w:t>
      </w:r>
      <w:r w:rsidRPr="002927A1">
        <w:rPr>
          <w:lang w:val="es-ES_tradnl"/>
        </w:rPr>
        <w:t xml:space="preserve"> </w:t>
      </w:r>
      <w:r w:rsidR="00676D2F" w:rsidRPr="002927A1">
        <w:rPr>
          <w:lang w:val="es-ES_tradnl"/>
        </w:rPr>
        <w:t>quienes había aportado contribuciones</w:t>
      </w:r>
      <w:r w:rsidR="00FA6A30" w:rsidRPr="002927A1">
        <w:rPr>
          <w:lang w:val="es-ES_tradnl"/>
        </w:rPr>
        <w:t xml:space="preserve"> </w:t>
      </w:r>
      <w:r w:rsidRPr="002927A1">
        <w:rPr>
          <w:lang w:val="es-ES_tradnl"/>
        </w:rPr>
        <w:t xml:space="preserve">al </w:t>
      </w:r>
      <w:r w:rsidR="00B33F64" w:rsidRPr="002927A1">
        <w:rPr>
          <w:lang w:val="es-ES_tradnl"/>
        </w:rPr>
        <w:t>Programa Internacional Específico</w:t>
      </w:r>
      <w:r w:rsidRPr="002927A1">
        <w:rPr>
          <w:lang w:val="es-ES_tradnl"/>
        </w:rPr>
        <w:t xml:space="preserve">, instó a </w:t>
      </w:r>
      <w:r w:rsidR="005823B5" w:rsidRPr="002927A1">
        <w:rPr>
          <w:lang w:val="es-ES_tradnl"/>
        </w:rPr>
        <w:t>aumentar el número de contribuyentes</w:t>
      </w:r>
      <w:r w:rsidRPr="002927A1">
        <w:rPr>
          <w:lang w:val="es-ES_tradnl"/>
        </w:rPr>
        <w:t xml:space="preserve"> y subrayó la necesidad de fortalecer el Programa. Para la región, revestían un particular interés las cuestiones relacionadas con la extracción de oro artesanal y en pequeña escala, que se debían abordar en el marco de una política pública sobre el desarrollo sostenible, el comercio transfronterizo de mercurio y la gestión de sitios </w:t>
      </w:r>
      <w:r w:rsidRPr="002927A1">
        <w:rPr>
          <w:lang w:val="es-ES_tradnl"/>
        </w:rPr>
        <w:lastRenderedPageBreak/>
        <w:t xml:space="preserve">contaminados. Las emisiones dimanantes de la quema a cielo abierto de desechos que contienen mercurio constituían también una cuestión importante y debería solicitarse a las Partes más información al respecto. Para terminar, la oradora </w:t>
      </w:r>
      <w:r w:rsidR="00676D2F" w:rsidRPr="002927A1">
        <w:rPr>
          <w:lang w:val="es-ES_tradnl"/>
        </w:rPr>
        <w:t>hizo notar</w:t>
      </w:r>
      <w:r w:rsidRPr="002927A1">
        <w:rPr>
          <w:lang w:val="es-ES_tradnl"/>
        </w:rPr>
        <w:t xml:space="preserve"> que un país de su región se había ofrecido a acoger la cuarta reunión de la Conferencia de las Partes. </w:t>
      </w:r>
    </w:p>
    <w:p w14:paraId="15233477" w14:textId="342C6E40" w:rsidR="005726B0" w:rsidRPr="002927A1" w:rsidRDefault="005726B0" w:rsidP="00A524DB">
      <w:pPr>
        <w:pStyle w:val="Normalnumber"/>
        <w:numPr>
          <w:ilvl w:val="0"/>
          <w:numId w:val="39"/>
        </w:numPr>
        <w:rPr>
          <w:lang w:val="es-ES_tradnl"/>
        </w:rPr>
      </w:pPr>
      <w:r w:rsidRPr="002927A1">
        <w:rPr>
          <w:lang w:val="es-ES_tradnl"/>
        </w:rPr>
        <w:t xml:space="preserve">La representante que intervino en nombre de la Unión Europea y sus Estados </w:t>
      </w:r>
      <w:r w:rsidR="00676D2F" w:rsidRPr="002927A1">
        <w:rPr>
          <w:lang w:val="es-ES_tradnl"/>
        </w:rPr>
        <w:t>m</w:t>
      </w:r>
      <w:r w:rsidRPr="002927A1">
        <w:rPr>
          <w:lang w:val="es-ES_tradnl"/>
        </w:rPr>
        <w:t>iembros, tras agradecer a la Secretaria Ejecutiva su magnífica labor, señaló que el Convenio constituía un marco jurídico sólido que apoyaba los esfuerzos encaminados a lograr los Objetivos de Desarrollo Sostenible. Tras hablar del éxito de las dos primeras reuniones de la Conferencia de las Par</w:t>
      </w:r>
      <w:r w:rsidR="0088662D" w:rsidRPr="002927A1">
        <w:rPr>
          <w:lang w:val="es-ES_tradnl"/>
        </w:rPr>
        <w:t>tes, aconsej</w:t>
      </w:r>
      <w:r w:rsidR="00676D2F" w:rsidRPr="002927A1">
        <w:rPr>
          <w:lang w:val="es-ES_tradnl"/>
        </w:rPr>
        <w:t>ó</w:t>
      </w:r>
      <w:r w:rsidR="0088662D" w:rsidRPr="002927A1">
        <w:rPr>
          <w:lang w:val="es-ES_tradnl"/>
        </w:rPr>
        <w:t xml:space="preserve"> a las</w:t>
      </w:r>
      <w:r w:rsidR="00FA6A30" w:rsidRPr="002927A1">
        <w:rPr>
          <w:lang w:val="es-ES_tradnl"/>
        </w:rPr>
        <w:t xml:space="preserve"> </w:t>
      </w:r>
      <w:r w:rsidRPr="002927A1">
        <w:rPr>
          <w:lang w:val="es-ES_tradnl"/>
        </w:rPr>
        <w:t>Partes no confiarse. Los países de su región seguían totalmente comprometidos a trabajar con otras Partes e interesados en garantizar la funcionalidad del Convenio al completo. Subrayó la importancia de llegar a acuerdos sobre: las directrices para los sitios contaminados</w:t>
      </w:r>
      <w:r w:rsidR="00676D2F" w:rsidRPr="002927A1">
        <w:rPr>
          <w:lang w:val="es-ES_tradnl"/>
        </w:rPr>
        <w:t>,</w:t>
      </w:r>
      <w:r w:rsidRPr="002927A1">
        <w:rPr>
          <w:lang w:val="es-ES_tradnl"/>
        </w:rPr>
        <w:t xml:space="preserve"> los umbrales pertinentes para los desechos de mercurio</w:t>
      </w:r>
      <w:r w:rsidR="00676D2F" w:rsidRPr="002927A1">
        <w:rPr>
          <w:lang w:val="es-ES_tradnl"/>
        </w:rPr>
        <w:t>,</w:t>
      </w:r>
      <w:r w:rsidRPr="002927A1">
        <w:rPr>
          <w:lang w:val="es-ES_tradnl"/>
        </w:rPr>
        <w:t xml:space="preserve"> un proceso adecuado para llevar a cabo el examen de los anexos A y B</w:t>
      </w:r>
      <w:r w:rsidR="00676D2F" w:rsidRPr="002927A1">
        <w:rPr>
          <w:lang w:val="es-ES_tradnl"/>
        </w:rPr>
        <w:t>,</w:t>
      </w:r>
      <w:r w:rsidR="002A268D" w:rsidRPr="002927A1">
        <w:rPr>
          <w:lang w:val="es-ES_tradnl"/>
        </w:rPr>
        <w:t xml:space="preserve"> </w:t>
      </w:r>
      <w:r w:rsidRPr="002927A1">
        <w:rPr>
          <w:lang w:val="es-ES_tradnl"/>
        </w:rPr>
        <w:t xml:space="preserve">y un marco funcional para la evaluación de la eficacia del Convenio. Los países de su región aguardaban con interés la oportunidad de colaborar con otras Partes para elaborar un marco estable y duradero que permitiese mejorar la cooperación entre el Convenio de Minamata y el Convenio de Basilea sobre el Control de los Movimientos Transfronterizos de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y también entre sus Secretarías. Tras </w:t>
      </w:r>
      <w:r w:rsidR="0088662D" w:rsidRPr="002927A1">
        <w:rPr>
          <w:lang w:val="es-ES_tradnl"/>
        </w:rPr>
        <w:t>agradecer</w:t>
      </w:r>
      <w:r w:rsidRPr="002927A1">
        <w:rPr>
          <w:lang w:val="es-ES_tradnl"/>
        </w:rPr>
        <w:t xml:space="preserve"> los ofrecimientos recibidos de dos países para acoger la cuarta reunión de la Conferencia de las Partes, la oradora </w:t>
      </w:r>
      <w:r w:rsidR="001D078E" w:rsidRPr="002927A1">
        <w:rPr>
          <w:lang w:val="es-ES_tradnl"/>
        </w:rPr>
        <w:t>les exhortó</w:t>
      </w:r>
      <w:r w:rsidRPr="002927A1">
        <w:rPr>
          <w:lang w:val="es-ES_tradnl"/>
        </w:rPr>
        <w:t xml:space="preserve"> a que examinasen la cuestión de manera bilateral y propusiesen cómo proceder.</w:t>
      </w:r>
    </w:p>
    <w:p w14:paraId="7D02C9A4" w14:textId="2F12C14B" w:rsidR="00681A4E" w:rsidRPr="002927A1" w:rsidRDefault="001D078E" w:rsidP="00A524DB">
      <w:pPr>
        <w:pStyle w:val="Normalnumber"/>
        <w:numPr>
          <w:ilvl w:val="0"/>
          <w:numId w:val="39"/>
        </w:numPr>
        <w:rPr>
          <w:lang w:val="es-ES_tradnl"/>
        </w:rPr>
      </w:pPr>
      <w:r w:rsidRPr="002927A1">
        <w:rPr>
          <w:lang w:val="es-ES_tradnl"/>
        </w:rPr>
        <w:t xml:space="preserve">El Sr. Koichiro Matsunaga, en representación del Centro de Colaboración para Víctimas de la Enfermedad de Minamata, </w:t>
      </w:r>
      <w:r w:rsidR="009D28CB" w:rsidRPr="002927A1">
        <w:rPr>
          <w:lang w:val="es-ES_tradnl"/>
        </w:rPr>
        <w:t xml:space="preserve">hizo uso de la palabra </w:t>
      </w:r>
      <w:r w:rsidR="005726B0" w:rsidRPr="002927A1">
        <w:rPr>
          <w:lang w:val="es-ES_tradnl"/>
        </w:rPr>
        <w:t>en nombre de las víctimas de la enfermedad de Minamata y explicó su historia personal. Su exposición al mercurio se produjo en el vientre de su madre, a causa del contacto de esta con aguas residuales industriales; a pesar de que vivía obligado a utilizar una silla de ruedas, señaló que disfrutaba de mucha mejor motricidad y capacidad de expresión oral que muchos de sus contemporáneos. Tras expresar su decepción por los hechos que</w:t>
      </w:r>
      <w:r w:rsidR="00B10CE7" w:rsidRPr="002927A1">
        <w:rPr>
          <w:lang w:val="es-ES_tradnl"/>
        </w:rPr>
        <w:t xml:space="preserve"> le </w:t>
      </w:r>
      <w:r w:rsidR="005726B0" w:rsidRPr="002927A1">
        <w:rPr>
          <w:lang w:val="es-ES_tradnl"/>
        </w:rPr>
        <w:t xml:space="preserve">habían </w:t>
      </w:r>
      <w:r w:rsidR="00B10CE7" w:rsidRPr="002927A1">
        <w:rPr>
          <w:lang w:val="es-ES_tradnl"/>
        </w:rPr>
        <w:t>colocado en esa situación</w:t>
      </w:r>
      <w:r w:rsidR="005726B0" w:rsidRPr="002927A1">
        <w:rPr>
          <w:lang w:val="es-ES_tradnl"/>
        </w:rPr>
        <w:t>, el Sr. Matsunaga instó a las Partes a que no repitiesen los errores de Minamata y no permitiesen que los niños del futuro sufriesen como lo había hecho él</w:t>
      </w:r>
      <w:r w:rsidR="00681A4E" w:rsidRPr="002927A1">
        <w:rPr>
          <w:lang w:val="es-ES_tradnl"/>
        </w:rPr>
        <w:t>.</w:t>
      </w:r>
    </w:p>
    <w:p w14:paraId="7AAF7418" w14:textId="28D71432" w:rsidR="005726B0" w:rsidRPr="002927A1" w:rsidRDefault="00D60B22" w:rsidP="00D60B22">
      <w:pPr>
        <w:pStyle w:val="CH1"/>
        <w:autoSpaceDE w:val="0"/>
        <w:autoSpaceDN w:val="0"/>
        <w:adjustRightInd w:val="0"/>
        <w:rPr>
          <w:lang w:val="es-ES_tradnl"/>
        </w:rPr>
      </w:pPr>
      <w:r w:rsidRPr="002927A1">
        <w:rPr>
          <w:lang w:val="es-ES_tradnl"/>
        </w:rPr>
        <w:tab/>
      </w:r>
      <w:r w:rsidR="005726B0" w:rsidRPr="002927A1">
        <w:rPr>
          <w:lang w:val="es-ES_tradnl"/>
        </w:rPr>
        <w:t>II.</w:t>
      </w:r>
      <w:r w:rsidR="005726B0" w:rsidRPr="002927A1">
        <w:rPr>
          <w:lang w:val="es-ES_tradnl"/>
        </w:rPr>
        <w:tab/>
      </w:r>
      <w:r w:rsidR="005726B0" w:rsidRPr="002927A1">
        <w:rPr>
          <w:rFonts w:eastAsiaTheme="minorEastAsia"/>
          <w:lang w:val="es-ES_tradnl"/>
        </w:rPr>
        <w:t>Cuestiones</w:t>
      </w:r>
      <w:r w:rsidR="005726B0" w:rsidRPr="002927A1">
        <w:rPr>
          <w:bCs/>
          <w:lang w:val="es-ES_tradnl"/>
        </w:rPr>
        <w:t xml:space="preserve"> de organización</w:t>
      </w:r>
      <w:bookmarkStart w:id="5" w:name="_Toc7079403"/>
      <w:bookmarkEnd w:id="5"/>
    </w:p>
    <w:p w14:paraId="3805AFF6" w14:textId="77777777" w:rsidR="005726B0" w:rsidRPr="002927A1" w:rsidDel="000B174B" w:rsidRDefault="005726B0" w:rsidP="00D60B22">
      <w:pPr>
        <w:pStyle w:val="CH2"/>
        <w:autoSpaceDE w:val="0"/>
        <w:autoSpaceDN w:val="0"/>
        <w:adjustRightInd w:val="0"/>
        <w:rPr>
          <w:lang w:val="es-ES_tradnl"/>
        </w:rPr>
      </w:pPr>
      <w:r w:rsidRPr="002927A1">
        <w:rPr>
          <w:lang w:val="es-ES_tradnl"/>
        </w:rPr>
        <w:tab/>
        <w:t>A.</w:t>
      </w:r>
      <w:r w:rsidRPr="002927A1">
        <w:rPr>
          <w:lang w:val="es-ES_tradnl"/>
        </w:rPr>
        <w:tab/>
      </w:r>
      <w:r w:rsidRPr="002927A1">
        <w:rPr>
          <w:rFonts w:eastAsiaTheme="minorEastAsia"/>
          <w:lang w:val="es-ES_tradnl"/>
        </w:rPr>
        <w:t>Miembros</w:t>
      </w:r>
      <w:r w:rsidRPr="002927A1">
        <w:rPr>
          <w:lang w:val="es-ES_tradnl"/>
        </w:rPr>
        <w:t xml:space="preserve"> de la Mesa</w:t>
      </w:r>
    </w:p>
    <w:p w14:paraId="4D3C31EE" w14:textId="7794F3B7" w:rsidR="005726B0" w:rsidRPr="002927A1" w:rsidRDefault="005726B0" w:rsidP="00A524DB">
      <w:pPr>
        <w:pStyle w:val="Normalnumber"/>
        <w:numPr>
          <w:ilvl w:val="0"/>
          <w:numId w:val="39"/>
        </w:numPr>
        <w:rPr>
          <w:lang w:val="es-ES_tradnl"/>
        </w:rPr>
      </w:pPr>
      <w:r w:rsidRPr="002927A1">
        <w:rPr>
          <w:lang w:val="es-ES_tradnl"/>
        </w:rPr>
        <w:t>En su segunda reunión, la Conferencia de las Partes</w:t>
      </w:r>
      <w:r w:rsidR="00676D2F" w:rsidRPr="002927A1">
        <w:rPr>
          <w:lang w:val="es-ES_tradnl"/>
        </w:rPr>
        <w:t xml:space="preserve"> había elegido </w:t>
      </w:r>
      <w:r w:rsidRPr="002927A1">
        <w:rPr>
          <w:lang w:val="es-ES_tradnl"/>
        </w:rPr>
        <w:t xml:space="preserve">a los siguientes miembros de la Mesa para que desempeñasen sus funciones en su tercera reunión y </w:t>
      </w:r>
      <w:r w:rsidR="001D078E" w:rsidRPr="002927A1">
        <w:rPr>
          <w:lang w:val="es-ES_tradnl"/>
        </w:rPr>
        <w:t xml:space="preserve">también </w:t>
      </w:r>
      <w:r w:rsidRPr="002927A1">
        <w:rPr>
          <w:lang w:val="es-ES_tradnl"/>
        </w:rPr>
        <w:t xml:space="preserve">en el período entre reuniones: </w:t>
      </w:r>
    </w:p>
    <w:p w14:paraId="19544ED4" w14:textId="7D806485" w:rsidR="005726B0" w:rsidRPr="002927A1" w:rsidRDefault="005726B0" w:rsidP="00D60B22">
      <w:pPr>
        <w:pStyle w:val="Normalnumber"/>
        <w:tabs>
          <w:tab w:val="num" w:pos="1134"/>
        </w:tabs>
        <w:autoSpaceDE w:val="0"/>
        <w:autoSpaceDN w:val="0"/>
        <w:adjustRightInd w:val="0"/>
        <w:ind w:left="1247"/>
        <w:rPr>
          <w:rFonts w:eastAsiaTheme="minorEastAsia"/>
          <w:lang w:val="es-ES_tradnl"/>
        </w:rPr>
      </w:pPr>
      <w:r w:rsidRPr="002927A1">
        <w:rPr>
          <w:rFonts w:eastAsiaTheme="minorEastAsia"/>
          <w:lang w:val="es-ES_tradnl"/>
        </w:rPr>
        <w:t>Presidencia:</w:t>
      </w:r>
      <w:r w:rsidR="00CA2744" w:rsidRPr="002927A1">
        <w:rPr>
          <w:rFonts w:eastAsiaTheme="minorEastAsia"/>
          <w:lang w:val="es-ES_tradnl"/>
        </w:rPr>
        <w:tab/>
      </w:r>
      <w:r w:rsidR="0052654D" w:rsidRPr="002927A1">
        <w:rPr>
          <w:rFonts w:eastAsiaTheme="minorEastAsia"/>
          <w:lang w:val="es-ES_tradnl"/>
        </w:rPr>
        <w:tab/>
      </w:r>
      <w:r w:rsidRPr="002927A1">
        <w:rPr>
          <w:rFonts w:eastAsiaTheme="minorEastAsia"/>
          <w:lang w:val="es-ES_tradnl"/>
        </w:rPr>
        <w:t>Sr. David Kapindula (Zambia)</w:t>
      </w:r>
    </w:p>
    <w:p w14:paraId="5260ECE9" w14:textId="2C5634A1" w:rsidR="005726B0" w:rsidRPr="002927A1" w:rsidRDefault="005726B0" w:rsidP="00D60B22">
      <w:pPr>
        <w:pStyle w:val="Normalnumber"/>
        <w:tabs>
          <w:tab w:val="num" w:pos="1134"/>
        </w:tabs>
        <w:autoSpaceDE w:val="0"/>
        <w:autoSpaceDN w:val="0"/>
        <w:adjustRightInd w:val="0"/>
        <w:ind w:left="1247"/>
        <w:rPr>
          <w:rFonts w:eastAsiaTheme="minorEastAsia"/>
          <w:lang w:val="es-ES_tradnl"/>
        </w:rPr>
      </w:pPr>
      <w:r w:rsidRPr="002927A1">
        <w:rPr>
          <w:rFonts w:eastAsiaTheme="minorEastAsia"/>
          <w:lang w:val="es-ES_tradnl"/>
        </w:rPr>
        <w:t>Vicepresidencia:</w:t>
      </w:r>
      <w:r w:rsidRPr="002927A1">
        <w:rPr>
          <w:rFonts w:eastAsiaTheme="minorEastAsia"/>
          <w:lang w:val="es-ES_tradnl"/>
        </w:rPr>
        <w:tab/>
        <w:t>Sra. Alison Dickson (Canadá)</w:t>
      </w:r>
    </w:p>
    <w:p w14:paraId="022DDE8E" w14:textId="1164BECF" w:rsidR="00F90A77" w:rsidRPr="002927A1" w:rsidRDefault="00F90A77"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s-ES_tradnl"/>
        </w:rPr>
        <w:t>Sr. Karel Bláha (Chequia)</w:t>
      </w:r>
    </w:p>
    <w:p w14:paraId="65F7A369" w14:textId="502CF8C2" w:rsidR="005726B0" w:rsidRPr="002927A1" w:rsidRDefault="00CA2744"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s-ES_tradnl"/>
        </w:rPr>
        <w:tab/>
      </w:r>
      <w:r w:rsidR="005726B0" w:rsidRPr="002927A1">
        <w:rPr>
          <w:rFonts w:eastAsiaTheme="minorEastAsia"/>
          <w:lang w:val="es-ES_tradnl"/>
        </w:rPr>
        <w:t>Sra. María del Mar Solano Trejos (Costa Rica)</w:t>
      </w:r>
    </w:p>
    <w:p w14:paraId="6844E675" w14:textId="73FFC7F4" w:rsidR="005726B0" w:rsidRPr="002927A1" w:rsidRDefault="00CA2744" w:rsidP="00BA4A0A">
      <w:pPr>
        <w:pStyle w:val="Normalnumber"/>
        <w:tabs>
          <w:tab w:val="num" w:pos="1134"/>
        </w:tabs>
        <w:autoSpaceDE w:val="0"/>
        <w:autoSpaceDN w:val="0"/>
        <w:adjustRightInd w:val="0"/>
        <w:ind w:left="3119"/>
        <w:rPr>
          <w:rFonts w:eastAsiaTheme="minorEastAsia"/>
          <w:lang w:val="en-US"/>
        </w:rPr>
      </w:pPr>
      <w:r w:rsidRPr="002927A1">
        <w:rPr>
          <w:rFonts w:eastAsiaTheme="minorEastAsia"/>
          <w:lang w:val="es-ES_tradnl"/>
        </w:rPr>
        <w:tab/>
      </w:r>
      <w:r w:rsidR="005726B0" w:rsidRPr="002927A1">
        <w:rPr>
          <w:rFonts w:eastAsiaTheme="minorEastAsia"/>
          <w:lang w:val="en-US"/>
        </w:rPr>
        <w:t>Sr. Serge Molly Allo’o</w:t>
      </w:r>
      <w:r w:rsidR="00221DEE" w:rsidRPr="002927A1">
        <w:rPr>
          <w:rFonts w:eastAsiaTheme="minorEastAsia"/>
          <w:lang w:val="en-US"/>
        </w:rPr>
        <w:t xml:space="preserve"> Allo’o </w:t>
      </w:r>
      <w:r w:rsidR="005E75A4">
        <w:rPr>
          <w:rFonts w:eastAsiaTheme="minorEastAsia"/>
          <w:lang w:val="en-US"/>
        </w:rPr>
        <w:t>(</w:t>
      </w:r>
      <w:r w:rsidR="005726B0" w:rsidRPr="002927A1">
        <w:rPr>
          <w:rFonts w:eastAsiaTheme="minorEastAsia"/>
          <w:lang w:val="en-US"/>
        </w:rPr>
        <w:t xml:space="preserve">Gabón) </w:t>
      </w:r>
    </w:p>
    <w:p w14:paraId="364A0540" w14:textId="1A4B98B4" w:rsidR="005726B0" w:rsidRPr="002927A1" w:rsidRDefault="00CA2744"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n-US"/>
        </w:rPr>
        <w:tab/>
      </w:r>
      <w:r w:rsidR="005726B0" w:rsidRPr="002927A1">
        <w:rPr>
          <w:rFonts w:eastAsiaTheme="minorEastAsia"/>
          <w:lang w:val="es-ES_tradnl"/>
        </w:rPr>
        <w:t>Sra. Mariscia Charles (Guyana)</w:t>
      </w:r>
    </w:p>
    <w:p w14:paraId="489219B3" w14:textId="7AEADD05" w:rsidR="00790BF8" w:rsidRPr="002927A1" w:rsidRDefault="00790BF8"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s-ES_tradnl"/>
        </w:rPr>
        <w:tab/>
        <w:t>Sr. Mohammed Khashashneh (Jordania)</w:t>
      </w:r>
    </w:p>
    <w:p w14:paraId="67D1E20C" w14:textId="35038CB7" w:rsidR="00790BF8" w:rsidRPr="002927A1" w:rsidRDefault="00790BF8"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s-ES_tradnl"/>
        </w:rPr>
        <w:tab/>
        <w:t>Sra. Svetlana Bolocan (República de Moldova)</w:t>
      </w:r>
    </w:p>
    <w:p w14:paraId="56E36B2C" w14:textId="633CCF18" w:rsidR="0052654D" w:rsidRPr="002927A1" w:rsidRDefault="00CA2744"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s-ES_tradnl"/>
        </w:rPr>
        <w:tab/>
      </w:r>
      <w:r w:rsidR="005726B0" w:rsidRPr="002927A1">
        <w:rPr>
          <w:rFonts w:eastAsiaTheme="minorEastAsia"/>
          <w:lang w:val="es-ES_tradnl"/>
        </w:rPr>
        <w:t>Sr. Adel Jahankhah (República Islámica del Irán)</w:t>
      </w:r>
    </w:p>
    <w:p w14:paraId="62AFA67D" w14:textId="0A2A6D58" w:rsidR="005726B0" w:rsidRPr="002927A1" w:rsidRDefault="00D60B22" w:rsidP="00BA4A0A">
      <w:pPr>
        <w:pStyle w:val="Normalnumber"/>
        <w:tabs>
          <w:tab w:val="num" w:pos="1134"/>
        </w:tabs>
        <w:autoSpaceDE w:val="0"/>
        <w:autoSpaceDN w:val="0"/>
        <w:adjustRightInd w:val="0"/>
        <w:ind w:left="3119"/>
        <w:rPr>
          <w:rFonts w:eastAsiaTheme="minorEastAsia"/>
          <w:lang w:val="es-ES_tradnl"/>
        </w:rPr>
      </w:pPr>
      <w:r w:rsidRPr="002927A1">
        <w:rPr>
          <w:rFonts w:eastAsiaTheme="minorEastAsia"/>
          <w:lang w:val="es-ES_tradnl"/>
        </w:rPr>
        <w:tab/>
      </w:r>
      <w:r w:rsidR="005726B0" w:rsidRPr="002927A1">
        <w:rPr>
          <w:rFonts w:eastAsiaTheme="minorEastAsia"/>
          <w:lang w:val="es-ES_tradnl"/>
        </w:rPr>
        <w:t>Sra. Nina Cromnier (Suecia)</w:t>
      </w:r>
    </w:p>
    <w:p w14:paraId="07930186" w14:textId="2856AFA3" w:rsidR="005726B0" w:rsidRPr="002927A1" w:rsidRDefault="005726B0" w:rsidP="00A524DB">
      <w:pPr>
        <w:pStyle w:val="Normalnumber"/>
        <w:numPr>
          <w:ilvl w:val="0"/>
          <w:numId w:val="39"/>
        </w:numPr>
        <w:tabs>
          <w:tab w:val="clear" w:pos="624"/>
          <w:tab w:val="clear" w:pos="1134"/>
          <w:tab w:val="clear" w:pos="1247"/>
        </w:tabs>
        <w:rPr>
          <w:lang w:val="es-ES_tradnl"/>
        </w:rPr>
      </w:pPr>
      <w:r w:rsidRPr="002927A1">
        <w:rPr>
          <w:lang w:val="es-ES_tradnl"/>
        </w:rPr>
        <w:t xml:space="preserve">Se </w:t>
      </w:r>
      <w:r w:rsidR="00676D2F" w:rsidRPr="002927A1">
        <w:rPr>
          <w:lang w:val="es-ES_tradnl"/>
        </w:rPr>
        <w:t xml:space="preserve">había </w:t>
      </w:r>
      <w:r w:rsidRPr="002927A1">
        <w:rPr>
          <w:lang w:val="es-ES_tradnl"/>
        </w:rPr>
        <w:t>design</w:t>
      </w:r>
      <w:r w:rsidR="00676D2F" w:rsidRPr="002927A1">
        <w:rPr>
          <w:lang w:val="es-ES_tradnl"/>
        </w:rPr>
        <w:t>ado</w:t>
      </w:r>
      <w:r w:rsidRPr="002927A1">
        <w:rPr>
          <w:lang w:val="es-ES_tradnl"/>
        </w:rPr>
        <w:t xml:space="preserve"> al Sr. Karel Bláha (Chequia)</w:t>
      </w:r>
      <w:r w:rsidR="0052654D" w:rsidRPr="002927A1">
        <w:rPr>
          <w:lang w:val="es-ES_tradnl"/>
        </w:rPr>
        <w:t xml:space="preserve"> como Relator</w:t>
      </w:r>
      <w:r w:rsidRPr="002927A1">
        <w:rPr>
          <w:lang w:val="es-ES_tradnl"/>
        </w:rPr>
        <w:t>.</w:t>
      </w:r>
    </w:p>
    <w:p w14:paraId="2DAE2BAD" w14:textId="77777777" w:rsidR="005726B0" w:rsidRPr="002927A1" w:rsidRDefault="005726B0" w:rsidP="00A524DB">
      <w:pPr>
        <w:pStyle w:val="Normalnumber"/>
        <w:numPr>
          <w:ilvl w:val="0"/>
          <w:numId w:val="39"/>
        </w:numPr>
        <w:tabs>
          <w:tab w:val="clear" w:pos="624"/>
          <w:tab w:val="clear" w:pos="1134"/>
          <w:tab w:val="clear" w:pos="1247"/>
        </w:tabs>
        <w:rPr>
          <w:lang w:val="es-ES_tradnl"/>
        </w:rPr>
      </w:pPr>
      <w:r w:rsidRPr="002927A1">
        <w:rPr>
          <w:lang w:val="es-ES_tradnl"/>
        </w:rPr>
        <w:t xml:space="preserve">Durante el período entre sesiones, el Sr. Mohsen Naziri Asl (República Islámica del Irán) había sustituido al Sr. Adel Jahankhah, quien no había podido concluir su mandato. </w:t>
      </w:r>
    </w:p>
    <w:p w14:paraId="04980459" w14:textId="199AB66D" w:rsidR="008F17EB" w:rsidRPr="002927A1" w:rsidRDefault="008F17EB" w:rsidP="008F17EB">
      <w:pPr>
        <w:pStyle w:val="CH2"/>
        <w:rPr>
          <w:b w:val="0"/>
          <w:lang w:val="es-ES_tradnl"/>
        </w:rPr>
      </w:pPr>
      <w:r w:rsidRPr="002927A1">
        <w:rPr>
          <w:lang w:val="es-ES_tradnl"/>
        </w:rPr>
        <w:lastRenderedPageBreak/>
        <w:tab/>
      </w:r>
      <w:r w:rsidR="005726B0" w:rsidRPr="002927A1">
        <w:rPr>
          <w:lang w:val="es-ES_tradnl"/>
        </w:rPr>
        <w:t>B.</w:t>
      </w:r>
      <w:r w:rsidR="005726B0" w:rsidRPr="002927A1">
        <w:rPr>
          <w:lang w:val="es-ES_tradnl"/>
        </w:rPr>
        <w:tab/>
        <w:t>Elección de la Mesa del período entre reuniones y la cuarta reunión de la Conferencia de las Partes</w:t>
      </w:r>
    </w:p>
    <w:p w14:paraId="31D8CA86" w14:textId="64A3F214" w:rsidR="00113D26" w:rsidRPr="002927A1" w:rsidRDefault="00EE3CE1" w:rsidP="00A524DB">
      <w:pPr>
        <w:pStyle w:val="Normalnumber"/>
        <w:numPr>
          <w:ilvl w:val="0"/>
          <w:numId w:val="39"/>
        </w:numPr>
        <w:tabs>
          <w:tab w:val="clear" w:pos="624"/>
          <w:tab w:val="clear" w:pos="1134"/>
          <w:tab w:val="clear" w:pos="1247"/>
        </w:tabs>
        <w:rPr>
          <w:lang w:val="es-ES_tradnl"/>
        </w:rPr>
      </w:pPr>
      <w:r w:rsidRPr="002927A1">
        <w:rPr>
          <w:lang w:val="es-ES_tradnl"/>
        </w:rPr>
        <w:t>Al presentar el tema, el Presidente recordó que, de conformidad con el reglamento, la Conferencia de las Partes tendría que elegir</w:t>
      </w:r>
      <w:r w:rsidR="0052654D" w:rsidRPr="002927A1">
        <w:rPr>
          <w:lang w:val="es-ES_tradnl"/>
        </w:rPr>
        <w:t xml:space="preserve">, de entre los representantes de las Partes presentes en la reunión, </w:t>
      </w:r>
      <w:r w:rsidRPr="002927A1">
        <w:rPr>
          <w:lang w:val="es-ES_tradnl"/>
        </w:rPr>
        <w:t xml:space="preserve">a un Presidente y nueve Vicepresidentes, uno de los cuales actuaría como Relator, </w:t>
      </w:r>
      <w:r w:rsidR="0052654D" w:rsidRPr="002927A1">
        <w:rPr>
          <w:lang w:val="es-ES_tradnl"/>
        </w:rPr>
        <w:t xml:space="preserve">para que prestaran </w:t>
      </w:r>
      <w:r w:rsidRPr="002927A1">
        <w:rPr>
          <w:lang w:val="es-ES_tradnl"/>
        </w:rPr>
        <w:t>servicios a partir de la clausura de la reunión</w:t>
      </w:r>
      <w:r w:rsidR="0052654D" w:rsidRPr="002927A1">
        <w:rPr>
          <w:lang w:val="es-ES_tradnl"/>
        </w:rPr>
        <w:t xml:space="preserve"> en curso </w:t>
      </w:r>
      <w:r w:rsidRPr="002927A1">
        <w:rPr>
          <w:lang w:val="es-ES_tradnl"/>
        </w:rPr>
        <w:t>hasta la clausura de la cuarta reunión, incluido el período entre reuniones</w:t>
      </w:r>
      <w:r w:rsidR="00113D26" w:rsidRPr="002927A1">
        <w:rPr>
          <w:lang w:val="es-ES_tradnl"/>
        </w:rPr>
        <w:t xml:space="preserve">. </w:t>
      </w:r>
    </w:p>
    <w:p w14:paraId="64DE450E" w14:textId="49A303FD" w:rsidR="00113D26" w:rsidRPr="002927A1" w:rsidRDefault="00EE3CE1" w:rsidP="00A524DB">
      <w:pPr>
        <w:pStyle w:val="Normalnumber"/>
        <w:numPr>
          <w:ilvl w:val="0"/>
          <w:numId w:val="39"/>
        </w:numPr>
        <w:tabs>
          <w:tab w:val="clear" w:pos="624"/>
          <w:tab w:val="clear" w:pos="1134"/>
          <w:tab w:val="clear" w:pos="1247"/>
        </w:tabs>
        <w:rPr>
          <w:lang w:val="es-ES_tradnl"/>
        </w:rPr>
      </w:pPr>
      <w:r w:rsidRPr="002927A1">
        <w:rPr>
          <w:lang w:val="es-ES_tradnl"/>
        </w:rPr>
        <w:t>Posteriormente, la Conferencia de las Partes eligió a los siguientes miembros de la Mesa de la cuarta reunión de la Conferencia de las Partes</w:t>
      </w:r>
      <w:r w:rsidR="00113D26" w:rsidRPr="002927A1">
        <w:rPr>
          <w:lang w:val="es-ES_tradnl"/>
        </w:rPr>
        <w:t>:</w:t>
      </w:r>
    </w:p>
    <w:p w14:paraId="16858463" w14:textId="716EDB15" w:rsidR="00EE3CE1" w:rsidRPr="002927A1" w:rsidRDefault="00EE3CE1" w:rsidP="00EE3CE1">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sidRPr="002927A1">
        <w:rPr>
          <w:lang w:val="es-ES_tradnl"/>
        </w:rPr>
        <w:t>Presidencia:</w:t>
      </w:r>
      <w:r w:rsidRPr="002927A1">
        <w:rPr>
          <w:lang w:val="es-ES_tradnl"/>
        </w:rPr>
        <w:tab/>
        <w:t xml:space="preserve">Sra. Rosa Vivien </w:t>
      </w:r>
      <w:r w:rsidRPr="002927A1">
        <w:rPr>
          <w:rStyle w:val="DeltaViewInsertion"/>
          <w:color w:val="auto"/>
          <w:szCs w:val="28"/>
          <w:u w:val="none"/>
          <w:lang w:val="es-ES_tradnl"/>
        </w:rPr>
        <w:t>Ratnawati</w:t>
      </w:r>
      <w:bookmarkStart w:id="6" w:name="_DV_M13"/>
      <w:bookmarkEnd w:id="6"/>
      <w:r w:rsidRPr="002927A1">
        <w:rPr>
          <w:szCs w:val="28"/>
          <w:lang w:val="es-ES_tradnl"/>
        </w:rPr>
        <w:t xml:space="preserve"> </w:t>
      </w:r>
      <w:r w:rsidRPr="002927A1">
        <w:rPr>
          <w:lang w:val="es-ES_tradnl"/>
        </w:rPr>
        <w:t>(Indonesia)</w:t>
      </w:r>
    </w:p>
    <w:p w14:paraId="2C13A629" w14:textId="77777777" w:rsidR="005E75A4" w:rsidRPr="002927A1" w:rsidRDefault="00EE3CE1"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sidRPr="002927A1">
        <w:rPr>
          <w:lang w:val="es-ES_tradnl"/>
        </w:rPr>
        <w:t>Vicepresidencia:</w:t>
      </w:r>
      <w:r w:rsidRPr="002927A1">
        <w:rPr>
          <w:lang w:val="es-ES_tradnl"/>
        </w:rPr>
        <w:tab/>
      </w:r>
      <w:r w:rsidR="005E75A4" w:rsidRPr="002927A1">
        <w:rPr>
          <w:lang w:val="es-ES_tradnl"/>
        </w:rPr>
        <w:t>Sra. Anahit Aleksandryan (Armenia)</w:t>
      </w:r>
    </w:p>
    <w:p w14:paraId="08DA3090" w14:textId="5AA37BBB" w:rsidR="005E75A4" w:rsidRPr="002927A1" w:rsidRDefault="00F67F74" w:rsidP="00FB6282">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Pr>
          <w:lang w:val="es-ES_tradnl"/>
        </w:rPr>
        <w:tab/>
      </w:r>
      <w:r w:rsidR="005E75A4" w:rsidRPr="002927A1">
        <w:rPr>
          <w:lang w:val="es-ES_tradnl"/>
        </w:rPr>
        <w:t>Sra. Oarabile Serumola (Botswana)</w:t>
      </w:r>
    </w:p>
    <w:p w14:paraId="4A9E0A31" w14:textId="4EAF0C87" w:rsidR="00EE3CE1" w:rsidRPr="002927A1" w:rsidRDefault="005E75A4" w:rsidP="00EE3CE1">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Pr>
          <w:lang w:val="es-ES_tradnl"/>
        </w:rPr>
        <w:tab/>
      </w:r>
      <w:r w:rsidR="00EE3CE1" w:rsidRPr="002927A1">
        <w:rPr>
          <w:lang w:val="es-ES_tradnl"/>
        </w:rPr>
        <w:tab/>
        <w:t>Sr. Roger Baro (Burkina Faso)</w:t>
      </w:r>
    </w:p>
    <w:p w14:paraId="378B943E" w14:textId="77777777" w:rsidR="005E75A4" w:rsidRDefault="00EE3CE1"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sidRPr="002927A1">
        <w:rPr>
          <w:lang w:val="es-ES_tradnl"/>
        </w:rPr>
        <w:tab/>
      </w:r>
      <w:r w:rsidR="005E75A4" w:rsidRPr="002927A1">
        <w:rPr>
          <w:lang w:val="es-ES_tradnl"/>
        </w:rPr>
        <w:t>Sra. Alison Dickson (Canadá)</w:t>
      </w:r>
    </w:p>
    <w:p w14:paraId="5CC65CEC" w14:textId="46E4B6A0" w:rsidR="005E75A4" w:rsidRDefault="005E75A4"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Pr>
          <w:lang w:val="es-ES_tradnl"/>
        </w:rPr>
        <w:tab/>
      </w:r>
      <w:r w:rsidRPr="002927A1">
        <w:rPr>
          <w:lang w:val="es-ES_tradnl"/>
        </w:rPr>
        <w:t>Sra. Angela Rivera (Colombia)</w:t>
      </w:r>
    </w:p>
    <w:p w14:paraId="4F3EF26A" w14:textId="76D35E26" w:rsidR="00B312C9" w:rsidRPr="002927A1" w:rsidRDefault="00B312C9"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Pr>
          <w:lang w:val="es-ES_tradnl"/>
        </w:rPr>
        <w:tab/>
      </w:r>
      <w:r w:rsidRPr="002927A1">
        <w:rPr>
          <w:lang w:val="es-ES_tradnl"/>
        </w:rPr>
        <w:t>Sra. Karmen Krajnc (Eslovenia)</w:t>
      </w:r>
    </w:p>
    <w:p w14:paraId="03B985C1" w14:textId="77777777" w:rsidR="005E75A4" w:rsidRPr="002927A1" w:rsidRDefault="005E75A4"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sidRPr="002927A1">
        <w:rPr>
          <w:lang w:val="es-ES_tradnl"/>
        </w:rPr>
        <w:tab/>
        <w:t>Sra. Marie-Claire Lhenry (Francia)</w:t>
      </w:r>
    </w:p>
    <w:p w14:paraId="45B0E2C9" w14:textId="77777777" w:rsidR="005E75A4" w:rsidRPr="002927A1" w:rsidRDefault="005E75A4"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sidRPr="002927A1">
        <w:rPr>
          <w:lang w:val="es-ES_tradnl"/>
        </w:rPr>
        <w:tab/>
      </w:r>
      <w:r w:rsidRPr="002927A1">
        <w:rPr>
          <w:lang w:val="es-ES_tradnl"/>
        </w:rPr>
        <w:tab/>
        <w:t>Sra. Bethune Morgan (Jamaica)</w:t>
      </w:r>
    </w:p>
    <w:p w14:paraId="291C2679" w14:textId="25CFCEA5" w:rsidR="005E75A4" w:rsidRPr="000F7AB2" w:rsidRDefault="005E75A4" w:rsidP="005E75A4">
      <w:pPr>
        <w:pStyle w:val="Normal-pool"/>
        <w:tabs>
          <w:tab w:val="clear" w:pos="1247"/>
          <w:tab w:val="clear" w:pos="1814"/>
          <w:tab w:val="clear" w:pos="2381"/>
          <w:tab w:val="clear" w:pos="2948"/>
          <w:tab w:val="clear" w:pos="3515"/>
          <w:tab w:val="clear" w:pos="4082"/>
          <w:tab w:val="left" w:pos="3742"/>
        </w:tabs>
        <w:spacing w:after="100"/>
        <w:ind w:left="1871"/>
        <w:rPr>
          <w:lang w:val="es-ES_tradnl"/>
        </w:rPr>
      </w:pPr>
      <w:r w:rsidRPr="005E75A4">
        <w:rPr>
          <w:lang w:val="es-ES"/>
        </w:rPr>
        <w:tab/>
      </w:r>
      <w:r w:rsidR="00EE3CE1" w:rsidRPr="002927A1">
        <w:rPr>
          <w:lang w:val="es-ES_tradnl"/>
        </w:rPr>
        <w:tab/>
      </w:r>
      <w:r w:rsidRPr="000F7AB2">
        <w:rPr>
          <w:lang w:val="es-ES_tradnl"/>
        </w:rPr>
        <w:t>Sr. W.T.B Dissanayake (Sri Lanka)</w:t>
      </w:r>
    </w:p>
    <w:p w14:paraId="61F259D9" w14:textId="61AFE057" w:rsidR="00113D26" w:rsidRPr="002927A1" w:rsidRDefault="00EE3CE1" w:rsidP="00A524DB">
      <w:pPr>
        <w:pStyle w:val="Normalnumber"/>
        <w:numPr>
          <w:ilvl w:val="0"/>
          <w:numId w:val="39"/>
        </w:numPr>
        <w:tabs>
          <w:tab w:val="clear" w:pos="624"/>
          <w:tab w:val="clear" w:pos="1134"/>
          <w:tab w:val="clear" w:pos="1247"/>
        </w:tabs>
        <w:rPr>
          <w:lang w:val="es-ES_tradnl"/>
        </w:rPr>
      </w:pPr>
      <w:r w:rsidRPr="002927A1">
        <w:rPr>
          <w:lang w:val="es-ES_tradnl"/>
        </w:rPr>
        <w:t>Se acordó que la Relatoría de la tercera reunión de la Conferencia de las Partes sería designada por la Mesa en el período entre reuniones.</w:t>
      </w:r>
      <w:r w:rsidR="00275E07" w:rsidRPr="002927A1" w:rsidDel="00275E07">
        <w:rPr>
          <w:lang w:val="es-ES_tradnl"/>
        </w:rPr>
        <w:t xml:space="preserve"> </w:t>
      </w:r>
    </w:p>
    <w:p w14:paraId="1536F4C3" w14:textId="20E16280" w:rsidR="005726B0" w:rsidRPr="002927A1" w:rsidRDefault="00F57539" w:rsidP="005726B0">
      <w:pPr>
        <w:pStyle w:val="CH2"/>
        <w:rPr>
          <w:lang w:val="es-ES_tradnl"/>
        </w:rPr>
      </w:pPr>
      <w:r w:rsidRPr="002927A1">
        <w:rPr>
          <w:lang w:val="es-ES_tradnl"/>
        </w:rPr>
        <w:tab/>
      </w:r>
      <w:r w:rsidR="005726B0" w:rsidRPr="002927A1">
        <w:rPr>
          <w:lang w:val="es-ES_tradnl"/>
        </w:rPr>
        <w:t>C.</w:t>
      </w:r>
      <w:r w:rsidR="005726B0" w:rsidRPr="002927A1">
        <w:rPr>
          <w:lang w:val="es-ES_tradnl"/>
        </w:rPr>
        <w:tab/>
      </w:r>
      <w:r w:rsidR="005726B0" w:rsidRPr="002927A1">
        <w:rPr>
          <w:bCs/>
          <w:lang w:val="es-ES_tradnl"/>
        </w:rPr>
        <w:t xml:space="preserve">Aprobación del </w:t>
      </w:r>
      <w:r w:rsidR="0052654D" w:rsidRPr="002927A1">
        <w:rPr>
          <w:bCs/>
          <w:lang w:val="es-ES_tradnl"/>
        </w:rPr>
        <w:t>programa</w:t>
      </w:r>
    </w:p>
    <w:p w14:paraId="7858A897" w14:textId="77777777" w:rsidR="005726B0" w:rsidRPr="002927A1" w:rsidRDefault="005726B0" w:rsidP="00A524DB">
      <w:pPr>
        <w:pStyle w:val="Normalnumber"/>
        <w:numPr>
          <w:ilvl w:val="0"/>
          <w:numId w:val="39"/>
        </w:numPr>
        <w:tabs>
          <w:tab w:val="clear" w:pos="624"/>
          <w:tab w:val="clear" w:pos="1134"/>
          <w:tab w:val="clear" w:pos="1247"/>
        </w:tabs>
        <w:rPr>
          <w:lang w:val="es-ES_tradnl"/>
        </w:rPr>
      </w:pPr>
      <w:r w:rsidRPr="002927A1">
        <w:rPr>
          <w:lang w:val="es-ES_tradnl"/>
        </w:rPr>
        <w:t>La Conferencia de las Partes aprobó el siguiente programa sobre la base del programa provisional (UNEP/MC/COP.3/1):</w:t>
      </w:r>
    </w:p>
    <w:p w14:paraId="7C489B31"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rFonts w:eastAsiaTheme="minorEastAsia"/>
          <w:lang w:val="es-ES_tradnl"/>
        </w:rPr>
      </w:pPr>
      <w:r w:rsidRPr="002927A1">
        <w:rPr>
          <w:rFonts w:eastAsiaTheme="minorEastAsia"/>
          <w:lang w:val="es-ES_tradnl"/>
        </w:rPr>
        <w:t>Apertura de la reunión.</w:t>
      </w:r>
    </w:p>
    <w:p w14:paraId="0876AE33"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lang w:val="es-ES_tradnl"/>
        </w:rPr>
        <w:t>Cuestiones de organización:</w:t>
      </w:r>
    </w:p>
    <w:p w14:paraId="4C0596B2" w14:textId="0CCF0F33" w:rsidR="005726B0" w:rsidRPr="002927A1" w:rsidRDefault="00F57539" w:rsidP="00A524DB">
      <w:pPr>
        <w:pStyle w:val="Normal-pool"/>
        <w:numPr>
          <w:ilvl w:val="0"/>
          <w:numId w:val="45"/>
        </w:numPr>
        <w:tabs>
          <w:tab w:val="clear" w:pos="1247"/>
          <w:tab w:val="clear" w:pos="1814"/>
          <w:tab w:val="clear" w:pos="2381"/>
          <w:tab w:val="clear" w:pos="2948"/>
          <w:tab w:val="clear" w:pos="3515"/>
          <w:tab w:val="clear" w:pos="4082"/>
        </w:tabs>
        <w:autoSpaceDE w:val="0"/>
        <w:autoSpaceDN w:val="0"/>
        <w:adjustRightInd w:val="0"/>
        <w:spacing w:after="120"/>
        <w:ind w:left="3119" w:hanging="624"/>
        <w:rPr>
          <w:rFonts w:eastAsiaTheme="minorEastAsia"/>
          <w:lang w:val="es-ES_tradnl"/>
        </w:rPr>
      </w:pPr>
      <w:r w:rsidRPr="002927A1">
        <w:rPr>
          <w:lang w:val="es-ES_tradnl"/>
        </w:rPr>
        <w:tab/>
      </w:r>
      <w:r w:rsidR="005726B0" w:rsidRPr="002927A1">
        <w:rPr>
          <w:rFonts w:eastAsiaTheme="minorEastAsia"/>
          <w:lang w:val="es-ES_tradnl"/>
        </w:rPr>
        <w:t>Elección</w:t>
      </w:r>
      <w:r w:rsidR="005726B0" w:rsidRPr="002927A1">
        <w:rPr>
          <w:lang w:val="es-ES_tradnl"/>
        </w:rPr>
        <w:t xml:space="preserve"> de la Mesa para el período entre reuniones y la cuarta reunión de la </w:t>
      </w:r>
      <w:r w:rsidR="005726B0" w:rsidRPr="002927A1">
        <w:rPr>
          <w:rFonts w:eastAsiaTheme="minorEastAsia"/>
          <w:lang w:val="es-ES_tradnl"/>
        </w:rPr>
        <w:t>Conferencia de las Partes;</w:t>
      </w:r>
    </w:p>
    <w:p w14:paraId="0D72FF09" w14:textId="0ACC9A53" w:rsidR="005726B0" w:rsidRPr="002927A1" w:rsidRDefault="005726B0" w:rsidP="00A524DB">
      <w:pPr>
        <w:pStyle w:val="Normal-pool"/>
        <w:numPr>
          <w:ilvl w:val="0"/>
          <w:numId w:val="45"/>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Aprobación</w:t>
      </w:r>
      <w:r w:rsidRPr="002927A1">
        <w:rPr>
          <w:lang w:val="es-ES_tradnl"/>
        </w:rPr>
        <w:t xml:space="preserve"> del </w:t>
      </w:r>
      <w:r w:rsidR="0052654D" w:rsidRPr="002927A1">
        <w:rPr>
          <w:lang w:val="es-ES_tradnl"/>
        </w:rPr>
        <w:t>programa</w:t>
      </w:r>
      <w:r w:rsidRPr="002927A1">
        <w:rPr>
          <w:lang w:val="es-ES_tradnl"/>
        </w:rPr>
        <w:t>;</w:t>
      </w:r>
    </w:p>
    <w:p w14:paraId="0FAEC3FB" w14:textId="77777777" w:rsidR="005726B0" w:rsidRPr="002927A1" w:rsidRDefault="005726B0" w:rsidP="00A524DB">
      <w:pPr>
        <w:pStyle w:val="Normal-pool"/>
        <w:numPr>
          <w:ilvl w:val="0"/>
          <w:numId w:val="45"/>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Organización</w:t>
      </w:r>
      <w:r w:rsidRPr="002927A1">
        <w:rPr>
          <w:lang w:val="es-ES_tradnl"/>
        </w:rPr>
        <w:t xml:space="preserve"> de los trabajos.</w:t>
      </w:r>
    </w:p>
    <w:p w14:paraId="3EA12124"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rFonts w:eastAsiaTheme="minorEastAsia"/>
          <w:lang w:val="es-ES_tradnl"/>
        </w:rPr>
        <w:t>Reglamento</w:t>
      </w:r>
      <w:r w:rsidRPr="002927A1">
        <w:rPr>
          <w:lang w:val="es-ES_tradnl"/>
        </w:rPr>
        <w:t xml:space="preserve"> de la Conferencia de las Partes: examen del artículo 45.</w:t>
      </w:r>
    </w:p>
    <w:p w14:paraId="46813B51"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rFonts w:eastAsiaTheme="minorEastAsia"/>
          <w:lang w:val="es-ES_tradnl"/>
        </w:rPr>
        <w:t>Informe</w:t>
      </w:r>
      <w:r w:rsidRPr="002927A1">
        <w:rPr>
          <w:lang w:val="es-ES_tradnl"/>
        </w:rPr>
        <w:t xml:space="preserve"> sobre las credenciales de los representantes en la tercera reunión de la Conferencia de las Partes.</w:t>
      </w:r>
    </w:p>
    <w:p w14:paraId="66CD7913"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rFonts w:eastAsiaTheme="minorEastAsia"/>
          <w:lang w:val="es-ES_tradnl"/>
        </w:rPr>
        <w:t>Cuestiones</w:t>
      </w:r>
      <w:r w:rsidRPr="002927A1">
        <w:rPr>
          <w:lang w:val="es-ES_tradnl"/>
        </w:rPr>
        <w:t xml:space="preserve"> para el examen o la adopción de medidas por la Conferencia de las Partes:</w:t>
      </w:r>
    </w:p>
    <w:p w14:paraId="73AAC842" w14:textId="1539F60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Productos</w:t>
      </w:r>
      <w:r w:rsidRPr="002927A1">
        <w:rPr>
          <w:lang w:val="es-ES_tradnl"/>
        </w:rPr>
        <w:t xml:space="preserve"> </w:t>
      </w:r>
      <w:r w:rsidRPr="002927A1">
        <w:rPr>
          <w:rFonts w:eastAsiaTheme="minorEastAsia"/>
          <w:lang w:val="es-ES_tradnl"/>
        </w:rPr>
        <w:t>c</w:t>
      </w:r>
      <w:r w:rsidRPr="002927A1">
        <w:rPr>
          <w:lang w:val="es-ES_tradnl"/>
        </w:rPr>
        <w:t>on mercurio añadido y procesos de producción en los que se utiliza</w:t>
      </w:r>
      <w:r w:rsidR="005D1FCC" w:rsidRPr="002927A1">
        <w:rPr>
          <w:lang w:val="es-ES_tradnl"/>
        </w:rPr>
        <w:t>n</w:t>
      </w:r>
      <w:r w:rsidRPr="002927A1">
        <w:rPr>
          <w:lang w:val="es-ES_tradnl"/>
        </w:rPr>
        <w:t xml:space="preserve"> mercurio o compuestos de mercurio;</w:t>
      </w:r>
    </w:p>
    <w:p w14:paraId="79D17D91" w14:textId="77777777" w:rsidR="005726B0" w:rsidRPr="002927A1" w:rsidRDefault="005726B0" w:rsidP="00A524DB">
      <w:pPr>
        <w:pStyle w:val="Normal-pool"/>
        <w:numPr>
          <w:ilvl w:val="0"/>
          <w:numId w:val="46"/>
        </w:numPr>
        <w:tabs>
          <w:tab w:val="clear" w:pos="1247"/>
          <w:tab w:val="clear" w:pos="1814"/>
          <w:tab w:val="clear" w:pos="2381"/>
          <w:tab w:val="clear" w:pos="2948"/>
          <w:tab w:val="clear" w:pos="3515"/>
          <w:tab w:val="clear" w:pos="4082"/>
          <w:tab w:val="left" w:pos="624"/>
        </w:tabs>
        <w:autoSpaceDE w:val="0"/>
        <w:autoSpaceDN w:val="0"/>
        <w:adjustRightInd w:val="0"/>
        <w:spacing w:after="120"/>
        <w:ind w:left="3743" w:hanging="624"/>
        <w:rPr>
          <w:lang w:val="es-ES_tradnl"/>
        </w:rPr>
      </w:pPr>
      <w:bookmarkStart w:id="7" w:name="_Hlk2905442"/>
      <w:r w:rsidRPr="002927A1">
        <w:rPr>
          <w:rFonts w:eastAsiaTheme="minorEastAsia"/>
          <w:lang w:val="es-ES_tradnl"/>
        </w:rPr>
        <w:t>Examen</w:t>
      </w:r>
      <w:r w:rsidRPr="002927A1">
        <w:rPr>
          <w:lang w:val="es-ES_tradnl"/>
        </w:rPr>
        <w:t xml:space="preserve"> de los anexos A y B;</w:t>
      </w:r>
    </w:p>
    <w:p w14:paraId="74CB0B99" w14:textId="77777777" w:rsidR="005726B0" w:rsidRPr="002927A1" w:rsidRDefault="005726B0" w:rsidP="00A524DB">
      <w:pPr>
        <w:pStyle w:val="Normal-pool"/>
        <w:numPr>
          <w:ilvl w:val="0"/>
          <w:numId w:val="46"/>
        </w:numPr>
        <w:tabs>
          <w:tab w:val="clear" w:pos="1247"/>
          <w:tab w:val="clear" w:pos="1814"/>
          <w:tab w:val="clear" w:pos="2381"/>
          <w:tab w:val="clear" w:pos="2948"/>
          <w:tab w:val="clear" w:pos="3515"/>
          <w:tab w:val="clear" w:pos="4082"/>
          <w:tab w:val="left" w:pos="624"/>
        </w:tabs>
        <w:autoSpaceDE w:val="0"/>
        <w:autoSpaceDN w:val="0"/>
        <w:adjustRightInd w:val="0"/>
        <w:spacing w:after="120"/>
        <w:ind w:left="3743" w:hanging="624"/>
        <w:rPr>
          <w:lang w:val="es-ES_tradnl"/>
        </w:rPr>
      </w:pPr>
      <w:r w:rsidRPr="002927A1">
        <w:rPr>
          <w:rFonts w:eastAsiaTheme="minorEastAsia"/>
          <w:lang w:val="es-ES_tradnl"/>
        </w:rPr>
        <w:t>Propuesta</w:t>
      </w:r>
      <w:r w:rsidRPr="002927A1">
        <w:rPr>
          <w:lang w:val="es-ES_tradnl"/>
        </w:rPr>
        <w:t xml:space="preserve"> de enmienda del anexo A;</w:t>
      </w:r>
    </w:p>
    <w:bookmarkEnd w:id="7"/>
    <w:p w14:paraId="2C88EA63" w14:textId="77777777" w:rsidR="005726B0" w:rsidRPr="002927A1" w:rsidRDefault="005726B0" w:rsidP="00A524DB">
      <w:pPr>
        <w:pStyle w:val="Normal-pool"/>
        <w:numPr>
          <w:ilvl w:val="0"/>
          <w:numId w:val="46"/>
        </w:numPr>
        <w:tabs>
          <w:tab w:val="clear" w:pos="1247"/>
          <w:tab w:val="clear" w:pos="1814"/>
          <w:tab w:val="clear" w:pos="2381"/>
          <w:tab w:val="clear" w:pos="2948"/>
          <w:tab w:val="clear" w:pos="3515"/>
          <w:tab w:val="clear" w:pos="4082"/>
          <w:tab w:val="left" w:pos="624"/>
        </w:tabs>
        <w:autoSpaceDE w:val="0"/>
        <w:autoSpaceDN w:val="0"/>
        <w:adjustRightInd w:val="0"/>
        <w:spacing w:after="120"/>
        <w:ind w:left="3743" w:hanging="624"/>
        <w:rPr>
          <w:lang w:val="es-ES_tradnl"/>
        </w:rPr>
      </w:pPr>
      <w:r w:rsidRPr="002927A1">
        <w:rPr>
          <w:rFonts w:eastAsiaTheme="minorEastAsia"/>
          <w:lang w:val="es-ES_tradnl"/>
        </w:rPr>
        <w:t>Códigos</w:t>
      </w:r>
      <w:r w:rsidRPr="002927A1">
        <w:rPr>
          <w:lang w:val="es-ES_tradnl"/>
        </w:rPr>
        <w:t xml:space="preserve"> del Sistema Armonizado;</w:t>
      </w:r>
    </w:p>
    <w:p w14:paraId="1B94B0E8"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Liberaciones</w:t>
      </w:r>
      <w:r w:rsidRPr="002927A1">
        <w:rPr>
          <w:lang w:val="es-ES_tradnl"/>
        </w:rPr>
        <w:t xml:space="preserve"> de mercurio;</w:t>
      </w:r>
    </w:p>
    <w:p w14:paraId="32537F10"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lang w:val="es-ES_tradnl"/>
        </w:rPr>
        <w:t xml:space="preserve">Los </w:t>
      </w:r>
      <w:r w:rsidRPr="002927A1">
        <w:rPr>
          <w:rFonts w:eastAsiaTheme="minorEastAsia"/>
          <w:lang w:val="es-ES_tradnl"/>
        </w:rPr>
        <w:t>desechos</w:t>
      </w:r>
      <w:r w:rsidRPr="002927A1">
        <w:rPr>
          <w:lang w:val="es-ES_tradnl"/>
        </w:rPr>
        <w:t xml:space="preserve"> de mercurio, en particular el examen de los umbrales pertinentes;</w:t>
      </w:r>
    </w:p>
    <w:p w14:paraId="483E46EE"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Orientaciones</w:t>
      </w:r>
      <w:r w:rsidRPr="002927A1">
        <w:rPr>
          <w:lang w:val="es-ES_tradnl"/>
        </w:rPr>
        <w:t xml:space="preserve"> sobre la gestión de sitios contaminados;</w:t>
      </w:r>
    </w:p>
    <w:p w14:paraId="1833E231"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Mecanismo</w:t>
      </w:r>
      <w:r w:rsidRPr="002927A1">
        <w:rPr>
          <w:lang w:val="es-ES_tradnl"/>
        </w:rPr>
        <w:t xml:space="preserve"> financiero;</w:t>
      </w:r>
    </w:p>
    <w:p w14:paraId="19794174" w14:textId="77777777" w:rsidR="005726B0" w:rsidRPr="002927A1" w:rsidRDefault="005726B0" w:rsidP="008D25B9">
      <w:pPr>
        <w:pStyle w:val="Normal-pool"/>
        <w:numPr>
          <w:ilvl w:val="0"/>
          <w:numId w:val="42"/>
        </w:numPr>
        <w:tabs>
          <w:tab w:val="clear" w:pos="1247"/>
          <w:tab w:val="clear" w:pos="1814"/>
          <w:tab w:val="clear" w:pos="2381"/>
          <w:tab w:val="clear" w:pos="2948"/>
          <w:tab w:val="clear" w:pos="3515"/>
          <w:tab w:val="clear" w:pos="4082"/>
          <w:tab w:val="left" w:pos="624"/>
        </w:tabs>
        <w:autoSpaceDE w:val="0"/>
        <w:autoSpaceDN w:val="0"/>
        <w:adjustRightInd w:val="0"/>
        <w:spacing w:after="120"/>
        <w:ind w:left="3743" w:hanging="624"/>
        <w:rPr>
          <w:lang w:val="es-ES_tradnl"/>
        </w:rPr>
      </w:pPr>
      <w:r w:rsidRPr="002927A1">
        <w:rPr>
          <w:rFonts w:eastAsiaTheme="minorEastAsia"/>
          <w:lang w:val="es-ES_tradnl"/>
        </w:rPr>
        <w:t>Fondo</w:t>
      </w:r>
      <w:r w:rsidRPr="002927A1">
        <w:rPr>
          <w:lang w:val="es-ES_tradnl"/>
        </w:rPr>
        <w:t xml:space="preserve"> </w:t>
      </w:r>
      <w:r w:rsidRPr="002927A1">
        <w:rPr>
          <w:rFonts w:eastAsiaTheme="minorEastAsia"/>
          <w:lang w:val="es-ES_tradnl"/>
        </w:rPr>
        <w:t>para</w:t>
      </w:r>
      <w:r w:rsidRPr="002927A1">
        <w:rPr>
          <w:lang w:val="es-ES_tradnl"/>
        </w:rPr>
        <w:t xml:space="preserve"> </w:t>
      </w:r>
      <w:r w:rsidRPr="008D25B9">
        <w:rPr>
          <w:rFonts w:eastAsiaTheme="minorEastAsia"/>
          <w:lang w:val="es-ES_tradnl"/>
        </w:rPr>
        <w:t>el</w:t>
      </w:r>
      <w:r w:rsidRPr="002927A1">
        <w:rPr>
          <w:lang w:val="es-ES_tradnl"/>
        </w:rPr>
        <w:t xml:space="preserve"> Medio Ambiente Mundial;</w:t>
      </w:r>
    </w:p>
    <w:p w14:paraId="5BD0B5D6" w14:textId="36478E1A" w:rsidR="005726B0" w:rsidRPr="002927A1" w:rsidRDefault="00B33F64" w:rsidP="008D25B9">
      <w:pPr>
        <w:pStyle w:val="Normal-pool"/>
        <w:numPr>
          <w:ilvl w:val="0"/>
          <w:numId w:val="42"/>
        </w:numPr>
        <w:tabs>
          <w:tab w:val="clear" w:pos="1247"/>
          <w:tab w:val="clear" w:pos="1814"/>
          <w:tab w:val="clear" w:pos="2381"/>
          <w:tab w:val="clear" w:pos="2948"/>
          <w:tab w:val="clear" w:pos="3515"/>
          <w:tab w:val="clear" w:pos="4082"/>
          <w:tab w:val="left" w:pos="624"/>
        </w:tabs>
        <w:autoSpaceDE w:val="0"/>
        <w:autoSpaceDN w:val="0"/>
        <w:adjustRightInd w:val="0"/>
        <w:spacing w:after="120"/>
        <w:ind w:left="3743" w:hanging="624"/>
        <w:rPr>
          <w:lang w:val="es-ES_tradnl"/>
        </w:rPr>
      </w:pPr>
      <w:r w:rsidRPr="002927A1">
        <w:rPr>
          <w:rFonts w:eastAsiaTheme="minorEastAsia"/>
          <w:lang w:val="es-ES_tradnl"/>
        </w:rPr>
        <w:lastRenderedPageBreak/>
        <w:t>Programa Internacional Específico</w:t>
      </w:r>
      <w:r w:rsidR="005726B0" w:rsidRPr="002927A1">
        <w:rPr>
          <w:lang w:val="es-ES_tradnl"/>
        </w:rPr>
        <w:t xml:space="preserve"> para apoyar la creación de capacidad y la asistencia técnica;</w:t>
      </w:r>
    </w:p>
    <w:p w14:paraId="70DCC382" w14:textId="77777777" w:rsidR="005726B0" w:rsidRPr="002927A1" w:rsidRDefault="005726B0" w:rsidP="008D25B9">
      <w:pPr>
        <w:pStyle w:val="Normal-pool"/>
        <w:numPr>
          <w:ilvl w:val="0"/>
          <w:numId w:val="42"/>
        </w:numPr>
        <w:tabs>
          <w:tab w:val="clear" w:pos="1247"/>
          <w:tab w:val="clear" w:pos="1814"/>
          <w:tab w:val="clear" w:pos="2381"/>
          <w:tab w:val="clear" w:pos="2948"/>
          <w:tab w:val="clear" w:pos="3515"/>
          <w:tab w:val="clear" w:pos="4082"/>
          <w:tab w:val="left" w:pos="624"/>
        </w:tabs>
        <w:autoSpaceDE w:val="0"/>
        <w:autoSpaceDN w:val="0"/>
        <w:adjustRightInd w:val="0"/>
        <w:spacing w:after="120"/>
        <w:ind w:left="3743" w:hanging="624"/>
        <w:rPr>
          <w:lang w:val="es-ES_tradnl"/>
        </w:rPr>
      </w:pPr>
      <w:r w:rsidRPr="002927A1">
        <w:rPr>
          <w:lang w:val="es-ES_tradnl"/>
        </w:rPr>
        <w:t>Examen del mecanismo financiero;</w:t>
      </w:r>
    </w:p>
    <w:p w14:paraId="60453A3A"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Creación</w:t>
      </w:r>
      <w:r w:rsidRPr="002927A1">
        <w:rPr>
          <w:lang w:val="es-ES_tradnl"/>
        </w:rPr>
        <w:t xml:space="preserve"> de capacidad, asistencia técnica y transferencia de tecnología;</w:t>
      </w:r>
    </w:p>
    <w:p w14:paraId="5AD7A167"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lang w:val="es-ES_tradnl"/>
        </w:rPr>
        <w:t>Comité de Aplicación y Cumplimiento;</w:t>
      </w:r>
    </w:p>
    <w:p w14:paraId="1D57E08F"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Evaluación</w:t>
      </w:r>
      <w:r w:rsidRPr="002927A1">
        <w:rPr>
          <w:lang w:val="es-ES_tradnl"/>
        </w:rPr>
        <w:t xml:space="preserve"> de la eficacia;</w:t>
      </w:r>
    </w:p>
    <w:p w14:paraId="4F4E9641"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Reglamentación</w:t>
      </w:r>
      <w:r w:rsidRPr="002927A1">
        <w:rPr>
          <w:lang w:val="es-ES_tradnl"/>
        </w:rPr>
        <w:t xml:space="preserve"> financiera;</w:t>
      </w:r>
    </w:p>
    <w:p w14:paraId="14E72052"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rFonts w:eastAsiaTheme="minorEastAsia"/>
          <w:lang w:val="es-ES_tradnl"/>
        </w:rPr>
      </w:pPr>
      <w:r w:rsidRPr="002927A1">
        <w:rPr>
          <w:rFonts w:eastAsiaTheme="minorEastAsia"/>
          <w:lang w:val="es-ES_tradnl"/>
        </w:rPr>
        <w:t>Secretaría;</w:t>
      </w:r>
    </w:p>
    <w:p w14:paraId="01CFA210" w14:textId="77777777" w:rsidR="005726B0" w:rsidRPr="002927A1" w:rsidRDefault="005726B0" w:rsidP="00A524DB">
      <w:pPr>
        <w:pStyle w:val="Normal-pool"/>
        <w:numPr>
          <w:ilvl w:val="0"/>
          <w:numId w:val="41"/>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Emisiones</w:t>
      </w:r>
      <w:r w:rsidRPr="002927A1">
        <w:rPr>
          <w:lang w:val="es-ES_tradnl"/>
        </w:rPr>
        <w:t xml:space="preserve"> de mercurio dimanantes de la quema a cielo abierto de desechos.</w:t>
      </w:r>
    </w:p>
    <w:p w14:paraId="1589031A"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rFonts w:eastAsiaTheme="minorEastAsia"/>
          <w:lang w:val="es-ES_tradnl"/>
        </w:rPr>
        <w:t>Cooperación</w:t>
      </w:r>
      <w:r w:rsidRPr="002927A1">
        <w:rPr>
          <w:lang w:val="es-ES_tradnl"/>
        </w:rPr>
        <w:t xml:space="preserve"> y coordinación internacionales: </w:t>
      </w:r>
    </w:p>
    <w:p w14:paraId="4448B445" w14:textId="77777777" w:rsidR="005726B0" w:rsidRPr="002927A1" w:rsidRDefault="005726B0" w:rsidP="00A524DB">
      <w:pPr>
        <w:pStyle w:val="Normal-pool"/>
        <w:numPr>
          <w:ilvl w:val="0"/>
          <w:numId w:val="43"/>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rFonts w:eastAsiaTheme="minorEastAsia"/>
          <w:lang w:val="es-ES_tradnl"/>
        </w:rPr>
        <w:t>Organización</w:t>
      </w:r>
      <w:r w:rsidRPr="002927A1">
        <w:rPr>
          <w:lang w:val="es-ES_tradnl"/>
        </w:rPr>
        <w:t xml:space="preserve"> Mundial de la Salud; Organización Internacional del Trabajo;</w:t>
      </w:r>
    </w:p>
    <w:p w14:paraId="343891E9" w14:textId="77777777" w:rsidR="005726B0" w:rsidRPr="002927A1" w:rsidRDefault="005726B0" w:rsidP="00A524DB">
      <w:pPr>
        <w:pStyle w:val="Normal-pool"/>
        <w:numPr>
          <w:ilvl w:val="0"/>
          <w:numId w:val="43"/>
        </w:numPr>
        <w:tabs>
          <w:tab w:val="clear" w:pos="1247"/>
          <w:tab w:val="clear" w:pos="1814"/>
          <w:tab w:val="clear" w:pos="2381"/>
          <w:tab w:val="clear" w:pos="2948"/>
          <w:tab w:val="clear" w:pos="3515"/>
          <w:tab w:val="clear" w:pos="4082"/>
          <w:tab w:val="left" w:pos="624"/>
        </w:tabs>
        <w:autoSpaceDE w:val="0"/>
        <w:autoSpaceDN w:val="0"/>
        <w:adjustRightInd w:val="0"/>
        <w:spacing w:after="120"/>
        <w:ind w:left="3119" w:hanging="624"/>
        <w:rPr>
          <w:lang w:val="es-ES_tradnl"/>
        </w:rPr>
      </w:pPr>
      <w:r w:rsidRPr="002927A1">
        <w:rPr>
          <w:lang w:val="es-ES_tradnl"/>
        </w:rPr>
        <w:t xml:space="preserve">Otras </w:t>
      </w:r>
      <w:r w:rsidRPr="002927A1">
        <w:rPr>
          <w:rFonts w:eastAsiaTheme="minorEastAsia"/>
          <w:lang w:val="es-ES_tradnl"/>
        </w:rPr>
        <w:t>organizaciones</w:t>
      </w:r>
      <w:r w:rsidRPr="002927A1">
        <w:rPr>
          <w:lang w:val="es-ES_tradnl"/>
        </w:rPr>
        <w:t xml:space="preserve"> y órganos internacionales.</w:t>
      </w:r>
    </w:p>
    <w:p w14:paraId="79425F1F"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lang w:val="es-ES_tradnl"/>
        </w:rPr>
        <w:t>Programa de trabajo y presupuesto.</w:t>
      </w:r>
    </w:p>
    <w:p w14:paraId="02483368"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lang w:val="es-ES_tradnl"/>
        </w:rPr>
        <w:t>Lugar y fecha de celebración de la cuarta reunión de la Conferencia de las Partes.</w:t>
      </w:r>
    </w:p>
    <w:p w14:paraId="26E8DC19"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lang w:val="es-ES_tradnl"/>
        </w:rPr>
        <w:t xml:space="preserve">Otros </w:t>
      </w:r>
      <w:r w:rsidRPr="002927A1">
        <w:rPr>
          <w:rFonts w:eastAsiaTheme="minorEastAsia"/>
          <w:lang w:val="es-ES_tradnl"/>
        </w:rPr>
        <w:t>asuntos</w:t>
      </w:r>
      <w:r w:rsidRPr="002927A1">
        <w:rPr>
          <w:lang w:val="es-ES_tradnl"/>
        </w:rPr>
        <w:t>.</w:t>
      </w:r>
    </w:p>
    <w:p w14:paraId="4E507137"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rFonts w:eastAsiaTheme="minorEastAsia"/>
          <w:lang w:val="es-ES_tradnl"/>
        </w:rPr>
        <w:t>Aprobación</w:t>
      </w:r>
      <w:r w:rsidRPr="002927A1">
        <w:rPr>
          <w:lang w:val="es-ES_tradnl"/>
        </w:rPr>
        <w:t xml:space="preserve"> del informe.</w:t>
      </w:r>
    </w:p>
    <w:p w14:paraId="7F143C6B" w14:textId="77777777" w:rsidR="005726B0" w:rsidRPr="002927A1" w:rsidRDefault="005726B0" w:rsidP="00A524DB">
      <w:pPr>
        <w:pStyle w:val="Normal-pool"/>
        <w:numPr>
          <w:ilvl w:val="0"/>
          <w:numId w:val="40"/>
        </w:numPr>
        <w:tabs>
          <w:tab w:val="clear" w:pos="1247"/>
          <w:tab w:val="clear" w:pos="1814"/>
          <w:tab w:val="clear" w:pos="2381"/>
          <w:tab w:val="clear" w:pos="2948"/>
          <w:tab w:val="clear" w:pos="3515"/>
          <w:tab w:val="clear" w:pos="4082"/>
          <w:tab w:val="left" w:pos="624"/>
        </w:tabs>
        <w:autoSpaceDE w:val="0"/>
        <w:autoSpaceDN w:val="0"/>
        <w:adjustRightInd w:val="0"/>
        <w:spacing w:after="120"/>
        <w:ind w:left="2495" w:hanging="624"/>
        <w:rPr>
          <w:lang w:val="es-ES_tradnl"/>
        </w:rPr>
      </w:pPr>
      <w:r w:rsidRPr="002927A1">
        <w:rPr>
          <w:rFonts w:eastAsiaTheme="minorEastAsia"/>
          <w:lang w:val="es-ES_tradnl"/>
        </w:rPr>
        <w:t xml:space="preserve">Clausura </w:t>
      </w:r>
      <w:r w:rsidRPr="002927A1">
        <w:rPr>
          <w:lang w:val="es-ES_tradnl"/>
        </w:rPr>
        <w:t>de la reunión.</w:t>
      </w:r>
    </w:p>
    <w:p w14:paraId="465ED539" w14:textId="22B54F38" w:rsidR="005726B0" w:rsidRPr="002927A1" w:rsidRDefault="001947CE" w:rsidP="001947CE">
      <w:pPr>
        <w:pStyle w:val="CH2"/>
        <w:rPr>
          <w:b w:val="0"/>
          <w:lang w:val="es-ES_tradnl"/>
        </w:rPr>
      </w:pPr>
      <w:r w:rsidRPr="002927A1">
        <w:rPr>
          <w:lang w:val="es-ES_tradnl"/>
        </w:rPr>
        <w:tab/>
      </w:r>
      <w:r w:rsidR="005726B0" w:rsidRPr="002927A1">
        <w:rPr>
          <w:lang w:val="es-ES_tradnl"/>
        </w:rPr>
        <w:t>D.</w:t>
      </w:r>
      <w:r w:rsidR="005726B0" w:rsidRPr="002927A1">
        <w:rPr>
          <w:lang w:val="es-ES_tradnl"/>
        </w:rPr>
        <w:tab/>
      </w:r>
      <w:r w:rsidR="005726B0" w:rsidRPr="002927A1">
        <w:rPr>
          <w:bCs/>
          <w:lang w:val="es-ES_tradnl"/>
        </w:rPr>
        <w:t>Organización</w:t>
      </w:r>
      <w:r w:rsidR="005726B0" w:rsidRPr="002927A1">
        <w:rPr>
          <w:lang w:val="es-ES_tradnl"/>
        </w:rPr>
        <w:t xml:space="preserve"> de los trabajos</w:t>
      </w:r>
    </w:p>
    <w:p w14:paraId="3F26CB64" w14:textId="7E350898" w:rsidR="005726B0" w:rsidRPr="002927A1" w:rsidRDefault="005726B0"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Conferencia de las Partes, de conformidad con las propuestas que figuraban en una nota informativa sobre la reunión, preparada por </w:t>
      </w:r>
      <w:r w:rsidR="00DC27C2" w:rsidRPr="002927A1">
        <w:rPr>
          <w:lang w:val="es-ES_tradnl"/>
        </w:rPr>
        <w:t>el Presidente</w:t>
      </w:r>
      <w:r w:rsidRPr="002927A1">
        <w:rPr>
          <w:lang w:val="es-ES_tradnl"/>
        </w:rPr>
        <w:t xml:space="preserve"> (UNEP/MC/COP.3/2), </w:t>
      </w:r>
      <w:r w:rsidR="001D078E" w:rsidRPr="002927A1">
        <w:rPr>
          <w:lang w:val="es-ES_tradnl"/>
        </w:rPr>
        <w:t>decidió reunirse</w:t>
      </w:r>
      <w:r w:rsidRPr="002927A1">
        <w:rPr>
          <w:lang w:val="es-ES_tradnl"/>
        </w:rPr>
        <w:t xml:space="preserve"> de</w:t>
      </w:r>
      <w:r w:rsidR="00B63F6E" w:rsidRPr="002927A1">
        <w:rPr>
          <w:lang w:val="es-ES_tradnl"/>
        </w:rPr>
        <w:t> </w:t>
      </w:r>
      <w:r w:rsidRPr="002927A1">
        <w:rPr>
          <w:lang w:val="es-ES_tradnl"/>
        </w:rPr>
        <w:t xml:space="preserve">10.00 a 13.00 horas y de las 15.00 a las 18.00 horas cada día y, de ser necesario, </w:t>
      </w:r>
      <w:r w:rsidR="001D078E" w:rsidRPr="002927A1">
        <w:rPr>
          <w:lang w:val="es-ES_tradnl"/>
        </w:rPr>
        <w:t>establecer</w:t>
      </w:r>
      <w:r w:rsidRPr="002927A1">
        <w:rPr>
          <w:lang w:val="es-ES_tradnl"/>
        </w:rPr>
        <w:t xml:space="preserve"> grupos </w:t>
      </w:r>
      <w:r w:rsidR="001D078E" w:rsidRPr="002927A1">
        <w:rPr>
          <w:lang w:val="es-ES_tradnl"/>
        </w:rPr>
        <w:t>de pequeño formato</w:t>
      </w:r>
      <w:r w:rsidRPr="002927A1">
        <w:rPr>
          <w:lang w:val="es-ES_tradnl"/>
        </w:rPr>
        <w:t xml:space="preserve">. </w:t>
      </w:r>
    </w:p>
    <w:p w14:paraId="4E559371" w14:textId="20ACE665" w:rsidR="005726B0" w:rsidRPr="002927A1" w:rsidRDefault="001947CE" w:rsidP="001947CE">
      <w:pPr>
        <w:pStyle w:val="CH2"/>
        <w:rPr>
          <w:b w:val="0"/>
          <w:lang w:val="es-ES_tradnl"/>
        </w:rPr>
      </w:pPr>
      <w:r w:rsidRPr="002927A1">
        <w:rPr>
          <w:lang w:val="es-ES_tradnl"/>
        </w:rPr>
        <w:tab/>
      </w:r>
      <w:r w:rsidR="005726B0" w:rsidRPr="002927A1">
        <w:rPr>
          <w:lang w:val="es-ES_tradnl"/>
        </w:rPr>
        <w:t>E.</w:t>
      </w:r>
      <w:r w:rsidR="005726B0" w:rsidRPr="002927A1">
        <w:rPr>
          <w:lang w:val="es-ES_tradnl"/>
        </w:rPr>
        <w:tab/>
      </w:r>
      <w:r w:rsidR="005726B0" w:rsidRPr="002927A1">
        <w:rPr>
          <w:bCs/>
          <w:lang w:val="es-ES_tradnl"/>
        </w:rPr>
        <w:t>Asistencia</w:t>
      </w:r>
    </w:p>
    <w:p w14:paraId="077FD70E" w14:textId="32AD374F" w:rsidR="0099003C" w:rsidRPr="002927A1" w:rsidRDefault="005726B0" w:rsidP="00A524DB">
      <w:pPr>
        <w:pStyle w:val="Normalnumber"/>
        <w:numPr>
          <w:ilvl w:val="0"/>
          <w:numId w:val="44"/>
        </w:numPr>
        <w:tabs>
          <w:tab w:val="clear" w:pos="624"/>
          <w:tab w:val="clear" w:pos="1134"/>
          <w:tab w:val="clear" w:pos="1247"/>
        </w:tabs>
        <w:rPr>
          <w:lang w:val="es-ES_tradnl"/>
        </w:rPr>
      </w:pPr>
      <w:r w:rsidRPr="002927A1">
        <w:rPr>
          <w:lang w:val="es-ES_tradnl"/>
        </w:rPr>
        <w:t>Asistieron a la reunión representantes de las 104 Partes siguientes</w:t>
      </w:r>
      <w:r w:rsidR="0099003C" w:rsidRPr="002927A1">
        <w:rPr>
          <w:lang w:val="es-ES_tradnl"/>
        </w:rPr>
        <w:t xml:space="preserve">: </w:t>
      </w:r>
      <w:bookmarkStart w:id="8" w:name="_Hlk10192133"/>
      <w:r w:rsidRPr="002927A1">
        <w:rPr>
          <w:color w:val="000000" w:themeColor="text1"/>
          <w:lang w:val="es-ES_tradnl"/>
        </w:rPr>
        <w:t>Afganistán</w:t>
      </w:r>
      <w:r w:rsidR="001004E7" w:rsidRPr="002927A1">
        <w:rPr>
          <w:color w:val="000000" w:themeColor="text1"/>
          <w:lang w:val="es-ES_tradnl"/>
        </w:rPr>
        <w:t xml:space="preserve">, </w:t>
      </w:r>
      <w:r w:rsidR="00B258C1" w:rsidRPr="002927A1">
        <w:rPr>
          <w:color w:val="000000" w:themeColor="text1"/>
          <w:lang w:val="es-ES_tradnl"/>
        </w:rPr>
        <w:t xml:space="preserve">Alemania, </w:t>
      </w:r>
      <w:r w:rsidR="001004E7" w:rsidRPr="002927A1">
        <w:rPr>
          <w:color w:val="000000" w:themeColor="text1"/>
          <w:lang w:val="es-ES_tradnl"/>
        </w:rPr>
        <w:t xml:space="preserve">Antigua </w:t>
      </w:r>
      <w:r w:rsidRPr="002927A1">
        <w:rPr>
          <w:color w:val="000000" w:themeColor="text1"/>
          <w:lang w:val="es-ES_tradnl"/>
        </w:rPr>
        <w:t>y</w:t>
      </w:r>
      <w:r w:rsidR="001004E7" w:rsidRPr="002927A1">
        <w:rPr>
          <w:color w:val="000000" w:themeColor="text1"/>
          <w:lang w:val="es-ES_tradnl"/>
        </w:rPr>
        <w:t xml:space="preserve"> Barbuda, </w:t>
      </w:r>
      <w:r w:rsidR="009E69D9" w:rsidRPr="002927A1">
        <w:rPr>
          <w:color w:val="000000" w:themeColor="text1"/>
          <w:lang w:val="es-ES_tradnl"/>
        </w:rPr>
        <w:t xml:space="preserve">Arabia Saudita, </w:t>
      </w:r>
      <w:r w:rsidR="001004E7" w:rsidRPr="002927A1">
        <w:rPr>
          <w:color w:val="000000" w:themeColor="text1"/>
          <w:lang w:val="es-ES_tradnl"/>
        </w:rPr>
        <w:t>Argentina, Armenia, Austria, B</w:t>
      </w:r>
      <w:r w:rsidRPr="002927A1">
        <w:rPr>
          <w:color w:val="000000" w:themeColor="text1"/>
          <w:lang w:val="es-ES_tradnl"/>
        </w:rPr>
        <w:t>é</w:t>
      </w:r>
      <w:r w:rsidR="001004E7" w:rsidRPr="002927A1">
        <w:rPr>
          <w:color w:val="000000" w:themeColor="text1"/>
          <w:lang w:val="es-ES_tradnl"/>
        </w:rPr>
        <w:t>lgi</w:t>
      </w:r>
      <w:r w:rsidRPr="002927A1">
        <w:rPr>
          <w:color w:val="000000" w:themeColor="text1"/>
          <w:lang w:val="es-ES_tradnl"/>
        </w:rPr>
        <w:t>ca</w:t>
      </w:r>
      <w:r w:rsidR="001004E7" w:rsidRPr="002927A1">
        <w:rPr>
          <w:color w:val="000000" w:themeColor="text1"/>
          <w:lang w:val="es-ES_tradnl"/>
        </w:rPr>
        <w:t>, Benin, Bolivia (</w:t>
      </w:r>
      <w:r w:rsidRPr="002927A1">
        <w:rPr>
          <w:color w:val="000000" w:themeColor="text1"/>
          <w:lang w:val="es-ES_tradnl"/>
        </w:rPr>
        <w:t xml:space="preserve">Estado </w:t>
      </w:r>
      <w:r w:rsidR="001004E7" w:rsidRPr="002927A1">
        <w:rPr>
          <w:color w:val="000000" w:themeColor="text1"/>
          <w:lang w:val="es-ES_tradnl"/>
        </w:rPr>
        <w:t>Plurina</w:t>
      </w:r>
      <w:r w:rsidRPr="002927A1">
        <w:rPr>
          <w:color w:val="000000" w:themeColor="text1"/>
          <w:lang w:val="es-ES_tradnl"/>
        </w:rPr>
        <w:t>c</w:t>
      </w:r>
      <w:r w:rsidR="001004E7" w:rsidRPr="002927A1">
        <w:rPr>
          <w:color w:val="000000" w:themeColor="text1"/>
          <w:lang w:val="es-ES_tradnl"/>
        </w:rPr>
        <w:t xml:space="preserve">ional </w:t>
      </w:r>
      <w:r w:rsidRPr="002927A1">
        <w:rPr>
          <w:color w:val="000000" w:themeColor="text1"/>
          <w:lang w:val="es-ES_tradnl"/>
        </w:rPr>
        <w:t>de</w:t>
      </w:r>
      <w:r w:rsidR="001004E7" w:rsidRPr="002927A1">
        <w:rPr>
          <w:color w:val="000000" w:themeColor="text1"/>
          <w:lang w:val="es-ES_tradnl"/>
        </w:rPr>
        <w:t xml:space="preserve">), Botswana, </w:t>
      </w:r>
      <w:r w:rsidRPr="002927A1">
        <w:rPr>
          <w:color w:val="000000" w:themeColor="text1"/>
          <w:lang w:val="es-ES_tradnl"/>
        </w:rPr>
        <w:t>Brasil</w:t>
      </w:r>
      <w:r w:rsidR="001004E7" w:rsidRPr="002927A1">
        <w:rPr>
          <w:color w:val="000000" w:themeColor="text1"/>
          <w:lang w:val="es-ES_tradnl"/>
        </w:rPr>
        <w:t xml:space="preserve">, Bulgaria, Burkina Faso, </w:t>
      </w:r>
      <w:r w:rsidR="009D356D" w:rsidRPr="002927A1">
        <w:rPr>
          <w:color w:val="000000" w:themeColor="text1"/>
          <w:lang w:val="es-ES_tradnl"/>
        </w:rPr>
        <w:t>Canadá</w:t>
      </w:r>
      <w:r w:rsidR="001004E7" w:rsidRPr="002927A1">
        <w:rPr>
          <w:color w:val="000000" w:themeColor="text1"/>
          <w:lang w:val="es-ES_tradnl"/>
        </w:rPr>
        <w:t xml:space="preserve">, Chad, </w:t>
      </w:r>
      <w:r w:rsidR="008F3F93" w:rsidRPr="002927A1">
        <w:rPr>
          <w:color w:val="000000" w:themeColor="text1"/>
          <w:lang w:val="es-ES_tradnl"/>
        </w:rPr>
        <w:t xml:space="preserve">Chequia, </w:t>
      </w:r>
      <w:r w:rsidR="001004E7" w:rsidRPr="002927A1">
        <w:rPr>
          <w:color w:val="000000" w:themeColor="text1"/>
          <w:lang w:val="es-ES_tradnl"/>
        </w:rPr>
        <w:t>Chile, China, Colombia, Congo, Costa Rica, Croa</w:t>
      </w:r>
      <w:r w:rsidR="009D356D" w:rsidRPr="002927A1">
        <w:rPr>
          <w:color w:val="000000" w:themeColor="text1"/>
          <w:lang w:val="es-ES_tradnl"/>
        </w:rPr>
        <w:t>c</w:t>
      </w:r>
      <w:r w:rsidR="001004E7" w:rsidRPr="002927A1">
        <w:rPr>
          <w:color w:val="000000" w:themeColor="text1"/>
          <w:lang w:val="es-ES_tradnl"/>
        </w:rPr>
        <w:t>ia, Cuba, D</w:t>
      </w:r>
      <w:r w:rsidR="009D356D" w:rsidRPr="002927A1">
        <w:rPr>
          <w:color w:val="000000" w:themeColor="text1"/>
          <w:lang w:val="es-ES_tradnl"/>
        </w:rPr>
        <w:t>inamarca</w:t>
      </w:r>
      <w:r w:rsidR="001004E7" w:rsidRPr="002927A1">
        <w:rPr>
          <w:color w:val="000000" w:themeColor="text1"/>
          <w:lang w:val="es-ES_tradnl"/>
        </w:rPr>
        <w:t>, Djibout</w:t>
      </w:r>
      <w:r w:rsidR="008F3F93" w:rsidRPr="002927A1">
        <w:rPr>
          <w:color w:val="000000" w:themeColor="text1"/>
          <w:lang w:val="es-ES_tradnl"/>
        </w:rPr>
        <w:t>i</w:t>
      </w:r>
      <w:r w:rsidR="001004E7" w:rsidRPr="002927A1">
        <w:rPr>
          <w:color w:val="000000" w:themeColor="text1"/>
          <w:lang w:val="es-ES_tradnl"/>
        </w:rPr>
        <w:t xml:space="preserve">, Ecuador, El Salvador, </w:t>
      </w:r>
      <w:r w:rsidR="00653699" w:rsidRPr="002927A1">
        <w:rPr>
          <w:color w:val="000000" w:themeColor="text1"/>
          <w:lang w:val="es-ES_tradnl"/>
        </w:rPr>
        <w:t xml:space="preserve">Emiratos Árabes Unidos, </w:t>
      </w:r>
      <w:r w:rsidR="002E59EF" w:rsidRPr="002927A1">
        <w:rPr>
          <w:color w:val="000000" w:themeColor="text1"/>
          <w:lang w:val="es-ES_tradnl"/>
        </w:rPr>
        <w:t xml:space="preserve">Eslovaquia, Eslovenia, </w:t>
      </w:r>
      <w:r w:rsidR="00653699" w:rsidRPr="002927A1">
        <w:rPr>
          <w:color w:val="000000" w:themeColor="text1"/>
          <w:lang w:val="es-ES_tradnl"/>
        </w:rPr>
        <w:t xml:space="preserve">Estado de Palestina, </w:t>
      </w:r>
      <w:r w:rsidR="00410183" w:rsidRPr="002927A1">
        <w:rPr>
          <w:color w:val="000000" w:themeColor="text1"/>
          <w:lang w:val="es-ES_tradnl"/>
        </w:rPr>
        <w:t xml:space="preserve">Estados Unidos de América, </w:t>
      </w:r>
      <w:r w:rsidR="001004E7" w:rsidRPr="002927A1">
        <w:rPr>
          <w:color w:val="000000" w:themeColor="text1"/>
          <w:lang w:val="es-ES_tradnl"/>
        </w:rPr>
        <w:t>Estonia, Eswatini, Finland</w:t>
      </w:r>
      <w:r w:rsidR="009D356D" w:rsidRPr="002927A1">
        <w:rPr>
          <w:color w:val="000000" w:themeColor="text1"/>
          <w:lang w:val="es-ES_tradnl"/>
        </w:rPr>
        <w:t>ia</w:t>
      </w:r>
      <w:r w:rsidR="001004E7" w:rsidRPr="002927A1">
        <w:rPr>
          <w:color w:val="000000" w:themeColor="text1"/>
          <w:lang w:val="es-ES_tradnl"/>
        </w:rPr>
        <w:t>, Franc</w:t>
      </w:r>
      <w:r w:rsidR="009D356D" w:rsidRPr="002927A1">
        <w:rPr>
          <w:color w:val="000000" w:themeColor="text1"/>
          <w:lang w:val="es-ES_tradnl"/>
        </w:rPr>
        <w:t>ia</w:t>
      </w:r>
      <w:r w:rsidR="001004E7" w:rsidRPr="002927A1">
        <w:rPr>
          <w:color w:val="000000" w:themeColor="text1"/>
          <w:lang w:val="es-ES_tradnl"/>
        </w:rPr>
        <w:t xml:space="preserve">, </w:t>
      </w:r>
      <w:r w:rsidR="009D356D" w:rsidRPr="002927A1">
        <w:rPr>
          <w:color w:val="000000" w:themeColor="text1"/>
          <w:lang w:val="es-ES_tradnl"/>
        </w:rPr>
        <w:t>Gabón</w:t>
      </w:r>
      <w:r w:rsidR="001004E7" w:rsidRPr="002927A1">
        <w:rPr>
          <w:color w:val="000000" w:themeColor="text1"/>
          <w:lang w:val="es-ES_tradnl"/>
        </w:rPr>
        <w:t xml:space="preserve">, Gambia, Ghana, Guinea, </w:t>
      </w:r>
      <w:r w:rsidR="003C2150" w:rsidRPr="002927A1">
        <w:rPr>
          <w:color w:val="000000" w:themeColor="text1"/>
          <w:lang w:val="es-ES_tradnl"/>
        </w:rPr>
        <w:t xml:space="preserve">Guinea-Bissau, </w:t>
      </w:r>
      <w:r w:rsidR="001004E7" w:rsidRPr="002927A1">
        <w:rPr>
          <w:color w:val="000000" w:themeColor="text1"/>
          <w:lang w:val="es-ES_tradnl"/>
        </w:rPr>
        <w:t>Guyana, Honduras, Hungr</w:t>
      </w:r>
      <w:r w:rsidR="009D356D" w:rsidRPr="002927A1">
        <w:rPr>
          <w:color w:val="000000" w:themeColor="text1"/>
          <w:lang w:val="es-ES_tradnl"/>
        </w:rPr>
        <w:t>ía</w:t>
      </w:r>
      <w:r w:rsidR="001004E7" w:rsidRPr="002927A1">
        <w:rPr>
          <w:color w:val="000000" w:themeColor="text1"/>
          <w:lang w:val="es-ES_tradnl"/>
        </w:rPr>
        <w:t>, I</w:t>
      </w:r>
      <w:r w:rsidR="009D356D" w:rsidRPr="002927A1">
        <w:rPr>
          <w:color w:val="000000" w:themeColor="text1"/>
          <w:lang w:val="es-ES_tradnl"/>
        </w:rPr>
        <w:t>slandia</w:t>
      </w:r>
      <w:r w:rsidR="001004E7" w:rsidRPr="002927A1">
        <w:rPr>
          <w:color w:val="000000" w:themeColor="text1"/>
          <w:lang w:val="es-ES_tradnl"/>
        </w:rPr>
        <w:t>, Indonesia, Ir</w:t>
      </w:r>
      <w:r w:rsidR="009D356D" w:rsidRPr="002927A1">
        <w:rPr>
          <w:color w:val="000000" w:themeColor="text1"/>
          <w:lang w:val="es-ES_tradnl"/>
        </w:rPr>
        <w:t>á</w:t>
      </w:r>
      <w:r w:rsidR="001004E7" w:rsidRPr="002927A1">
        <w:rPr>
          <w:color w:val="000000" w:themeColor="text1"/>
          <w:lang w:val="es-ES_tradnl"/>
        </w:rPr>
        <w:t>n (</w:t>
      </w:r>
      <w:r w:rsidR="009D356D" w:rsidRPr="002927A1">
        <w:rPr>
          <w:color w:val="000000" w:themeColor="text1"/>
          <w:lang w:val="es-ES_tradnl"/>
        </w:rPr>
        <w:t xml:space="preserve">República </w:t>
      </w:r>
      <w:r w:rsidR="001004E7" w:rsidRPr="002927A1">
        <w:rPr>
          <w:color w:val="000000" w:themeColor="text1"/>
          <w:lang w:val="es-ES_tradnl"/>
        </w:rPr>
        <w:t>Isl</w:t>
      </w:r>
      <w:r w:rsidR="009D356D" w:rsidRPr="002927A1">
        <w:rPr>
          <w:color w:val="000000" w:themeColor="text1"/>
          <w:lang w:val="es-ES_tradnl"/>
        </w:rPr>
        <w:t>á</w:t>
      </w:r>
      <w:r w:rsidR="001004E7" w:rsidRPr="002927A1">
        <w:rPr>
          <w:color w:val="000000" w:themeColor="text1"/>
          <w:lang w:val="es-ES_tradnl"/>
        </w:rPr>
        <w:t>mic</w:t>
      </w:r>
      <w:r w:rsidR="009D356D" w:rsidRPr="002927A1">
        <w:rPr>
          <w:color w:val="000000" w:themeColor="text1"/>
          <w:lang w:val="es-ES_tradnl"/>
        </w:rPr>
        <w:t>a del</w:t>
      </w:r>
      <w:r w:rsidR="001004E7" w:rsidRPr="002927A1">
        <w:rPr>
          <w:color w:val="000000" w:themeColor="text1"/>
          <w:lang w:val="es-ES_tradnl"/>
        </w:rPr>
        <w:t xml:space="preserve">), </w:t>
      </w:r>
      <w:r w:rsidR="003C2150" w:rsidRPr="002927A1">
        <w:rPr>
          <w:color w:val="000000" w:themeColor="text1"/>
          <w:lang w:val="es-ES_tradnl"/>
        </w:rPr>
        <w:t>Irland</w:t>
      </w:r>
      <w:r w:rsidR="009D356D" w:rsidRPr="002927A1">
        <w:rPr>
          <w:color w:val="000000" w:themeColor="text1"/>
          <w:lang w:val="es-ES_tradnl"/>
        </w:rPr>
        <w:t>a</w:t>
      </w:r>
      <w:r w:rsidR="003C2150" w:rsidRPr="002927A1">
        <w:rPr>
          <w:color w:val="000000" w:themeColor="text1"/>
          <w:lang w:val="es-ES_tradnl"/>
        </w:rPr>
        <w:t xml:space="preserve">, </w:t>
      </w:r>
      <w:r w:rsidR="001004E7" w:rsidRPr="002927A1">
        <w:rPr>
          <w:color w:val="000000" w:themeColor="text1"/>
          <w:lang w:val="es-ES_tradnl"/>
        </w:rPr>
        <w:t>Jamaica, Jap</w:t>
      </w:r>
      <w:r w:rsidR="009D356D" w:rsidRPr="002927A1">
        <w:rPr>
          <w:color w:val="000000" w:themeColor="text1"/>
          <w:lang w:val="es-ES_tradnl"/>
        </w:rPr>
        <w:t>ó</w:t>
      </w:r>
      <w:r w:rsidR="001004E7" w:rsidRPr="002927A1">
        <w:rPr>
          <w:color w:val="000000" w:themeColor="text1"/>
          <w:lang w:val="es-ES_tradnl"/>
        </w:rPr>
        <w:t>n, Jordan</w:t>
      </w:r>
      <w:r w:rsidR="009D356D" w:rsidRPr="002927A1">
        <w:rPr>
          <w:color w:val="000000" w:themeColor="text1"/>
          <w:lang w:val="es-ES_tradnl"/>
        </w:rPr>
        <w:t>ia</w:t>
      </w:r>
      <w:r w:rsidR="001004E7" w:rsidRPr="002927A1">
        <w:rPr>
          <w:color w:val="000000" w:themeColor="text1"/>
          <w:lang w:val="es-ES_tradnl"/>
        </w:rPr>
        <w:t>, Kiribati, Kuwait, L</w:t>
      </w:r>
      <w:r w:rsidR="009D356D" w:rsidRPr="002927A1">
        <w:rPr>
          <w:color w:val="000000" w:themeColor="text1"/>
          <w:lang w:val="es-ES_tradnl"/>
        </w:rPr>
        <w:t>etonia</w:t>
      </w:r>
      <w:r w:rsidR="001004E7" w:rsidRPr="002927A1">
        <w:rPr>
          <w:color w:val="000000" w:themeColor="text1"/>
          <w:lang w:val="es-ES_tradnl"/>
        </w:rPr>
        <w:t>, L</w:t>
      </w:r>
      <w:r w:rsidR="009D356D" w:rsidRPr="002927A1">
        <w:rPr>
          <w:color w:val="000000" w:themeColor="text1"/>
          <w:lang w:val="es-ES_tradnl"/>
        </w:rPr>
        <w:t>í</w:t>
      </w:r>
      <w:r w:rsidR="001004E7" w:rsidRPr="002927A1">
        <w:rPr>
          <w:color w:val="000000" w:themeColor="text1"/>
          <w:lang w:val="es-ES_tradnl"/>
        </w:rPr>
        <w:t>bano, Lesotho, Lituania, Luxemburg</w:t>
      </w:r>
      <w:r w:rsidR="009D356D" w:rsidRPr="002927A1">
        <w:rPr>
          <w:color w:val="000000" w:themeColor="text1"/>
          <w:lang w:val="es-ES_tradnl"/>
        </w:rPr>
        <w:t>o</w:t>
      </w:r>
      <w:r w:rsidR="001004E7" w:rsidRPr="002927A1">
        <w:rPr>
          <w:color w:val="000000" w:themeColor="text1"/>
          <w:lang w:val="es-ES_tradnl"/>
        </w:rPr>
        <w:t xml:space="preserve">, Madagascar, Mali, </w:t>
      </w:r>
      <w:r w:rsidR="00526C82" w:rsidRPr="002927A1">
        <w:rPr>
          <w:color w:val="000000" w:themeColor="text1"/>
          <w:lang w:val="es-ES_tradnl"/>
        </w:rPr>
        <w:t xml:space="preserve">Mauricio, </w:t>
      </w:r>
      <w:r w:rsidR="001004E7" w:rsidRPr="002927A1">
        <w:rPr>
          <w:color w:val="000000" w:themeColor="text1"/>
          <w:lang w:val="es-ES_tradnl"/>
        </w:rPr>
        <w:t xml:space="preserve">Mauritania, </w:t>
      </w:r>
      <w:r w:rsidR="009D356D" w:rsidRPr="002927A1">
        <w:rPr>
          <w:color w:val="000000" w:themeColor="text1"/>
          <w:lang w:val="es-ES_tradnl"/>
        </w:rPr>
        <w:t>México</w:t>
      </w:r>
      <w:r w:rsidR="001004E7" w:rsidRPr="002927A1">
        <w:rPr>
          <w:color w:val="000000" w:themeColor="text1"/>
          <w:lang w:val="es-ES_tradnl"/>
        </w:rPr>
        <w:t xml:space="preserve">, </w:t>
      </w:r>
      <w:r w:rsidR="009D356D" w:rsidRPr="002927A1">
        <w:rPr>
          <w:color w:val="000000" w:themeColor="text1"/>
          <w:lang w:val="es-ES_tradnl"/>
        </w:rPr>
        <w:t>Mónaco</w:t>
      </w:r>
      <w:r w:rsidR="001004E7" w:rsidRPr="002927A1">
        <w:rPr>
          <w:color w:val="000000" w:themeColor="text1"/>
          <w:lang w:val="es-ES_tradnl"/>
        </w:rPr>
        <w:t xml:space="preserve">, Mongolia, </w:t>
      </w:r>
      <w:r w:rsidR="003C2150" w:rsidRPr="002927A1">
        <w:rPr>
          <w:color w:val="000000" w:themeColor="text1"/>
          <w:lang w:val="es-ES_tradnl"/>
        </w:rPr>
        <w:t xml:space="preserve">Montenegro, </w:t>
      </w:r>
      <w:r w:rsidR="001004E7" w:rsidRPr="002927A1">
        <w:rPr>
          <w:color w:val="000000" w:themeColor="text1"/>
          <w:lang w:val="es-ES_tradnl"/>
        </w:rPr>
        <w:t xml:space="preserve">Namibia, Nicaragua, </w:t>
      </w:r>
      <w:r w:rsidR="009D356D" w:rsidRPr="002927A1">
        <w:rPr>
          <w:color w:val="000000" w:themeColor="text1"/>
          <w:lang w:val="es-ES_tradnl"/>
        </w:rPr>
        <w:t>Níger</w:t>
      </w:r>
      <w:r w:rsidR="001004E7" w:rsidRPr="002927A1">
        <w:rPr>
          <w:color w:val="000000" w:themeColor="text1"/>
          <w:lang w:val="es-ES_tradnl"/>
        </w:rPr>
        <w:t>, Nigeria, Nor</w:t>
      </w:r>
      <w:r w:rsidR="009D356D" w:rsidRPr="002927A1">
        <w:rPr>
          <w:color w:val="000000" w:themeColor="text1"/>
          <w:lang w:val="es-ES_tradnl"/>
        </w:rPr>
        <w:t>uega</w:t>
      </w:r>
      <w:r w:rsidR="001004E7" w:rsidRPr="002927A1">
        <w:rPr>
          <w:color w:val="000000" w:themeColor="text1"/>
          <w:lang w:val="es-ES_tradnl"/>
        </w:rPr>
        <w:t xml:space="preserve">, </w:t>
      </w:r>
      <w:r w:rsidR="00AF0EC3">
        <w:rPr>
          <w:color w:val="000000" w:themeColor="text1"/>
          <w:lang w:val="es-ES_tradnl"/>
        </w:rPr>
        <w:t xml:space="preserve">Países Bajos </w:t>
      </w:r>
      <w:r w:rsidR="001004E7" w:rsidRPr="002927A1">
        <w:rPr>
          <w:color w:val="000000" w:themeColor="text1"/>
          <w:lang w:val="es-ES_tradnl"/>
        </w:rPr>
        <w:t xml:space="preserve">Palau, </w:t>
      </w:r>
      <w:r w:rsidR="009D356D" w:rsidRPr="002927A1">
        <w:rPr>
          <w:color w:val="000000" w:themeColor="text1"/>
          <w:lang w:val="es-ES_tradnl"/>
        </w:rPr>
        <w:t>Panamá</w:t>
      </w:r>
      <w:r w:rsidR="001004E7" w:rsidRPr="002927A1">
        <w:rPr>
          <w:color w:val="000000" w:themeColor="text1"/>
          <w:lang w:val="es-ES_tradnl"/>
        </w:rPr>
        <w:t xml:space="preserve">, Paraguay, </w:t>
      </w:r>
      <w:r w:rsidR="009D356D" w:rsidRPr="002927A1">
        <w:rPr>
          <w:color w:val="000000" w:themeColor="text1"/>
          <w:lang w:val="es-ES_tradnl"/>
        </w:rPr>
        <w:t>Perú</w:t>
      </w:r>
      <w:r w:rsidR="001004E7" w:rsidRPr="002927A1">
        <w:rPr>
          <w:color w:val="000000" w:themeColor="text1"/>
          <w:lang w:val="es-ES_tradnl"/>
        </w:rPr>
        <w:t xml:space="preserve">, </w:t>
      </w:r>
      <w:r w:rsidR="003C2150" w:rsidRPr="002927A1">
        <w:rPr>
          <w:color w:val="000000" w:themeColor="text1"/>
          <w:lang w:val="es-ES_tradnl"/>
        </w:rPr>
        <w:t xml:space="preserve">Portugal, </w:t>
      </w:r>
      <w:r w:rsidR="00410183" w:rsidRPr="002927A1">
        <w:rPr>
          <w:color w:val="000000" w:themeColor="text1"/>
          <w:lang w:val="es-ES_tradnl"/>
        </w:rPr>
        <w:t xml:space="preserve">Reino Unido de Gran Bretaña e Irlanda del Norte, </w:t>
      </w:r>
      <w:r w:rsidR="00653699" w:rsidRPr="002927A1">
        <w:rPr>
          <w:color w:val="000000" w:themeColor="text1"/>
          <w:lang w:val="es-ES_tradnl"/>
        </w:rPr>
        <w:t xml:space="preserve">República Árabe Siria, </w:t>
      </w:r>
      <w:r w:rsidR="001D7CD0" w:rsidRPr="002927A1">
        <w:rPr>
          <w:color w:val="000000" w:themeColor="text1"/>
          <w:lang w:val="es-ES_tradnl"/>
        </w:rPr>
        <w:t xml:space="preserve">República Democrática Popular Lao, </w:t>
      </w:r>
      <w:r w:rsidR="001004E7" w:rsidRPr="002927A1">
        <w:rPr>
          <w:color w:val="000000" w:themeColor="text1"/>
          <w:lang w:val="es-ES_tradnl"/>
        </w:rPr>
        <w:t>Rep</w:t>
      </w:r>
      <w:r w:rsidR="009D356D" w:rsidRPr="002927A1">
        <w:rPr>
          <w:color w:val="000000" w:themeColor="text1"/>
          <w:lang w:val="es-ES_tradnl"/>
        </w:rPr>
        <w:t>ú</w:t>
      </w:r>
      <w:r w:rsidR="001004E7" w:rsidRPr="002927A1">
        <w:rPr>
          <w:color w:val="000000" w:themeColor="text1"/>
          <w:lang w:val="es-ES_tradnl"/>
        </w:rPr>
        <w:t>blic</w:t>
      </w:r>
      <w:r w:rsidR="009D356D" w:rsidRPr="002927A1">
        <w:rPr>
          <w:color w:val="000000" w:themeColor="text1"/>
          <w:lang w:val="es-ES_tradnl"/>
        </w:rPr>
        <w:t>a de</w:t>
      </w:r>
      <w:r w:rsidR="001004E7" w:rsidRPr="002927A1">
        <w:rPr>
          <w:color w:val="000000" w:themeColor="text1"/>
          <w:lang w:val="es-ES_tradnl"/>
        </w:rPr>
        <w:t xml:space="preserve"> Moldova, </w:t>
      </w:r>
      <w:r w:rsidR="00B258C1" w:rsidRPr="002927A1">
        <w:rPr>
          <w:color w:val="000000" w:themeColor="text1"/>
          <w:lang w:val="es-ES_tradnl"/>
        </w:rPr>
        <w:t xml:space="preserve">República Dominicana, </w:t>
      </w:r>
      <w:r w:rsidR="001004E7" w:rsidRPr="002927A1">
        <w:rPr>
          <w:color w:val="000000" w:themeColor="text1"/>
          <w:lang w:val="es-ES_tradnl"/>
        </w:rPr>
        <w:t>R</w:t>
      </w:r>
      <w:r w:rsidR="009D356D" w:rsidRPr="002927A1">
        <w:rPr>
          <w:color w:val="000000" w:themeColor="text1"/>
          <w:lang w:val="es-ES_tradnl"/>
        </w:rPr>
        <w:t>u</w:t>
      </w:r>
      <w:r w:rsidR="001004E7" w:rsidRPr="002927A1">
        <w:rPr>
          <w:color w:val="000000" w:themeColor="text1"/>
          <w:lang w:val="es-ES_tradnl"/>
        </w:rPr>
        <w:t>man</w:t>
      </w:r>
      <w:r w:rsidR="00C6563A" w:rsidRPr="002927A1">
        <w:rPr>
          <w:color w:val="000000" w:themeColor="text1"/>
          <w:lang w:val="es-ES_tradnl"/>
        </w:rPr>
        <w:t>i</w:t>
      </w:r>
      <w:r w:rsidR="00966CA2" w:rsidRPr="002927A1">
        <w:rPr>
          <w:color w:val="000000" w:themeColor="text1"/>
          <w:lang w:val="es-ES_tradnl"/>
        </w:rPr>
        <w:t xml:space="preserve">a, </w:t>
      </w:r>
      <w:r w:rsidR="009E69D9" w:rsidRPr="002927A1">
        <w:rPr>
          <w:color w:val="000000" w:themeColor="text1"/>
          <w:lang w:val="es-ES_tradnl"/>
        </w:rPr>
        <w:t xml:space="preserve">Samoa, </w:t>
      </w:r>
      <w:r w:rsidR="00966CA2" w:rsidRPr="002927A1">
        <w:rPr>
          <w:color w:val="000000" w:themeColor="text1"/>
          <w:lang w:val="es-ES_tradnl"/>
        </w:rPr>
        <w:t>Sa</w:t>
      </w:r>
      <w:r w:rsidR="00221DEE" w:rsidRPr="002927A1">
        <w:rPr>
          <w:color w:val="000000" w:themeColor="text1"/>
          <w:lang w:val="es-ES_tradnl"/>
        </w:rPr>
        <w:t>int</w:t>
      </w:r>
      <w:r w:rsidR="001004E7" w:rsidRPr="002927A1">
        <w:rPr>
          <w:color w:val="000000" w:themeColor="text1"/>
          <w:lang w:val="es-ES_tradnl"/>
        </w:rPr>
        <w:t xml:space="preserve"> Kitts </w:t>
      </w:r>
      <w:r w:rsidR="009D356D" w:rsidRPr="002927A1">
        <w:rPr>
          <w:color w:val="000000" w:themeColor="text1"/>
          <w:lang w:val="es-ES_tradnl"/>
        </w:rPr>
        <w:t>y</w:t>
      </w:r>
      <w:r w:rsidR="001004E7" w:rsidRPr="002927A1">
        <w:rPr>
          <w:color w:val="000000" w:themeColor="text1"/>
          <w:lang w:val="es-ES_tradnl"/>
        </w:rPr>
        <w:t xml:space="preserve"> Nevis, Senegal, Sierra Leon</w:t>
      </w:r>
      <w:r w:rsidR="00496D70" w:rsidRPr="002927A1">
        <w:rPr>
          <w:color w:val="000000" w:themeColor="text1"/>
          <w:lang w:val="es-ES_tradnl"/>
        </w:rPr>
        <w:t>a</w:t>
      </w:r>
      <w:r w:rsidR="001004E7" w:rsidRPr="002927A1">
        <w:rPr>
          <w:color w:val="000000" w:themeColor="text1"/>
          <w:lang w:val="es-ES_tradnl"/>
        </w:rPr>
        <w:t>, Singap</w:t>
      </w:r>
      <w:r w:rsidR="009D356D" w:rsidRPr="002927A1">
        <w:rPr>
          <w:color w:val="000000" w:themeColor="text1"/>
          <w:lang w:val="es-ES_tradnl"/>
        </w:rPr>
        <w:t>ur</w:t>
      </w:r>
      <w:r w:rsidR="001004E7" w:rsidRPr="002927A1">
        <w:rPr>
          <w:color w:val="000000" w:themeColor="text1"/>
          <w:lang w:val="es-ES_tradnl"/>
        </w:rPr>
        <w:t xml:space="preserve">, </w:t>
      </w:r>
      <w:r w:rsidR="00653699" w:rsidRPr="002927A1">
        <w:rPr>
          <w:color w:val="000000" w:themeColor="text1"/>
          <w:lang w:val="es-ES_tradnl"/>
        </w:rPr>
        <w:t xml:space="preserve">Sri Lanka, </w:t>
      </w:r>
      <w:r w:rsidR="003C2150" w:rsidRPr="002927A1">
        <w:rPr>
          <w:color w:val="000000" w:themeColor="text1"/>
          <w:lang w:val="es-ES_tradnl"/>
        </w:rPr>
        <w:t>S</w:t>
      </w:r>
      <w:r w:rsidR="009D356D" w:rsidRPr="002927A1">
        <w:rPr>
          <w:color w:val="000000" w:themeColor="text1"/>
          <w:lang w:val="es-ES_tradnl"/>
        </w:rPr>
        <w:t>udáfrica</w:t>
      </w:r>
      <w:r w:rsidR="003C2150" w:rsidRPr="002927A1">
        <w:rPr>
          <w:color w:val="000000" w:themeColor="text1"/>
          <w:lang w:val="es-ES_tradnl"/>
        </w:rPr>
        <w:t xml:space="preserve">, </w:t>
      </w:r>
      <w:r w:rsidR="009D356D" w:rsidRPr="002927A1">
        <w:rPr>
          <w:color w:val="000000" w:themeColor="text1"/>
          <w:lang w:val="es-ES_tradnl"/>
        </w:rPr>
        <w:t>Suriname</w:t>
      </w:r>
      <w:r w:rsidR="001004E7" w:rsidRPr="002927A1">
        <w:rPr>
          <w:color w:val="000000" w:themeColor="text1"/>
          <w:lang w:val="es-ES_tradnl"/>
        </w:rPr>
        <w:t>, S</w:t>
      </w:r>
      <w:r w:rsidR="009D356D" w:rsidRPr="002927A1">
        <w:rPr>
          <w:color w:val="000000" w:themeColor="text1"/>
          <w:lang w:val="es-ES_tradnl"/>
        </w:rPr>
        <w:t>uecia</w:t>
      </w:r>
      <w:r w:rsidR="001004E7" w:rsidRPr="002927A1">
        <w:rPr>
          <w:color w:val="000000" w:themeColor="text1"/>
          <w:lang w:val="es-ES_tradnl"/>
        </w:rPr>
        <w:t>, S</w:t>
      </w:r>
      <w:r w:rsidR="009D356D" w:rsidRPr="002927A1">
        <w:rPr>
          <w:color w:val="000000" w:themeColor="text1"/>
          <w:lang w:val="es-ES_tradnl"/>
        </w:rPr>
        <w:t>uiza</w:t>
      </w:r>
      <w:r w:rsidR="001004E7" w:rsidRPr="002927A1">
        <w:rPr>
          <w:color w:val="000000" w:themeColor="text1"/>
          <w:lang w:val="es-ES_tradnl"/>
        </w:rPr>
        <w:t>, Tailand</w:t>
      </w:r>
      <w:r w:rsidR="009D356D" w:rsidRPr="002927A1">
        <w:rPr>
          <w:color w:val="000000" w:themeColor="text1"/>
          <w:lang w:val="es-ES_tradnl"/>
        </w:rPr>
        <w:t>ia</w:t>
      </w:r>
      <w:r w:rsidR="001004E7" w:rsidRPr="002927A1">
        <w:rPr>
          <w:color w:val="000000" w:themeColor="text1"/>
          <w:lang w:val="es-ES_tradnl"/>
        </w:rPr>
        <w:t xml:space="preserve">, Togo, </w:t>
      </w:r>
      <w:r w:rsidR="00FF476C" w:rsidRPr="002927A1">
        <w:rPr>
          <w:color w:val="000000" w:themeColor="text1"/>
          <w:lang w:val="es-ES_tradnl"/>
        </w:rPr>
        <w:t xml:space="preserve">Tonga, </w:t>
      </w:r>
      <w:r w:rsidR="008117DF" w:rsidRPr="002927A1">
        <w:rPr>
          <w:color w:val="000000" w:themeColor="text1"/>
          <w:lang w:val="es-ES_tradnl"/>
        </w:rPr>
        <w:t>Tuvalu</w:t>
      </w:r>
      <w:r w:rsidR="00FF476C" w:rsidRPr="002927A1">
        <w:rPr>
          <w:color w:val="000000" w:themeColor="text1"/>
          <w:lang w:val="es-ES_tradnl"/>
        </w:rPr>
        <w:t xml:space="preserve">, Uganda, </w:t>
      </w:r>
      <w:r w:rsidR="00B258C1" w:rsidRPr="002927A1">
        <w:rPr>
          <w:color w:val="000000" w:themeColor="text1"/>
          <w:lang w:val="es-ES_tradnl"/>
        </w:rPr>
        <w:t xml:space="preserve">Unión Europea, </w:t>
      </w:r>
      <w:r w:rsidR="001004E7" w:rsidRPr="002927A1">
        <w:rPr>
          <w:color w:val="000000" w:themeColor="text1"/>
          <w:lang w:val="es-ES_tradnl"/>
        </w:rPr>
        <w:t xml:space="preserve">Uruguay, </w:t>
      </w:r>
      <w:r w:rsidR="00FF476C" w:rsidRPr="002927A1">
        <w:rPr>
          <w:color w:val="000000" w:themeColor="text1"/>
          <w:lang w:val="es-ES_tradnl"/>
        </w:rPr>
        <w:t xml:space="preserve">Vanuatu, </w:t>
      </w:r>
      <w:r w:rsidR="009D356D" w:rsidRPr="002927A1">
        <w:rPr>
          <w:color w:val="000000" w:themeColor="text1"/>
          <w:lang w:val="es-ES_tradnl"/>
        </w:rPr>
        <w:t>Viet Nam</w:t>
      </w:r>
      <w:r w:rsidR="00B258C1" w:rsidRPr="002927A1">
        <w:rPr>
          <w:color w:val="000000" w:themeColor="text1"/>
          <w:lang w:val="es-ES_tradnl"/>
        </w:rPr>
        <w:t xml:space="preserve"> y </w:t>
      </w:r>
      <w:r w:rsidR="001004E7" w:rsidRPr="002927A1">
        <w:rPr>
          <w:color w:val="000000" w:themeColor="text1"/>
          <w:lang w:val="es-ES_tradnl"/>
        </w:rPr>
        <w:t>Zambia</w:t>
      </w:r>
      <w:bookmarkEnd w:id="8"/>
      <w:r w:rsidR="001004E7" w:rsidRPr="002927A1">
        <w:rPr>
          <w:color w:val="000000" w:themeColor="text1"/>
          <w:lang w:val="es-ES_tradnl"/>
        </w:rPr>
        <w:t>.</w:t>
      </w:r>
    </w:p>
    <w:p w14:paraId="573705BD" w14:textId="77777777" w:rsidR="00BA0978" w:rsidRPr="002927A1" w:rsidRDefault="00497592" w:rsidP="00A524DB">
      <w:pPr>
        <w:pStyle w:val="Normalnumber"/>
        <w:numPr>
          <w:ilvl w:val="0"/>
          <w:numId w:val="44"/>
        </w:numPr>
        <w:tabs>
          <w:tab w:val="clear" w:pos="624"/>
          <w:tab w:val="clear" w:pos="1134"/>
          <w:tab w:val="clear" w:pos="1247"/>
        </w:tabs>
        <w:rPr>
          <w:lang w:val="es-ES_tradnl"/>
        </w:rPr>
      </w:pPr>
      <w:r w:rsidRPr="002927A1">
        <w:rPr>
          <w:lang w:val="es-ES_tradnl"/>
        </w:rPr>
        <w:t>Además, asistieron a la reunión, en calidad de observadores, representantes de los Estados siguientes</w:t>
      </w:r>
      <w:r w:rsidR="0099003C" w:rsidRPr="002927A1">
        <w:rPr>
          <w:lang w:val="es-ES_tradnl"/>
        </w:rPr>
        <w:t xml:space="preserve">: </w:t>
      </w:r>
      <w:r w:rsidR="00BA0978" w:rsidRPr="002927A1">
        <w:rPr>
          <w:lang w:val="es-ES_tradnl"/>
        </w:rPr>
        <w:t xml:space="preserve">Angola, Argelia, Australia, Bahamas, Bangladesh, Belarús, Camerún, Côte d’Ivoire, España, Etiopía, Federación </w:t>
      </w:r>
      <w:r w:rsidR="00BA0978" w:rsidRPr="002927A1">
        <w:rPr>
          <w:color w:val="000000" w:themeColor="text1"/>
          <w:lang w:val="es-ES_tradnl"/>
        </w:rPr>
        <w:t>de</w:t>
      </w:r>
      <w:r w:rsidR="00BA0978" w:rsidRPr="002927A1">
        <w:rPr>
          <w:lang w:val="es-ES_tradnl"/>
        </w:rPr>
        <w:t xml:space="preserve"> Rusia, Filipinas, Georgia, Iraq, Italia, Kenya, Macedonia del Norte, Maldivas, Marruecos, Myanmar, Nepal, Polonia, República de Corea, República Popular Democrática de Corea, Sudán, Túnez, Turquía, Venezuela (República Bolivariana de), Yemen.</w:t>
      </w:r>
    </w:p>
    <w:p w14:paraId="4636711B" w14:textId="13EBE30C" w:rsidR="009F7B37" w:rsidRPr="002927A1" w:rsidRDefault="00F51F5F" w:rsidP="00A524DB">
      <w:pPr>
        <w:pStyle w:val="Normalnumber"/>
        <w:numPr>
          <w:ilvl w:val="0"/>
          <w:numId w:val="44"/>
        </w:numPr>
        <w:tabs>
          <w:tab w:val="clear" w:pos="624"/>
          <w:tab w:val="clear" w:pos="1134"/>
          <w:tab w:val="clear" w:pos="1247"/>
        </w:tabs>
        <w:rPr>
          <w:lang w:val="es-ES_tradnl"/>
        </w:rPr>
      </w:pPr>
      <w:r w:rsidRPr="002927A1">
        <w:rPr>
          <w:lang w:val="es-ES_tradnl"/>
        </w:rPr>
        <w:t>Estuvieron representados en calidad de observadores las entidades y los organismos especializados de las Naciones </w:t>
      </w:r>
      <w:r w:rsidRPr="002927A1">
        <w:rPr>
          <w:color w:val="000000" w:themeColor="text1"/>
          <w:lang w:val="es-ES_tradnl"/>
        </w:rPr>
        <w:t>Unidas</w:t>
      </w:r>
      <w:r w:rsidRPr="002927A1">
        <w:rPr>
          <w:lang w:val="es-ES_tradnl"/>
        </w:rPr>
        <w:t xml:space="preserve"> siguientes</w:t>
      </w:r>
      <w:r w:rsidR="0099003C" w:rsidRPr="002927A1">
        <w:rPr>
          <w:lang w:val="es-ES_tradnl"/>
        </w:rPr>
        <w:t xml:space="preserve">: </w:t>
      </w:r>
      <w:r w:rsidR="009F7B37" w:rsidRPr="002927A1">
        <w:rPr>
          <w:color w:val="000000" w:themeColor="text1"/>
          <w:lang w:val="es-ES_tradnl"/>
        </w:rPr>
        <w:t xml:space="preserve">Banco Mundial, </w:t>
      </w:r>
      <w:r w:rsidR="009F7B37" w:rsidRPr="002927A1">
        <w:rPr>
          <w:lang w:val="es-ES_tradnl"/>
        </w:rPr>
        <w:t>Fondo para el Medio Ambiente Mundial</w:t>
      </w:r>
      <w:r w:rsidR="009F7B37" w:rsidRPr="002927A1">
        <w:rPr>
          <w:color w:val="000000" w:themeColor="text1"/>
          <w:lang w:val="es-ES_tradnl"/>
        </w:rPr>
        <w:t>, Instituto de las Naciones Unidas para la Capacitación y las Investigaciones, Organización de</w:t>
      </w:r>
      <w:r w:rsidR="00157E17">
        <w:rPr>
          <w:color w:val="000000" w:themeColor="text1"/>
          <w:lang w:val="es-ES_tradnl"/>
        </w:rPr>
        <w:t> </w:t>
      </w:r>
      <w:r w:rsidR="009F7B37" w:rsidRPr="002927A1">
        <w:rPr>
          <w:color w:val="000000" w:themeColor="text1"/>
          <w:lang w:val="es-ES_tradnl"/>
        </w:rPr>
        <w:t>las Naciones Unidas para el Desarrollo Industrial, Organismo Internacional de Energía Atómica, Organización Internacional del Trabajo, Organización Meteorológica Mundial, Organización Mundial</w:t>
      </w:r>
      <w:r w:rsidR="00157E17">
        <w:rPr>
          <w:color w:val="000000" w:themeColor="text1"/>
          <w:lang w:val="es-ES_tradnl"/>
        </w:rPr>
        <w:t> </w:t>
      </w:r>
      <w:r w:rsidR="009F7B37" w:rsidRPr="002927A1">
        <w:rPr>
          <w:color w:val="000000" w:themeColor="text1"/>
          <w:lang w:val="es-ES_tradnl"/>
        </w:rPr>
        <w:t>de la Salud, Organización Mundial del Comercio, Programa de las Naciones Unidas para el</w:t>
      </w:r>
      <w:r w:rsidR="00157E17">
        <w:rPr>
          <w:color w:val="000000" w:themeColor="text1"/>
          <w:lang w:val="es-ES_tradnl"/>
        </w:rPr>
        <w:t> </w:t>
      </w:r>
      <w:r w:rsidR="009F7B37" w:rsidRPr="002927A1">
        <w:rPr>
          <w:color w:val="000000" w:themeColor="text1"/>
          <w:lang w:val="es-ES_tradnl"/>
        </w:rPr>
        <w:t xml:space="preserve">Desarrollo, </w:t>
      </w:r>
      <w:r w:rsidR="00AF0EC3">
        <w:rPr>
          <w:color w:val="000000" w:themeColor="text1"/>
          <w:lang w:val="es-ES_tradnl"/>
        </w:rPr>
        <w:t xml:space="preserve">Programa de las Naciones Unidas para el Medio Ambiente, </w:t>
      </w:r>
      <w:r w:rsidR="009F7B37" w:rsidRPr="002927A1">
        <w:rPr>
          <w:color w:val="000000" w:themeColor="text1"/>
          <w:lang w:val="es-ES_tradnl"/>
        </w:rPr>
        <w:t>Secretaría del Convenio de</w:t>
      </w:r>
      <w:r w:rsidR="00157E17">
        <w:rPr>
          <w:color w:val="000000" w:themeColor="text1"/>
          <w:lang w:val="es-ES_tradnl"/>
        </w:rPr>
        <w:t> </w:t>
      </w:r>
      <w:r w:rsidR="009F7B37" w:rsidRPr="002927A1">
        <w:rPr>
          <w:color w:val="000000" w:themeColor="text1"/>
          <w:lang w:val="es-ES_tradnl"/>
        </w:rPr>
        <w:t xml:space="preserve">Basilea sobre el Control de los Movimientos Transfronterizos de los Desechos Peligrosos y su </w:t>
      </w:r>
      <w:r w:rsidR="009F7B37" w:rsidRPr="002927A1">
        <w:rPr>
          <w:color w:val="000000" w:themeColor="text1"/>
          <w:lang w:val="es-ES_tradnl"/>
        </w:rPr>
        <w:lastRenderedPageBreak/>
        <w:t>Eliminación, el Convenio de Rotterdam sobre el Procedimiento de Consentimiento Fundamentado Previo aplicable a Ciertos Plaguicidas y Productos Químicos Peligrosos Objeto de Comercio Internacional y el Convenio de Estocolmo sobre Contaminantes Orgánicos Persistentes</w:t>
      </w:r>
      <w:r w:rsidR="00AF0EC3">
        <w:rPr>
          <w:color w:val="000000" w:themeColor="text1"/>
          <w:lang w:val="es-ES_tradnl"/>
        </w:rPr>
        <w:t>, secretaría de</w:t>
      </w:r>
      <w:r w:rsidR="00157E17">
        <w:rPr>
          <w:color w:val="000000" w:themeColor="text1"/>
          <w:lang w:val="es-ES_tradnl"/>
        </w:rPr>
        <w:t> </w:t>
      </w:r>
      <w:r w:rsidR="00AF0EC3">
        <w:rPr>
          <w:color w:val="000000" w:themeColor="text1"/>
          <w:lang w:val="es-ES_tradnl"/>
        </w:rPr>
        <w:t xml:space="preserve">la </w:t>
      </w:r>
      <w:r w:rsidR="00AF0EC3" w:rsidRPr="002927A1">
        <w:rPr>
          <w:lang w:val="es-ES_tradnl"/>
        </w:rPr>
        <w:t>Convención relativa a los Humedales de Importancia Internacional, especialmente como Hábitat de Aves Acuáticas (Convención de Ramsar)</w:t>
      </w:r>
      <w:r w:rsidR="00AF0EC3">
        <w:rPr>
          <w:lang w:val="es-ES_tradnl"/>
        </w:rPr>
        <w:t>.</w:t>
      </w:r>
    </w:p>
    <w:p w14:paraId="4F31307A" w14:textId="4B924A3A" w:rsidR="0099003C" w:rsidRPr="002927A1" w:rsidRDefault="00812C53" w:rsidP="00A524DB">
      <w:pPr>
        <w:pStyle w:val="Normalnumber"/>
        <w:numPr>
          <w:ilvl w:val="0"/>
          <w:numId w:val="44"/>
        </w:numPr>
        <w:tabs>
          <w:tab w:val="clear" w:pos="624"/>
          <w:tab w:val="clear" w:pos="1134"/>
          <w:tab w:val="clear" w:pos="1247"/>
        </w:tabs>
        <w:rPr>
          <w:lang w:val="es-ES_tradnl"/>
        </w:rPr>
      </w:pPr>
      <w:r w:rsidRPr="002927A1">
        <w:rPr>
          <w:lang w:val="es-ES_tradnl"/>
        </w:rPr>
        <w:t>Estuvieron representadas en calidad de observadoras las organizaciones intergubernamentales siguientes</w:t>
      </w:r>
      <w:r w:rsidR="0099003C" w:rsidRPr="002927A1">
        <w:rPr>
          <w:lang w:val="es-ES_tradnl"/>
        </w:rPr>
        <w:t xml:space="preserve">: </w:t>
      </w:r>
      <w:r w:rsidR="007C46DC" w:rsidRPr="002927A1">
        <w:rPr>
          <w:lang w:val="es-ES_tradnl"/>
        </w:rPr>
        <w:t xml:space="preserve">Comunidad Económica de los Estados de África </w:t>
      </w:r>
      <w:r w:rsidR="007C46DC" w:rsidRPr="002927A1">
        <w:rPr>
          <w:color w:val="000000" w:themeColor="text1"/>
          <w:lang w:val="es-ES_tradnl"/>
        </w:rPr>
        <w:t>Occidental</w:t>
      </w:r>
      <w:r w:rsidR="007C46DC" w:rsidRPr="002927A1">
        <w:rPr>
          <w:lang w:val="es-ES_tradnl"/>
        </w:rPr>
        <w:t xml:space="preserve"> </w:t>
      </w:r>
      <w:r w:rsidR="006006B1" w:rsidRPr="002927A1">
        <w:rPr>
          <w:lang w:val="es-ES_tradnl"/>
        </w:rPr>
        <w:t>(</w:t>
      </w:r>
      <w:r w:rsidR="007C46DC" w:rsidRPr="002927A1">
        <w:rPr>
          <w:lang w:val="es-ES_tradnl"/>
        </w:rPr>
        <w:t>CEDEAO</w:t>
      </w:r>
      <w:r w:rsidR="006006B1" w:rsidRPr="002927A1">
        <w:rPr>
          <w:lang w:val="es-ES_tradnl"/>
        </w:rPr>
        <w:t>), Grup</w:t>
      </w:r>
      <w:r w:rsidR="007C46DC" w:rsidRPr="002927A1">
        <w:rPr>
          <w:lang w:val="es-ES_tradnl"/>
        </w:rPr>
        <w:t>o de Observaciones de la Tierra</w:t>
      </w:r>
      <w:r w:rsidR="006006B1" w:rsidRPr="002927A1">
        <w:rPr>
          <w:lang w:val="es-ES_tradnl"/>
        </w:rPr>
        <w:t xml:space="preserve">, </w:t>
      </w:r>
      <w:r w:rsidR="007C46DC" w:rsidRPr="002927A1">
        <w:rPr>
          <w:lang w:val="es-ES_tradnl"/>
        </w:rPr>
        <w:t>Grupo Internacional de Estudio sobre el Plomo y el </w:t>
      </w:r>
      <w:r w:rsidR="007C46DC" w:rsidRPr="002927A1">
        <w:rPr>
          <w:iCs/>
          <w:lang w:val="es-ES_tradnl"/>
        </w:rPr>
        <w:t>Zinc</w:t>
      </w:r>
      <w:r w:rsidR="001004E7" w:rsidRPr="002927A1">
        <w:rPr>
          <w:lang w:val="es-ES_tradnl"/>
        </w:rPr>
        <w:t xml:space="preserve">, </w:t>
      </w:r>
      <w:r w:rsidR="006006B1" w:rsidRPr="002927A1">
        <w:rPr>
          <w:lang w:val="es-ES_tradnl"/>
        </w:rPr>
        <w:t>Regional Organization for the Environment of the Red Sea and Gulf of Aden region</w:t>
      </w:r>
      <w:r w:rsidR="007C46DC" w:rsidRPr="002927A1">
        <w:rPr>
          <w:lang w:val="es-ES_tradnl"/>
        </w:rPr>
        <w:t>,</w:t>
      </w:r>
      <w:r w:rsidR="007C46DC" w:rsidRPr="002927A1">
        <w:rPr>
          <w:rFonts w:ascii="Helvetica Neue" w:hAnsi="Helvetica Neue"/>
          <w:color w:val="333333"/>
          <w:sz w:val="21"/>
          <w:szCs w:val="21"/>
          <w:shd w:val="clear" w:color="auto" w:fill="F5F5F5"/>
          <w:lang w:val="es-ES_tradnl"/>
        </w:rPr>
        <w:t xml:space="preserve"> </w:t>
      </w:r>
      <w:r w:rsidR="007C46DC" w:rsidRPr="002927A1">
        <w:rPr>
          <w:lang w:val="es-ES_tradnl"/>
        </w:rPr>
        <w:t>secretaría del Programa </w:t>
      </w:r>
      <w:r w:rsidR="007C46DC" w:rsidRPr="002927A1">
        <w:rPr>
          <w:iCs/>
          <w:lang w:val="es-ES_tradnl"/>
        </w:rPr>
        <w:t>Regional</w:t>
      </w:r>
      <w:r w:rsidR="007C46DC" w:rsidRPr="002927A1">
        <w:rPr>
          <w:lang w:val="es-ES_tradnl"/>
        </w:rPr>
        <w:t> del Pacífico para el Medio Ambiente</w:t>
      </w:r>
      <w:r w:rsidR="001004E7" w:rsidRPr="002927A1">
        <w:rPr>
          <w:lang w:val="es-ES_tradnl"/>
        </w:rPr>
        <w:t>.</w:t>
      </w:r>
      <w:r w:rsidR="001004E7" w:rsidRPr="002927A1" w:rsidDel="001004E7">
        <w:rPr>
          <w:lang w:val="es-ES_tradnl"/>
        </w:rPr>
        <w:t xml:space="preserve"> </w:t>
      </w:r>
    </w:p>
    <w:p w14:paraId="2D1D8978" w14:textId="251F6E1E" w:rsidR="0099003C" w:rsidRPr="002927A1" w:rsidRDefault="00812C53" w:rsidP="00A524DB">
      <w:pPr>
        <w:pStyle w:val="Normalnumber"/>
        <w:numPr>
          <w:ilvl w:val="0"/>
          <w:numId w:val="44"/>
        </w:numPr>
        <w:rPr>
          <w:lang w:val="es-ES_tradnl"/>
        </w:rPr>
      </w:pPr>
      <w:r w:rsidRPr="002927A1">
        <w:rPr>
          <w:lang w:val="es-ES_tradnl"/>
        </w:rPr>
        <w:t>Estuvieron representados en calidad de observadores diversos organismos y agencias gubernamentales, centros regionales y subregionales, organizaciones no gubernamentales, entidades del sector privado e instituciones académicas. Los nombres de esas organizaciones figuran en la lista de participantes (UNEP/MC/COP.3/INF</w:t>
      </w:r>
      <w:r w:rsidR="00A2178F" w:rsidRPr="002927A1">
        <w:rPr>
          <w:lang w:val="es-ES_tradnl"/>
        </w:rPr>
        <w:t>/28</w:t>
      </w:r>
      <w:r w:rsidR="00077945" w:rsidRPr="002927A1">
        <w:rPr>
          <w:lang w:val="es-ES_tradnl"/>
        </w:rPr>
        <w:t>)</w:t>
      </w:r>
      <w:r w:rsidR="0099003C" w:rsidRPr="002927A1">
        <w:rPr>
          <w:lang w:val="es-ES_tradnl"/>
        </w:rPr>
        <w:t>.</w:t>
      </w:r>
    </w:p>
    <w:p w14:paraId="612F8F91" w14:textId="311C33BB" w:rsidR="0099003C" w:rsidRPr="002927A1" w:rsidRDefault="00F57539" w:rsidP="009E64B0">
      <w:pPr>
        <w:pStyle w:val="CH1"/>
        <w:rPr>
          <w:lang w:val="es-ES_tradnl"/>
        </w:rPr>
      </w:pPr>
      <w:r w:rsidRPr="002927A1">
        <w:rPr>
          <w:lang w:val="es-ES_tradnl"/>
        </w:rPr>
        <w:tab/>
      </w:r>
      <w:r w:rsidR="005767A5" w:rsidRPr="002927A1">
        <w:rPr>
          <w:lang w:val="es-ES_tradnl"/>
        </w:rPr>
        <w:t>III.</w:t>
      </w:r>
      <w:r w:rsidR="005767A5" w:rsidRPr="002927A1">
        <w:rPr>
          <w:lang w:val="es-ES_tradnl"/>
        </w:rPr>
        <w:tab/>
      </w:r>
      <w:r w:rsidR="005767A5" w:rsidRPr="002927A1">
        <w:rPr>
          <w:bCs/>
          <w:lang w:val="es-ES_tradnl"/>
        </w:rPr>
        <w:t>Reglamento de la Conferencia de las Partes: examen del artículo 45</w:t>
      </w:r>
    </w:p>
    <w:p w14:paraId="352C6790" w14:textId="3E34001F" w:rsidR="005767A5" w:rsidRPr="002927A1" w:rsidRDefault="005767A5" w:rsidP="00A524DB">
      <w:pPr>
        <w:pStyle w:val="Normalnumber"/>
        <w:numPr>
          <w:ilvl w:val="0"/>
          <w:numId w:val="44"/>
        </w:numPr>
        <w:tabs>
          <w:tab w:val="clear" w:pos="624"/>
          <w:tab w:val="clear" w:pos="1134"/>
          <w:tab w:val="clear" w:pos="1247"/>
        </w:tabs>
        <w:rPr>
          <w:lang w:val="es-ES_tradnl"/>
        </w:rPr>
      </w:pPr>
      <w:r w:rsidRPr="002927A1">
        <w:rPr>
          <w:lang w:val="es-ES_tradnl"/>
        </w:rPr>
        <w:t>Al presentar el tema, el representante de la Secretaría recordó que la Conferencia de las Partes, en su decisión MC</w:t>
      </w:r>
      <w:r w:rsidRPr="002927A1">
        <w:rPr>
          <w:lang w:val="es-ES_tradnl"/>
        </w:rPr>
        <w:noBreakHyphen/>
        <w:t>1/1, había aprobado el reglamento, con excepción de la segunda oración del párrafo 1 del artículo 45, que se refería a la posibilidad de adoptar una decisión sobre cuestiones de fondo mediante votación en caso de no lograrse un consenso por ningún otro medio, y el párrafo 3 del</w:t>
      </w:r>
      <w:r w:rsidR="00157E17">
        <w:rPr>
          <w:lang w:val="es-ES_tradnl"/>
        </w:rPr>
        <w:t> </w:t>
      </w:r>
      <w:r w:rsidRPr="002927A1">
        <w:rPr>
          <w:lang w:val="es-ES_tradnl"/>
        </w:rPr>
        <w:t xml:space="preserve">artículo 45, que se refería al mecanismo utilizado para decidir si una cuestión presentada ante la Conferencia de las Partes se consideraba de fondo o de procedimiento. </w:t>
      </w:r>
      <w:r w:rsidR="00F410E2" w:rsidRPr="002927A1">
        <w:rPr>
          <w:lang w:val="es-ES_tradnl"/>
        </w:rPr>
        <w:t xml:space="preserve">Habida cuenta de que </w:t>
      </w:r>
      <w:r w:rsidRPr="002927A1">
        <w:rPr>
          <w:lang w:val="es-ES_tradnl"/>
        </w:rPr>
        <w:t>en la segunda reunión no se había alcanzado ningún acuerdo sobre esos elementos, en la reunión en curso la Conferencia de las Partes tenía ante sí el texto entre corchetes del artículo 45 para volver a examinarlo (UNEP/MC/COP.3/3).</w:t>
      </w:r>
    </w:p>
    <w:p w14:paraId="046D4385" w14:textId="6DF16322" w:rsidR="005334AC" w:rsidRPr="002927A1" w:rsidRDefault="005334AC"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relación con el párrafo 1, todos los representantes que hicieron uso de la palabra subrayaron la importancia del consenso, </w:t>
      </w:r>
      <w:r w:rsidR="005C0805" w:rsidRPr="002927A1">
        <w:rPr>
          <w:lang w:val="es-ES_tradnl"/>
        </w:rPr>
        <w:t>el cual otorgaba máxima legitimidad a las</w:t>
      </w:r>
      <w:r w:rsidR="00FA6A30" w:rsidRPr="002927A1">
        <w:rPr>
          <w:lang w:val="es-ES_tradnl"/>
        </w:rPr>
        <w:t xml:space="preserve"> </w:t>
      </w:r>
      <w:r w:rsidRPr="002927A1">
        <w:rPr>
          <w:lang w:val="es-ES_tradnl"/>
        </w:rPr>
        <w:t xml:space="preserve">decisiones. Sin embargo, varios de ellos, </w:t>
      </w:r>
      <w:r w:rsidR="00DC27C2" w:rsidRPr="002927A1">
        <w:rPr>
          <w:lang w:val="es-ES_tradnl"/>
        </w:rPr>
        <w:t>entre otros</w:t>
      </w:r>
      <w:r w:rsidRPr="002927A1">
        <w:rPr>
          <w:lang w:val="es-ES_tradnl"/>
        </w:rPr>
        <w:t xml:space="preserve"> uno que habló en nombre de un grupo de países, apoyaron que se adoptase un enfoque alternativo cuando todos los esfuerzos por llegar a un consenso se hubiesen agotado. Uno de ellos señaló que la posibilidad de una votación contribuía a hacer más eficaces los acuerdos ambientales multilaterales y evitar que la voluntad de una minoría muy pequeña desvirtuase los deseos de la mayoría.</w:t>
      </w:r>
    </w:p>
    <w:p w14:paraId="6EC3EB27" w14:textId="65A9F4F5" w:rsidR="005334AC" w:rsidRPr="002927A1" w:rsidRDefault="005334AC" w:rsidP="00A524DB">
      <w:pPr>
        <w:pStyle w:val="Normalnumber"/>
        <w:numPr>
          <w:ilvl w:val="0"/>
          <w:numId w:val="44"/>
        </w:numPr>
        <w:tabs>
          <w:tab w:val="clear" w:pos="624"/>
          <w:tab w:val="clear" w:pos="1134"/>
          <w:tab w:val="clear" w:pos="1247"/>
        </w:tabs>
        <w:rPr>
          <w:color w:val="000000" w:themeColor="text1"/>
          <w:lang w:val="es-ES_tradnl"/>
        </w:rPr>
      </w:pPr>
      <w:r w:rsidRPr="002927A1">
        <w:rPr>
          <w:lang w:val="es-ES_tradnl"/>
        </w:rPr>
        <w:t>En relación con el texto que figura</w:t>
      </w:r>
      <w:r w:rsidR="00DC27C2" w:rsidRPr="002927A1">
        <w:rPr>
          <w:lang w:val="es-ES_tradnl"/>
        </w:rPr>
        <w:t>ba</w:t>
      </w:r>
      <w:r w:rsidRPr="002927A1">
        <w:rPr>
          <w:lang w:val="es-ES_tradnl"/>
        </w:rPr>
        <w:t xml:space="preserve"> entre corchetes en el párrafo 3, un representante expresó su apoyo a la propuesta de que, cuando se debatiese si un asunto </w:t>
      </w:r>
      <w:r w:rsidR="00DC27C2" w:rsidRPr="002927A1">
        <w:rPr>
          <w:lang w:val="es-ES_tradnl"/>
        </w:rPr>
        <w:t xml:space="preserve">era </w:t>
      </w:r>
      <w:r w:rsidRPr="002927A1">
        <w:rPr>
          <w:lang w:val="es-ES_tradnl"/>
        </w:rPr>
        <w:t xml:space="preserve">de procedimiento o de fondo, el asunto debería automáticamente considerarse sustantivo; con todo, algunos otros representantes </w:t>
      </w:r>
      <w:r w:rsidR="005C0805" w:rsidRPr="002927A1">
        <w:rPr>
          <w:lang w:val="es-ES_tradnl"/>
        </w:rPr>
        <w:t>opinaron</w:t>
      </w:r>
      <w:r w:rsidRPr="002927A1">
        <w:rPr>
          <w:lang w:val="es-ES_tradnl"/>
        </w:rPr>
        <w:t xml:space="preserve"> que las Partes deb</w:t>
      </w:r>
      <w:r w:rsidR="00DC27C2" w:rsidRPr="002927A1">
        <w:rPr>
          <w:lang w:val="es-ES_tradnl"/>
        </w:rPr>
        <w:t>er</w:t>
      </w:r>
      <w:r w:rsidRPr="002927A1">
        <w:rPr>
          <w:lang w:val="es-ES_tradnl"/>
        </w:rPr>
        <w:t>ían tener voz y voto en el asunto,</w:t>
      </w:r>
      <w:r w:rsidR="00DC27C2" w:rsidRPr="002927A1">
        <w:rPr>
          <w:lang w:val="es-ES_tradnl"/>
        </w:rPr>
        <w:t xml:space="preserve"> el cual por consiguiente</w:t>
      </w:r>
      <w:r w:rsidRPr="002927A1">
        <w:rPr>
          <w:lang w:val="es-ES_tradnl"/>
        </w:rPr>
        <w:t xml:space="preserve"> debería someterse a votación. Uno de ellos destacó que la redacción de la propuesta era la misma que la presente en el Reglamento de los Convenios de Basilea, Estocolmo y Rotterdam y otros importantes convenios y protocolos sobre el medio ambiente. Sin embargo, otro representante rechazó la idea de realizar cualquier tipo de votación. </w:t>
      </w:r>
    </w:p>
    <w:p w14:paraId="720D2831" w14:textId="727B90B8" w:rsidR="00345E23" w:rsidRPr="002927A1" w:rsidRDefault="00DC27C2" w:rsidP="00A524DB">
      <w:pPr>
        <w:pStyle w:val="Normalnumber"/>
        <w:numPr>
          <w:ilvl w:val="0"/>
          <w:numId w:val="44"/>
        </w:numPr>
        <w:tabs>
          <w:tab w:val="clear" w:pos="624"/>
          <w:tab w:val="clear" w:pos="1134"/>
          <w:tab w:val="clear" w:pos="1247"/>
        </w:tabs>
        <w:rPr>
          <w:lang w:val="es-ES_tradnl"/>
        </w:rPr>
      </w:pPr>
      <w:r w:rsidRPr="002927A1">
        <w:rPr>
          <w:lang w:val="es-ES_tradnl"/>
        </w:rPr>
        <w:t>En consecuencia</w:t>
      </w:r>
      <w:r w:rsidR="005334AC" w:rsidRPr="002927A1">
        <w:rPr>
          <w:lang w:val="es-ES_tradnl"/>
        </w:rPr>
        <w:t>, la Conferencia de las Partes acordó aplazar el examen del texto entre corchetes del artículo 45 hasta su cuarta reunión</w:t>
      </w:r>
      <w:r w:rsidR="00345E23" w:rsidRPr="002927A1">
        <w:rPr>
          <w:lang w:val="es-ES_tradnl"/>
        </w:rPr>
        <w:t>.</w:t>
      </w:r>
    </w:p>
    <w:p w14:paraId="7866F72B" w14:textId="01A4FA1F" w:rsidR="0099003C" w:rsidRPr="002927A1" w:rsidRDefault="00F57539" w:rsidP="00092C24">
      <w:pPr>
        <w:pStyle w:val="CH1"/>
        <w:rPr>
          <w:lang w:val="es-ES_tradnl"/>
        </w:rPr>
      </w:pPr>
      <w:r w:rsidRPr="002927A1">
        <w:rPr>
          <w:lang w:val="es-ES_tradnl"/>
        </w:rPr>
        <w:tab/>
      </w:r>
      <w:r w:rsidR="005334AC" w:rsidRPr="002927A1">
        <w:rPr>
          <w:lang w:val="es-ES_tradnl"/>
        </w:rPr>
        <w:t>IV.</w:t>
      </w:r>
      <w:r w:rsidR="005334AC" w:rsidRPr="002927A1">
        <w:rPr>
          <w:lang w:val="es-ES_tradnl"/>
        </w:rPr>
        <w:tab/>
      </w:r>
      <w:r w:rsidR="005334AC" w:rsidRPr="002927A1">
        <w:rPr>
          <w:bCs/>
          <w:lang w:val="es-ES_tradnl"/>
        </w:rPr>
        <w:t>Informe sobre las credenciales de los representantes en la tercera reunión de la Conferencia de las Partes</w:t>
      </w:r>
      <w:r w:rsidR="0099003C" w:rsidRPr="002927A1">
        <w:rPr>
          <w:lang w:val="es-ES_tradnl"/>
        </w:rPr>
        <w:t xml:space="preserve"> </w:t>
      </w:r>
    </w:p>
    <w:p w14:paraId="132D5270" w14:textId="44274BD9" w:rsidR="00113D26" w:rsidRPr="002927A1" w:rsidRDefault="00EE3CE1" w:rsidP="00A524DB">
      <w:pPr>
        <w:pStyle w:val="Normalnumber"/>
        <w:numPr>
          <w:ilvl w:val="0"/>
          <w:numId w:val="44"/>
        </w:numPr>
        <w:tabs>
          <w:tab w:val="clear" w:pos="624"/>
          <w:tab w:val="clear" w:pos="1134"/>
          <w:tab w:val="clear" w:pos="1247"/>
        </w:tabs>
        <w:rPr>
          <w:lang w:val="es-ES_tradnl"/>
        </w:rPr>
      </w:pPr>
      <w:r w:rsidRPr="002927A1">
        <w:rPr>
          <w:lang w:val="es-ES_tradnl"/>
        </w:rPr>
        <w:t>Al presentar el informe de la Mesa sobre las credenciales</w:t>
      </w:r>
      <w:r w:rsidR="00DC27C2" w:rsidRPr="002927A1">
        <w:rPr>
          <w:lang w:val="es-ES_tradnl"/>
        </w:rPr>
        <w:t xml:space="preserve"> de los representantes</w:t>
      </w:r>
      <w:r w:rsidRPr="002927A1">
        <w:rPr>
          <w:lang w:val="es-ES_tradnl"/>
        </w:rPr>
        <w:t>, el Sr. Niziri Asl dijo que la Mesa había examinado las credenciales presentadas por las Partes de conformidad con los artículos 19 y 20 del reglamento y había determinad</w:t>
      </w:r>
      <w:r w:rsidR="00DC27C2" w:rsidRPr="002927A1">
        <w:rPr>
          <w:lang w:val="es-ES_tradnl"/>
        </w:rPr>
        <w:t>o que, a</w:t>
      </w:r>
      <w:r w:rsidRPr="002927A1">
        <w:rPr>
          <w:lang w:val="es-ES_tradnl"/>
        </w:rPr>
        <w:t xml:space="preserve"> 26 de noviembre de 2019, los representantes de 77 Partes habían presentado credenciales emitidas ya fuese por un Jefe de Estado o de Gobierno o por un ministro de Relaciones Exteriores o, en el caso de una organización regional de integración económica, por la autoridad competente de esa organización. Además, 28 Partes habían </w:t>
      </w:r>
      <w:r w:rsidR="00DC27C2" w:rsidRPr="002927A1">
        <w:rPr>
          <w:lang w:val="es-ES_tradnl"/>
        </w:rPr>
        <w:t>presentado</w:t>
      </w:r>
      <w:r w:rsidRPr="002927A1">
        <w:rPr>
          <w:lang w:val="es-ES_tradnl"/>
        </w:rPr>
        <w:t xml:space="preserve"> credenciales o </w:t>
      </w:r>
      <w:r w:rsidR="00DC27C2" w:rsidRPr="002927A1">
        <w:rPr>
          <w:lang w:val="es-ES_tradnl"/>
        </w:rPr>
        <w:t xml:space="preserve">comunicado </w:t>
      </w:r>
      <w:r w:rsidRPr="002927A1">
        <w:rPr>
          <w:lang w:val="es-ES_tradnl"/>
        </w:rPr>
        <w:t>información relativa al nombramiento de representantes por fax</w:t>
      </w:r>
      <w:r w:rsidR="00DC27C2" w:rsidRPr="002927A1">
        <w:rPr>
          <w:lang w:val="es-ES_tradnl"/>
        </w:rPr>
        <w:t xml:space="preserve">, o mediante </w:t>
      </w:r>
      <w:r w:rsidRPr="002927A1">
        <w:rPr>
          <w:lang w:val="es-ES_tradnl"/>
        </w:rPr>
        <w:t>fotocopia, o en forma de cartas o notas verbales de la misión correspondiente. Ocho Partes no habían comunicado información alguna sobre sus representantes</w:t>
      </w:r>
      <w:r w:rsidR="00113D26" w:rsidRPr="002927A1">
        <w:rPr>
          <w:lang w:val="es-ES_tradnl"/>
        </w:rPr>
        <w:t xml:space="preserve">. </w:t>
      </w:r>
    </w:p>
    <w:p w14:paraId="493029EB" w14:textId="4B79A84A" w:rsidR="00054828" w:rsidRPr="002927A1" w:rsidRDefault="00EE3CE1" w:rsidP="00A524DB">
      <w:pPr>
        <w:pStyle w:val="Normalnumber"/>
        <w:numPr>
          <w:ilvl w:val="0"/>
          <w:numId w:val="44"/>
        </w:numPr>
        <w:tabs>
          <w:tab w:val="clear" w:pos="624"/>
          <w:tab w:val="clear" w:pos="1134"/>
          <w:tab w:val="clear" w:pos="1247"/>
        </w:tabs>
        <w:rPr>
          <w:lang w:val="es-ES_tradnl"/>
        </w:rPr>
      </w:pPr>
      <w:r w:rsidRPr="002927A1">
        <w:rPr>
          <w:lang w:val="es-ES_tradnl"/>
        </w:rPr>
        <w:t>La Conferencia de las Partes tomó nota del informe, tal como fue aprobado por la</w:t>
      </w:r>
      <w:r w:rsidR="005D1FCC" w:rsidRPr="002927A1">
        <w:rPr>
          <w:lang w:val="es-ES_tradnl"/>
        </w:rPr>
        <w:t xml:space="preserve"> Mesa.</w:t>
      </w:r>
    </w:p>
    <w:p w14:paraId="471B433E" w14:textId="5B5FB4B9" w:rsidR="0099003C" w:rsidRPr="002927A1" w:rsidRDefault="00F57539" w:rsidP="0099003C">
      <w:pPr>
        <w:pStyle w:val="CH1"/>
        <w:rPr>
          <w:lang w:val="es-ES_tradnl"/>
        </w:rPr>
      </w:pPr>
      <w:r w:rsidRPr="002927A1">
        <w:rPr>
          <w:lang w:val="es-ES_tradnl"/>
        </w:rPr>
        <w:lastRenderedPageBreak/>
        <w:tab/>
      </w:r>
      <w:r w:rsidR="005334AC" w:rsidRPr="002927A1">
        <w:rPr>
          <w:lang w:val="es-ES_tradnl"/>
        </w:rPr>
        <w:t>V.</w:t>
      </w:r>
      <w:r w:rsidR="005334AC" w:rsidRPr="002927A1">
        <w:rPr>
          <w:lang w:val="es-ES_tradnl"/>
        </w:rPr>
        <w:tab/>
      </w:r>
      <w:r w:rsidR="005334AC" w:rsidRPr="002927A1">
        <w:rPr>
          <w:bCs/>
          <w:lang w:val="es-ES_tradnl"/>
        </w:rPr>
        <w:t>Cuestiones para el examen o la adopción de medidas por la Conferencia de las Partes</w:t>
      </w:r>
      <w:r w:rsidR="0099003C" w:rsidRPr="002927A1">
        <w:rPr>
          <w:lang w:val="es-ES_tradnl"/>
        </w:rPr>
        <w:t xml:space="preserve"> </w:t>
      </w:r>
    </w:p>
    <w:p w14:paraId="7BEF6E06" w14:textId="56626287" w:rsidR="0099003C" w:rsidRPr="002927A1" w:rsidRDefault="0099003C" w:rsidP="009E64B0">
      <w:pPr>
        <w:pStyle w:val="CH2"/>
        <w:rPr>
          <w:lang w:val="es-ES_tradnl"/>
        </w:rPr>
      </w:pPr>
      <w:r w:rsidRPr="002927A1">
        <w:rPr>
          <w:lang w:val="es-ES_tradnl"/>
        </w:rPr>
        <w:tab/>
      </w:r>
      <w:r w:rsidR="005334AC" w:rsidRPr="002927A1">
        <w:rPr>
          <w:lang w:val="es-ES_tradnl"/>
        </w:rPr>
        <w:t>A.</w:t>
      </w:r>
      <w:r w:rsidR="005334AC" w:rsidRPr="002927A1">
        <w:rPr>
          <w:lang w:val="es-ES_tradnl"/>
        </w:rPr>
        <w:tab/>
      </w:r>
      <w:r w:rsidR="005334AC" w:rsidRPr="002927A1">
        <w:rPr>
          <w:bCs/>
          <w:lang w:val="es-ES_tradnl"/>
        </w:rPr>
        <w:t>Productos con mercurio añadido y procesos de producción en los que se utilizan mercurio o compuestos de mercurio</w:t>
      </w:r>
      <w:r w:rsidR="00077945" w:rsidRPr="002927A1" w:rsidDel="00077945">
        <w:rPr>
          <w:lang w:val="es-ES_tradnl"/>
        </w:rPr>
        <w:t xml:space="preserve"> </w:t>
      </w:r>
    </w:p>
    <w:p w14:paraId="605D038D" w14:textId="7E4D0728" w:rsidR="00077945" w:rsidRPr="002927A1" w:rsidRDefault="00077945" w:rsidP="009E64B0">
      <w:pPr>
        <w:pStyle w:val="CH3"/>
        <w:rPr>
          <w:lang w:val="es-ES_tradnl"/>
        </w:rPr>
      </w:pPr>
      <w:r w:rsidRPr="002927A1">
        <w:rPr>
          <w:lang w:val="es-ES_tradnl"/>
        </w:rPr>
        <w:tab/>
      </w:r>
      <w:r w:rsidR="005334AC" w:rsidRPr="002927A1">
        <w:rPr>
          <w:lang w:val="es-ES_tradnl"/>
        </w:rPr>
        <w:t>1.</w:t>
      </w:r>
      <w:r w:rsidR="005334AC" w:rsidRPr="002927A1">
        <w:rPr>
          <w:lang w:val="es-ES_tradnl"/>
        </w:rPr>
        <w:tab/>
      </w:r>
      <w:r w:rsidR="005334AC" w:rsidRPr="002927A1">
        <w:rPr>
          <w:bCs/>
          <w:lang w:val="es-ES_tradnl"/>
        </w:rPr>
        <w:t>Examen de los anexos A y B</w:t>
      </w:r>
    </w:p>
    <w:p w14:paraId="54C20D5E" w14:textId="6BA02788" w:rsidR="00CE13C3" w:rsidRPr="002927A1" w:rsidRDefault="005334AC"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el representante de la Secretaría recordó que los artículos 4 y 5 del Convenio estipulaban que se examinasen los anexos A y B en un plazo máximo de cinco años a partir de la fecha de entrada en vigor del Convenio. En su segunda reunión, la Conferencia de las Partes, tras examinar el asunto, había acordado volver a tratarlo en su tercera reunión y solicitar a la Secretaría que preparase un documento al respecto para estudiarlo en esa reunión. En consecuencia, la Conferencia de las Partes tenía ante sí una nota de la Secretaría sobre el examen de los anexos A y B (UNEP/MC/COP.3/4), en cuyo anexo figura</w:t>
      </w:r>
      <w:r w:rsidR="005D1FCC" w:rsidRPr="002927A1">
        <w:rPr>
          <w:lang w:val="es-ES_tradnl"/>
        </w:rPr>
        <w:t>ba</w:t>
      </w:r>
      <w:r w:rsidRPr="002927A1">
        <w:rPr>
          <w:lang w:val="es-ES_tradnl"/>
        </w:rPr>
        <w:t xml:space="preserve"> un proyecto de decisión relativo a establecer un grupo especial de expertos para examinar las disposiciones de los anexos A y B del Convenio, teniendo en cuenta la información presentada por las Partes, y el proyecto de mandato para el Grupo</w:t>
      </w:r>
      <w:r w:rsidR="00CE13C3" w:rsidRPr="002927A1">
        <w:rPr>
          <w:lang w:val="es-ES_tradnl"/>
        </w:rPr>
        <w:t>.</w:t>
      </w:r>
    </w:p>
    <w:p w14:paraId="3387A64B" w14:textId="58676DBC" w:rsidR="00CE13C3" w:rsidRPr="002927A1" w:rsidRDefault="005334AC"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el debate que tuvo lugar a continuación, muchos representantes, entre ellos uno que habló en nombre de un grupo de países, expresaron su apoyo a la creación de un grupo de expertos </w:t>
      </w:r>
      <w:r w:rsidR="005D1FCC" w:rsidRPr="002927A1">
        <w:rPr>
          <w:lang w:val="es-ES_tradnl"/>
        </w:rPr>
        <w:t xml:space="preserve">encargado de </w:t>
      </w:r>
      <w:r w:rsidRPr="002927A1">
        <w:rPr>
          <w:lang w:val="es-ES_tradnl"/>
        </w:rPr>
        <w:t>recopilar información técnica pertinente, en particular sobre alternativas técnica y económicamente viables a los productos con mercurio añadido y procesos basados en la utilización de</w:t>
      </w:r>
      <w:r w:rsidR="00157E17">
        <w:rPr>
          <w:lang w:val="es-ES_tradnl"/>
        </w:rPr>
        <w:t> </w:t>
      </w:r>
      <w:r w:rsidRPr="002927A1">
        <w:rPr>
          <w:lang w:val="es-ES_tradnl"/>
        </w:rPr>
        <w:t>mercurio enumerados en los anexos A y B, a fin de posibilitar que las Partes pudiesen examinar y estudiar en el futuro posibles enmiendas a los anexos del Convenio. Dos representantes sugirieron que</w:t>
      </w:r>
      <w:r w:rsidR="00157E17">
        <w:rPr>
          <w:lang w:val="es-ES_tradnl"/>
        </w:rPr>
        <w:t> </w:t>
      </w:r>
      <w:r w:rsidRPr="002927A1">
        <w:rPr>
          <w:lang w:val="es-ES_tradnl"/>
        </w:rPr>
        <w:t>era importante garantizar que el proceso de examen fuese abierto, transparente e inclusivo. Un representante declaró que el grupo de expertos debería contar con una representación suficiente de las regiones, a fin de hacer posible que se llegase a un consenso, y debería disponer de un mandato claro centrado en responder a cuestiones técnicas, incluidas las delicadas cuestiones de viabilidad técnica y económica de las alternativas sin mercurio a los productos con mercurio añadido y los procesos basados en la utilización de mercurio. Otro representante sostuvo que era esencial que, antes</w:t>
      </w:r>
      <w:r w:rsidR="00157E17">
        <w:rPr>
          <w:lang w:val="es-ES_tradnl"/>
        </w:rPr>
        <w:t> </w:t>
      </w:r>
      <w:r w:rsidRPr="002927A1">
        <w:rPr>
          <w:lang w:val="es-ES_tradnl"/>
        </w:rPr>
        <w:t>de añadir nuevos productos o procesos a los anexos A y B del Convenio, se tuviese en cuenta la</w:t>
      </w:r>
      <w:r w:rsidR="00157E17">
        <w:rPr>
          <w:lang w:val="es-ES_tradnl"/>
        </w:rPr>
        <w:t> </w:t>
      </w:r>
      <w:r w:rsidRPr="002927A1">
        <w:rPr>
          <w:lang w:val="es-ES_tradnl"/>
        </w:rPr>
        <w:t>disparidad entre las capacidades de las diferentes Partes para eliminar los productos y procesos ya enumerados en los anexos y cumplir sus obligaciones en virtud del Convenio con respecto a esos productos y procesos</w:t>
      </w:r>
      <w:r w:rsidR="00CE13C3" w:rsidRPr="002927A1">
        <w:rPr>
          <w:lang w:val="es-ES_tradnl"/>
        </w:rPr>
        <w:t>.</w:t>
      </w:r>
    </w:p>
    <w:p w14:paraId="4D177A82" w14:textId="32958C70" w:rsidR="005334AC" w:rsidRPr="002927A1" w:rsidRDefault="005334AC" w:rsidP="00A524DB">
      <w:pPr>
        <w:pStyle w:val="Normalnumber"/>
        <w:numPr>
          <w:ilvl w:val="0"/>
          <w:numId w:val="44"/>
        </w:numPr>
        <w:tabs>
          <w:tab w:val="clear" w:pos="624"/>
          <w:tab w:val="clear" w:pos="1134"/>
          <w:tab w:val="clear" w:pos="1247"/>
        </w:tabs>
        <w:rPr>
          <w:szCs w:val="22"/>
          <w:lang w:val="es-ES_tradnl"/>
        </w:rPr>
      </w:pPr>
      <w:r w:rsidRPr="002927A1">
        <w:rPr>
          <w:lang w:val="es-ES_tradnl"/>
        </w:rPr>
        <w:t xml:space="preserve">Una representante propuso que en la lista de las cualificaciones de los miembros del Grupo especial de expertos propuesto se incluyesen los conocimientos especializados sobre alternativas sin mercurio para sustituir los productos con mercurio añadido o los procesos dependientes de este elemento. La oradora instó también a examinar cuidadosamente si debían añadirse al mandato del </w:t>
      </w:r>
      <w:r w:rsidR="005C0805" w:rsidRPr="002927A1">
        <w:rPr>
          <w:lang w:val="es-ES_tradnl"/>
        </w:rPr>
        <w:t>g</w:t>
      </w:r>
      <w:r w:rsidRPr="002927A1">
        <w:rPr>
          <w:lang w:val="es-ES_tradnl"/>
        </w:rPr>
        <w:t>rupo de expertos propuesto el uso y la armonización de los códigos aduaneros para designar los productos con mercurio añadido, toda vez que, según subrayó, la cuestión de los códigos aduaneros exigía un alto grado de especialización y no guardaba relación directa con el examen de los anexos del Convenio, a</w:t>
      </w:r>
      <w:r w:rsidR="005D1FCC" w:rsidRPr="002927A1">
        <w:rPr>
          <w:lang w:val="es-ES_tradnl"/>
        </w:rPr>
        <w:t>demás</w:t>
      </w:r>
      <w:r w:rsidRPr="002927A1">
        <w:rPr>
          <w:lang w:val="es-ES_tradnl"/>
        </w:rPr>
        <w:t xml:space="preserve"> de que en el marco del Convenio ya se trabajaba en </w:t>
      </w:r>
      <w:r w:rsidR="005D1FCC" w:rsidRPr="002927A1">
        <w:rPr>
          <w:lang w:val="es-ES_tradnl"/>
        </w:rPr>
        <w:t>la</w:t>
      </w:r>
      <w:r w:rsidRPr="002927A1">
        <w:rPr>
          <w:lang w:val="es-ES_tradnl"/>
        </w:rPr>
        <w:t xml:space="preserve"> armonización de los códigos aduaneros y </w:t>
      </w:r>
      <w:r w:rsidR="001D078E" w:rsidRPr="002927A1">
        <w:rPr>
          <w:lang w:val="es-ES_tradnl"/>
        </w:rPr>
        <w:t>debería permitirse que esa labor continuase por separado</w:t>
      </w:r>
      <w:r w:rsidRPr="002927A1">
        <w:rPr>
          <w:lang w:val="es-ES_tradnl"/>
        </w:rPr>
        <w:t>. Otro representante, que intervino en nombre de un grupo de países, dijo que la cuestión de los códigos aduaneros era fundamental para que los países que no fabricaban, pero sí importaban</w:t>
      </w:r>
      <w:r w:rsidR="005D1FCC" w:rsidRPr="002927A1">
        <w:rPr>
          <w:lang w:val="es-ES_tradnl"/>
        </w:rPr>
        <w:t>,</w:t>
      </w:r>
      <w:r w:rsidRPr="002927A1">
        <w:rPr>
          <w:lang w:val="es-ES_tradnl"/>
        </w:rPr>
        <w:t xml:space="preserve"> productos con mercurio añadido pudiesen identificarlos.</w:t>
      </w:r>
    </w:p>
    <w:p w14:paraId="18C3A2F2" w14:textId="5E785DA4" w:rsidR="005334AC" w:rsidRPr="002927A1" w:rsidRDefault="005334AC" w:rsidP="00A524DB">
      <w:pPr>
        <w:pStyle w:val="Normalnumber"/>
        <w:numPr>
          <w:ilvl w:val="0"/>
          <w:numId w:val="44"/>
        </w:numPr>
        <w:tabs>
          <w:tab w:val="clear" w:pos="624"/>
          <w:tab w:val="clear" w:pos="1134"/>
          <w:tab w:val="clear" w:pos="1247"/>
        </w:tabs>
        <w:rPr>
          <w:szCs w:val="22"/>
          <w:lang w:val="es-ES_tradnl"/>
        </w:rPr>
      </w:pPr>
      <w:r w:rsidRPr="002927A1">
        <w:rPr>
          <w:lang w:val="es-ES_tradnl"/>
        </w:rPr>
        <w:t xml:space="preserve">Una representante anunció que un grupo de países de la región de América Latina y el Caribe presentaría un documento de sesión sobre el examen de los anexos A y B que </w:t>
      </w:r>
      <w:r w:rsidR="005D1FCC" w:rsidRPr="002927A1">
        <w:rPr>
          <w:lang w:val="es-ES_tradnl"/>
        </w:rPr>
        <w:t xml:space="preserve">estaba en plena consonancia con </w:t>
      </w:r>
      <w:r w:rsidRPr="002927A1">
        <w:rPr>
          <w:lang w:val="es-ES_tradnl"/>
        </w:rPr>
        <w:t>los artículos 4 y 5 del Convenio. La oradora afirmó que, de conformidad con lo dispuesto en ambos artículos, en los que se establecían las responsabilidades de las Partes, la Secretaría y la Conferencia de las Partes en el proceso de examen, no procedía encomendar a un grupo de expertos la recopilación ni el análisis de la información presentada con arreglo a los artículos 4 y 5 del Convenio. Otra representante secundó esa afirmación.</w:t>
      </w:r>
    </w:p>
    <w:p w14:paraId="244EEFF6" w14:textId="77777777" w:rsidR="005334AC" w:rsidRPr="002927A1" w:rsidRDefault="005334AC" w:rsidP="00A524DB">
      <w:pPr>
        <w:pStyle w:val="Normalnumber"/>
        <w:numPr>
          <w:ilvl w:val="0"/>
          <w:numId w:val="44"/>
        </w:numPr>
        <w:tabs>
          <w:tab w:val="clear" w:pos="624"/>
          <w:tab w:val="clear" w:pos="1134"/>
          <w:tab w:val="clear" w:pos="1247"/>
        </w:tabs>
        <w:rPr>
          <w:szCs w:val="22"/>
          <w:lang w:val="es-ES_tradnl"/>
        </w:rPr>
      </w:pPr>
      <w:r w:rsidRPr="002927A1">
        <w:rPr>
          <w:lang w:val="es-ES_tradnl"/>
        </w:rPr>
        <w:t>Otra representante recordó que el proceso de examen previsto en el Convenio no debía consumir mucho tiempo ni excesivos recursos y señaló que el proceso propuesto resultaría innecesariamente oneroso.</w:t>
      </w:r>
    </w:p>
    <w:p w14:paraId="0358863D" w14:textId="1419F696" w:rsidR="005334AC" w:rsidRPr="002927A1" w:rsidRDefault="005334AC" w:rsidP="00A524DB">
      <w:pPr>
        <w:pStyle w:val="Normalnumber"/>
        <w:numPr>
          <w:ilvl w:val="0"/>
          <w:numId w:val="44"/>
        </w:numPr>
        <w:tabs>
          <w:tab w:val="clear" w:pos="624"/>
          <w:tab w:val="clear" w:pos="1134"/>
          <w:tab w:val="clear" w:pos="1247"/>
        </w:tabs>
        <w:rPr>
          <w:szCs w:val="22"/>
          <w:lang w:val="es-ES_tradnl"/>
        </w:rPr>
      </w:pPr>
      <w:r w:rsidRPr="002927A1">
        <w:rPr>
          <w:lang w:val="es-ES_tradnl"/>
        </w:rPr>
        <w:t>El representante de un observador dijo que desde la aprobación de los anexos A y B habían aparecido usos nuevos del mercurio, en concreto, para el baño de oro y como combustible de cohetes de propulsión de satélites, y que en el proceso de examen de los anexos deb</w:t>
      </w:r>
      <w:r w:rsidR="005D1FCC" w:rsidRPr="002927A1">
        <w:rPr>
          <w:lang w:val="es-ES_tradnl"/>
        </w:rPr>
        <w:t>er</w:t>
      </w:r>
      <w:r w:rsidRPr="002927A1">
        <w:rPr>
          <w:lang w:val="es-ES_tradnl"/>
        </w:rPr>
        <w:t xml:space="preserve">ía tenerse en cuenta la </w:t>
      </w:r>
      <w:r w:rsidRPr="002927A1">
        <w:rPr>
          <w:lang w:val="es-ES_tradnl"/>
        </w:rPr>
        <w:lastRenderedPageBreak/>
        <w:t xml:space="preserve">información proporcionada por las Partes y otros interesados y recabar aportaciones importantes de las organizaciones no gubernamentales. </w:t>
      </w:r>
    </w:p>
    <w:p w14:paraId="61409EA0" w14:textId="1B77F3D4" w:rsidR="00EE6A6E" w:rsidRPr="002927A1" w:rsidRDefault="005334AC" w:rsidP="00A524DB">
      <w:pPr>
        <w:pStyle w:val="Normalnumber"/>
        <w:numPr>
          <w:ilvl w:val="0"/>
          <w:numId w:val="44"/>
        </w:numPr>
        <w:tabs>
          <w:tab w:val="clear" w:pos="624"/>
          <w:tab w:val="clear" w:pos="1134"/>
          <w:tab w:val="clear" w:pos="1247"/>
        </w:tabs>
        <w:rPr>
          <w:lang w:val="es-ES_tradnl"/>
        </w:rPr>
      </w:pPr>
      <w:r w:rsidRPr="002927A1">
        <w:rPr>
          <w:lang w:val="es-ES_tradnl"/>
        </w:rPr>
        <w:t>Tras el debate, la Conferencia de las Partes acordó establecer un grupo de contacto sobre cuestiones técnicas, copresidido por la Sra. Silvija Nora Kalnins (Letonia) y el Sr. Sam Adu</w:t>
      </w:r>
      <w:r w:rsidRPr="002927A1">
        <w:rPr>
          <w:lang w:val="es-ES_tradnl"/>
        </w:rPr>
        <w:noBreakHyphen/>
        <w:t xml:space="preserve">Kumi (Ghana), </w:t>
      </w:r>
      <w:r w:rsidR="005D1FCC" w:rsidRPr="002927A1">
        <w:rPr>
          <w:lang w:val="es-ES_tradnl"/>
        </w:rPr>
        <w:t xml:space="preserve">con la tarea de </w:t>
      </w:r>
      <w:r w:rsidRPr="002927A1">
        <w:rPr>
          <w:lang w:val="es-ES_tradnl"/>
        </w:rPr>
        <w:t>elabora</w:t>
      </w:r>
      <w:r w:rsidR="005D1FCC" w:rsidRPr="002927A1">
        <w:rPr>
          <w:lang w:val="es-ES_tradnl"/>
        </w:rPr>
        <w:t>r</w:t>
      </w:r>
      <w:r w:rsidRPr="002927A1">
        <w:rPr>
          <w:lang w:val="es-ES_tradnl"/>
        </w:rPr>
        <w:t xml:space="preserve"> un proyecto de decisión sobre el examen de los anexos A y B a partir del proyecto de decisión recogido en el documento UNEP/MC/COP.3/4, el documento de sesión presentado por un grupo de Partes y el debate celebrado en el Plenario</w:t>
      </w:r>
      <w:r w:rsidR="00CE13C3" w:rsidRPr="002927A1">
        <w:rPr>
          <w:lang w:val="es-ES_tradnl"/>
        </w:rPr>
        <w:t>.</w:t>
      </w:r>
    </w:p>
    <w:p w14:paraId="1D4C434B" w14:textId="5C807FFB" w:rsidR="00394A5E" w:rsidRPr="002927A1" w:rsidRDefault="005334AC" w:rsidP="00A524DB">
      <w:pPr>
        <w:pStyle w:val="Normalnumber"/>
        <w:numPr>
          <w:ilvl w:val="0"/>
          <w:numId w:val="44"/>
        </w:numPr>
        <w:tabs>
          <w:tab w:val="clear" w:pos="624"/>
          <w:tab w:val="clear" w:pos="1134"/>
          <w:tab w:val="clear" w:pos="1247"/>
        </w:tabs>
        <w:rPr>
          <w:lang w:val="es-ES_tradnl"/>
        </w:rPr>
      </w:pPr>
      <w:r w:rsidRPr="002927A1">
        <w:rPr>
          <w:lang w:val="es-ES_tradnl"/>
        </w:rPr>
        <w:t>A continuación, la Conferencia de las Partes adoptó la decisión</w:t>
      </w:r>
      <w:r w:rsidR="00EE6A6E" w:rsidRPr="002927A1">
        <w:rPr>
          <w:lang w:val="es-ES_tradnl"/>
        </w:rPr>
        <w:t xml:space="preserve"> MC-3/1 </w:t>
      </w:r>
      <w:r w:rsidRPr="002927A1">
        <w:rPr>
          <w:lang w:val="es-ES_tradnl"/>
        </w:rPr>
        <w:t xml:space="preserve">relativa al examen de los anexos </w:t>
      </w:r>
      <w:r w:rsidR="00EE6A6E" w:rsidRPr="002927A1">
        <w:rPr>
          <w:lang w:val="es-ES_tradnl"/>
        </w:rPr>
        <w:t xml:space="preserve">A </w:t>
      </w:r>
      <w:r w:rsidRPr="002927A1">
        <w:rPr>
          <w:lang w:val="es-ES_tradnl"/>
        </w:rPr>
        <w:t>y</w:t>
      </w:r>
      <w:r w:rsidR="00EE6A6E" w:rsidRPr="002927A1">
        <w:rPr>
          <w:lang w:val="es-ES_tradnl"/>
        </w:rPr>
        <w:t xml:space="preserve"> B, </w:t>
      </w:r>
      <w:r w:rsidRPr="002927A1">
        <w:rPr>
          <w:lang w:val="es-ES_tradnl"/>
        </w:rPr>
        <w:t>presentada por el grupo de contacto sobre cuestiones técnicas</w:t>
      </w:r>
      <w:r w:rsidR="00EE6A6E" w:rsidRPr="002927A1">
        <w:rPr>
          <w:lang w:val="es-ES_tradnl"/>
        </w:rPr>
        <w:t xml:space="preserve">, </w:t>
      </w:r>
      <w:r w:rsidRPr="002927A1">
        <w:rPr>
          <w:lang w:val="es-ES_tradnl"/>
        </w:rPr>
        <w:t>la cual se reproduce en el anexo del presente informe.</w:t>
      </w:r>
      <w:r w:rsidR="00F410E2" w:rsidRPr="002927A1">
        <w:rPr>
          <w:lang w:val="es-ES_tradnl"/>
        </w:rPr>
        <w:t xml:space="preserve"> </w:t>
      </w:r>
    </w:p>
    <w:p w14:paraId="5BED365A" w14:textId="5775C050" w:rsidR="00077945" w:rsidRPr="002927A1" w:rsidRDefault="00F57539" w:rsidP="009E64B0">
      <w:pPr>
        <w:pStyle w:val="CH3"/>
        <w:rPr>
          <w:lang w:val="es-ES_tradnl"/>
        </w:rPr>
      </w:pPr>
      <w:r w:rsidRPr="002927A1">
        <w:rPr>
          <w:lang w:val="es-ES_tradnl"/>
        </w:rPr>
        <w:tab/>
      </w:r>
      <w:r w:rsidR="00394A5E" w:rsidRPr="002927A1">
        <w:rPr>
          <w:lang w:val="es-ES_tradnl"/>
        </w:rPr>
        <w:t>2.</w:t>
      </w:r>
      <w:r w:rsidR="00394A5E" w:rsidRPr="002927A1">
        <w:rPr>
          <w:lang w:val="es-ES_tradnl"/>
        </w:rPr>
        <w:tab/>
      </w:r>
      <w:r w:rsidR="005334AC" w:rsidRPr="002927A1">
        <w:rPr>
          <w:bCs/>
          <w:lang w:val="es-ES_tradnl"/>
        </w:rPr>
        <w:t>Propuesta de enmienda del anexo A del Convenio</w:t>
      </w:r>
    </w:p>
    <w:p w14:paraId="1C1CC548" w14:textId="0C8AAB12" w:rsidR="00EF0951" w:rsidRPr="002927A1" w:rsidRDefault="005334AC"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el representante de la Secretaría dijo que en los artículos 26 y 27 se establecía el procedimiento de enmienda del Convenio, incluidos sus anexos. En el documento UNEP/MC/COP.3/21 se reproducía una propuesta presentada por Botswana, el Chad, el Gabón, Guinea</w:t>
      </w:r>
      <w:r w:rsidRPr="002927A1">
        <w:rPr>
          <w:lang w:val="es-ES_tradnl"/>
        </w:rPr>
        <w:noBreakHyphen/>
        <w:t xml:space="preserve">Bissau, el Níger y el Senegal para enmendar el anexo A del Convenio de Minamata sobre el Mercurio de conformidad con el citado procedimiento. La propuesta consistía en trasladar la amalgama dental de la parte II del anexo A </w:t>
      </w:r>
      <w:r w:rsidR="00A60CBD" w:rsidRPr="002927A1">
        <w:rPr>
          <w:lang w:val="es-ES_tradnl"/>
        </w:rPr>
        <w:t>de</w:t>
      </w:r>
      <w:r w:rsidRPr="002927A1">
        <w:rPr>
          <w:lang w:val="es-ES_tradnl"/>
        </w:rPr>
        <w:t xml:space="preserve"> la parte I. La Secretaría había recibido la propuesta del grupo de países el 8 de mayo de 2019 y la Secretaria Ejecutiva, en una carta de fecha 24 de mayo de 2019, la había notificado a las Partes y signatarios del Convenio según lo estipulado en el párrafo 2 del artículo</w:t>
      </w:r>
      <w:r w:rsidR="00152C29">
        <w:rPr>
          <w:lang w:val="es-ES_tradnl"/>
        </w:rPr>
        <w:t> </w:t>
      </w:r>
      <w:r w:rsidRPr="002927A1">
        <w:rPr>
          <w:lang w:val="es-ES_tradnl"/>
        </w:rPr>
        <w:t xml:space="preserve">26, a saber, que la Secretaría comunicaría a las Partes el texto de toda propuesta de enmienda al menos seis meses antes de la reunión en </w:t>
      </w:r>
      <w:r w:rsidR="008834F4" w:rsidRPr="002927A1">
        <w:rPr>
          <w:lang w:val="es-ES_tradnl"/>
        </w:rPr>
        <w:t xml:space="preserve">la </w:t>
      </w:r>
      <w:r w:rsidRPr="002927A1">
        <w:rPr>
          <w:lang w:val="es-ES_tradnl"/>
        </w:rPr>
        <w:t>que se propusiese su aprobación</w:t>
      </w:r>
      <w:r w:rsidR="00EF0951" w:rsidRPr="002927A1">
        <w:rPr>
          <w:lang w:val="es-ES_tradnl"/>
        </w:rPr>
        <w:t xml:space="preserve">. </w:t>
      </w:r>
    </w:p>
    <w:p w14:paraId="37206B13" w14:textId="365B5379" w:rsidR="00306CEE"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En nombre de los patrocinadores, el representante del Gabón presentó la propuesta de enmienda al anexo A. en virtud de la cual se proponían las fechas para la eliminación de la amalgama dental en 2021 para grupos vulnerables, y 2024 para la población en general</w:t>
      </w:r>
      <w:r w:rsidR="00306CEE" w:rsidRPr="002927A1">
        <w:rPr>
          <w:lang w:val="es-ES_tradnl"/>
        </w:rPr>
        <w:t xml:space="preserve">. </w:t>
      </w:r>
    </w:p>
    <w:p w14:paraId="4FB66377" w14:textId="7170BEFB" w:rsidR="00306CEE"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Varios representantes y una observadora se pronunciaron a favor de la enmienda propuesta. Una representante, que habló en nombre de un grupo de países, acogió con beneplácito la propuesta y dijo que, en sus países, por razones de precaución estaba prohibido el uso de amalgama dental en el cuidado de la dentición primaria, los dientes de niños menores de 15 años y las mujeres embarazadas y lactantes, regulando así su uso más que su fabricación, importación y exportación</w:t>
      </w:r>
      <w:r w:rsidR="007875B8" w:rsidRPr="002927A1">
        <w:rPr>
          <w:lang w:val="es-ES_tradnl"/>
        </w:rPr>
        <w:t>.</w:t>
      </w:r>
      <w:r w:rsidR="003051A1" w:rsidRPr="002927A1">
        <w:rPr>
          <w:lang w:val="es-ES_tradnl"/>
        </w:rPr>
        <w:t xml:space="preserve"> </w:t>
      </w:r>
    </w:p>
    <w:p w14:paraId="1C20E1BC" w14:textId="6D809924" w:rsidR="00306CEE"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 xml:space="preserve">Si bien entre los demás representantes se expresó un amplio apoyo a la idea de eliminar la amalgama dental, muchos dijeron que para sus países resultaría muy difícil </w:t>
      </w:r>
      <w:r w:rsidRPr="002927A1">
        <w:rPr>
          <w:lang w:val="es-ES_tradnl"/>
        </w:rPr>
        <w:sym w:font="Symbol" w:char="F02D"/>
      </w:r>
      <w:r w:rsidRPr="002927A1">
        <w:rPr>
          <w:lang w:val="es-ES_tradnl"/>
        </w:rPr>
        <w:t>o imposible</w:t>
      </w:r>
      <w:r w:rsidRPr="002927A1">
        <w:rPr>
          <w:lang w:val="es-ES_tradnl"/>
        </w:rPr>
        <w:sym w:font="Symbol" w:char="F02D"/>
      </w:r>
      <w:r w:rsidRPr="002927A1">
        <w:rPr>
          <w:lang w:val="es-ES_tradnl"/>
        </w:rPr>
        <w:t xml:space="preserve"> seguir el calendario propuesto para la eliminación, y citaron numerosas razones, siendo las principales la falta de alternativas con la misma fuerza y durabilidad para su uso en procesos de odontología restauradora, el costo de las alternativas, y la falta de capacidad técnica para realizar la transición. Todos estos elementos podrían repercutir en el nivel de la atención</w:t>
      </w:r>
      <w:r w:rsidR="00306CEE" w:rsidRPr="002927A1">
        <w:rPr>
          <w:lang w:val="es-ES_tradnl"/>
        </w:rPr>
        <w:t>.</w:t>
      </w:r>
    </w:p>
    <w:p w14:paraId="4458F19F" w14:textId="04546265" w:rsidR="00306CEE"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Sus preocupaciones coincidían con las que había</w:t>
      </w:r>
      <w:r w:rsidR="001D078E" w:rsidRPr="002927A1">
        <w:rPr>
          <w:lang w:val="es-ES_tradnl"/>
        </w:rPr>
        <w:t>n</w:t>
      </w:r>
      <w:r w:rsidRPr="002927A1">
        <w:rPr>
          <w:lang w:val="es-ES_tradnl"/>
        </w:rPr>
        <w:t xml:space="preserve"> expresado, en un estudio realizado por</w:t>
      </w:r>
      <w:r w:rsidR="009658C2" w:rsidRPr="002927A1">
        <w:rPr>
          <w:lang w:val="es-ES_tradnl"/>
        </w:rPr>
        <w:t> </w:t>
      </w:r>
      <w:r w:rsidRPr="002927A1">
        <w:rPr>
          <w:lang w:val="es-ES_tradnl"/>
        </w:rPr>
        <w:t>el Programa de salud bucodental de la Organización Mundial de la Salud (OMS) en octubre de</w:t>
      </w:r>
      <w:r w:rsidR="009658C2" w:rsidRPr="002927A1">
        <w:rPr>
          <w:lang w:val="es-ES_tradnl"/>
        </w:rPr>
        <w:t> </w:t>
      </w:r>
      <w:r w:rsidRPr="002927A1">
        <w:rPr>
          <w:lang w:val="es-ES_tradnl"/>
        </w:rPr>
        <w:t>2019, 79 encargados de la formulación de políticas en la salud pública de 71 países con distintos niveles de ingresos, miembros todos de una comunidad de intercambio de prácticas en línea auspiciada</w:t>
      </w:r>
      <w:r w:rsidR="009852EF" w:rsidRPr="002927A1">
        <w:rPr>
          <w:lang w:val="es-ES_tradnl"/>
        </w:rPr>
        <w:t> </w:t>
      </w:r>
      <w:r w:rsidRPr="002927A1">
        <w:rPr>
          <w:lang w:val="es-ES_tradnl"/>
        </w:rPr>
        <w:t>por la Organización. Al presentar los resultados del estudio, que figuraba en el documento</w:t>
      </w:r>
      <w:r w:rsidR="009852EF" w:rsidRPr="002927A1">
        <w:rPr>
          <w:lang w:val="es-ES_tradnl"/>
        </w:rPr>
        <w:t> </w:t>
      </w:r>
      <w:r w:rsidRPr="002927A1">
        <w:rPr>
          <w:lang w:val="es-ES_tradnl"/>
        </w:rPr>
        <w:t>UNEP/MC/COP.3/INF/25, el representante de la OMS explicó que, independientemente de si estaban o no de acuerdo con la enmienda propuesta, casi dos tercios de los participantes habían expresado preocupaciones respecto de la eliminación de la amalgama dental. Dijo que la OMS apoyaba que los esfuerzos se centrasen en acelerar la reducción del uso de amalgama dental mediante un proceso amplio, progresivo e inclusivo, que siguiese un calendario de ejecución acorde a las situaciones nacionales. Además, el establecimiento de redes de colaboración entre los ministerios de salud y los ministerios de medio ambiente, o el fortalecimiento de las ya existentes, así como la realización de nuevas investigaciones, tanto a título privado como público, en alternativas ambientalmente racionales, eran cuestiones urgentes</w:t>
      </w:r>
      <w:r w:rsidR="00306CEE" w:rsidRPr="002927A1">
        <w:rPr>
          <w:lang w:val="es-ES_tradnl"/>
        </w:rPr>
        <w:t xml:space="preserve">. </w:t>
      </w:r>
    </w:p>
    <w:p w14:paraId="14EB6CD4" w14:textId="77777777" w:rsidR="00401B49"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Un observador estuvo de acuerdo con el planteamiento de que para las investigaciones se precisaban inversiones continuas a fin de acelerar el desarrollo de alternativas y aumentar su asequibilidad. Otro exhortó a la OMS a que actualizase su informe de 2009, sobre el uso de los materiales de restauración dental en el futuro, con los últimos datos científicos sobre otros materiales alternativos de restauración dental antes de que se pudiese adoptar una decisión sobre la enmienda. Un tercer observador destacó que, con la eliminación de las amalgamas dentales, la extracción de oro se quedaría sin una de sus principales fuentes de mercurio.</w:t>
      </w:r>
    </w:p>
    <w:p w14:paraId="26BACAE6" w14:textId="77777777" w:rsidR="00401B49"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lastRenderedPageBreak/>
        <w:t>Varios representantes y observadores hicieron hincapié en la necesidad de reducir el uso de la amalgama dental por la amenaza que representaba para la salud humana, un observador dijo que, tomando como base las mejores pruebas disponibles, su organización ratificaba la seguridad de la amalgama dental para la población general sin alergias a los componentes de la amalgama o graves trastornos renales.</w:t>
      </w:r>
    </w:p>
    <w:p w14:paraId="670690C6" w14:textId="77777777" w:rsidR="00401B49"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 xml:space="preserve">Al referirse a la eliminación de la amalgama dental, dos representantes subrayaron la importancia de que los países contasen con la capacidad técnica necesaria para gestionar los desechos de amalgama y reducir al mínimo la liberación de mercurio al medio ambiente. </w:t>
      </w:r>
    </w:p>
    <w:p w14:paraId="01ECF71E" w14:textId="286B094D" w:rsidR="00401B49"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Un representante explicó que en su país se estaban realizando estudios acerca de la salud dental de la población y los pueblos indígenas. Se esperaba contar con los resultados en 2023 y, por consiguiente, dijo que, con el fin de asegurar el derecho de los grupos vulnerables a la atención de</w:t>
      </w:r>
      <w:r w:rsidR="00157E17">
        <w:rPr>
          <w:lang w:val="es-ES_tradnl"/>
        </w:rPr>
        <w:t> </w:t>
      </w:r>
      <w:r w:rsidRPr="002927A1">
        <w:rPr>
          <w:lang w:val="es-ES_tradnl"/>
        </w:rPr>
        <w:t>la salud, su país no estaría en condiciones de iniciar deliberaciones sobre la enmienda propuesta hasta que hubiese examinado la información actualizada en los estudios sobre el uso actual, la eficiencia y la posibilidad real de sustituir la amalgama dental. Sin embargo, varios representantes, entre ellos uno que habló en nombre de los patrocinadores de la enmienda, se mostraron contrarios al aplazamiento de la cuestión y consideraron que se debería llegar a una decisión en la reunión en curso.</w:t>
      </w:r>
    </w:p>
    <w:p w14:paraId="7FEA9C4B" w14:textId="7AD0DEAF" w:rsidR="00306CEE" w:rsidRPr="002927A1" w:rsidRDefault="00401B49" w:rsidP="00A524DB">
      <w:pPr>
        <w:pStyle w:val="Normalnumber"/>
        <w:numPr>
          <w:ilvl w:val="0"/>
          <w:numId w:val="44"/>
        </w:numPr>
        <w:tabs>
          <w:tab w:val="clear" w:pos="624"/>
          <w:tab w:val="clear" w:pos="1134"/>
          <w:tab w:val="clear" w:pos="1247"/>
        </w:tabs>
        <w:rPr>
          <w:lang w:val="es-ES_tradnl"/>
        </w:rPr>
      </w:pPr>
      <w:r w:rsidRPr="002927A1">
        <w:rPr>
          <w:lang w:val="es-ES_tradnl"/>
        </w:rPr>
        <w:t>Tras el debate, la Conferencia de las Partes acordó remitir la cuestión al grupo de contacto sobre cuestiones técnicas, solicitándole que elaborase una propuesta que reflejase el debate y las opiniones expresadas</w:t>
      </w:r>
      <w:r w:rsidR="00306CEE" w:rsidRPr="002927A1">
        <w:rPr>
          <w:lang w:val="es-ES_tradnl"/>
        </w:rPr>
        <w:t>.</w:t>
      </w:r>
    </w:p>
    <w:p w14:paraId="71CFDBCB" w14:textId="0EBD04A2" w:rsidR="00077945" w:rsidRPr="002927A1" w:rsidRDefault="00496156" w:rsidP="00A524DB">
      <w:pPr>
        <w:pStyle w:val="Normalnumber"/>
        <w:numPr>
          <w:ilvl w:val="0"/>
          <w:numId w:val="44"/>
        </w:numPr>
        <w:tabs>
          <w:tab w:val="clear" w:pos="624"/>
          <w:tab w:val="clear" w:pos="1134"/>
          <w:tab w:val="clear" w:pos="1247"/>
        </w:tabs>
        <w:rPr>
          <w:lang w:val="es-ES_tradnl"/>
        </w:rPr>
      </w:pPr>
      <w:r w:rsidRPr="002927A1">
        <w:rPr>
          <w:lang w:val="es-ES_tradnl"/>
        </w:rPr>
        <w:t xml:space="preserve">A continuación, la Conferencia de las Partes adoptó la decisión MC-3/2, </w:t>
      </w:r>
      <w:r w:rsidR="00F410E2" w:rsidRPr="002927A1">
        <w:rPr>
          <w:lang w:val="es-ES_tradnl"/>
        </w:rPr>
        <w:t>relativa</w:t>
      </w:r>
      <w:r w:rsidRPr="002927A1">
        <w:rPr>
          <w:lang w:val="es-ES_tradnl"/>
        </w:rPr>
        <w:t xml:space="preserve"> a la amalgama </w:t>
      </w:r>
      <w:r w:rsidR="00EE6A6E" w:rsidRPr="002927A1">
        <w:rPr>
          <w:lang w:val="es-ES_tradnl"/>
        </w:rPr>
        <w:t>dental</w:t>
      </w:r>
      <w:r w:rsidR="00865EB1" w:rsidRPr="002927A1">
        <w:rPr>
          <w:lang w:val="es-ES_tradnl"/>
        </w:rPr>
        <w:t xml:space="preserve">, </w:t>
      </w:r>
      <w:r w:rsidRPr="002927A1">
        <w:rPr>
          <w:lang w:val="es-ES_tradnl"/>
        </w:rPr>
        <w:t xml:space="preserve">presentada por el grupo de contacto sobre cuestiones técnicas en su forma </w:t>
      </w:r>
      <w:r w:rsidR="00BD604A" w:rsidRPr="002927A1">
        <w:rPr>
          <w:lang w:val="es-ES_tradnl"/>
        </w:rPr>
        <w:t>oral</w:t>
      </w:r>
      <w:r w:rsidRPr="002927A1">
        <w:rPr>
          <w:lang w:val="es-ES_tradnl"/>
        </w:rPr>
        <w:t>mente</w:t>
      </w:r>
      <w:r w:rsidR="00B706D0" w:rsidRPr="002927A1">
        <w:rPr>
          <w:lang w:val="es-ES_tradnl"/>
        </w:rPr>
        <w:t> </w:t>
      </w:r>
      <w:r w:rsidRPr="002927A1">
        <w:rPr>
          <w:lang w:val="es-ES_tradnl"/>
        </w:rPr>
        <w:t>enmendada</w:t>
      </w:r>
      <w:r w:rsidR="00865EB1" w:rsidRPr="002927A1">
        <w:rPr>
          <w:lang w:val="es-ES_tradnl"/>
        </w:rPr>
        <w:t xml:space="preserve">, </w:t>
      </w:r>
      <w:r w:rsidRPr="002927A1">
        <w:rPr>
          <w:lang w:val="es-ES_tradnl"/>
        </w:rPr>
        <w:t>la cual figura en el anexo del presente informe</w:t>
      </w:r>
      <w:r w:rsidR="00865EB1" w:rsidRPr="002927A1">
        <w:rPr>
          <w:lang w:val="es-ES_tradnl"/>
        </w:rPr>
        <w:t>.</w:t>
      </w:r>
    </w:p>
    <w:p w14:paraId="364AFE47" w14:textId="4EC43017" w:rsidR="00077945" w:rsidRPr="002927A1" w:rsidRDefault="00F57539" w:rsidP="007661A1">
      <w:pPr>
        <w:pStyle w:val="CH3"/>
        <w:rPr>
          <w:lang w:val="es-ES_tradnl"/>
        </w:rPr>
      </w:pPr>
      <w:bookmarkStart w:id="9" w:name="_Hlk25753765"/>
      <w:r w:rsidRPr="002927A1">
        <w:rPr>
          <w:lang w:val="es-ES_tradnl"/>
        </w:rPr>
        <w:tab/>
      </w:r>
      <w:r w:rsidR="00077945" w:rsidRPr="002927A1">
        <w:rPr>
          <w:lang w:val="es-ES_tradnl"/>
        </w:rPr>
        <w:t>3.</w:t>
      </w:r>
      <w:r w:rsidR="00077945" w:rsidRPr="002927A1">
        <w:rPr>
          <w:lang w:val="es-ES_tradnl"/>
        </w:rPr>
        <w:tab/>
      </w:r>
      <w:r w:rsidR="0069549A" w:rsidRPr="002927A1">
        <w:rPr>
          <w:bCs/>
          <w:lang w:val="es-ES_tradnl"/>
        </w:rPr>
        <w:t>Códigos del Sistema Armonizado</w:t>
      </w:r>
    </w:p>
    <w:p w14:paraId="3442696A" w14:textId="0777A2A2" w:rsidR="00905AD7"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el representante de la Secretaría examinó el proceso mediante el cual se habían preparado los enfoques a los códigos aduaneros para distinguir los productos con y sin mercurio añadido incluidos en el anexo A, por ejemplo, la colaboración la esfera relativa a las asociaciones sobre el contenido de mercurio en productos de la Asociación Mundial sobre el Mercurio del PNUMA y la consulta con las organizaciones pertinentes, seguido de un examen de las observaciones recibidas de las Partes y otros interesados. El orador esbozó los cuatro enfoques resultantes presentados para que los examinase</w:t>
      </w:r>
      <w:r w:rsidR="00AF0EC3">
        <w:rPr>
          <w:lang w:val="es-ES_tradnl"/>
        </w:rPr>
        <w:t xml:space="preserve"> </w:t>
      </w:r>
      <w:r w:rsidR="00AF0EC3" w:rsidRPr="002927A1">
        <w:rPr>
          <w:lang w:val="es-ES_tradnl"/>
        </w:rPr>
        <w:t>la Conferencia</w:t>
      </w:r>
      <w:r w:rsidR="00AF0EC3">
        <w:rPr>
          <w:lang w:val="es-ES_tradnl"/>
        </w:rPr>
        <w:t xml:space="preserve"> de las Partes</w:t>
      </w:r>
      <w:r w:rsidRPr="002927A1">
        <w:rPr>
          <w:lang w:val="es-ES_tradnl"/>
        </w:rPr>
        <w:t xml:space="preserve">; a saber, primero, la creación de códigos de seis dígitos internacionalmente armonizados siguiendo el procedimiento establecido de conformidad con las disposiciones de la Organización Mundial de Aduanas (OMA); segundo, la creación de códigos estadísticos de más de seis dígitos; tercero, una combinación de los dos enfoques, que incluyese básicamente </w:t>
      </w:r>
      <w:r w:rsidR="00F629EA" w:rsidRPr="002927A1">
        <w:rPr>
          <w:lang w:val="es-ES_tradnl"/>
        </w:rPr>
        <w:t xml:space="preserve">a corto plazo </w:t>
      </w:r>
      <w:r w:rsidRPr="002927A1">
        <w:rPr>
          <w:lang w:val="es-ES_tradnl"/>
        </w:rPr>
        <w:t xml:space="preserve">códigos estadísticos provisionales de más de seis dígitos, los cuales podrían ser sustituidos </w:t>
      </w:r>
      <w:r w:rsidRPr="002927A1">
        <w:rPr>
          <w:lang w:val="es-ES_tradnl"/>
        </w:rPr>
        <w:sym w:font="Symbol" w:char="F02D"/>
      </w:r>
      <w:r w:rsidRPr="002927A1">
        <w:rPr>
          <w:lang w:val="es-ES_tradnl"/>
        </w:rPr>
        <w:t>en su totalidad o en parte</w:t>
      </w:r>
      <w:r w:rsidRPr="002927A1">
        <w:rPr>
          <w:lang w:val="es-ES_tradnl"/>
        </w:rPr>
        <w:sym w:font="Symbol" w:char="F02D"/>
      </w:r>
      <w:r w:rsidRPr="002927A1">
        <w:rPr>
          <w:lang w:val="es-ES_tradnl"/>
        </w:rPr>
        <w:t xml:space="preserve"> por códigos de seis dígitos del Sistema Armonizado; y, cuarto, no desarrollar nuevos códigos aduaneros en el marco del Convenio. El orador señaló a la atención de los presentes la nota de la Secretaría sobre la cuestión (UNEP/MC/COP.3/5), en la que se presentaba un resumen del informe sobre los enfoques, y el informe completo, que figuraba en la información de antecedentes sobre la cuestión (UNEP/MC/COP.3/INF/12)</w:t>
      </w:r>
      <w:r w:rsidR="00905AD7" w:rsidRPr="002927A1">
        <w:rPr>
          <w:lang w:val="es-ES_tradnl"/>
        </w:rPr>
        <w:t>.</w:t>
      </w:r>
    </w:p>
    <w:p w14:paraId="72D2D91A" w14:textId="53E7554D" w:rsidR="00905AD7"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El representante de la esfera relativa a las asociaciones sobre el contenido de mercurio en productos de la Asociación Mundial sobre el Mercurio ofreció más detalles sobre la preparación del informe, en la había colaborado la Asociación</w:t>
      </w:r>
      <w:r w:rsidR="00905AD7" w:rsidRPr="002927A1">
        <w:rPr>
          <w:lang w:val="es-ES_tradnl"/>
        </w:rPr>
        <w:t xml:space="preserve">. </w:t>
      </w:r>
    </w:p>
    <w:p w14:paraId="3C832A06" w14:textId="3A4E0170"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En el debate que tuvo lugar a continuación, se expresó apoyo en general a los preparativos para armonizar los códigos aduaneros de los productos incluidos en el anexo A, y a la cooperación internacional en la lucha contra el comercio de productos con mercurio. Varios representantes acogieron con beneplácito las propuestas sobre la cuestión</w:t>
      </w:r>
      <w:r w:rsidR="00CC1D53" w:rsidRPr="002927A1">
        <w:rPr>
          <w:lang w:val="es-ES_tradnl"/>
        </w:rPr>
        <w:t xml:space="preserve"> </w:t>
      </w:r>
      <w:r w:rsidRPr="002927A1">
        <w:rPr>
          <w:lang w:val="es-ES_tradnl"/>
        </w:rPr>
        <w:t>preparad</w:t>
      </w:r>
      <w:r w:rsidR="00CC1D53" w:rsidRPr="002927A1">
        <w:rPr>
          <w:lang w:val="es-ES_tradnl"/>
        </w:rPr>
        <w:t>a</w:t>
      </w:r>
      <w:r w:rsidRPr="002927A1">
        <w:rPr>
          <w:lang w:val="es-ES_tradnl"/>
        </w:rPr>
        <w:t xml:space="preserve">s por la Unión Europea y un grupo de Estados de América Latina y el Caribe, </w:t>
      </w:r>
      <w:r w:rsidR="00CC1D53" w:rsidRPr="002927A1">
        <w:rPr>
          <w:lang w:val="es-ES_tradnl"/>
        </w:rPr>
        <w:t xml:space="preserve">las cuales </w:t>
      </w:r>
      <w:r w:rsidRPr="002927A1">
        <w:rPr>
          <w:lang w:val="es-ES_tradnl"/>
        </w:rPr>
        <w:t xml:space="preserve">se reproducían en </w:t>
      </w:r>
      <w:r w:rsidR="00CC1D53" w:rsidRPr="002927A1">
        <w:rPr>
          <w:lang w:val="es-ES_tradnl"/>
        </w:rPr>
        <w:t>los</w:t>
      </w:r>
      <w:r w:rsidRPr="002927A1">
        <w:rPr>
          <w:lang w:val="es-ES_tradnl"/>
        </w:rPr>
        <w:t xml:space="preserve"> documentos de sesión sobre códigos aduaneros y sobre códigos del Sistema Armonizado, respectivamente. El representante de la Unión Europea señaló que había puntos de convergencia y de divergencia entre su propuesta y la presentada por varios Estados de América Latina y el Caribe, y exhortó a que un grupo de expertos de composición abierta continuase la labor sobre los códigos en</w:t>
      </w:r>
      <w:r w:rsidR="00CC1D53" w:rsidRPr="002927A1">
        <w:rPr>
          <w:lang w:val="es-ES_tradnl"/>
        </w:rPr>
        <w:t xml:space="preserve"> el período entre reuniones</w:t>
      </w:r>
      <w:r w:rsidRPr="002927A1">
        <w:rPr>
          <w:lang w:val="es-ES_tradnl"/>
        </w:rPr>
        <w:t xml:space="preserve"> por medios electrónicos, en colaboración con la esfera relativa a las asociaciones sobre el contenido de mercurio en productos de la Asociación Mundial sobre el Mercurio del PNUMA. Un representante que habló en nombre de los Estados de América Latina y el Caribe</w:t>
      </w:r>
      <w:r w:rsidR="00955493">
        <w:rPr>
          <w:lang w:val="es-ES_tradnl"/>
        </w:rPr>
        <w:t xml:space="preserve"> interesados</w:t>
      </w:r>
      <w:r w:rsidRPr="002927A1">
        <w:rPr>
          <w:lang w:val="es-ES_tradnl"/>
        </w:rPr>
        <w:t xml:space="preserve"> explicó que su propuesta exhortaba a que continuase la labor relativa a la elaboración de un conjunto flexible de códigos voluntarios para los productos del anexo A y la recopilación de otros instrumentos de </w:t>
      </w:r>
      <w:r w:rsidRPr="002927A1">
        <w:rPr>
          <w:lang w:val="es-ES_tradnl"/>
        </w:rPr>
        <w:lastRenderedPageBreak/>
        <w:t xml:space="preserve">vigilancia, que estaría a cargo de un grupo de contacto de composición abierta que desarrollaría su trabajo por medios electrónicos. </w:t>
      </w:r>
    </w:p>
    <w:p w14:paraId="0EF00EFC" w14:textId="0EA815BF"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 xml:space="preserve">Los representantes expresaron su apoyo a </w:t>
      </w:r>
      <w:r w:rsidR="00156B8A">
        <w:rPr>
          <w:lang w:val="es-ES_tradnl"/>
        </w:rPr>
        <w:t xml:space="preserve">las diversas </w:t>
      </w:r>
      <w:r w:rsidRPr="002927A1">
        <w:rPr>
          <w:lang w:val="es-ES_tradnl"/>
        </w:rPr>
        <w:t xml:space="preserve">opciones expuestas en la nota de la Secretaría. Un representante, al observar que el uso de códigos aduaneros ofrecía un medio eficaz para hacer cumplir las restricciones a la importación y la exportación, expresó su preferencia por la primera opción; en tanto que otro representante, que habló en nombre de un grupo de países, se mostró partidario de la segunda opción porque podría aplicarse rápidamente y aprovechaba la labor ya emprendida por Gobiernos nacionales. </w:t>
      </w:r>
    </w:p>
    <w:p w14:paraId="2A7B951E" w14:textId="17B544D5"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Algunos representantes, entre ellos uno que habló en nombre de un grupo de países, expresaron su preferencia por la tercera opción e insistieron en que la labor sobre la asignación de los</w:t>
      </w:r>
      <w:r w:rsidR="00DF5475" w:rsidRPr="002927A1">
        <w:rPr>
          <w:lang w:val="es-ES_tradnl"/>
        </w:rPr>
        <w:t> </w:t>
      </w:r>
      <w:r w:rsidRPr="002927A1">
        <w:rPr>
          <w:lang w:val="es-ES_tradnl"/>
        </w:rPr>
        <w:t>códigos debería comenzar tan pronto fuese posible.</w:t>
      </w:r>
    </w:p>
    <w:p w14:paraId="621462E2" w14:textId="77777777"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 xml:space="preserve">Una representante expresó su preocupación por el hecho de que los códigos voluntarios podrían no ser eficaces, dado el requisito establecido en el Convenio para prohibir la exportación de los productos incluidos en el anexo A del Convenio. Un grupo de representantes indicó su preferencia por las opciones que permitían cierta flexibilidad, como la que ofrecían los códigos aduaneros de seis dígitos no vinculantes, y una representante, que hizo uso de la palabra en nombre de un grupo de países, señaló a la atención de los presentes el documento de sesión que sobre la cuestión había presentado su delegación, en el que se esbozaban las buenas prácticas en la utilización de códigos aduaneros para apoyar las restricciones a la importación. </w:t>
      </w:r>
    </w:p>
    <w:p w14:paraId="432260C7" w14:textId="7B910CAD"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 xml:space="preserve">Algunos representantes, entre ellos uno que habló en nombre de un grupo de países, señalaron que, habida cuenta de que sus países no fabricaban productos con mercurio y eran importadores netos de mercurio, apoyaban la continuación de la labor sobre los códigos del Sistema Armonizado. No obstante, dada la complejidad de la cuestión, muchos convinieron en que era necesario seguir examinándola, </w:t>
      </w:r>
      <w:r w:rsidR="00336482" w:rsidRPr="002927A1">
        <w:rPr>
          <w:lang w:val="es-ES_tradnl"/>
        </w:rPr>
        <w:t>por ejemplo,</w:t>
      </w:r>
      <w:r w:rsidRPr="002927A1">
        <w:rPr>
          <w:lang w:val="es-ES_tradnl"/>
        </w:rPr>
        <w:t xml:space="preserve"> en el grupo de contacto sobre cuestiones técnicas, sobre la base de las propuestas presentadas por dos grupos de países de países en sus respectivos documentos de sesión. Varios representantes, entre ellos dos que hablaron en nombre de grupos de países, solicitaron que se prosiguiese el examen de la cuestión entre períodos de sesiones, que incluyese también posiblemente la colaboración entre la Secretaría y la OMA.</w:t>
      </w:r>
    </w:p>
    <w:p w14:paraId="55D5C8F2" w14:textId="18E7829E" w:rsidR="00905AD7"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Concluido el debate, la Conferencia de las Partes acordó remitir la cuestión al grupo de contacto sobre cuestiones técnicas solicitándole que identificase y desarrollase un proceso para la labor futura sobre los códigos aduaneros entre períodos de sesiones, teniendo en cuenta las deliberaciones y los documentos de sesión presentados</w:t>
      </w:r>
      <w:r w:rsidR="00905AD7" w:rsidRPr="002927A1">
        <w:rPr>
          <w:lang w:val="es-ES_tradnl"/>
        </w:rPr>
        <w:t>.</w:t>
      </w:r>
    </w:p>
    <w:p w14:paraId="22271F59" w14:textId="743971FD" w:rsidR="00077945"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 xml:space="preserve">A continuación, la Conferencia de las Partes adoptó la decisión MC-3/3, relativa a los códigos </w:t>
      </w:r>
      <w:r w:rsidR="00F629EA" w:rsidRPr="002927A1">
        <w:rPr>
          <w:lang w:val="es-ES_tradnl"/>
        </w:rPr>
        <w:t>aduaneros</w:t>
      </w:r>
      <w:r w:rsidRPr="002927A1">
        <w:rPr>
          <w:lang w:val="es-ES_tradnl"/>
        </w:rPr>
        <w:t xml:space="preserve">, presentada por el grupo de contacto sobre cuestiones técnicas en su forma oralmente enmendada, la cual figura en el anexo del presente informe. </w:t>
      </w:r>
    </w:p>
    <w:p w14:paraId="587BBF08" w14:textId="6303A424" w:rsidR="00077945" w:rsidRPr="002927A1" w:rsidRDefault="00F57539" w:rsidP="00BC5645">
      <w:pPr>
        <w:pStyle w:val="CH2"/>
        <w:rPr>
          <w:lang w:val="es-ES_tradnl"/>
        </w:rPr>
      </w:pPr>
      <w:bookmarkStart w:id="10" w:name="_Toc27124724"/>
      <w:bookmarkEnd w:id="9"/>
      <w:r w:rsidRPr="002927A1">
        <w:rPr>
          <w:lang w:val="es-ES_tradnl"/>
        </w:rPr>
        <w:tab/>
      </w:r>
      <w:r w:rsidR="00A7033C" w:rsidRPr="002927A1">
        <w:rPr>
          <w:lang w:val="es-ES_tradnl"/>
        </w:rPr>
        <w:t>B.</w:t>
      </w:r>
      <w:r w:rsidR="00A7033C" w:rsidRPr="002927A1">
        <w:rPr>
          <w:lang w:val="es-ES_tradnl"/>
        </w:rPr>
        <w:tab/>
      </w:r>
      <w:bookmarkEnd w:id="10"/>
      <w:r w:rsidR="0069549A" w:rsidRPr="002927A1">
        <w:rPr>
          <w:bCs/>
          <w:lang w:val="es-ES_tradnl"/>
        </w:rPr>
        <w:t>Liberaciones de mercurio</w:t>
      </w:r>
    </w:p>
    <w:p w14:paraId="53315F35" w14:textId="4D325C0E"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Al presentar el tema, el representante de la Secretaría señaló que en el artículo 9 del Convenio se disponía que la Conferencia de las Partes tan pronto como fuese factible, debería aprobar directrices sobre las mejores técnicas disponibles y las mejores prácticas ambientales y sobre la metodología para la preparación de inventarios de liberaciones. En la decisión MC</w:t>
      </w:r>
      <w:r w:rsidRPr="002927A1">
        <w:rPr>
          <w:lang w:val="es-ES_tradnl"/>
        </w:rPr>
        <w:noBreakHyphen/>
        <w:t xml:space="preserve">2/3, adoptada en su segunda reunión, la Conferencia de las Partes había establecido un grupo de expertos técnicos encargado de elaborar un proyecto de orientaciones sobre metodologías para la preparación de inventarios de una lista de categorías de fuentes puntuales que podrían resultar pertinentes. De conformidad con el mandato expuesto en el anexo de la decisión, el grupo debía preparar un informe en el que se enumerasen todas las categorías </w:t>
      </w:r>
      <w:r w:rsidR="00156B8A">
        <w:rPr>
          <w:lang w:val="es-ES_tradnl"/>
        </w:rPr>
        <w:t xml:space="preserve">de liberaciones procedentes </w:t>
      </w:r>
      <w:r w:rsidRPr="002927A1">
        <w:rPr>
          <w:lang w:val="es-ES_tradnl"/>
        </w:rPr>
        <w:t xml:space="preserve">de fuentes puntuales antropogénicas que no se abordaban en las disposiciones del Convenio distintas del artículo 9, junto con una propuesta de hoja de ruta y una estructura para la elaboración del proyecto de directrices sobre metodologías para la preparación de sus inventarios. En consecuencia, la Conferencia de las Partes tuvo ante sí una nota de la Secretaría en la que se presentaba el informe del grupo de expertos técnicos sobre la orientación relativa a las liberaciones de mercurio (UNEP/MC/COP.3/6). </w:t>
      </w:r>
    </w:p>
    <w:p w14:paraId="281E4B19" w14:textId="5C7C8715"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el debate que se produjo a continuación varios representantes acogieron con beneplácito el informe del grupo de expertos técnicos. Una representante, que habló en nombre de un grupo de países, dijo que si bien el informe ofrecía una sólida base para continuar la labor entre </w:t>
      </w:r>
      <w:r w:rsidR="00CC1D53" w:rsidRPr="002927A1">
        <w:rPr>
          <w:lang w:val="es-ES_tradnl"/>
        </w:rPr>
        <w:t>reuniones</w:t>
      </w:r>
      <w:r w:rsidRPr="002927A1">
        <w:rPr>
          <w:lang w:val="es-ES_tradnl"/>
        </w:rPr>
        <w:t xml:space="preserve"> sobre la cuestión de las liberaciones de mercurio, era necesario que la Conferencia de las Partes en la reunión en curso proporcionase orientación adicional al grupo de expertos sobre la delimitación del ámbito de aplicación del artículo 9 sobre las liberaciones, y concretamente su vinculación con el artículo 11 sobre los desechos</w:t>
      </w:r>
      <w:r w:rsidR="00156B8A">
        <w:rPr>
          <w:lang w:val="es-ES_tradnl"/>
        </w:rPr>
        <w:t xml:space="preserve"> de mercurio</w:t>
      </w:r>
      <w:r w:rsidRPr="002927A1">
        <w:rPr>
          <w:lang w:val="es-ES_tradnl"/>
        </w:rPr>
        <w:t xml:space="preserve">, por ejemplo, con respecto a la regulación de las aguas </w:t>
      </w:r>
      <w:r w:rsidRPr="002927A1">
        <w:rPr>
          <w:lang w:val="es-ES_tradnl"/>
        </w:rPr>
        <w:lastRenderedPageBreak/>
        <w:t xml:space="preserve">residuales. Otros representantes, entre ellos uno que habló en nombre de un grupo de países, expresaron preocupación por la liberación de mercurio a través de la eliminación de las aguas residuales municipales, como se destacaba en la </w:t>
      </w:r>
      <w:r w:rsidR="00E258D1" w:rsidRPr="002927A1">
        <w:rPr>
          <w:i/>
          <w:iCs/>
          <w:lang w:val="es-ES_tradnl"/>
        </w:rPr>
        <w:t>Evaluación Mundial del Mercurio</w:t>
      </w:r>
      <w:r w:rsidRPr="002927A1">
        <w:rPr>
          <w:i/>
          <w:lang w:val="es-ES_tradnl"/>
        </w:rPr>
        <w:t xml:space="preserve"> de 2018</w:t>
      </w:r>
      <w:r w:rsidRPr="002927A1">
        <w:rPr>
          <w:lang w:val="es-ES_tradnl"/>
        </w:rPr>
        <w:t>.</w:t>
      </w:r>
    </w:p>
    <w:p w14:paraId="2D33C591" w14:textId="7AC50D88"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Varios representantes, entre ellos uno que habló en nombre de un grupo de países, apoyaron el</w:t>
      </w:r>
      <w:r w:rsidR="008B264E" w:rsidRPr="002927A1">
        <w:rPr>
          <w:lang w:val="es-ES_tradnl"/>
        </w:rPr>
        <w:t> </w:t>
      </w:r>
      <w:r w:rsidRPr="002927A1">
        <w:rPr>
          <w:lang w:val="es-ES_tradnl"/>
        </w:rPr>
        <w:t xml:space="preserve">llamamiento para que el grupo de expertos técnicos prosiguiese su labor entre </w:t>
      </w:r>
      <w:r w:rsidR="00CC1D53" w:rsidRPr="002927A1">
        <w:rPr>
          <w:lang w:val="es-ES_tradnl"/>
        </w:rPr>
        <w:t>reuniones</w:t>
      </w:r>
      <w:r w:rsidRPr="002927A1">
        <w:rPr>
          <w:lang w:val="es-ES_tradnl"/>
        </w:rPr>
        <w:t>, en particular en esferas tales como la definición de términos clave, la inclusión de categorías de fuentes potencialmente pertinentes y la hoja de ruta para la elaboración de orientaciones sobre la elaboración de inventarios, tomando como base los instrumentos con que contaba. Algunos representantes dijeron que el grupo debería celebrar al menos una reunión presencial, habida cuenta de la complejidad de las</w:t>
      </w:r>
      <w:r w:rsidR="008B264E" w:rsidRPr="002927A1">
        <w:rPr>
          <w:lang w:val="es-ES_tradnl"/>
        </w:rPr>
        <w:t> </w:t>
      </w:r>
      <w:r w:rsidRPr="002927A1">
        <w:rPr>
          <w:lang w:val="es-ES_tradnl"/>
        </w:rPr>
        <w:t xml:space="preserve">cuestiones objeto de debate y del hecho de que el período entre las reuniones tercera y cuarta de la Conferencia de las Partes se ampliaría a dos años. Un representante dijo que se debería esclarecer la interpretación del artículo 9 en la reunión en curso de modo que el grupo de expertos pudiese centrarse en la labor técnica y en la elaboración de orientaciones. </w:t>
      </w:r>
    </w:p>
    <w:p w14:paraId="362F0A18" w14:textId="77777777"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 xml:space="preserve">Una representante expresó su apoyo a la sugerencia del informe en cuanto a que la hoja de ruta incluyese la planificación de la elaboración de un proyecto de directrices sobre las mejores técnicas disponibles y las mejores prácticas ambientales para las liberaciones, para su evaluación en la cuarta reunión de la Conferencia de las Partes. Otra representante dijo que antes de comenzar a trabajar sobre esa cuestión, se debería llegar a un acuerdo sobre la metodología para la elaboración de inventarios de liberaciones. </w:t>
      </w:r>
    </w:p>
    <w:p w14:paraId="45A2F9F5" w14:textId="77777777" w:rsidR="0069549A"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Una representante de una organización no gubernamental expresó su respaldo a la necesidad de continuar la labor en esferas tales como la elaboración de inventarios, la elaboración del proyecto de orientaciones sobre las mejores técnicas disponibles y las mejores prácticas ambientales en relación con las liberaciones, y sobre cómo deberían abordarse las aguas residuales.</w:t>
      </w:r>
    </w:p>
    <w:p w14:paraId="03C30325" w14:textId="185C1189" w:rsidR="00397781"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Concluido el debate, la Conferencia de las Partes acordó remitir la cuestión al grupo de contacto sobre cuestiones técnicas solicitándole que ofreciese aclaraciones sobre las cuestiones relacionadas con las liberaciones de mercurio a que se hacía referencia en los párrafos 8, 16, 18 y 22 del anexo II del documento UNEP/MC/COP.3/6, y preparase un proyecto de decisión que incluyese una hoja de ruta para la elaboración de un proyecto de directrices sobre las metodologías para la preparación de inventarios de liberaciones, las categorías propuestas para las fuentes puntuales de liberaciones, así como una hoja de ruta para la elaboración de directrices sobre las mejores técnicas disponibles y las mejores prácticas ambientales</w:t>
      </w:r>
      <w:r w:rsidR="00397781" w:rsidRPr="002927A1">
        <w:rPr>
          <w:lang w:val="es-ES_tradnl"/>
        </w:rPr>
        <w:t>.</w:t>
      </w:r>
    </w:p>
    <w:p w14:paraId="10255666" w14:textId="1C366AF7" w:rsidR="00865EB1" w:rsidRPr="002927A1" w:rsidRDefault="0069549A" w:rsidP="00A524DB">
      <w:pPr>
        <w:pStyle w:val="Normalnumber"/>
        <w:numPr>
          <w:ilvl w:val="0"/>
          <w:numId w:val="44"/>
        </w:numPr>
        <w:tabs>
          <w:tab w:val="clear" w:pos="624"/>
          <w:tab w:val="clear" w:pos="1134"/>
          <w:tab w:val="clear" w:pos="1247"/>
        </w:tabs>
        <w:rPr>
          <w:lang w:val="es-ES_tradnl"/>
        </w:rPr>
      </w:pPr>
      <w:r w:rsidRPr="002927A1">
        <w:rPr>
          <w:lang w:val="es-ES_tradnl"/>
        </w:rPr>
        <w:t>A continuación, la Conferencia de las Partes adoptó la decisión MC-3/4, relativa a las liberaciones de mercurio, presentada por el grupo de contacto sobre cuestiones técnicas en su forma oralmente enmendada, la cual figura en el anexo del presente informe.</w:t>
      </w:r>
      <w:r w:rsidR="00865EB1" w:rsidRPr="002927A1">
        <w:rPr>
          <w:lang w:val="es-ES_tradnl"/>
        </w:rPr>
        <w:t xml:space="preserve"> </w:t>
      </w:r>
    </w:p>
    <w:p w14:paraId="1E5C8002" w14:textId="094AC25D" w:rsidR="00077945" w:rsidRPr="002927A1" w:rsidRDefault="00F57539" w:rsidP="00A7033C">
      <w:pPr>
        <w:pStyle w:val="CH2"/>
        <w:rPr>
          <w:lang w:val="es-ES_tradnl"/>
        </w:rPr>
      </w:pPr>
      <w:bookmarkStart w:id="11" w:name="_Toc27124725"/>
      <w:r w:rsidRPr="002927A1">
        <w:rPr>
          <w:lang w:val="es-ES_tradnl"/>
        </w:rPr>
        <w:tab/>
      </w:r>
      <w:r w:rsidR="00A7033C" w:rsidRPr="002927A1">
        <w:rPr>
          <w:lang w:val="es-ES_tradnl"/>
        </w:rPr>
        <w:t>C.</w:t>
      </w:r>
      <w:r w:rsidR="00A7033C" w:rsidRPr="002927A1">
        <w:rPr>
          <w:lang w:val="es-ES_tradnl"/>
        </w:rPr>
        <w:tab/>
      </w:r>
      <w:bookmarkEnd w:id="11"/>
      <w:r w:rsidR="0069549A" w:rsidRPr="002927A1">
        <w:rPr>
          <w:bCs/>
          <w:lang w:val="es-ES_tradnl"/>
        </w:rPr>
        <w:t>Desechos de mercurio, en particular el examen de los umbrales pertinentes</w:t>
      </w:r>
    </w:p>
    <w:p w14:paraId="4C42A40D"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el representante de la Secretaría señaló a la atención de los presentes una nota de la Secretaría sobre los resultados de la labor del grupo de expertos técnicos sobre los umbrales de desechos de mercurio (UNEP/MC/COP.3/7). Recordó que, de conformidad con el párrafo 2 del artículo 11 del Convenio, la Conferencia de las Partes tenía la obligación de definir los umbrales pertinentes de desechos de mercurio y que, en virtud de su decisión MC</w:t>
      </w:r>
      <w:r w:rsidRPr="002927A1">
        <w:rPr>
          <w:lang w:val="es-ES_tradnl"/>
        </w:rPr>
        <w:noBreakHyphen/>
        <w:t xml:space="preserve">2/2, la Conferencia estableció un grupo de expertos técnicos para examinar la cuestión en el período comprendido entre sus reuniones segunda y tercera, y pidió a la Secretaría que informase sobre los resultados de esa labor en su tercera reunión. En el anexo I de la presente nota figura un proyecto de decisión sobre los umbrales para los desechos de mercurio basado en la labor del grupo de expertos técnicos, mientras que en el anexo II figura el informe sobre la labor del grupo. La Secretaría también había preparado una nota sobre las listas de compuestos de mercurio y productos con mercurio añadido (UNEP/MC/COP.3/INF/18). </w:t>
      </w:r>
    </w:p>
    <w:p w14:paraId="339C7278" w14:textId="3A69A50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El Sr. Andreas Gössnitzer (Suiza), </w:t>
      </w:r>
      <w:r w:rsidR="00CC1D53" w:rsidRPr="002927A1">
        <w:rPr>
          <w:lang w:val="es-ES_tradnl"/>
        </w:rPr>
        <w:t>C</w:t>
      </w:r>
      <w:r w:rsidRPr="002927A1">
        <w:rPr>
          <w:lang w:val="es-ES_tradnl"/>
        </w:rPr>
        <w:t xml:space="preserve">opresidente del grupo de expertos técnicos sobre los umbrales de desechos de mercurio, resumió los resultados de la labor que el Grupo había realizado durante dos teleconferencias y una reunión presencial celebrada en Osaka (Japón) del 27 al 29 de mayo de 2019, bajo los auspicios del Gobierno del Japón. Observó que el grupo de expertos había examinado las tres categorías de desechos de mercurio: los desechos consistentes en mercurio o compuestos de mercurio (desechos de “categoría A”); los desechos que contienen mercurio o compuestos de mercurio (desechos de “categoría B”); y los desechos contaminados con mercurio o compuestos de mercurio (desechos de “categoría C”). El Grupo también había elaborado una lista de desechos de categoría A y listas indicativas de los desechos de categorías B y C. Al examinar las tres categorías de desechos, el Grupo había llegado a la conclusión de que solo era necesario definir umbrales para los desechos de categoría C, y había preparado dos opciones posibles para fijar tales </w:t>
      </w:r>
      <w:r w:rsidRPr="002927A1">
        <w:rPr>
          <w:lang w:val="es-ES_tradnl"/>
        </w:rPr>
        <w:lastRenderedPageBreak/>
        <w:t xml:space="preserve">límites, a fin de que las examinasen las Partes. Una opción consistía en establecer una cantidad total de 25 mg/kg de mercurio como umbral para definir los desechos de mercurio de conformidad con el artículo 11 del Convenio; la otra pasaba por que la Conferencia de las Partes </w:t>
      </w:r>
      <w:r w:rsidR="00CC1D53" w:rsidRPr="002927A1">
        <w:rPr>
          <w:lang w:val="es-ES_tradnl"/>
        </w:rPr>
        <w:t>solicitase</w:t>
      </w:r>
      <w:r w:rsidRPr="002927A1">
        <w:rPr>
          <w:lang w:val="es-ES_tradnl"/>
        </w:rPr>
        <w:t xml:space="preserve"> al grupo de expertos que continuase sus labores para definir el umbral. Por último, el Grupo había elaborado un enfoque de dos niveles para el establecimiento de umbrales para los residuos de la extracción minera a escala industrial. </w:t>
      </w:r>
    </w:p>
    <w:p w14:paraId="13E04714"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La representante de la Secretaría de los Convenios de Basilea, Estocolmo y Rotterdam facilitó información actualizada sobre la labor que se estaba llevando a cabo en el marco del Convenio de Basilea para actualizar las directrices técnicas sobre la gestión ambientalmente racional de los desechos consistentes en mercurio elemental y los desechos que contienen mercurio o están contaminados con mercurio, en respuesta a la invitación de la Conferencia de las Partes en el Convenio de Minamata en su decisión MC</w:t>
      </w:r>
      <w:r w:rsidRPr="002927A1">
        <w:rPr>
          <w:lang w:val="es-ES_tradnl"/>
        </w:rPr>
        <w:noBreakHyphen/>
        <w:t>2/2. La oradora contó que la Secretaría de los Convenios de Basilea, Estocolmo y Rotterdam estaba colaborando activamente con la Secretaría del Convenio de Minamata para garantizar que la labor relativa a los desechos de mercurio que se estaba llevando a cabo en el marco del Convenio de Minamata, incluida la labor del grupo de expertos técnicos sobre los umbrales de desechos de mercurio, fuese examinada por el pequeño grupo de trabajo entre reuniones del Convenio de Basilea que se estaba ocupando de actualizar las directrices técnicas del Convenio de Basilea.</w:t>
      </w:r>
    </w:p>
    <w:p w14:paraId="1E1389CF"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En el debate que tuvo lugar a continuación, los representantes expresaron su agradecimiento al grupo de expertos por su labor y su informe. Muchos representantes, entre ellos uno que habló en nombre de un grupo de países, expresaron su apoyo a la conclusión del grupo de expertos de que solo se necesitaban umbrales para los desechos de categoría C, como se refleja en el proyecto de decisión (UNEP/MC/COP.3/7, anexo I), y su apoyo también para las listas de desechos de categorías A, B y C elaboradas por el Grupo (UNEP/MC/COP.3/7, anexo II, apéndice). Varios representantes, entre ellos dos que intervinieron en nombre de sendos grupos de países, sugirieron que había que revisar las listas.</w:t>
      </w:r>
    </w:p>
    <w:p w14:paraId="6E9A7EDF"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Numerosos representantes, entre ellos una que habló en nombre de un grupo de países, expresaron su apoyo a la utilización del valor propuesto de 25 mg/kg, expresado como mercurio total, como umbral para definir los desechos de mercurio de conformidad con el artículo 11 del Convenio, como constaba en la opción 1 del proyecto de decisión. Una representante advirtió que, si cambiaban las circunstancias, podría ser necesario revisar el umbral propuesto. </w:t>
      </w:r>
    </w:p>
    <w:p w14:paraId="38022573"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representante de la Unión Europea presentó un documento de sesión en el que se apoyaba la utilización del valor de 25 mg/kg y se apuntaba su justificación. </w:t>
      </w:r>
    </w:p>
    <w:p w14:paraId="4563911B"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Muchos otros representantes, uno de los cuales habló en nombre de un grupo de países, se manifestaron a favor de solicitar al grupo de expertos que prosiguiese su labor para determinar los umbrales para los desechos de categoría C, en consonancia con la opción 2 del proyecto de decisión, y la mayoría de esos representantes sugirieron que esos umbrales deberían basarse en evaluaciones de riesgos ambientales y tener en cuenta las distintas situaciones y circunstancias regionales o nacionales en lo referente al medio ambiente. </w:t>
      </w:r>
    </w:p>
    <w:p w14:paraId="17C29AF8"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Una representante expresó su preocupación por el hecho de que el informe del grupo de expertos no se ocupaba de si las fracciones de desechos contaminados con mercurio que figuran en el cuadro 3 (lista indicativa de desechos contaminados con mercurio o compuestos de mercurio) del proyecto de decisión tenían normalmente una concentración superior al umbral de 25 mg/kg. Por lo tanto, no estaba claro si ese umbral iba a garantizar que los principales tipos de desechos contaminados con mercurio quedarían sujetos a los requisitos de gestión ambientalmente racional que figuran en el artículo 11 del Convenio.</w:t>
      </w:r>
    </w:p>
    <w:p w14:paraId="1FBFCDA0" w14:textId="2F42D0D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Una representante, que habló en nombre de un grupo de países, brindó su apoyo al enfoque de</w:t>
      </w:r>
      <w:r w:rsidR="000F08DC" w:rsidRPr="002927A1">
        <w:rPr>
          <w:lang w:val="es-ES_tradnl"/>
        </w:rPr>
        <w:t> </w:t>
      </w:r>
      <w:r w:rsidRPr="002927A1">
        <w:rPr>
          <w:lang w:val="es-ES_tradnl"/>
        </w:rPr>
        <w:t xml:space="preserve">dos niveles para los residuos mineros que se proponía en el proyecto de decisión. </w:t>
      </w:r>
    </w:p>
    <w:p w14:paraId="1C402913"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Otra representante subrayó la necesidad de aclarar en el párrafo 4 del proyecto de decisión que el valor de 25 mg/kg como el primero de los dos niveles del enfoque dirigido a fijar umbrales de residuos de la extracción minera no se podía aplicar como umbral para determinados desechos de minería. Tras señalar a la atención el mandato del grupo de expertos, enunciado en el párrafo 2 d) del anexo de la decisión MC</w:t>
      </w:r>
      <w:r w:rsidRPr="002927A1">
        <w:rPr>
          <w:lang w:val="es-ES_tradnl"/>
        </w:rPr>
        <w:noBreakHyphen/>
        <w:t>2/2, señaló que la roca de recubrimiento y de desecho y los desechos de la minería, a excepción de los derivados de la extracción primaria de mercurio, constituían una categoría especial de desechos y no desechos de categoría C.</w:t>
      </w:r>
    </w:p>
    <w:p w14:paraId="64748F59" w14:textId="1BEBEA38"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Con respecto a las directrices técnicas del Convenio de Basilea sobre los desechos de mercurio, dos representantes destacaron la importancia de una buena cooperación con la Secretaría de los Convenios de Basilea, Estocolmo y Rotterdam, </w:t>
      </w:r>
      <w:r w:rsidR="00F629EA" w:rsidRPr="002927A1">
        <w:rPr>
          <w:lang w:val="es-ES_tradnl"/>
        </w:rPr>
        <w:t>en particular</w:t>
      </w:r>
      <w:r w:rsidRPr="002927A1">
        <w:rPr>
          <w:lang w:val="es-ES_tradnl"/>
        </w:rPr>
        <w:t xml:space="preserve"> en el contexto del pequeño grupo de </w:t>
      </w:r>
      <w:r w:rsidRPr="002927A1">
        <w:rPr>
          <w:lang w:val="es-ES_tradnl"/>
        </w:rPr>
        <w:lastRenderedPageBreak/>
        <w:t>trabajo entre reuniones del Convenio de Basilea que estaba actualizando esas directrices. Otro representante dijo que su país había participado en esa labor y mantenía su compromiso de colaborar estrechamente con el Convenio de Minamata en esas directrices, y apuntó la importancia de que la Conferencia de las Partes en el Convenio de Minamata acordase un umbral para los desechos de mercurio a fin de que las directrices pudiesen incluir ese umbral y las Partes en los Convenios de Basilea y Minamata pudiesen utilizarlo.</w:t>
      </w:r>
    </w:p>
    <w:p w14:paraId="66AC342E" w14:textId="01ECD896"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Muchos representantes, entre ellos dos que hablaron en nombre de sendos grupos de países, aconsejaron prudencia ante el establecimiento de umbrales, </w:t>
      </w:r>
      <w:r w:rsidR="007534EC" w:rsidRPr="002927A1">
        <w:rPr>
          <w:lang w:val="es-ES_tradnl"/>
        </w:rPr>
        <w:t>a</w:t>
      </w:r>
      <w:r w:rsidRPr="002927A1">
        <w:rPr>
          <w:lang w:val="es-ES_tradnl"/>
        </w:rPr>
        <w:t xml:space="preserve"> los fines del artículo 11 del Convenio, para los residuos de la extracción y el tratamiento de oro artesanales y en pequeña escala, que, si bien se consideraban desechos de categoría C en la propuesta de proyecto de decisión, tenían características específicas que justificaban un enfoque diferente, como se refleja en el artículo 7 del Convenio. Dos representantes, uno de los cuales habló en nombre de un grupo de países, sugirieron que la gestión de los desechos resultantes de la minería artesanal de pequeña escala debería abordarse en planes de acción nacionales dirigidos a ese tipo de extracción, y que, por lo tanto, deberían elaborarse orientaciones adecuadas para promover la gestión ambientalmente racional de los desechos en el marco de esos planes. Un representante propuso que en la revisión de las directrices técnicas del Convenio de Basilea sobre los desechos de mercurio debían participar activamente expertos en la minería artesanal y en pequeña escala de oro.</w:t>
      </w:r>
    </w:p>
    <w:p w14:paraId="775AA34C"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Varios observadores formularon observaciones sobre el proyecto de decisión. Uno de ellos opinó que el proyecto de decisión debería especificar vías de colaboración entre las Secretarías de los Convenios de Basilea y Minamata en lo referente a las directrices sobre desechos de mercurio, y sugirió dos vías para hacerlo. Otro sostuvo que las directrices técnicas del Convenio de Basilea sobre los desechos de mercurio no ofrecían suficiente orientación para la gestión ambientalmente racional de los desechos de la minería artesanal y en pequeña escala en el sector de la extracción de oro, y sugirió que esa orientación debería elaborarse en el marco del Convenio de Minamata. Un representante juzgó importante examinar las mejores tecnologías disponibles para eliminar adecuadamente los desechos de mercurio, en lugar de limitarse a diluirlos, y para desarrollar sinergias con el Convenio de Rotterdam en cuestiones tales como los plaguicidas obsoletos. Otro abogó por la adopción de 1 mg/kg como umbral para definir los desechos de mercurio y destacó que el umbral de 25 mg/kg era demasiado elevado; también pidió que se adoptara un enfoque de un solo nivel que se basase en los valores de concentración total para definir los umbrales de desechos de minería.</w:t>
      </w:r>
    </w:p>
    <w:p w14:paraId="1D56CCF6" w14:textId="380EA516"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Tras el debate, la Conferencia de las Partes acordó remitir la cuestión al grupo de contacto sobre cuestiones técnicas</w:t>
      </w:r>
      <w:r w:rsidR="00F629EA" w:rsidRPr="002927A1">
        <w:rPr>
          <w:lang w:val="es-ES_tradnl"/>
        </w:rPr>
        <w:t xml:space="preserve"> y solicitó que el grupo preparase un proyecto de decisión teniendo en cuenta el </w:t>
      </w:r>
      <w:r w:rsidRPr="002927A1">
        <w:rPr>
          <w:lang w:val="es-ES_tradnl"/>
        </w:rPr>
        <w:t xml:space="preserve">proyecto de decisión propuesto en el anexo I </w:t>
      </w:r>
      <w:r w:rsidR="00F629EA" w:rsidRPr="002927A1">
        <w:rPr>
          <w:lang w:val="es-ES_tradnl"/>
        </w:rPr>
        <w:t xml:space="preserve">del documento UNEP/MC/COP.3/7 y, en caso necesario, </w:t>
      </w:r>
      <w:r w:rsidRPr="002927A1">
        <w:rPr>
          <w:lang w:val="es-ES_tradnl"/>
        </w:rPr>
        <w:t>el documento de sesión presentado por la Unión Europea</w:t>
      </w:r>
      <w:r w:rsidR="00AA53B0" w:rsidRPr="002927A1">
        <w:rPr>
          <w:lang w:val="es-ES_tradnl"/>
        </w:rPr>
        <w:t>.</w:t>
      </w:r>
    </w:p>
    <w:p w14:paraId="13BB8677" w14:textId="5DA418E8" w:rsidR="00DA68FD"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Posteriormente, la Conferencia de las Partes adoptó la decisión</w:t>
      </w:r>
      <w:r w:rsidR="005D03D4" w:rsidRPr="002927A1">
        <w:rPr>
          <w:lang w:val="es-ES_tradnl"/>
        </w:rPr>
        <w:t xml:space="preserve"> MC-3/</w:t>
      </w:r>
      <w:r w:rsidR="00EE6A6E" w:rsidRPr="002927A1">
        <w:rPr>
          <w:lang w:val="es-ES_tradnl"/>
        </w:rPr>
        <w:t>5</w:t>
      </w:r>
      <w:r w:rsidRPr="002927A1">
        <w:rPr>
          <w:lang w:val="es-ES_tradnl"/>
        </w:rPr>
        <w:t>, relativa a los umbrales de desechos de mercurio</w:t>
      </w:r>
      <w:r w:rsidR="005D03D4" w:rsidRPr="002927A1">
        <w:rPr>
          <w:lang w:val="es-ES_tradnl"/>
        </w:rPr>
        <w:t xml:space="preserve">, </w:t>
      </w:r>
      <w:r w:rsidRPr="002927A1">
        <w:rPr>
          <w:lang w:val="es-ES_tradnl"/>
        </w:rPr>
        <w:t>presentada por el grupo de contacto sobre cuestiones técnicas en su forma oralmente enmendada. La decisión se reproduce en el anexo del presente informe.</w:t>
      </w:r>
      <w:r w:rsidR="005D03D4" w:rsidRPr="002927A1">
        <w:rPr>
          <w:lang w:val="es-ES_tradnl"/>
        </w:rPr>
        <w:t xml:space="preserve"> </w:t>
      </w:r>
    </w:p>
    <w:p w14:paraId="5DA787FE" w14:textId="6DB99910" w:rsidR="00077945" w:rsidRPr="002927A1" w:rsidRDefault="00F57539" w:rsidP="009E027F">
      <w:pPr>
        <w:pStyle w:val="CH2"/>
        <w:rPr>
          <w:lang w:val="es-ES_tradnl"/>
        </w:rPr>
      </w:pPr>
      <w:bookmarkStart w:id="12" w:name="_Toc27124726"/>
      <w:r w:rsidRPr="002927A1">
        <w:rPr>
          <w:lang w:val="es-ES_tradnl"/>
        </w:rPr>
        <w:tab/>
      </w:r>
      <w:r w:rsidR="00A7033C" w:rsidRPr="002927A1">
        <w:rPr>
          <w:lang w:val="es-ES_tradnl"/>
        </w:rPr>
        <w:t>D.</w:t>
      </w:r>
      <w:r w:rsidR="00A7033C" w:rsidRPr="002927A1">
        <w:rPr>
          <w:lang w:val="es-ES_tradnl"/>
        </w:rPr>
        <w:tab/>
      </w:r>
      <w:bookmarkEnd w:id="12"/>
      <w:r w:rsidR="00F81F2A" w:rsidRPr="002927A1">
        <w:rPr>
          <w:bCs/>
          <w:lang w:val="es-ES_tradnl"/>
        </w:rPr>
        <w:t>Orientaciones sobre la gestión de sitios contaminados</w:t>
      </w:r>
    </w:p>
    <w:p w14:paraId="2C11B7DF" w14:textId="79A6F55E"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Al presentar el subtema, el representante de la Secretaría señaló a la atención de los presentes las notas de la Secretaría relativas a la orientación sobre la gestión de sitios contaminados (UNEP/MC/COP.3/8) y la información técnica que complementa la orientación sobre la gestión de sitios contaminados (UNEP/MC/COP.3/INF/13), que habían sido preparadas atendiendo a la decisión MC-2/8. El </w:t>
      </w:r>
      <w:r w:rsidRPr="00CD78A7">
        <w:rPr>
          <w:lang w:val="es-ES_tradnl"/>
        </w:rPr>
        <w:t>orador recordó que, por medio de esa decisión, la Conferencia de las Partes había pedido a la Secretaría que</w:t>
      </w:r>
      <w:r w:rsidR="00CA79C3" w:rsidRPr="00CD78A7">
        <w:rPr>
          <w:lang w:val="es-ES_tradnl"/>
        </w:rPr>
        <w:t>, en consulta con expertos nombrados,</w:t>
      </w:r>
      <w:r w:rsidRPr="00CD78A7">
        <w:rPr>
          <w:lang w:val="es-ES_tradnl"/>
        </w:rPr>
        <w:t xml:space="preserve"> examinase </w:t>
      </w:r>
      <w:r w:rsidR="00CA79C3" w:rsidRPr="00CD78A7">
        <w:rPr>
          <w:lang w:val="es-ES_tradnl"/>
        </w:rPr>
        <w:t>el</w:t>
      </w:r>
      <w:r w:rsidRPr="00CD78A7">
        <w:rPr>
          <w:lang w:val="es-ES_tradnl"/>
        </w:rPr>
        <w:t xml:space="preserve"> proyecto</w:t>
      </w:r>
      <w:r w:rsidRPr="002927A1">
        <w:rPr>
          <w:lang w:val="es-ES_tradnl"/>
        </w:rPr>
        <w:t xml:space="preserve"> de orientación anterior sobre la gestión de sitios contaminados preparada por la Secretaría. En consecuencia, la Secretaría había revisado el proyecto de orientación anterior, e introdujo algunos cambios en este. En un documento aparte (UNEP/MC/COP.3/INF/13) se había compilado alguna información técnica y de otra índole proporcionada por las Partes y los expertos, que complementaban la orientación, que se daría a conocer y se mantendría actualizada en el sitio web del Convenio. En el anexo </w:t>
      </w:r>
      <w:r w:rsidR="00C9335F" w:rsidRPr="002927A1">
        <w:rPr>
          <w:lang w:val="es-ES_tradnl"/>
        </w:rPr>
        <w:t xml:space="preserve">I </w:t>
      </w:r>
      <w:r w:rsidRPr="002927A1">
        <w:rPr>
          <w:lang w:val="es-ES_tradnl"/>
        </w:rPr>
        <w:t>del documento UNEP/MC/COP.3/8 se reproducía un proyecto de decisión sobre el proyecto de orientación, mientras que el proyecto de orientación figuraba en el anexo II de ese mismo documento.</w:t>
      </w:r>
    </w:p>
    <w:p w14:paraId="3EC7C04D" w14:textId="77777777"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el debate que tuvo lugar a continuación, muchos representantes, entre ellos una que habló en nombre de un grupo de países, dieron las gracias a la Secretaría y a todos los que habían aportado su contribución al proyecto de orientación, y manifestaron que constituía un instrumento práctico para las Partes y representaba una importante mejora respecto de la versión del proyecto anterior. </w:t>
      </w:r>
    </w:p>
    <w:p w14:paraId="10291F18" w14:textId="77777777"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Varios representantes dieron a entender que cabía la posibilidad de mejorar el proyecto de orientación en cuanto a su estructura, a la definición de objetivos específicos, su alcance, la definición </w:t>
      </w:r>
      <w:r w:rsidRPr="002927A1">
        <w:rPr>
          <w:lang w:val="es-ES_tradnl"/>
        </w:rPr>
        <w:lastRenderedPageBreak/>
        <w:t>de términos, y la claridad de cuestiones técnicas, como la identificación de sitios, la caracterización, la evaluación del riesgo y las medidas de rehabilitación.</w:t>
      </w:r>
    </w:p>
    <w:p w14:paraId="149A9C63" w14:textId="77777777"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Muchos representantes, entre ellos uno que habló en nombre de un grupo de países, dijeron que era imprescindible que la Conferencia de las Partes aprobase la orientación sobre la gestión de sitios contaminados en la reunión en curso, para que las Partes pudieran empezar a ponerla en práctica, y advirtieron que era necesario prestar apoyo técnico y de otra índole a las Partes para ayudarlas en su aplicación. Muchos representantes señalaron a la atención de los presentes la legislación y otras medidas adoptadas por sus países para identificar y gestionar sitios contaminados, y dijeron que la orientación contribuiría a esos esfuerzos. </w:t>
      </w:r>
    </w:p>
    <w:p w14:paraId="0A6E2C14" w14:textId="381881E8"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Un representante, que habló en nombre de un grupo de países, dijo que la cuestión de los sitios contaminados con mercurio </w:t>
      </w:r>
      <w:r w:rsidR="007534EC" w:rsidRPr="002927A1">
        <w:rPr>
          <w:lang w:val="es-ES_tradnl"/>
        </w:rPr>
        <w:t>revest</w:t>
      </w:r>
      <w:r w:rsidRPr="002927A1">
        <w:rPr>
          <w:lang w:val="es-ES_tradnl"/>
        </w:rPr>
        <w:t xml:space="preserve">ía </w:t>
      </w:r>
      <w:r w:rsidR="007534EC" w:rsidRPr="002927A1">
        <w:rPr>
          <w:lang w:val="es-ES_tradnl"/>
        </w:rPr>
        <w:t xml:space="preserve">especial </w:t>
      </w:r>
      <w:r w:rsidRPr="002927A1">
        <w:rPr>
          <w:lang w:val="es-ES_tradnl"/>
        </w:rPr>
        <w:t xml:space="preserve">importancia para los países africanos debido a la presencia en esos países de sitios donde se practicaba la extracción de oro artesanal y en pequeña escala utilizando mercurio; la quema a cielo abierto de los desechos municipales, que incluían productos con mercurio añadido al final de su vida útil, empresas que usaban mercurio y no contaban con equipo de control de la contaminación; y la gran proximidad de zonas de deposición atmosférica del mercurio a zonas residenciales y espacios protegidos, lo que </w:t>
      </w:r>
      <w:r w:rsidR="007534EC" w:rsidRPr="002927A1">
        <w:rPr>
          <w:lang w:val="es-ES_tradnl"/>
        </w:rPr>
        <w:t>planteaba</w:t>
      </w:r>
      <w:r w:rsidRPr="002927A1">
        <w:rPr>
          <w:lang w:val="es-ES_tradnl"/>
        </w:rPr>
        <w:t xml:space="preserve"> riesgo</w:t>
      </w:r>
      <w:r w:rsidR="007534EC" w:rsidRPr="002927A1">
        <w:rPr>
          <w:lang w:val="es-ES_tradnl"/>
        </w:rPr>
        <w:t>s</w:t>
      </w:r>
      <w:r w:rsidRPr="002927A1">
        <w:rPr>
          <w:lang w:val="es-ES_tradnl"/>
        </w:rPr>
        <w:t xml:space="preserve"> de exposición al mercurio </w:t>
      </w:r>
      <w:r w:rsidR="007534EC" w:rsidRPr="002927A1">
        <w:rPr>
          <w:lang w:val="es-ES_tradnl"/>
        </w:rPr>
        <w:t>para los</w:t>
      </w:r>
      <w:r w:rsidRPr="002927A1">
        <w:rPr>
          <w:lang w:val="es-ES_tradnl"/>
        </w:rPr>
        <w:t xml:space="preserve"> seres humanos y la fauna y flora silvestres.</w:t>
      </w:r>
    </w:p>
    <w:p w14:paraId="3F9DB1E4" w14:textId="1FB22B80"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Muchos representantes, uno de los cuales habló en nombre de un grupo de países, recomendaron que se prestase apoyo en la forma de asistencia técnica, creación de capacidad y ayuda financiera a las Partes para que aplicasen la</w:t>
      </w:r>
      <w:r w:rsidR="007534EC" w:rsidRPr="002927A1">
        <w:rPr>
          <w:lang w:val="es-ES_tradnl"/>
        </w:rPr>
        <w:t>s</w:t>
      </w:r>
      <w:r w:rsidRPr="002927A1">
        <w:rPr>
          <w:lang w:val="es-ES_tradnl"/>
        </w:rPr>
        <w:t xml:space="preserve"> orientaci</w:t>
      </w:r>
      <w:r w:rsidR="007534EC" w:rsidRPr="002927A1">
        <w:rPr>
          <w:lang w:val="es-ES_tradnl"/>
        </w:rPr>
        <w:t>ones</w:t>
      </w:r>
      <w:r w:rsidRPr="002927A1">
        <w:rPr>
          <w:lang w:val="es-ES_tradnl"/>
        </w:rPr>
        <w:t xml:space="preserve">, y que </w:t>
      </w:r>
      <w:r w:rsidR="007534EC" w:rsidRPr="002927A1">
        <w:rPr>
          <w:lang w:val="es-ES_tradnl"/>
        </w:rPr>
        <w:t>estas</w:t>
      </w:r>
      <w:r w:rsidRPr="002927A1">
        <w:rPr>
          <w:lang w:val="es-ES_tradnl"/>
        </w:rPr>
        <w:t xml:space="preserve"> debería</w:t>
      </w:r>
      <w:r w:rsidR="007534EC" w:rsidRPr="002927A1">
        <w:rPr>
          <w:lang w:val="es-ES_tradnl"/>
        </w:rPr>
        <w:t>n</w:t>
      </w:r>
      <w:r w:rsidRPr="002927A1">
        <w:rPr>
          <w:lang w:val="es-ES_tradnl"/>
        </w:rPr>
        <w:t xml:space="preserve"> examinarse con periodicidad teniendo en cuenta la nueva información y las experiencias ganadas durante su aplicación. Dos representantes dijeron que las orientaciones deberían someterse a prueba en forma experimental para que los resultados de esas pruebas pudie</w:t>
      </w:r>
      <w:r w:rsidR="007534EC" w:rsidRPr="002927A1">
        <w:rPr>
          <w:lang w:val="es-ES_tradnl"/>
        </w:rPr>
        <w:t>sen</w:t>
      </w:r>
      <w:r w:rsidRPr="002927A1">
        <w:rPr>
          <w:lang w:val="es-ES_tradnl"/>
        </w:rPr>
        <w:t xml:space="preserve"> fundamentar el proceso de examen, y propusieron que se estableciese un marco cronológico específico para el examen de la orientación.</w:t>
      </w:r>
    </w:p>
    <w:p w14:paraId="1FBE3B44" w14:textId="26EF8102"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Con respecto al proyecto de decisión, un representante propuso que se añadiese un </w:t>
      </w:r>
      <w:r w:rsidR="00C9335F" w:rsidRPr="002927A1">
        <w:rPr>
          <w:lang w:val="es-ES_tradnl"/>
        </w:rPr>
        <w:t>n</w:t>
      </w:r>
      <w:r w:rsidRPr="002927A1">
        <w:rPr>
          <w:lang w:val="es-ES_tradnl"/>
        </w:rPr>
        <w:t>uevo párrafo al proyecto de decisión, en el que se hiciera hincapié en la función de la transferencia de tecnología, el apoyo financiero y la creación de capacidad para que las Partes pudiesen aplicar la orientación.</w:t>
      </w:r>
    </w:p>
    <w:p w14:paraId="5FF46576" w14:textId="113B822E"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Un representante </w:t>
      </w:r>
      <w:r w:rsidR="007534EC" w:rsidRPr="002927A1">
        <w:rPr>
          <w:lang w:val="es-ES_tradnl"/>
        </w:rPr>
        <w:t>exhort</w:t>
      </w:r>
      <w:r w:rsidRPr="002927A1">
        <w:rPr>
          <w:lang w:val="es-ES_tradnl"/>
        </w:rPr>
        <w:t>ó a la Secretaría del Convenio de Minamata a que trabajase en estrecha colaboración con la Secretaría de los Convenios de Basilea, Estocolmo y Rotterdam en cuestiones relacionadas con los desechos de mercurio a fin de evitar la duplicación de esfuerzos y aprovechar mejor los recursos disponibles y los conocimientos especializados. Tras subrayar que en su país se encontraban algunos de los sitios más contaminados del mundo debido a las irresponsables prácticas de la industria en materia de gestión y almacenamiento de los desechos de mercurio, el orador dijo que la aplicación de la orientación para rehabilitar los sitios contaminados debería ser el objetivo final en el marco del Convenio.</w:t>
      </w:r>
    </w:p>
    <w:p w14:paraId="3DE53DD4" w14:textId="1B0F3375" w:rsidR="006B43CC"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 xml:space="preserve">Dos observadores </w:t>
      </w:r>
      <w:r w:rsidR="009D28CB" w:rsidRPr="002927A1">
        <w:rPr>
          <w:lang w:val="es-ES_tradnl"/>
        </w:rPr>
        <w:t xml:space="preserve">solicitaron </w:t>
      </w:r>
      <w:r w:rsidRPr="002927A1">
        <w:rPr>
          <w:lang w:val="es-ES_tradnl"/>
        </w:rPr>
        <w:t xml:space="preserve">a la Conferencia de las Partes que aprobase las orientaciones y solicitase a la Secretaría que siguiese reuniendo información técnica para complementarlas. Uno de ellos instó además a las Partes a poner fin al comercio de mercurio destinado a la extracción de oro artesanal y en pequeña escala, la producción de cloro-álcali y otras actividades contaminantes para evitar la aparición de nuevos sitios contaminados, y a financiar y apoyar la rehabilitación en el marco del Convenio de Minamata de los sitios contaminados que ya existían. La otra observadora señaló a la atención de los presentes la labor realizada por su organización para ayudar a los países a afrontar el problema de los sitios contaminados abandonados en </w:t>
      </w:r>
      <w:r w:rsidR="008834F4" w:rsidRPr="002927A1">
        <w:rPr>
          <w:lang w:val="es-ES_tradnl"/>
        </w:rPr>
        <w:t xml:space="preserve">los </w:t>
      </w:r>
      <w:r w:rsidRPr="002927A1">
        <w:rPr>
          <w:lang w:val="es-ES_tradnl"/>
        </w:rPr>
        <w:t>que se realizaban actividades de extracción de oro artesanal y en pequeña escala.</w:t>
      </w:r>
    </w:p>
    <w:p w14:paraId="46A10E30" w14:textId="1E81BF51" w:rsidR="00113D26" w:rsidRPr="002927A1" w:rsidRDefault="006B43CC" w:rsidP="00A524DB">
      <w:pPr>
        <w:pStyle w:val="Normalnumber"/>
        <w:numPr>
          <w:ilvl w:val="0"/>
          <w:numId w:val="44"/>
        </w:numPr>
        <w:tabs>
          <w:tab w:val="clear" w:pos="624"/>
          <w:tab w:val="clear" w:pos="1134"/>
          <w:tab w:val="clear" w:pos="1247"/>
        </w:tabs>
        <w:rPr>
          <w:lang w:val="es-ES_tradnl"/>
        </w:rPr>
      </w:pPr>
      <w:r w:rsidRPr="002927A1">
        <w:rPr>
          <w:lang w:val="es-ES_tradnl"/>
        </w:rPr>
        <w:t>Tras el debate, la Conferencia de las Partes acordó que las Partes interesadas celebrarían consultas oficiosas para ultimar el proyecto de orientaciones y el proyecto de decisión conexo</w:t>
      </w:r>
      <w:r w:rsidR="00113D26" w:rsidRPr="002927A1">
        <w:rPr>
          <w:lang w:val="es-ES_tradnl"/>
        </w:rPr>
        <w:t xml:space="preserve">. </w:t>
      </w:r>
    </w:p>
    <w:p w14:paraId="65AA9C04" w14:textId="63647819" w:rsidR="00A84C80"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A continuación, la </w:t>
      </w:r>
      <w:r w:rsidR="00A84C80" w:rsidRPr="002927A1">
        <w:rPr>
          <w:lang w:val="es-ES_tradnl"/>
        </w:rPr>
        <w:t>Conferenc</w:t>
      </w:r>
      <w:r w:rsidRPr="002927A1">
        <w:rPr>
          <w:lang w:val="es-ES_tradnl"/>
        </w:rPr>
        <w:t>ia de las</w:t>
      </w:r>
      <w:r w:rsidR="00A84C80" w:rsidRPr="002927A1">
        <w:rPr>
          <w:lang w:val="es-ES_tradnl"/>
        </w:rPr>
        <w:t xml:space="preserve"> Partes adopt</w:t>
      </w:r>
      <w:r w:rsidRPr="002927A1">
        <w:rPr>
          <w:lang w:val="es-ES_tradnl"/>
        </w:rPr>
        <w:t>ó la</w:t>
      </w:r>
      <w:r w:rsidR="00A84C80" w:rsidRPr="002927A1">
        <w:rPr>
          <w:lang w:val="es-ES_tradnl"/>
        </w:rPr>
        <w:t xml:space="preserve"> decisi</w:t>
      </w:r>
      <w:r w:rsidRPr="002927A1">
        <w:rPr>
          <w:lang w:val="es-ES_tradnl"/>
        </w:rPr>
        <w:t>ó</w:t>
      </w:r>
      <w:r w:rsidR="00A84C80" w:rsidRPr="002927A1">
        <w:rPr>
          <w:lang w:val="es-ES_tradnl"/>
        </w:rPr>
        <w:t>n MC-3/</w:t>
      </w:r>
      <w:r w:rsidR="00EE6A6E" w:rsidRPr="002927A1">
        <w:rPr>
          <w:lang w:val="es-ES_tradnl"/>
        </w:rPr>
        <w:t>6</w:t>
      </w:r>
      <w:r w:rsidRPr="002927A1">
        <w:rPr>
          <w:lang w:val="es-ES_tradnl"/>
        </w:rPr>
        <w:t xml:space="preserve">, relativa a las </w:t>
      </w:r>
      <w:r w:rsidRPr="002927A1">
        <w:rPr>
          <w:bCs/>
          <w:lang w:val="es-ES_tradnl"/>
        </w:rPr>
        <w:t>orientaciones sobre la gestión de sitios contaminados, presentada después de la celebración de consultas oficiosas y en su forma oralmente enmendada, la cual figura en el anexo del presente informe.</w:t>
      </w:r>
      <w:r w:rsidR="00A84C80" w:rsidRPr="002927A1">
        <w:rPr>
          <w:lang w:val="es-ES_tradnl"/>
        </w:rPr>
        <w:t xml:space="preserve"> </w:t>
      </w:r>
    </w:p>
    <w:p w14:paraId="26EFAE32" w14:textId="2BB4494E" w:rsidR="00F81F2A" w:rsidRPr="002927A1" w:rsidRDefault="00A7033C" w:rsidP="00F81F2A">
      <w:pPr>
        <w:pStyle w:val="CH2"/>
        <w:rPr>
          <w:lang w:val="es-ES_tradnl"/>
        </w:rPr>
      </w:pPr>
      <w:r w:rsidRPr="002927A1">
        <w:rPr>
          <w:lang w:val="es-ES_tradnl"/>
        </w:rPr>
        <w:tab/>
      </w:r>
      <w:bookmarkStart w:id="13" w:name="_Toc27124727"/>
      <w:r w:rsidRPr="002927A1">
        <w:rPr>
          <w:lang w:val="es-ES_tradnl"/>
        </w:rPr>
        <w:t>E.</w:t>
      </w:r>
      <w:r w:rsidRPr="002927A1">
        <w:rPr>
          <w:lang w:val="es-ES_tradnl"/>
        </w:rPr>
        <w:tab/>
      </w:r>
      <w:bookmarkEnd w:id="13"/>
      <w:r w:rsidR="00F81F2A" w:rsidRPr="002927A1">
        <w:rPr>
          <w:bCs/>
          <w:lang w:val="es-ES_tradnl"/>
        </w:rPr>
        <w:t>Mecanismo financiero</w:t>
      </w:r>
    </w:p>
    <w:p w14:paraId="53FA6CE2" w14:textId="77777777" w:rsidR="00F81F2A" w:rsidRPr="002927A1" w:rsidRDefault="00F81F2A" w:rsidP="00F81F2A">
      <w:pPr>
        <w:keepNext/>
        <w:keepLines/>
        <w:tabs>
          <w:tab w:val="right" w:pos="851"/>
          <w:tab w:val="left" w:pos="4082"/>
        </w:tabs>
        <w:suppressAutoHyphens/>
        <w:spacing w:before="240" w:after="120"/>
        <w:ind w:left="1247" w:right="284" w:hanging="1247"/>
        <w:rPr>
          <w:b/>
        </w:rPr>
      </w:pPr>
      <w:r w:rsidRPr="002927A1">
        <w:rPr>
          <w:b/>
        </w:rPr>
        <w:tab/>
        <w:t>1.</w:t>
      </w:r>
      <w:r w:rsidRPr="002927A1">
        <w:rPr>
          <w:b/>
        </w:rPr>
        <w:tab/>
      </w:r>
      <w:r w:rsidRPr="002927A1">
        <w:rPr>
          <w:b/>
          <w:bCs/>
        </w:rPr>
        <w:t>Fondo para el Medio Ambiente Mundial</w:t>
      </w:r>
    </w:p>
    <w:p w14:paraId="49300732" w14:textId="0C331691" w:rsidR="00F81F2A" w:rsidRPr="002927A1" w:rsidRDefault="00F81F2A" w:rsidP="00A524DB">
      <w:pPr>
        <w:pStyle w:val="Normalnumber"/>
        <w:numPr>
          <w:ilvl w:val="0"/>
          <w:numId w:val="44"/>
        </w:numPr>
        <w:tabs>
          <w:tab w:val="clear" w:pos="624"/>
          <w:tab w:val="clear" w:pos="1134"/>
          <w:tab w:val="clear" w:pos="1247"/>
        </w:tabs>
        <w:rPr>
          <w:color w:val="000000"/>
          <w:lang w:val="es-ES_tradnl"/>
        </w:rPr>
      </w:pPr>
      <w:r w:rsidRPr="002927A1">
        <w:rPr>
          <w:lang w:val="es-ES_tradnl"/>
        </w:rPr>
        <w:t>La representante del Fondo para el Medio Ambiente Mundial (FMAM) presentó el informe del Consejo del Fondo a la Conferencia de las Partes en el Convenio de Minamata sobre el Mercurio en su tercera reunión (UNEP/MC/COP.3/</w:t>
      </w:r>
      <w:r w:rsidR="00CA79C3">
        <w:rPr>
          <w:lang w:val="es-ES_tradnl"/>
        </w:rPr>
        <w:t>INF/2</w:t>
      </w:r>
      <w:r w:rsidRPr="002927A1">
        <w:rPr>
          <w:lang w:val="es-ES_tradnl"/>
        </w:rPr>
        <w:t xml:space="preserve">, anexo). En el informe se presentaba la labor </w:t>
      </w:r>
      <w:r w:rsidRPr="002927A1">
        <w:rPr>
          <w:lang w:val="es-ES_tradnl"/>
        </w:rPr>
        <w:lastRenderedPageBreak/>
        <w:t xml:space="preserve">del FMAM en el cumplimiento de su mandato de conformidad con el Convenio de Minamata </w:t>
      </w:r>
      <w:r w:rsidR="009D28CB" w:rsidRPr="002927A1">
        <w:rPr>
          <w:lang w:val="es-ES_tradnl"/>
        </w:rPr>
        <w:t>en</w:t>
      </w:r>
      <w:r w:rsidRPr="002927A1">
        <w:rPr>
          <w:lang w:val="es-ES_tradnl"/>
        </w:rPr>
        <w:t xml:space="preserve"> el período comprendido entre el 1 de julio de 2018 y el 30 de junio de 2019, </w:t>
      </w:r>
      <w:r w:rsidR="00AA53B0" w:rsidRPr="002927A1">
        <w:rPr>
          <w:lang w:val="es-ES_tradnl"/>
        </w:rPr>
        <w:t>e indicó</w:t>
      </w:r>
      <w:r w:rsidRPr="002927A1">
        <w:rPr>
          <w:lang w:val="es-ES_tradnl"/>
        </w:rPr>
        <w:t xml:space="preserve"> la manera en </w:t>
      </w:r>
      <w:r w:rsidR="008834F4" w:rsidRPr="002927A1">
        <w:rPr>
          <w:lang w:val="es-ES_tradnl"/>
        </w:rPr>
        <w:t xml:space="preserve">la </w:t>
      </w:r>
      <w:r w:rsidRPr="002927A1">
        <w:rPr>
          <w:lang w:val="es-ES_tradnl"/>
        </w:rPr>
        <w:t>que el FMAM había respondido a las orientaciones recibidas de la Conferencia de las Partes hasta la fecha. Durante el período que abarca el informe, el FMAM había aprobado 3 proyectos mayores que abarcan 15 países, 1 proyecto mediano para 1 país, 1 programa que abarca 27 países, y 4 proyectos de actividades de apoyo para 1 país cada uno. En su séptima reposición, el FMAM había aumentado considerablemente los fondos destinados a los proyectos en el marco del Convenio de Minamata. Del total prometido por los donantes para la séptima reposición, se había adjudicado de forma indicativa una suma de 599 millones de dólares a la esfera de actividad de los productos químicos y los desechos, de los cuales 206 millones de dólares se habían asignado de forma indicativa a la aplicación del Convenio de Minamata, lo que representa un aumento significativo con respecto a los 141 millones de dólares destinados a ese fin en la sexta reposición. Por último, la oradora dijo que el Consejo del FMAM había aprobado en su 56ª reunión el memorando de entendimiento entre la Conferencia de las Partes y el Consejo que la Conferencia de las Partes aprobó en su segunda sesión y señaló que el memorando ya estaba en vigor</w:t>
      </w:r>
      <w:r w:rsidRPr="002927A1">
        <w:rPr>
          <w:color w:val="000000"/>
          <w:lang w:val="es-ES_tradnl"/>
        </w:rPr>
        <w:t>.</w:t>
      </w:r>
    </w:p>
    <w:p w14:paraId="5290F4FC" w14:textId="4CB2016A"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La representante de la Secretaría señaló que en el documento UNEP/MC/COP.3/9 figura</w:t>
      </w:r>
      <w:r w:rsidR="00AA53B0" w:rsidRPr="002927A1">
        <w:rPr>
          <w:lang w:val="es-ES_tradnl"/>
        </w:rPr>
        <w:t>ba</w:t>
      </w:r>
      <w:r w:rsidRPr="002927A1">
        <w:rPr>
          <w:lang w:val="es-ES_tradnl"/>
        </w:rPr>
        <w:t xml:space="preserve"> información actualizada sobre las cuestiones relativas al FMAM, de conformidad con el artículo 13 del Convenio y con la decisión MC</w:t>
      </w:r>
      <w:r w:rsidRPr="002927A1">
        <w:rPr>
          <w:lang w:val="es-ES_tradnl"/>
        </w:rPr>
        <w:noBreakHyphen/>
        <w:t xml:space="preserve">1/5 que la Conferencia de las Partes adoptó en su primera reunión, que proporcionaba orientaciones al FMAM en relación con las actividades que pudieran recibir apoyo del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del FMAM. </w:t>
      </w:r>
    </w:p>
    <w:p w14:paraId="1E135000" w14:textId="172B2A95"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Un representante dijo que los criterios para la financiación de proyectos en el marco del FMAM deberían aplicarse de manera justa y equitativa para todas las Partes y que la Conferencia de las Partes debería instar al FMAM a no politizar la cuestión. </w:t>
      </w:r>
      <w:r w:rsidR="00AA53B0" w:rsidRPr="002927A1">
        <w:rPr>
          <w:lang w:val="es-ES_tradnl"/>
        </w:rPr>
        <w:t>El orador instó al FMAM a prestar asistencia financiera a tod</w:t>
      </w:r>
      <w:r w:rsidR="00CA79C3">
        <w:rPr>
          <w:lang w:val="es-ES_tradnl"/>
        </w:rPr>
        <w:t xml:space="preserve">as las Partes </w:t>
      </w:r>
      <w:r w:rsidR="00AA53B0" w:rsidRPr="002927A1">
        <w:rPr>
          <w:lang w:val="es-ES_tradnl"/>
        </w:rPr>
        <w:t>en plena conformidad con las disposiciones del Convenio y sin</w:t>
      </w:r>
      <w:r w:rsidR="004E7335">
        <w:rPr>
          <w:lang w:val="es-ES_tradnl"/>
        </w:rPr>
        <w:t> </w:t>
      </w:r>
      <w:r w:rsidR="00AA53B0" w:rsidRPr="002927A1">
        <w:rPr>
          <w:lang w:val="es-ES_tradnl"/>
        </w:rPr>
        <w:t>discriminación.</w:t>
      </w:r>
    </w:p>
    <w:p w14:paraId="65F0CB6B" w14:textId="77777777" w:rsidR="00F81F2A" w:rsidRPr="002927A1" w:rsidRDefault="00F81F2A"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Conferencia de las Partes tomó nota del informe del Consejo del Fondo y expresó su reconocimiento por el apoyo del FMAM en su función como una de las entidades encargadas del mecanismo financiero del Convenio de Minamata. </w:t>
      </w:r>
    </w:p>
    <w:p w14:paraId="61B8A348" w14:textId="4EE7F613" w:rsidR="00F81F2A" w:rsidRPr="002927A1" w:rsidRDefault="00573806" w:rsidP="0028286F">
      <w:pPr>
        <w:pStyle w:val="BodyTextFirstIndent2"/>
        <w:spacing w:before="240" w:after="120"/>
        <w:ind w:left="357" w:firstLine="357"/>
        <w:rPr>
          <w:b/>
        </w:rPr>
      </w:pPr>
      <w:r w:rsidRPr="002927A1">
        <w:rPr>
          <w:b/>
        </w:rPr>
        <w:t>2.</w:t>
      </w:r>
      <w:r w:rsidRPr="002927A1">
        <w:rPr>
          <w:b/>
        </w:rPr>
        <w:tab/>
      </w:r>
      <w:r w:rsidR="00B33F64" w:rsidRPr="002927A1">
        <w:rPr>
          <w:b/>
        </w:rPr>
        <w:t>Programa Internacional Específico</w:t>
      </w:r>
      <w:r w:rsidR="00F81F2A" w:rsidRPr="002927A1">
        <w:rPr>
          <w:b/>
        </w:rPr>
        <w:t xml:space="preserve"> para apoyar la creación de capacidad y la asistencia técnica</w:t>
      </w:r>
    </w:p>
    <w:p w14:paraId="7B10B3D7" w14:textId="5C8C5990" w:rsidR="00AA705E" w:rsidRPr="002927A1" w:rsidRDefault="005F3A15" w:rsidP="00A524DB">
      <w:pPr>
        <w:pStyle w:val="Normalnumber"/>
        <w:numPr>
          <w:ilvl w:val="0"/>
          <w:numId w:val="44"/>
        </w:numPr>
        <w:tabs>
          <w:tab w:val="clear" w:pos="624"/>
          <w:tab w:val="clear" w:pos="1134"/>
          <w:tab w:val="clear" w:pos="1247"/>
        </w:tabs>
        <w:rPr>
          <w:rFonts w:eastAsiaTheme="minorEastAsia"/>
          <w:lang w:val="es-ES_tradnl"/>
        </w:rPr>
      </w:pPr>
      <w:bookmarkStart w:id="14" w:name="_DV_C298"/>
      <w:r w:rsidRPr="002927A1">
        <w:rPr>
          <w:rFonts w:eastAsiaTheme="minorEastAsia"/>
          <w:lang w:val="es-ES_tradnl"/>
        </w:rPr>
        <w:t xml:space="preserve">Al presentar el subtema, </w:t>
      </w:r>
      <w:r w:rsidR="008F17EB" w:rsidRPr="002927A1">
        <w:rPr>
          <w:rFonts w:eastAsiaTheme="minorEastAsia"/>
          <w:lang w:val="es-ES_tradnl"/>
        </w:rPr>
        <w:t>l</w:t>
      </w:r>
      <w:r w:rsidRPr="002927A1">
        <w:rPr>
          <w:rFonts w:eastAsiaTheme="minorEastAsia"/>
          <w:lang w:val="es-ES_tradnl"/>
        </w:rPr>
        <w:t>a</w:t>
      </w:r>
      <w:r w:rsidR="008F17EB" w:rsidRPr="002927A1">
        <w:rPr>
          <w:rFonts w:eastAsiaTheme="minorEastAsia"/>
          <w:lang w:val="es-ES_tradnl"/>
        </w:rPr>
        <w:t xml:space="preserve"> representante de la Secretaría recordó que, en el párrafo</w:t>
      </w:r>
      <w:r w:rsidR="00AA705E" w:rsidRPr="002927A1">
        <w:rPr>
          <w:rFonts w:eastAsiaTheme="minorEastAsia"/>
          <w:lang w:val="es-ES_tradnl"/>
        </w:rPr>
        <w:t xml:space="preserve"> 5 </w:t>
      </w:r>
      <w:r w:rsidR="008F17EB" w:rsidRPr="002927A1">
        <w:rPr>
          <w:rFonts w:eastAsiaTheme="minorEastAsia"/>
          <w:lang w:val="es-ES_tradnl"/>
        </w:rPr>
        <w:t xml:space="preserve">del </w:t>
      </w:r>
      <w:r w:rsidR="00AA705E" w:rsidRPr="002927A1">
        <w:rPr>
          <w:rFonts w:eastAsiaTheme="minorEastAsia"/>
          <w:lang w:val="es-ES_tradnl"/>
        </w:rPr>
        <w:t>art</w:t>
      </w:r>
      <w:r w:rsidR="008F17EB" w:rsidRPr="002927A1">
        <w:rPr>
          <w:rFonts w:eastAsiaTheme="minorEastAsia"/>
          <w:lang w:val="es-ES_tradnl"/>
        </w:rPr>
        <w:t>ículo</w:t>
      </w:r>
      <w:r w:rsidR="00AA705E" w:rsidRPr="002927A1">
        <w:rPr>
          <w:rFonts w:eastAsiaTheme="minorEastAsia"/>
          <w:lang w:val="es-ES_tradnl"/>
        </w:rPr>
        <w:t xml:space="preserve"> 13, </w:t>
      </w:r>
      <w:r w:rsidR="008F17EB" w:rsidRPr="002927A1">
        <w:rPr>
          <w:rFonts w:eastAsiaTheme="minorEastAsia"/>
          <w:lang w:val="es-ES_tradnl"/>
        </w:rPr>
        <w:t xml:space="preserve">sobre </w:t>
      </w:r>
      <w:r w:rsidR="008F17EB" w:rsidRPr="002927A1">
        <w:rPr>
          <w:lang w:val="es-ES_tradnl"/>
        </w:rPr>
        <w:t>recursos</w:t>
      </w:r>
      <w:r w:rsidR="008F17EB" w:rsidRPr="002927A1">
        <w:rPr>
          <w:rFonts w:eastAsiaTheme="minorEastAsia"/>
          <w:lang w:val="es-ES_tradnl"/>
        </w:rPr>
        <w:t xml:space="preserve"> financieros y mecanismos financieros, el Convenio de </w:t>
      </w:r>
      <w:r w:rsidR="00AA705E" w:rsidRPr="002927A1">
        <w:rPr>
          <w:rFonts w:eastAsiaTheme="minorEastAsia"/>
          <w:lang w:val="es-ES_tradnl"/>
        </w:rPr>
        <w:t xml:space="preserve">Minamata </w:t>
      </w:r>
      <w:r w:rsidR="008F17EB" w:rsidRPr="002927A1">
        <w:rPr>
          <w:rFonts w:eastAsiaTheme="minorEastAsia"/>
          <w:lang w:val="es-ES_tradnl"/>
        </w:rPr>
        <w:t>sobre el Mercurio definió un mecanismo para</w:t>
      </w:r>
      <w:r w:rsidRPr="002927A1">
        <w:rPr>
          <w:rFonts w:eastAsiaTheme="minorEastAsia"/>
          <w:lang w:val="es-ES_tradnl"/>
        </w:rPr>
        <w:t xml:space="preserve"> facilitar recursos adecuados, previsibles y oportunos dirigido a apoyar a las Partes que son países en desarrollo y a las Partes con economías en transición en el cumplimiento de las obligaciones contraídas en virtud del Conven</w:t>
      </w:r>
      <w:r w:rsidR="00AA705E" w:rsidRPr="002927A1">
        <w:rPr>
          <w:rFonts w:eastAsiaTheme="minorEastAsia"/>
          <w:lang w:val="es-ES_tradnl"/>
        </w:rPr>
        <w:t xml:space="preserve">io. </w:t>
      </w:r>
      <w:r w:rsidRPr="002927A1">
        <w:rPr>
          <w:rFonts w:eastAsiaTheme="minorEastAsia"/>
          <w:lang w:val="es-ES_tradnl"/>
        </w:rPr>
        <w:t>E</w:t>
      </w:r>
      <w:r w:rsidR="00AA705E" w:rsidRPr="002927A1">
        <w:rPr>
          <w:rFonts w:eastAsiaTheme="minorEastAsia"/>
          <w:lang w:val="es-ES_tradnl"/>
        </w:rPr>
        <w:t xml:space="preserve">n </w:t>
      </w:r>
      <w:r w:rsidRPr="002927A1">
        <w:rPr>
          <w:rFonts w:eastAsiaTheme="minorEastAsia"/>
          <w:lang w:val="es-ES_tradnl"/>
        </w:rPr>
        <w:t xml:space="preserve">el párrafo </w:t>
      </w:r>
      <w:r w:rsidR="00AA705E" w:rsidRPr="002927A1">
        <w:rPr>
          <w:rFonts w:eastAsiaTheme="minorEastAsia"/>
          <w:lang w:val="es-ES_tradnl"/>
        </w:rPr>
        <w:t xml:space="preserve">6 </w:t>
      </w:r>
      <w:r w:rsidRPr="002927A1">
        <w:rPr>
          <w:rFonts w:eastAsiaTheme="minorEastAsia"/>
          <w:lang w:val="es-ES_tradnl"/>
        </w:rPr>
        <w:t>de ese artículo</w:t>
      </w:r>
      <w:r w:rsidR="00AA705E" w:rsidRPr="002927A1">
        <w:rPr>
          <w:rFonts w:eastAsiaTheme="minorEastAsia"/>
          <w:lang w:val="es-ES_tradnl"/>
        </w:rPr>
        <w:t xml:space="preserve">, </w:t>
      </w:r>
      <w:r w:rsidRPr="002927A1">
        <w:rPr>
          <w:rFonts w:eastAsiaTheme="minorEastAsia"/>
          <w:lang w:val="es-ES_tradnl"/>
        </w:rPr>
        <w:t xml:space="preserve">se identificó al </w:t>
      </w:r>
      <w:r w:rsidR="00B33F64" w:rsidRPr="002927A1">
        <w:rPr>
          <w:rFonts w:eastAsiaTheme="minorEastAsia"/>
          <w:lang w:val="es-ES_tradnl"/>
        </w:rPr>
        <w:t>Programa Internacional Específico</w:t>
      </w:r>
      <w:r w:rsidRPr="002927A1">
        <w:rPr>
          <w:rFonts w:eastAsiaTheme="minorEastAsia"/>
          <w:lang w:val="es-ES_tradnl"/>
        </w:rPr>
        <w:t xml:space="preserve"> como una de las dos entidades que conformaban el mecanismo financiero</w:t>
      </w:r>
      <w:r w:rsidR="00AA705E" w:rsidRPr="002927A1">
        <w:rPr>
          <w:rFonts w:eastAsiaTheme="minorEastAsia"/>
          <w:lang w:val="es-ES_tradnl"/>
        </w:rPr>
        <w:t xml:space="preserve">. </w:t>
      </w:r>
      <w:r w:rsidRPr="002927A1">
        <w:rPr>
          <w:rFonts w:eastAsiaTheme="minorEastAsia"/>
          <w:lang w:val="es-ES_tradnl"/>
        </w:rPr>
        <w:t xml:space="preserve">En su primera </w:t>
      </w:r>
      <w:r w:rsidR="00E866CF" w:rsidRPr="002927A1">
        <w:rPr>
          <w:rFonts w:eastAsiaTheme="minorEastAsia"/>
          <w:lang w:val="es-ES_tradnl"/>
        </w:rPr>
        <w:t>reunión</w:t>
      </w:r>
      <w:r w:rsidRPr="002927A1">
        <w:rPr>
          <w:rFonts w:eastAsiaTheme="minorEastAsia"/>
          <w:lang w:val="es-ES_tradnl"/>
        </w:rPr>
        <w:t>, en su decisión</w:t>
      </w:r>
      <w:r w:rsidR="00AA705E" w:rsidRPr="002927A1">
        <w:rPr>
          <w:rFonts w:eastAsiaTheme="minorEastAsia"/>
          <w:lang w:val="es-ES_tradnl"/>
        </w:rPr>
        <w:t xml:space="preserve"> MC-1/6, </w:t>
      </w:r>
      <w:r w:rsidRPr="002927A1">
        <w:rPr>
          <w:rFonts w:eastAsiaTheme="minorEastAsia"/>
          <w:lang w:val="es-ES_tradnl"/>
        </w:rPr>
        <w:t xml:space="preserve">la </w:t>
      </w:r>
      <w:r w:rsidR="00AA705E" w:rsidRPr="002927A1">
        <w:rPr>
          <w:rFonts w:eastAsiaTheme="minorEastAsia"/>
          <w:lang w:val="es-ES_tradnl"/>
        </w:rPr>
        <w:t>Conferenc</w:t>
      </w:r>
      <w:r w:rsidRPr="002927A1">
        <w:rPr>
          <w:rFonts w:eastAsiaTheme="minorEastAsia"/>
          <w:lang w:val="es-ES_tradnl"/>
        </w:rPr>
        <w:t xml:space="preserve">ia de las </w:t>
      </w:r>
      <w:r w:rsidR="00AA705E" w:rsidRPr="002927A1">
        <w:rPr>
          <w:rFonts w:eastAsiaTheme="minorEastAsia"/>
          <w:lang w:val="es-ES_tradnl"/>
        </w:rPr>
        <w:t>Partes ha</w:t>
      </w:r>
      <w:r w:rsidRPr="002927A1">
        <w:rPr>
          <w:rFonts w:eastAsiaTheme="minorEastAsia"/>
          <w:lang w:val="es-ES_tradnl"/>
        </w:rPr>
        <w:t>bía decidido que el PNUMA acogería el Programa y había impartido orientaciones sobre las operaciones, la duración y el mandato del Programa.</w:t>
      </w:r>
      <w:r w:rsidR="00AA705E" w:rsidRPr="002927A1">
        <w:rPr>
          <w:rFonts w:eastAsiaTheme="minorEastAsia"/>
          <w:lang w:val="es-ES_tradnl"/>
        </w:rPr>
        <w:t xml:space="preserve"> </w:t>
      </w:r>
      <w:r w:rsidRPr="002927A1">
        <w:rPr>
          <w:rFonts w:eastAsiaTheme="minorEastAsia"/>
          <w:lang w:val="es-ES_tradnl"/>
        </w:rPr>
        <w:t xml:space="preserve">La </w:t>
      </w:r>
      <w:r w:rsidR="00AA705E" w:rsidRPr="002927A1">
        <w:rPr>
          <w:rFonts w:eastAsiaTheme="minorEastAsia"/>
          <w:lang w:val="es-ES_tradnl"/>
        </w:rPr>
        <w:t>Conferenc</w:t>
      </w:r>
      <w:r w:rsidRPr="002927A1">
        <w:rPr>
          <w:rFonts w:eastAsiaTheme="minorEastAsia"/>
          <w:lang w:val="es-ES_tradnl"/>
        </w:rPr>
        <w:t xml:space="preserve">ia de las </w:t>
      </w:r>
      <w:r w:rsidR="00AA705E" w:rsidRPr="002927A1">
        <w:rPr>
          <w:rFonts w:eastAsiaTheme="minorEastAsia"/>
          <w:lang w:val="es-ES_tradnl"/>
        </w:rPr>
        <w:t>Partes</w:t>
      </w:r>
      <w:r w:rsidRPr="002927A1">
        <w:rPr>
          <w:rFonts w:eastAsiaTheme="minorEastAsia"/>
          <w:lang w:val="es-ES_tradnl"/>
        </w:rPr>
        <w:t xml:space="preserve"> también había solicitado a la Dirección Ejecutiva del PNUMA</w:t>
      </w:r>
      <w:r w:rsidR="00AA705E" w:rsidRPr="002927A1">
        <w:rPr>
          <w:rFonts w:eastAsiaTheme="minorEastAsia"/>
          <w:lang w:val="es-ES_tradnl"/>
        </w:rPr>
        <w:t xml:space="preserve"> </w:t>
      </w:r>
      <w:r w:rsidRPr="002927A1">
        <w:rPr>
          <w:rFonts w:eastAsiaTheme="minorEastAsia"/>
          <w:lang w:val="es-ES_tradnl"/>
        </w:rPr>
        <w:t>que estableciese un fondo fiduciario para el Programa.</w:t>
      </w:r>
      <w:r w:rsidR="00AA705E" w:rsidRPr="002927A1">
        <w:rPr>
          <w:rFonts w:eastAsiaTheme="minorEastAsia"/>
          <w:lang w:val="es-ES_tradnl"/>
        </w:rPr>
        <w:t xml:space="preserve"> </w:t>
      </w:r>
      <w:r w:rsidRPr="002927A1">
        <w:rPr>
          <w:rFonts w:eastAsiaTheme="minorEastAsia"/>
          <w:lang w:val="es-ES_tradnl"/>
        </w:rPr>
        <w:t>En consecuencia, se había creado el fon</w:t>
      </w:r>
      <w:r w:rsidR="00B33F64" w:rsidRPr="002927A1">
        <w:rPr>
          <w:rFonts w:eastAsiaTheme="minorEastAsia"/>
          <w:lang w:val="es-ES_tradnl"/>
        </w:rPr>
        <w:t>do fiduciario para el Programa Internacional Específico</w:t>
      </w:r>
      <w:r w:rsidR="00AA705E" w:rsidRPr="002927A1">
        <w:rPr>
          <w:rFonts w:eastAsiaTheme="minorEastAsia"/>
          <w:lang w:val="es-ES_tradnl"/>
        </w:rPr>
        <w:t xml:space="preserve">. </w:t>
      </w:r>
      <w:r w:rsidRPr="002927A1">
        <w:rPr>
          <w:rFonts w:eastAsiaTheme="minorEastAsia"/>
          <w:lang w:val="es-ES_tradnl"/>
        </w:rPr>
        <w:t>La oradora hizo notar también que el reglamento de</w:t>
      </w:r>
      <w:r w:rsidR="00573806" w:rsidRPr="002927A1">
        <w:rPr>
          <w:rFonts w:eastAsiaTheme="minorEastAsia"/>
          <w:lang w:val="es-ES_tradnl"/>
        </w:rPr>
        <w:t xml:space="preserve"> </w:t>
      </w:r>
      <w:r w:rsidRPr="002927A1">
        <w:rPr>
          <w:rFonts w:eastAsiaTheme="minorEastAsia"/>
          <w:lang w:val="es-ES_tradnl"/>
        </w:rPr>
        <w:t>l</w:t>
      </w:r>
      <w:r w:rsidR="00573806" w:rsidRPr="002927A1">
        <w:rPr>
          <w:rFonts w:eastAsiaTheme="minorEastAsia"/>
          <w:lang w:val="es-ES_tradnl"/>
        </w:rPr>
        <w:t>a Junta Directiva</w:t>
      </w:r>
      <w:r w:rsidRPr="002927A1">
        <w:rPr>
          <w:rFonts w:eastAsiaTheme="minorEastAsia"/>
          <w:lang w:val="es-ES_tradnl"/>
        </w:rPr>
        <w:t xml:space="preserve"> del </w:t>
      </w:r>
      <w:r w:rsidR="00B33F64" w:rsidRPr="002927A1">
        <w:rPr>
          <w:rFonts w:eastAsiaTheme="minorEastAsia"/>
          <w:lang w:val="es-ES_tradnl"/>
        </w:rPr>
        <w:t>Programa Internacional Específico</w:t>
      </w:r>
      <w:r w:rsidR="00FA6A30" w:rsidRPr="002927A1">
        <w:rPr>
          <w:rFonts w:eastAsiaTheme="minorEastAsia"/>
          <w:lang w:val="es-ES_tradnl"/>
        </w:rPr>
        <w:t xml:space="preserve"> </w:t>
      </w:r>
      <w:r w:rsidRPr="002927A1">
        <w:rPr>
          <w:rFonts w:eastAsiaTheme="minorEastAsia"/>
          <w:lang w:val="es-ES_tradnl"/>
        </w:rPr>
        <w:t xml:space="preserve">establecía que los primeros miembros del Consejo de Administración desempeñarían sus funciones hasta la tercera reunión de la </w:t>
      </w:r>
      <w:r w:rsidR="00AA705E" w:rsidRPr="002927A1">
        <w:rPr>
          <w:rFonts w:eastAsiaTheme="minorEastAsia"/>
          <w:lang w:val="es-ES_tradnl"/>
        </w:rPr>
        <w:t>Conferenc</w:t>
      </w:r>
      <w:r w:rsidRPr="002927A1">
        <w:rPr>
          <w:rFonts w:eastAsiaTheme="minorEastAsia"/>
          <w:lang w:val="es-ES_tradnl"/>
        </w:rPr>
        <w:t xml:space="preserve">ia de las Partes. A partir de esa </w:t>
      </w:r>
      <w:r w:rsidR="005564DB" w:rsidRPr="002927A1">
        <w:rPr>
          <w:rFonts w:eastAsiaTheme="minorEastAsia"/>
          <w:lang w:val="es-ES_tradnl"/>
        </w:rPr>
        <w:t>reunió</w:t>
      </w:r>
      <w:r w:rsidRPr="002927A1">
        <w:rPr>
          <w:rFonts w:eastAsiaTheme="minorEastAsia"/>
          <w:lang w:val="es-ES_tradnl"/>
        </w:rPr>
        <w:t xml:space="preserve">n, </w:t>
      </w:r>
      <w:r w:rsidR="005564DB" w:rsidRPr="002927A1">
        <w:rPr>
          <w:rFonts w:eastAsiaTheme="minorEastAsia"/>
          <w:lang w:val="es-ES_tradnl"/>
        </w:rPr>
        <w:t>los grupos regionales presentarían candidaturas de miembros cada dos años y la Conferencia de las Partes confirmaría su aceptación.</w:t>
      </w:r>
      <w:r w:rsidR="00AA705E" w:rsidRPr="002927A1">
        <w:rPr>
          <w:rFonts w:eastAsiaTheme="minorEastAsia"/>
          <w:lang w:val="es-ES_tradnl"/>
        </w:rPr>
        <w:t xml:space="preserve"> </w:t>
      </w:r>
      <w:r w:rsidR="005564DB" w:rsidRPr="002927A1">
        <w:rPr>
          <w:rFonts w:eastAsiaTheme="minorEastAsia"/>
          <w:lang w:val="es-ES_tradnl"/>
        </w:rPr>
        <w:t xml:space="preserve">Por consiguiente, cabía esperar que en su tercera reunión, la </w:t>
      </w:r>
      <w:r w:rsidR="00AA705E" w:rsidRPr="002927A1">
        <w:rPr>
          <w:rFonts w:eastAsiaTheme="minorEastAsia"/>
          <w:lang w:val="es-ES_tradnl"/>
        </w:rPr>
        <w:t>Conferenc</w:t>
      </w:r>
      <w:r w:rsidR="005564DB" w:rsidRPr="002927A1">
        <w:rPr>
          <w:rFonts w:eastAsiaTheme="minorEastAsia"/>
          <w:lang w:val="es-ES_tradnl"/>
        </w:rPr>
        <w:t>ia de las P</w:t>
      </w:r>
      <w:r w:rsidR="00AA705E" w:rsidRPr="002927A1">
        <w:rPr>
          <w:rFonts w:eastAsiaTheme="minorEastAsia"/>
          <w:lang w:val="es-ES_tradnl"/>
        </w:rPr>
        <w:t>art</w:t>
      </w:r>
      <w:r w:rsidR="005564DB" w:rsidRPr="002927A1">
        <w:rPr>
          <w:rFonts w:eastAsiaTheme="minorEastAsia"/>
          <w:lang w:val="es-ES_tradnl"/>
        </w:rPr>
        <w:t>es confirmase, sobre la base de las candidaturas recibidas de las regiones, a los miembros que desempeñarían sus funciones en el próximo período.</w:t>
      </w:r>
      <w:r w:rsidR="00AA705E" w:rsidRPr="002927A1">
        <w:rPr>
          <w:rFonts w:eastAsiaTheme="minorEastAsia"/>
          <w:lang w:val="es-ES_tradnl"/>
        </w:rPr>
        <w:t xml:space="preserve"> </w:t>
      </w:r>
      <w:bookmarkStart w:id="15" w:name="_DV_C299"/>
      <w:bookmarkEnd w:id="14"/>
    </w:p>
    <w:p w14:paraId="4AD02B00" w14:textId="3C75FBA9" w:rsidR="00AA705E" w:rsidRPr="002927A1" w:rsidRDefault="005564DB" w:rsidP="00A524DB">
      <w:pPr>
        <w:pStyle w:val="Normalnumber"/>
        <w:numPr>
          <w:ilvl w:val="0"/>
          <w:numId w:val="44"/>
        </w:numPr>
        <w:tabs>
          <w:tab w:val="clear" w:pos="624"/>
          <w:tab w:val="clear" w:pos="1134"/>
          <w:tab w:val="clear" w:pos="1247"/>
        </w:tabs>
        <w:rPr>
          <w:rFonts w:eastAsiaTheme="minorEastAsia"/>
          <w:lang w:val="es-ES_tradnl"/>
        </w:rPr>
      </w:pPr>
      <w:bookmarkStart w:id="16" w:name="_DV_C300"/>
      <w:bookmarkEnd w:id="15"/>
      <w:r w:rsidRPr="002927A1">
        <w:rPr>
          <w:rFonts w:eastAsiaTheme="minorEastAsia"/>
          <w:lang w:val="es-ES_tradnl"/>
        </w:rPr>
        <w:t xml:space="preserve">La oradora señaló a la atención de los presentes la información pertinente suministrada en el informe general relativo </w:t>
      </w:r>
      <w:r w:rsidR="00B33F64" w:rsidRPr="002927A1">
        <w:rPr>
          <w:rFonts w:eastAsiaTheme="minorEastAsia"/>
          <w:lang w:val="es-ES_tradnl"/>
        </w:rPr>
        <w:t>al Programa Internacional Específico</w:t>
      </w:r>
      <w:r w:rsidR="00AA705E" w:rsidRPr="002927A1">
        <w:rPr>
          <w:rFonts w:eastAsiaTheme="minorEastAsia"/>
          <w:lang w:val="es-ES_tradnl"/>
        </w:rPr>
        <w:t xml:space="preserve"> (UNEP/MC/COP.3/10), </w:t>
      </w:r>
      <w:r w:rsidRPr="002927A1">
        <w:rPr>
          <w:rFonts w:eastAsiaTheme="minorEastAsia"/>
          <w:lang w:val="es-ES_tradnl"/>
        </w:rPr>
        <w:t xml:space="preserve">en cuyo anexo figuraba un proyecto de </w:t>
      </w:r>
      <w:r w:rsidR="00E866CF" w:rsidRPr="002927A1">
        <w:rPr>
          <w:rFonts w:eastAsiaTheme="minorEastAsia"/>
          <w:lang w:val="es-ES_tradnl"/>
        </w:rPr>
        <w:t>decisión</w:t>
      </w:r>
      <w:r w:rsidRPr="002927A1">
        <w:rPr>
          <w:rFonts w:eastAsiaTheme="minorEastAsia"/>
          <w:lang w:val="es-ES_tradnl"/>
        </w:rPr>
        <w:t xml:space="preserve"> sobre el Programa</w:t>
      </w:r>
      <w:r w:rsidR="00AA705E" w:rsidRPr="002927A1">
        <w:rPr>
          <w:rFonts w:eastAsiaTheme="minorEastAsia"/>
          <w:lang w:val="es-ES_tradnl"/>
        </w:rPr>
        <w:t>;</w:t>
      </w:r>
      <w:r w:rsidR="00E866CF" w:rsidRPr="002927A1">
        <w:rPr>
          <w:rFonts w:eastAsiaTheme="minorEastAsia"/>
          <w:lang w:val="es-ES_tradnl"/>
        </w:rPr>
        <w:t xml:space="preserve"> el </w:t>
      </w:r>
      <w:r w:rsidR="00573806" w:rsidRPr="002927A1">
        <w:rPr>
          <w:rFonts w:eastAsiaTheme="minorEastAsia"/>
          <w:lang w:val="es-ES_tradnl"/>
        </w:rPr>
        <w:t>informe de la Junta Direct</w:t>
      </w:r>
      <w:r w:rsidR="00B33F64" w:rsidRPr="002927A1">
        <w:rPr>
          <w:rFonts w:eastAsiaTheme="minorEastAsia"/>
          <w:lang w:val="es-ES_tradnl"/>
        </w:rPr>
        <w:t>i</w:t>
      </w:r>
      <w:r w:rsidR="00573806" w:rsidRPr="002927A1">
        <w:rPr>
          <w:rFonts w:eastAsiaTheme="minorEastAsia"/>
          <w:lang w:val="es-ES_tradnl"/>
        </w:rPr>
        <w:t xml:space="preserve">va del </w:t>
      </w:r>
      <w:r w:rsidR="00E866CF" w:rsidRPr="002927A1">
        <w:rPr>
          <w:rFonts w:eastAsiaTheme="minorEastAsia"/>
          <w:lang w:val="es-ES_tradnl"/>
        </w:rPr>
        <w:t xml:space="preserve">Programa </w:t>
      </w:r>
      <w:r w:rsidR="00AA705E" w:rsidRPr="002927A1">
        <w:rPr>
          <w:rFonts w:eastAsiaTheme="minorEastAsia"/>
          <w:lang w:val="es-ES_tradnl"/>
        </w:rPr>
        <w:t xml:space="preserve">(UNEP/MC/COP.3/10/Add.1); </w:t>
      </w:r>
      <w:r w:rsidR="00E866CF" w:rsidRPr="002927A1">
        <w:rPr>
          <w:rFonts w:eastAsiaTheme="minorEastAsia"/>
          <w:lang w:val="es-ES_tradnl"/>
        </w:rPr>
        <w:t>y las directrices de aplicación para la segunda ronda de solicitudes al Programa</w:t>
      </w:r>
      <w:r w:rsidR="00AA705E" w:rsidRPr="002927A1">
        <w:rPr>
          <w:rFonts w:eastAsiaTheme="minorEastAsia"/>
          <w:lang w:val="es-ES_tradnl"/>
        </w:rPr>
        <w:t xml:space="preserve"> (UNEP/MC/COP.3/INF/3). </w:t>
      </w:r>
      <w:r w:rsidR="00B33F64" w:rsidRPr="002927A1">
        <w:rPr>
          <w:rFonts w:eastAsiaTheme="minorEastAsia"/>
          <w:lang w:val="es-ES_tradnl"/>
        </w:rPr>
        <w:t xml:space="preserve">La oradora hizo notar que correspondía a la </w:t>
      </w:r>
      <w:r w:rsidR="00AA705E" w:rsidRPr="002927A1">
        <w:rPr>
          <w:rFonts w:eastAsiaTheme="minorEastAsia"/>
          <w:lang w:val="es-ES_tradnl"/>
        </w:rPr>
        <w:t>Conferenc</w:t>
      </w:r>
      <w:r w:rsidR="00B33F64" w:rsidRPr="002927A1">
        <w:rPr>
          <w:rFonts w:eastAsiaTheme="minorEastAsia"/>
          <w:lang w:val="es-ES_tradnl"/>
        </w:rPr>
        <w:t>ia de las</w:t>
      </w:r>
      <w:r w:rsidR="00FA6A30" w:rsidRPr="002927A1">
        <w:rPr>
          <w:rFonts w:eastAsiaTheme="minorEastAsia"/>
          <w:lang w:val="es-ES_tradnl"/>
        </w:rPr>
        <w:t xml:space="preserve"> </w:t>
      </w:r>
      <w:r w:rsidR="00AA705E" w:rsidRPr="002927A1">
        <w:rPr>
          <w:rFonts w:eastAsiaTheme="minorEastAsia"/>
          <w:lang w:val="es-ES_tradnl"/>
        </w:rPr>
        <w:t>Part</w:t>
      </w:r>
      <w:r w:rsidR="00B33F64" w:rsidRPr="002927A1">
        <w:rPr>
          <w:rFonts w:eastAsiaTheme="minorEastAsia"/>
          <w:lang w:val="es-ES_tradnl"/>
        </w:rPr>
        <w:t>es confirmar en la reunión en curso los nombres de los miembros de la Junta Directiva que desempeñarían sus funciones en el próximo período.</w:t>
      </w:r>
      <w:r w:rsidR="00AA705E" w:rsidRPr="002927A1">
        <w:rPr>
          <w:rFonts w:eastAsiaTheme="minorEastAsia"/>
          <w:lang w:val="es-ES_tradnl"/>
        </w:rPr>
        <w:t xml:space="preserve"> </w:t>
      </w:r>
      <w:bookmarkStart w:id="17" w:name="_DV_C301"/>
      <w:bookmarkEnd w:id="16"/>
    </w:p>
    <w:p w14:paraId="2F0E8E6B" w14:textId="6856C8D1" w:rsidR="00AA705E" w:rsidRPr="002927A1" w:rsidRDefault="00B33F64" w:rsidP="00A524DB">
      <w:pPr>
        <w:pStyle w:val="Normalnumber"/>
        <w:numPr>
          <w:ilvl w:val="0"/>
          <w:numId w:val="44"/>
        </w:numPr>
        <w:tabs>
          <w:tab w:val="clear" w:pos="624"/>
          <w:tab w:val="clear" w:pos="1134"/>
          <w:tab w:val="clear" w:pos="1247"/>
        </w:tabs>
        <w:rPr>
          <w:rFonts w:eastAsiaTheme="minorEastAsia"/>
          <w:lang w:val="es-ES_tradnl"/>
        </w:rPr>
      </w:pPr>
      <w:bookmarkStart w:id="18" w:name="_DV_C302"/>
      <w:bookmarkEnd w:id="17"/>
      <w:r w:rsidRPr="002927A1">
        <w:rPr>
          <w:rFonts w:eastAsiaTheme="minorEastAsia"/>
          <w:lang w:val="es-ES_tradnl"/>
        </w:rPr>
        <w:t xml:space="preserve">Para concluir su presentación, y en respuesta a preguntas formuladas por Partes interesadas, la oradora hizo una presentación en diapositivas que ilustraba el hecho de que el mecanismo </w:t>
      </w:r>
      <w:r w:rsidR="00A60CBD" w:rsidRPr="002927A1">
        <w:rPr>
          <w:rFonts w:eastAsiaTheme="minorEastAsia"/>
          <w:lang w:val="es-ES_tradnl"/>
        </w:rPr>
        <w:t>financiero</w:t>
      </w:r>
      <w:r w:rsidRPr="002927A1">
        <w:rPr>
          <w:rFonts w:eastAsiaTheme="minorEastAsia"/>
          <w:lang w:val="es-ES_tradnl"/>
        </w:rPr>
        <w:t xml:space="preserve"> del Convenio abarcaba el FMAM y el Programa Internacional Específico</w:t>
      </w:r>
      <w:r w:rsidR="00AA705E" w:rsidRPr="002927A1">
        <w:rPr>
          <w:rFonts w:eastAsiaTheme="minorEastAsia"/>
          <w:lang w:val="es-ES_tradnl"/>
        </w:rPr>
        <w:t xml:space="preserve">. </w:t>
      </w:r>
      <w:r w:rsidRPr="002927A1">
        <w:rPr>
          <w:rFonts w:eastAsiaTheme="minorEastAsia"/>
          <w:lang w:val="es-ES_tradnl"/>
        </w:rPr>
        <w:t>Era preciso diferencia</w:t>
      </w:r>
      <w:r w:rsidR="00102E5A" w:rsidRPr="002927A1">
        <w:rPr>
          <w:rFonts w:eastAsiaTheme="minorEastAsia"/>
          <w:lang w:val="es-ES_tradnl"/>
        </w:rPr>
        <w:t>r</w:t>
      </w:r>
      <w:r w:rsidRPr="002927A1">
        <w:rPr>
          <w:rFonts w:eastAsiaTheme="minorEastAsia"/>
          <w:lang w:val="es-ES_tradnl"/>
        </w:rPr>
        <w:t xml:space="preserve"> el mecanismo financiero de un fondo conexo </w:t>
      </w:r>
      <w:r w:rsidR="00D46920" w:rsidRPr="002927A1">
        <w:rPr>
          <w:rFonts w:eastAsiaTheme="minorEastAsia"/>
          <w:lang w:val="es-ES_tradnl"/>
        </w:rPr>
        <w:t xml:space="preserve">en virtud del cual también se había prestado apoyo a las </w:t>
      </w:r>
      <w:r w:rsidR="00D46920" w:rsidRPr="002927A1">
        <w:rPr>
          <w:rFonts w:eastAsiaTheme="minorEastAsia"/>
          <w:lang w:val="es-ES_tradnl"/>
        </w:rPr>
        <w:lastRenderedPageBreak/>
        <w:t xml:space="preserve">Partes, a saber, el Programa Especial para apoyar el fortalecimiento institucional a nivel nacional para la aplicación de los Convenios de </w:t>
      </w:r>
      <w:r w:rsidR="00AA705E" w:rsidRPr="002927A1">
        <w:rPr>
          <w:rFonts w:eastAsiaTheme="minorEastAsia"/>
          <w:lang w:val="es-ES_tradnl"/>
        </w:rPr>
        <w:t>Bas</w:t>
      </w:r>
      <w:r w:rsidR="00D46920" w:rsidRPr="002927A1">
        <w:rPr>
          <w:rFonts w:eastAsiaTheme="minorEastAsia"/>
          <w:lang w:val="es-ES_tradnl"/>
        </w:rPr>
        <w:t>i</w:t>
      </w:r>
      <w:r w:rsidR="00AA705E" w:rsidRPr="002927A1">
        <w:rPr>
          <w:rFonts w:eastAsiaTheme="minorEastAsia"/>
          <w:lang w:val="es-ES_tradnl"/>
        </w:rPr>
        <w:t>l</w:t>
      </w:r>
      <w:r w:rsidR="00D46920" w:rsidRPr="002927A1">
        <w:rPr>
          <w:rFonts w:eastAsiaTheme="minorEastAsia"/>
          <w:lang w:val="es-ES_tradnl"/>
        </w:rPr>
        <w:t>ea</w:t>
      </w:r>
      <w:r w:rsidR="00AA705E" w:rsidRPr="002927A1">
        <w:rPr>
          <w:rFonts w:eastAsiaTheme="minorEastAsia"/>
          <w:lang w:val="es-ES_tradnl"/>
        </w:rPr>
        <w:t xml:space="preserve">, </w:t>
      </w:r>
      <w:r w:rsidR="00D46920" w:rsidRPr="002927A1">
        <w:rPr>
          <w:rFonts w:eastAsiaTheme="minorEastAsia"/>
          <w:lang w:val="es-ES_tradnl"/>
        </w:rPr>
        <w:t xml:space="preserve">Estocolmo y </w:t>
      </w:r>
      <w:r w:rsidR="00AA705E" w:rsidRPr="002927A1">
        <w:rPr>
          <w:rFonts w:eastAsiaTheme="minorEastAsia"/>
          <w:lang w:val="es-ES_tradnl"/>
        </w:rPr>
        <w:t>Rotterdam</w:t>
      </w:r>
      <w:r w:rsidR="00D46920" w:rsidRPr="002927A1">
        <w:rPr>
          <w:rFonts w:eastAsiaTheme="minorEastAsia"/>
          <w:lang w:val="es-ES_tradnl"/>
        </w:rPr>
        <w:t xml:space="preserve">, el Convenio de </w:t>
      </w:r>
      <w:r w:rsidR="00AA705E" w:rsidRPr="002927A1">
        <w:rPr>
          <w:rFonts w:eastAsiaTheme="minorEastAsia"/>
          <w:lang w:val="es-ES_tradnl"/>
        </w:rPr>
        <w:t>Minamata</w:t>
      </w:r>
      <w:r w:rsidR="00FA6A30" w:rsidRPr="002927A1">
        <w:rPr>
          <w:rFonts w:eastAsiaTheme="minorEastAsia"/>
          <w:lang w:val="es-ES_tradnl"/>
        </w:rPr>
        <w:t xml:space="preserve"> </w:t>
      </w:r>
      <w:r w:rsidR="00D46920" w:rsidRPr="002927A1">
        <w:rPr>
          <w:rFonts w:eastAsiaTheme="minorEastAsia"/>
          <w:lang w:val="es-ES_tradnl"/>
        </w:rPr>
        <w:t>y el Enfoque Estratégico para la Gestión de Productos Químicos a Nivel Internacional</w:t>
      </w:r>
      <w:r w:rsidR="00AA705E" w:rsidRPr="002927A1">
        <w:rPr>
          <w:rFonts w:eastAsiaTheme="minorEastAsia"/>
          <w:lang w:val="es-ES_tradnl"/>
        </w:rPr>
        <w:t>.</w:t>
      </w:r>
      <w:bookmarkStart w:id="19" w:name="_DV_C303"/>
      <w:bookmarkEnd w:id="18"/>
    </w:p>
    <w:p w14:paraId="5C7A7C88" w14:textId="5443E700" w:rsidR="00AA705E" w:rsidRPr="002927A1" w:rsidRDefault="00D46920" w:rsidP="00A524DB">
      <w:pPr>
        <w:pStyle w:val="Normalnumber"/>
        <w:numPr>
          <w:ilvl w:val="0"/>
          <w:numId w:val="38"/>
        </w:numPr>
        <w:tabs>
          <w:tab w:val="clear" w:pos="624"/>
          <w:tab w:val="clear" w:pos="1134"/>
          <w:tab w:val="clear" w:pos="1247"/>
        </w:tabs>
        <w:rPr>
          <w:rFonts w:eastAsiaTheme="minorEastAsia"/>
          <w:lang w:val="es-ES_tradnl"/>
        </w:rPr>
      </w:pPr>
      <w:bookmarkStart w:id="20" w:name="_DV_C304"/>
      <w:bookmarkEnd w:id="19"/>
      <w:r w:rsidRPr="002927A1">
        <w:rPr>
          <w:rFonts w:eastAsiaTheme="minorEastAsia"/>
          <w:lang w:val="es-ES_tradnl"/>
        </w:rPr>
        <w:t xml:space="preserve">El Sr. </w:t>
      </w:r>
      <w:r w:rsidR="00AA705E" w:rsidRPr="002927A1">
        <w:rPr>
          <w:rFonts w:eastAsiaTheme="minorEastAsia"/>
          <w:lang w:val="es-ES_tradnl"/>
        </w:rPr>
        <w:t>Reginald Hernaus (</w:t>
      </w:r>
      <w:r w:rsidRPr="002927A1">
        <w:rPr>
          <w:rFonts w:eastAsiaTheme="minorEastAsia"/>
          <w:lang w:val="es-ES_tradnl"/>
        </w:rPr>
        <w:t>Países Bajos</w:t>
      </w:r>
      <w:r w:rsidR="00AA705E" w:rsidRPr="002927A1">
        <w:rPr>
          <w:rFonts w:eastAsiaTheme="minorEastAsia"/>
          <w:lang w:val="es-ES_tradnl"/>
        </w:rPr>
        <w:t xml:space="preserve">), </w:t>
      </w:r>
      <w:r w:rsidRPr="002927A1">
        <w:rPr>
          <w:rFonts w:eastAsiaTheme="minorEastAsia"/>
          <w:lang w:val="es-ES_tradnl"/>
        </w:rPr>
        <w:t>quien hizo uso de la palabra también en nombre del otro Copresidente de la Junta Directiva del Programa</w:t>
      </w:r>
      <w:r w:rsidR="00AA705E" w:rsidRPr="002927A1">
        <w:rPr>
          <w:rFonts w:eastAsiaTheme="minorEastAsia"/>
          <w:lang w:val="es-ES_tradnl"/>
        </w:rPr>
        <w:t xml:space="preserve">, </w:t>
      </w:r>
      <w:r w:rsidRPr="002927A1">
        <w:rPr>
          <w:rFonts w:eastAsiaTheme="minorEastAsia"/>
          <w:lang w:val="es-ES_tradnl"/>
        </w:rPr>
        <w:t xml:space="preserve">Sr. </w:t>
      </w:r>
      <w:r w:rsidR="00AA705E" w:rsidRPr="002927A1">
        <w:rPr>
          <w:rFonts w:eastAsiaTheme="minorEastAsia"/>
          <w:lang w:val="es-ES_tradnl"/>
        </w:rPr>
        <w:t>Sam Adu-Kumi (Ghana), present</w:t>
      </w:r>
      <w:r w:rsidRPr="002927A1">
        <w:rPr>
          <w:rFonts w:eastAsiaTheme="minorEastAsia"/>
          <w:lang w:val="es-ES_tradnl"/>
        </w:rPr>
        <w:t>ó el informe de la Junta</w:t>
      </w:r>
      <w:r w:rsidR="00AA705E" w:rsidRPr="002927A1">
        <w:rPr>
          <w:rFonts w:eastAsiaTheme="minorEastAsia"/>
          <w:lang w:val="es-ES_tradnl"/>
        </w:rPr>
        <w:t xml:space="preserve">. </w:t>
      </w:r>
      <w:r w:rsidRPr="002927A1">
        <w:rPr>
          <w:rFonts w:eastAsiaTheme="minorEastAsia"/>
          <w:lang w:val="es-ES_tradnl"/>
        </w:rPr>
        <w:t xml:space="preserve">Al destacar el éxito de la Junta al poner en funcionamiento el Programa, expresó su agradecimiento a todos los miembros de la Junta por su labor constructiva en el año anterior. Con una plantilla limitada, la </w:t>
      </w:r>
      <w:r w:rsidR="00102E5A" w:rsidRPr="002927A1">
        <w:rPr>
          <w:rFonts w:eastAsiaTheme="minorEastAsia"/>
          <w:lang w:val="es-ES_tradnl"/>
        </w:rPr>
        <w:t>S</w:t>
      </w:r>
      <w:r w:rsidRPr="002927A1">
        <w:rPr>
          <w:rFonts w:eastAsiaTheme="minorEastAsia"/>
          <w:lang w:val="es-ES_tradnl"/>
        </w:rPr>
        <w:t xml:space="preserve">ecretaría había realizado una labor </w:t>
      </w:r>
      <w:r w:rsidR="00AA705E" w:rsidRPr="002927A1">
        <w:rPr>
          <w:rFonts w:eastAsiaTheme="minorEastAsia"/>
          <w:lang w:val="es-ES_tradnl"/>
        </w:rPr>
        <w:t xml:space="preserve">admirable </w:t>
      </w:r>
      <w:r w:rsidRPr="002927A1">
        <w:rPr>
          <w:rFonts w:eastAsiaTheme="minorEastAsia"/>
          <w:lang w:val="es-ES_tradnl"/>
        </w:rPr>
        <w:t>al facilitar las reuniones de la Junta. En la segunda ronda de solicitudes, la Junta había seleccionado proyectos en diez países, a saber, Antigua y</w:t>
      </w:r>
      <w:r w:rsidR="00AA705E" w:rsidRPr="002927A1">
        <w:rPr>
          <w:rFonts w:eastAsiaTheme="minorEastAsia"/>
          <w:lang w:val="es-ES_tradnl"/>
        </w:rPr>
        <w:t xml:space="preserve"> Barbuda, Ecuador, Ghana, Indonesia, Nigeria, </w:t>
      </w:r>
      <w:r w:rsidRPr="002927A1">
        <w:rPr>
          <w:rFonts w:eastAsiaTheme="minorEastAsia"/>
          <w:lang w:val="es-ES_tradnl"/>
        </w:rPr>
        <w:t>Perú</w:t>
      </w:r>
      <w:r w:rsidR="00AA705E" w:rsidRPr="002927A1">
        <w:rPr>
          <w:rFonts w:eastAsiaTheme="minorEastAsia"/>
          <w:lang w:val="es-ES_tradnl"/>
        </w:rPr>
        <w:t xml:space="preserve">, </w:t>
      </w:r>
      <w:r w:rsidRPr="002927A1">
        <w:rPr>
          <w:rFonts w:eastAsiaTheme="minorEastAsia"/>
          <w:lang w:val="es-ES_tradnl"/>
        </w:rPr>
        <w:t xml:space="preserve">la República Islámica del Irán, la República de Moldova, </w:t>
      </w:r>
      <w:r w:rsidR="00AA705E" w:rsidRPr="002927A1">
        <w:rPr>
          <w:rFonts w:eastAsiaTheme="minorEastAsia"/>
          <w:lang w:val="es-ES_tradnl"/>
        </w:rPr>
        <w:t xml:space="preserve">Sri Lanka </w:t>
      </w:r>
      <w:r w:rsidRPr="002927A1">
        <w:rPr>
          <w:rFonts w:eastAsiaTheme="minorEastAsia"/>
          <w:lang w:val="es-ES_tradnl"/>
        </w:rPr>
        <w:t>y</w:t>
      </w:r>
      <w:r w:rsidR="00AA705E" w:rsidRPr="002927A1">
        <w:rPr>
          <w:rFonts w:eastAsiaTheme="minorEastAsia"/>
          <w:lang w:val="es-ES_tradnl"/>
        </w:rPr>
        <w:t xml:space="preserve"> Zambia, </w:t>
      </w:r>
      <w:r w:rsidRPr="002927A1">
        <w:rPr>
          <w:rFonts w:eastAsiaTheme="minorEastAsia"/>
          <w:lang w:val="es-ES_tradnl"/>
        </w:rPr>
        <w:t>con una financiación</w:t>
      </w:r>
      <w:r w:rsidR="00AA705E" w:rsidRPr="002927A1">
        <w:rPr>
          <w:rFonts w:eastAsiaTheme="minorEastAsia"/>
          <w:lang w:val="es-ES_tradnl"/>
        </w:rPr>
        <w:t xml:space="preserve"> total </w:t>
      </w:r>
      <w:r w:rsidRPr="002927A1">
        <w:rPr>
          <w:rFonts w:eastAsiaTheme="minorEastAsia"/>
          <w:lang w:val="es-ES_tradnl"/>
        </w:rPr>
        <w:t>de unos dos millones de dólares</w:t>
      </w:r>
      <w:r w:rsidR="00AA705E" w:rsidRPr="002927A1">
        <w:rPr>
          <w:rFonts w:eastAsiaTheme="minorEastAsia"/>
          <w:lang w:val="es-ES_tradnl"/>
        </w:rPr>
        <w:t xml:space="preserve">. </w:t>
      </w:r>
      <w:r w:rsidR="00BE1C1F" w:rsidRPr="002927A1">
        <w:rPr>
          <w:rFonts w:eastAsiaTheme="minorEastAsia"/>
          <w:lang w:val="es-ES_tradnl"/>
        </w:rPr>
        <w:t xml:space="preserve">La segunda ronda de solicitudes se había extendido del </w:t>
      </w:r>
      <w:r w:rsidR="00AA705E" w:rsidRPr="002927A1">
        <w:rPr>
          <w:rFonts w:eastAsiaTheme="minorEastAsia"/>
          <w:lang w:val="es-ES_tradnl"/>
        </w:rPr>
        <w:t xml:space="preserve">5 </w:t>
      </w:r>
      <w:r w:rsidR="00BE1C1F" w:rsidRPr="002927A1">
        <w:rPr>
          <w:rFonts w:eastAsiaTheme="minorEastAsia"/>
          <w:lang w:val="es-ES_tradnl"/>
        </w:rPr>
        <w:t xml:space="preserve">de marzo al </w:t>
      </w:r>
      <w:r w:rsidR="00AA705E" w:rsidRPr="002927A1">
        <w:rPr>
          <w:rFonts w:eastAsiaTheme="minorEastAsia"/>
          <w:lang w:val="es-ES_tradnl"/>
        </w:rPr>
        <w:t xml:space="preserve">14 </w:t>
      </w:r>
      <w:r w:rsidR="00BE1C1F" w:rsidRPr="002927A1">
        <w:rPr>
          <w:rFonts w:eastAsiaTheme="minorEastAsia"/>
          <w:lang w:val="es-ES_tradnl"/>
        </w:rPr>
        <w:t>de junio de</w:t>
      </w:r>
      <w:r w:rsidR="00AA705E" w:rsidRPr="002927A1">
        <w:rPr>
          <w:rFonts w:eastAsiaTheme="minorEastAsia"/>
          <w:lang w:val="es-ES_tradnl"/>
        </w:rPr>
        <w:t xml:space="preserve"> 2019 </w:t>
      </w:r>
      <w:r w:rsidR="00BE1C1F" w:rsidRPr="002927A1">
        <w:rPr>
          <w:rFonts w:eastAsiaTheme="minorEastAsia"/>
          <w:lang w:val="es-ES_tradnl"/>
        </w:rPr>
        <w:t>y se</w:t>
      </w:r>
      <w:r w:rsidR="00FD6686" w:rsidRPr="002927A1">
        <w:rPr>
          <w:rFonts w:eastAsiaTheme="minorEastAsia"/>
          <w:lang w:val="es-ES_tradnl"/>
        </w:rPr>
        <w:t> </w:t>
      </w:r>
      <w:r w:rsidR="00BE1C1F" w:rsidRPr="002927A1">
        <w:rPr>
          <w:rFonts w:eastAsiaTheme="minorEastAsia"/>
          <w:lang w:val="es-ES_tradnl"/>
        </w:rPr>
        <w:t xml:space="preserve">había examinado la posibilidad de financiar proyectos en cantidades que oscilaban entre </w:t>
      </w:r>
      <w:r w:rsidR="00AA705E" w:rsidRPr="002927A1">
        <w:rPr>
          <w:rFonts w:eastAsiaTheme="minorEastAsia"/>
          <w:lang w:val="es-ES_tradnl"/>
        </w:rPr>
        <w:t>50</w:t>
      </w:r>
      <w:r w:rsidR="00BE1C1F" w:rsidRPr="002927A1">
        <w:rPr>
          <w:rFonts w:eastAsiaTheme="minorEastAsia"/>
          <w:lang w:val="es-ES_tradnl"/>
        </w:rPr>
        <w:t>.</w:t>
      </w:r>
      <w:r w:rsidR="00AA705E" w:rsidRPr="002927A1">
        <w:rPr>
          <w:rFonts w:eastAsiaTheme="minorEastAsia"/>
          <w:lang w:val="es-ES_tradnl"/>
        </w:rPr>
        <w:t xml:space="preserve">000 </w:t>
      </w:r>
      <w:r w:rsidR="00BE1C1F" w:rsidRPr="002927A1">
        <w:rPr>
          <w:rFonts w:eastAsiaTheme="minorEastAsia"/>
          <w:lang w:val="es-ES_tradnl"/>
        </w:rPr>
        <w:t>y</w:t>
      </w:r>
      <w:r w:rsidR="00FD6686" w:rsidRPr="002927A1">
        <w:rPr>
          <w:rFonts w:eastAsiaTheme="minorEastAsia"/>
          <w:lang w:val="es-ES_tradnl"/>
        </w:rPr>
        <w:t> </w:t>
      </w:r>
      <w:r w:rsidR="00AA705E" w:rsidRPr="002927A1">
        <w:rPr>
          <w:rFonts w:eastAsiaTheme="minorEastAsia"/>
          <w:lang w:val="es-ES_tradnl"/>
        </w:rPr>
        <w:t>250</w:t>
      </w:r>
      <w:r w:rsidR="00BE1C1F" w:rsidRPr="002927A1">
        <w:rPr>
          <w:rFonts w:eastAsiaTheme="minorEastAsia"/>
          <w:lang w:val="es-ES_tradnl"/>
        </w:rPr>
        <w:t>.</w:t>
      </w:r>
      <w:r w:rsidR="00AA705E" w:rsidRPr="002927A1">
        <w:rPr>
          <w:rFonts w:eastAsiaTheme="minorEastAsia"/>
          <w:lang w:val="es-ES_tradnl"/>
        </w:rPr>
        <w:t>000</w:t>
      </w:r>
      <w:r w:rsidR="00BE1C1F" w:rsidRPr="002927A1">
        <w:rPr>
          <w:rFonts w:eastAsiaTheme="minorEastAsia"/>
          <w:lang w:val="es-ES_tradnl"/>
        </w:rPr>
        <w:t xml:space="preserve"> dólares</w:t>
      </w:r>
      <w:r w:rsidR="00AA705E" w:rsidRPr="002927A1">
        <w:rPr>
          <w:rFonts w:eastAsiaTheme="minorEastAsia"/>
          <w:lang w:val="es-ES_tradnl"/>
        </w:rPr>
        <w:t xml:space="preserve">. </w:t>
      </w:r>
      <w:r w:rsidR="00BE1C1F" w:rsidRPr="002927A1">
        <w:rPr>
          <w:rFonts w:eastAsiaTheme="minorEastAsia"/>
          <w:lang w:val="es-ES_tradnl"/>
        </w:rPr>
        <w:t>Se habían extraído enseñanzas de la primera ronda de solicitudes y en las directrices y los documentos de presentación de solicitudes de la Junta se habían tomado en cuenta las</w:t>
      </w:r>
      <w:r w:rsidR="00FD6686" w:rsidRPr="002927A1">
        <w:rPr>
          <w:rFonts w:eastAsiaTheme="minorEastAsia"/>
          <w:lang w:val="es-ES_tradnl"/>
        </w:rPr>
        <w:t> </w:t>
      </w:r>
      <w:r w:rsidR="00BE1C1F" w:rsidRPr="002927A1">
        <w:rPr>
          <w:rFonts w:eastAsiaTheme="minorEastAsia"/>
          <w:lang w:val="es-ES_tradnl"/>
        </w:rPr>
        <w:t>observaciones de los solicitantes.</w:t>
      </w:r>
      <w:r w:rsidR="00AA705E" w:rsidRPr="002927A1">
        <w:rPr>
          <w:rFonts w:eastAsiaTheme="minorEastAsia"/>
          <w:lang w:val="es-ES_tradnl"/>
        </w:rPr>
        <w:t xml:space="preserve"> </w:t>
      </w:r>
      <w:bookmarkStart w:id="21" w:name="_DV_C305"/>
      <w:bookmarkEnd w:id="20"/>
    </w:p>
    <w:p w14:paraId="62084931" w14:textId="1E978BD6" w:rsidR="00AA705E" w:rsidRPr="002927A1" w:rsidRDefault="00BE1C1F" w:rsidP="00A524DB">
      <w:pPr>
        <w:pStyle w:val="Normalnumber"/>
        <w:numPr>
          <w:ilvl w:val="0"/>
          <w:numId w:val="38"/>
        </w:numPr>
        <w:tabs>
          <w:tab w:val="clear" w:pos="624"/>
          <w:tab w:val="clear" w:pos="1134"/>
          <w:tab w:val="clear" w:pos="1247"/>
        </w:tabs>
        <w:rPr>
          <w:rFonts w:eastAsiaTheme="minorEastAsia"/>
          <w:lang w:val="es-ES_tradnl"/>
        </w:rPr>
      </w:pPr>
      <w:bookmarkStart w:id="22" w:name="_DV_C306"/>
      <w:bookmarkEnd w:id="21"/>
      <w:r w:rsidRPr="002927A1">
        <w:rPr>
          <w:rFonts w:eastAsiaTheme="minorEastAsia"/>
          <w:lang w:val="es-ES_tradnl"/>
        </w:rPr>
        <w:t>El orador presentó una reseña general de las reuniones celebradas por la Junta en el año precedente. Para concluir, expresó su agradecimiento a los donantes de contribuciones a la segunda ronda, a saber, Alemania, Austria, Di</w:t>
      </w:r>
      <w:r w:rsidR="00AA705E" w:rsidRPr="002927A1">
        <w:rPr>
          <w:rFonts w:eastAsiaTheme="minorEastAsia"/>
          <w:lang w:val="es-ES_tradnl"/>
        </w:rPr>
        <w:t>n</w:t>
      </w:r>
      <w:r w:rsidRPr="002927A1">
        <w:rPr>
          <w:rFonts w:eastAsiaTheme="minorEastAsia"/>
          <w:lang w:val="es-ES_tradnl"/>
        </w:rPr>
        <w:t>a</w:t>
      </w:r>
      <w:r w:rsidR="00AA705E" w:rsidRPr="002927A1">
        <w:rPr>
          <w:rFonts w:eastAsiaTheme="minorEastAsia"/>
          <w:lang w:val="es-ES_tradnl"/>
        </w:rPr>
        <w:t>mar</w:t>
      </w:r>
      <w:r w:rsidRPr="002927A1">
        <w:rPr>
          <w:rFonts w:eastAsiaTheme="minorEastAsia"/>
          <w:lang w:val="es-ES_tradnl"/>
        </w:rPr>
        <w:t>ca</w:t>
      </w:r>
      <w:r w:rsidR="00AA705E" w:rsidRPr="002927A1">
        <w:rPr>
          <w:rFonts w:eastAsiaTheme="minorEastAsia"/>
          <w:lang w:val="es-ES_tradnl"/>
        </w:rPr>
        <w:t>,</w:t>
      </w:r>
      <w:r w:rsidRPr="002927A1">
        <w:rPr>
          <w:rFonts w:eastAsiaTheme="minorEastAsia"/>
          <w:lang w:val="es-ES_tradnl"/>
        </w:rPr>
        <w:t xml:space="preserve"> los Estados Unidos</w:t>
      </w:r>
      <w:r w:rsidR="00221DEE" w:rsidRPr="002927A1">
        <w:rPr>
          <w:rFonts w:eastAsiaTheme="minorEastAsia"/>
          <w:lang w:val="es-ES_tradnl"/>
        </w:rPr>
        <w:t xml:space="preserve"> de América</w:t>
      </w:r>
      <w:r w:rsidRPr="002927A1">
        <w:rPr>
          <w:rFonts w:eastAsiaTheme="minorEastAsia"/>
          <w:lang w:val="es-ES_tradnl"/>
        </w:rPr>
        <w:t>, Noruega, los Países Bajos</w:t>
      </w:r>
      <w:r w:rsidR="00AA705E" w:rsidRPr="002927A1">
        <w:rPr>
          <w:rFonts w:eastAsiaTheme="minorEastAsia"/>
          <w:lang w:val="es-ES_tradnl"/>
        </w:rPr>
        <w:t xml:space="preserve">, </w:t>
      </w:r>
      <w:r w:rsidRPr="002927A1">
        <w:rPr>
          <w:rFonts w:eastAsiaTheme="minorEastAsia"/>
          <w:lang w:val="es-ES_tradnl"/>
        </w:rPr>
        <w:t xml:space="preserve">el Reino Unido de Gran Bretaña e Irlanda del Norte y </w:t>
      </w:r>
      <w:r w:rsidR="00AA705E" w:rsidRPr="002927A1">
        <w:rPr>
          <w:rFonts w:eastAsiaTheme="minorEastAsia"/>
          <w:lang w:val="es-ES_tradnl"/>
        </w:rPr>
        <w:t>S</w:t>
      </w:r>
      <w:r w:rsidRPr="002927A1">
        <w:rPr>
          <w:rFonts w:eastAsiaTheme="minorEastAsia"/>
          <w:lang w:val="es-ES_tradnl"/>
        </w:rPr>
        <w:t>uiza</w:t>
      </w:r>
      <w:r w:rsidR="00AA705E" w:rsidRPr="002927A1">
        <w:rPr>
          <w:rFonts w:eastAsiaTheme="minorEastAsia"/>
          <w:lang w:val="es-ES_tradnl"/>
        </w:rPr>
        <w:t xml:space="preserve">. </w:t>
      </w:r>
      <w:bookmarkStart w:id="23" w:name="_DV_C307"/>
      <w:bookmarkEnd w:id="22"/>
    </w:p>
    <w:p w14:paraId="72ECCA31" w14:textId="4715320D" w:rsidR="00AA705E" w:rsidRPr="002927A1" w:rsidRDefault="00A055BE" w:rsidP="00A524DB">
      <w:pPr>
        <w:pStyle w:val="Normalnumber"/>
        <w:numPr>
          <w:ilvl w:val="0"/>
          <w:numId w:val="38"/>
        </w:numPr>
        <w:tabs>
          <w:tab w:val="clear" w:pos="624"/>
          <w:tab w:val="clear" w:pos="1134"/>
          <w:tab w:val="clear" w:pos="1247"/>
        </w:tabs>
        <w:rPr>
          <w:rFonts w:eastAsiaTheme="minorEastAsia"/>
          <w:lang w:val="es-ES_tradnl"/>
        </w:rPr>
      </w:pPr>
      <w:bookmarkStart w:id="24" w:name="_DV_C308"/>
      <w:bookmarkEnd w:id="23"/>
      <w:r w:rsidRPr="002927A1">
        <w:rPr>
          <w:rFonts w:eastAsiaTheme="minorEastAsia"/>
          <w:lang w:val="es-ES_tradnl"/>
        </w:rPr>
        <w:t xml:space="preserve">En el debate que tuvo lugar a continuación, representantes de varios </w:t>
      </w:r>
      <w:r w:rsidR="00221DEE" w:rsidRPr="002927A1">
        <w:rPr>
          <w:rFonts w:eastAsiaTheme="minorEastAsia"/>
          <w:lang w:val="es-ES_tradnl"/>
        </w:rPr>
        <w:t>d</w:t>
      </w:r>
      <w:r w:rsidR="00B5027A" w:rsidRPr="002927A1">
        <w:rPr>
          <w:rFonts w:eastAsiaTheme="minorEastAsia"/>
          <w:lang w:val="es-ES_tradnl"/>
        </w:rPr>
        <w:t xml:space="preserve">e </w:t>
      </w:r>
      <w:r w:rsidRPr="002927A1">
        <w:rPr>
          <w:rFonts w:eastAsiaTheme="minorEastAsia"/>
          <w:lang w:val="es-ES_tradnl"/>
        </w:rPr>
        <w:t xml:space="preserve">los países que habían recibido financiación en el marco del Programa expresaron su agradecimiento por los fondos recibidos y elogiaron a los donantes del </w:t>
      </w:r>
      <w:r w:rsidR="00AA705E" w:rsidRPr="002927A1">
        <w:rPr>
          <w:rFonts w:eastAsiaTheme="minorEastAsia"/>
          <w:lang w:val="es-ES_tradnl"/>
        </w:rPr>
        <w:t>Program</w:t>
      </w:r>
      <w:r w:rsidRPr="002927A1">
        <w:rPr>
          <w:rFonts w:eastAsiaTheme="minorEastAsia"/>
          <w:lang w:val="es-ES_tradnl"/>
        </w:rPr>
        <w:t xml:space="preserve">a por el apoyo prestado, el cual les permitiría </w:t>
      </w:r>
      <w:r w:rsidR="003210A6" w:rsidRPr="002927A1">
        <w:rPr>
          <w:rFonts w:eastAsiaTheme="minorEastAsia"/>
          <w:lang w:val="es-ES_tradnl"/>
        </w:rPr>
        <w:t>determinar las acciones para implementar el Convenio en sus países</w:t>
      </w:r>
      <w:r w:rsidR="00AA705E" w:rsidRPr="002927A1">
        <w:rPr>
          <w:rFonts w:eastAsiaTheme="minorEastAsia"/>
          <w:lang w:val="es-ES_tradnl"/>
        </w:rPr>
        <w:t>. Representa</w:t>
      </w:r>
      <w:r w:rsidR="003210A6" w:rsidRPr="002927A1">
        <w:rPr>
          <w:rFonts w:eastAsiaTheme="minorEastAsia"/>
          <w:lang w:val="es-ES_tradnl"/>
        </w:rPr>
        <w:t>ntes de algunos otros países dijeron sentirse decepcionados porque sus solicitudes no habían tenido éxito.</w:t>
      </w:r>
      <w:r w:rsidR="00AA705E" w:rsidRPr="002927A1">
        <w:rPr>
          <w:rFonts w:eastAsiaTheme="minorEastAsia"/>
          <w:lang w:val="es-ES_tradnl"/>
        </w:rPr>
        <w:t xml:space="preserve"> </w:t>
      </w:r>
      <w:r w:rsidR="003210A6" w:rsidRPr="002927A1">
        <w:rPr>
          <w:rFonts w:eastAsiaTheme="minorEastAsia"/>
          <w:lang w:val="es-ES_tradnl"/>
        </w:rPr>
        <w:t xml:space="preserve">Un representante, quien hizo uso de la palabra en nombre de un grupo de países, expresó su preocupación por el nivel insuficiente de recursos para el </w:t>
      </w:r>
      <w:r w:rsidR="00AA705E" w:rsidRPr="002927A1">
        <w:rPr>
          <w:rFonts w:eastAsiaTheme="minorEastAsia"/>
          <w:lang w:val="es-ES_tradnl"/>
        </w:rPr>
        <w:t>Program</w:t>
      </w:r>
      <w:r w:rsidR="003210A6" w:rsidRPr="002927A1">
        <w:rPr>
          <w:rFonts w:eastAsiaTheme="minorEastAsia"/>
          <w:lang w:val="es-ES_tradnl"/>
        </w:rPr>
        <w:t>a e instó a otros países a hacer contribuciones; por otra parte, otros dos representantes hicieron notar las deficiencias de los criterios de selección de los proyectos y solicitaron a la Secretaría que aclarase esos criterios.</w:t>
      </w:r>
      <w:bookmarkStart w:id="25" w:name="_DV_C309"/>
      <w:bookmarkEnd w:id="24"/>
    </w:p>
    <w:p w14:paraId="0115C180" w14:textId="0F06DF5A" w:rsidR="00AA705E" w:rsidRPr="002927A1" w:rsidRDefault="003210A6" w:rsidP="00A524DB">
      <w:pPr>
        <w:pStyle w:val="Normalnumber"/>
        <w:numPr>
          <w:ilvl w:val="0"/>
          <w:numId w:val="38"/>
        </w:numPr>
        <w:tabs>
          <w:tab w:val="clear" w:pos="624"/>
          <w:tab w:val="clear" w:pos="1134"/>
          <w:tab w:val="clear" w:pos="1247"/>
        </w:tabs>
        <w:rPr>
          <w:rFonts w:eastAsiaTheme="minorEastAsia"/>
          <w:lang w:val="es-ES_tradnl"/>
        </w:rPr>
      </w:pPr>
      <w:bookmarkStart w:id="26" w:name="_DV_C310"/>
      <w:bookmarkEnd w:id="25"/>
      <w:r w:rsidRPr="002927A1">
        <w:rPr>
          <w:rFonts w:eastAsiaTheme="minorEastAsia"/>
          <w:lang w:val="es-ES_tradnl"/>
        </w:rPr>
        <w:t>Varios</w:t>
      </w:r>
      <w:r w:rsidR="00AA705E" w:rsidRPr="002927A1">
        <w:rPr>
          <w:rFonts w:eastAsiaTheme="minorEastAsia"/>
          <w:lang w:val="es-ES_tradnl"/>
        </w:rPr>
        <w:t xml:space="preserve"> representa</w:t>
      </w:r>
      <w:r w:rsidRPr="002927A1">
        <w:rPr>
          <w:rFonts w:eastAsiaTheme="minorEastAsia"/>
          <w:lang w:val="es-ES_tradnl"/>
        </w:rPr>
        <w:t>ntes expresaron apoyo al fortalecimiento de la Secretar</w:t>
      </w:r>
      <w:r w:rsidR="00C0605A" w:rsidRPr="002927A1">
        <w:rPr>
          <w:rFonts w:eastAsiaTheme="minorEastAsia"/>
          <w:lang w:val="es-ES_tradnl"/>
        </w:rPr>
        <w:t xml:space="preserve">ía y </w:t>
      </w:r>
      <w:r w:rsidRPr="002927A1">
        <w:rPr>
          <w:rFonts w:eastAsiaTheme="minorEastAsia"/>
          <w:lang w:val="es-ES_tradnl"/>
        </w:rPr>
        <w:t xml:space="preserve">el </w:t>
      </w:r>
      <w:r w:rsidR="00AA705E" w:rsidRPr="002927A1">
        <w:rPr>
          <w:rFonts w:eastAsiaTheme="minorEastAsia"/>
          <w:lang w:val="es-ES_tradnl"/>
        </w:rPr>
        <w:t>Program</w:t>
      </w:r>
      <w:r w:rsidRPr="002927A1">
        <w:rPr>
          <w:rFonts w:eastAsiaTheme="minorEastAsia"/>
          <w:lang w:val="es-ES_tradnl"/>
        </w:rPr>
        <w:t>a</w:t>
      </w:r>
      <w:r w:rsidR="00AA705E" w:rsidRPr="002927A1">
        <w:rPr>
          <w:rFonts w:eastAsiaTheme="minorEastAsia"/>
          <w:lang w:val="es-ES_tradnl"/>
        </w:rPr>
        <w:t>, a</w:t>
      </w:r>
      <w:r w:rsidRPr="002927A1">
        <w:rPr>
          <w:rFonts w:eastAsiaTheme="minorEastAsia"/>
          <w:lang w:val="es-ES_tradnl"/>
        </w:rPr>
        <w:t>unque uno señaló que las medidas de fortalecimiento podrían hacerse efectivas de diversas formas.</w:t>
      </w:r>
      <w:r w:rsidR="00AA705E" w:rsidRPr="002927A1">
        <w:rPr>
          <w:rFonts w:eastAsiaTheme="minorEastAsia"/>
          <w:lang w:val="es-ES_tradnl"/>
        </w:rPr>
        <w:t xml:space="preserve"> </w:t>
      </w:r>
      <w:r w:rsidRPr="002927A1">
        <w:rPr>
          <w:rFonts w:eastAsiaTheme="minorEastAsia"/>
          <w:lang w:val="es-ES_tradnl"/>
        </w:rPr>
        <w:t xml:space="preserve">Una </w:t>
      </w:r>
      <w:r w:rsidR="00AA705E" w:rsidRPr="002927A1">
        <w:rPr>
          <w:rFonts w:eastAsiaTheme="minorEastAsia"/>
          <w:lang w:val="es-ES_tradnl"/>
        </w:rPr>
        <w:t>representa</w:t>
      </w:r>
      <w:r w:rsidRPr="002927A1">
        <w:rPr>
          <w:rFonts w:eastAsiaTheme="minorEastAsia"/>
          <w:lang w:val="es-ES_tradnl"/>
        </w:rPr>
        <w:t>nte</w:t>
      </w:r>
      <w:r w:rsidR="00AA705E" w:rsidRPr="002927A1">
        <w:rPr>
          <w:rFonts w:eastAsiaTheme="minorEastAsia"/>
          <w:lang w:val="es-ES_tradnl"/>
        </w:rPr>
        <w:t xml:space="preserve">, </w:t>
      </w:r>
      <w:r w:rsidRPr="002927A1">
        <w:rPr>
          <w:rFonts w:eastAsiaTheme="minorEastAsia"/>
          <w:lang w:val="es-ES_tradnl"/>
        </w:rPr>
        <w:t>que habló en nombre de un grupo de países,</w:t>
      </w:r>
      <w:r w:rsidR="00FA6A30" w:rsidRPr="002927A1">
        <w:rPr>
          <w:rFonts w:eastAsiaTheme="minorEastAsia"/>
          <w:lang w:val="es-ES_tradnl"/>
        </w:rPr>
        <w:t xml:space="preserve"> </w:t>
      </w:r>
      <w:r w:rsidRPr="002927A1">
        <w:rPr>
          <w:rFonts w:eastAsiaTheme="minorEastAsia"/>
          <w:lang w:val="es-ES_tradnl"/>
        </w:rPr>
        <w:t xml:space="preserve">expresó la disposición de su delegación a debatir la cuestión del fortalecimiento de los recursos humanos de la Secretaría con vistas a mejorar el desempeño de las funciones relacionadas con el </w:t>
      </w:r>
      <w:r w:rsidR="00AA705E" w:rsidRPr="002927A1">
        <w:rPr>
          <w:rFonts w:eastAsiaTheme="minorEastAsia"/>
          <w:lang w:val="es-ES_tradnl"/>
        </w:rPr>
        <w:t>Program</w:t>
      </w:r>
      <w:r w:rsidRPr="002927A1">
        <w:rPr>
          <w:rFonts w:eastAsiaTheme="minorEastAsia"/>
          <w:lang w:val="es-ES_tradnl"/>
        </w:rPr>
        <w:t>a</w:t>
      </w:r>
      <w:r w:rsidR="00AA705E" w:rsidRPr="002927A1">
        <w:rPr>
          <w:rFonts w:eastAsiaTheme="minorEastAsia"/>
          <w:lang w:val="es-ES_tradnl"/>
        </w:rPr>
        <w:t xml:space="preserve">, </w:t>
      </w:r>
      <w:r w:rsidRPr="002927A1">
        <w:rPr>
          <w:rFonts w:eastAsiaTheme="minorEastAsia"/>
          <w:lang w:val="es-ES_tradnl"/>
        </w:rPr>
        <w:t xml:space="preserve">pero subrayó que esa cuestión no debería examinarse bajo el tema del Programa Internacional Específico y la elección de sus miembros, sino que debería encargarse al grupo de contacto sobre el programa de trabajo y presupuesto, conforme a lo estipulado en el artículo </w:t>
      </w:r>
      <w:r w:rsidR="00AA705E" w:rsidRPr="002927A1">
        <w:rPr>
          <w:rFonts w:eastAsiaTheme="minorEastAsia"/>
          <w:lang w:val="es-ES_tradnl"/>
        </w:rPr>
        <w:t xml:space="preserve">13 </w:t>
      </w:r>
      <w:r w:rsidRPr="002927A1">
        <w:rPr>
          <w:rFonts w:eastAsiaTheme="minorEastAsia"/>
          <w:lang w:val="es-ES_tradnl"/>
        </w:rPr>
        <w:t>del Convenio</w:t>
      </w:r>
      <w:r w:rsidR="00AA705E" w:rsidRPr="002927A1">
        <w:rPr>
          <w:rFonts w:eastAsiaTheme="minorEastAsia"/>
          <w:lang w:val="es-ES_tradnl"/>
        </w:rPr>
        <w:t xml:space="preserve">. </w:t>
      </w:r>
      <w:r w:rsidR="006D6007" w:rsidRPr="002927A1">
        <w:rPr>
          <w:rFonts w:eastAsiaTheme="minorEastAsia"/>
          <w:lang w:val="es-ES_tradnl"/>
        </w:rPr>
        <w:t xml:space="preserve">En consonancia con esa posición, que fue respaldada por otros dos representantes, la oradora propuso que se suprimiese el párrafo </w:t>
      </w:r>
      <w:r w:rsidR="00AA705E" w:rsidRPr="002927A1">
        <w:rPr>
          <w:rFonts w:eastAsiaTheme="minorEastAsia"/>
          <w:lang w:val="es-ES_tradnl"/>
        </w:rPr>
        <w:t xml:space="preserve">2 </w:t>
      </w:r>
      <w:r w:rsidR="006D6007" w:rsidRPr="002927A1">
        <w:rPr>
          <w:rFonts w:eastAsiaTheme="minorEastAsia"/>
          <w:lang w:val="es-ES_tradnl"/>
        </w:rPr>
        <w:t>del proyecto de decisión que figuraba en el informe general</w:t>
      </w:r>
      <w:r w:rsidR="00AA705E" w:rsidRPr="002927A1">
        <w:rPr>
          <w:rFonts w:eastAsiaTheme="minorEastAsia"/>
          <w:lang w:val="es-ES_tradnl"/>
        </w:rPr>
        <w:t>.</w:t>
      </w:r>
      <w:bookmarkStart w:id="27" w:name="_DV_C311"/>
      <w:bookmarkEnd w:id="26"/>
    </w:p>
    <w:p w14:paraId="3AACFD2E" w14:textId="05CB4165" w:rsidR="00AA705E" w:rsidRPr="002927A1" w:rsidRDefault="006D6007" w:rsidP="00A524DB">
      <w:pPr>
        <w:pStyle w:val="Normalnumber"/>
        <w:numPr>
          <w:ilvl w:val="0"/>
          <w:numId w:val="38"/>
        </w:numPr>
        <w:tabs>
          <w:tab w:val="clear" w:pos="624"/>
          <w:tab w:val="clear" w:pos="1134"/>
          <w:tab w:val="clear" w:pos="1247"/>
        </w:tabs>
        <w:rPr>
          <w:rFonts w:eastAsiaTheme="minorEastAsia"/>
          <w:lang w:val="es-ES_tradnl"/>
        </w:rPr>
      </w:pPr>
      <w:bookmarkStart w:id="28" w:name="_DV_C312"/>
      <w:bookmarkEnd w:id="27"/>
      <w:r w:rsidRPr="002927A1">
        <w:rPr>
          <w:rFonts w:eastAsiaTheme="minorEastAsia"/>
          <w:lang w:val="es-ES_tradnl"/>
        </w:rPr>
        <w:t xml:space="preserve">Al reafirmar su apoyo al </w:t>
      </w:r>
      <w:r w:rsidR="00AA705E" w:rsidRPr="002927A1">
        <w:rPr>
          <w:rFonts w:eastAsiaTheme="minorEastAsia"/>
          <w:lang w:val="es-ES_tradnl"/>
        </w:rPr>
        <w:t>Program</w:t>
      </w:r>
      <w:r w:rsidRPr="002927A1">
        <w:rPr>
          <w:rFonts w:eastAsiaTheme="minorEastAsia"/>
          <w:lang w:val="es-ES_tradnl"/>
        </w:rPr>
        <w:t xml:space="preserve">a, los representantes de </w:t>
      </w:r>
      <w:r w:rsidR="00AA705E" w:rsidRPr="002927A1">
        <w:rPr>
          <w:rFonts w:eastAsiaTheme="minorEastAsia"/>
          <w:lang w:val="es-ES_tradnl"/>
        </w:rPr>
        <w:t>Nor</w:t>
      </w:r>
      <w:r w:rsidRPr="002927A1">
        <w:rPr>
          <w:rFonts w:eastAsiaTheme="minorEastAsia"/>
          <w:lang w:val="es-ES_tradnl"/>
        </w:rPr>
        <w:t xml:space="preserve">uega y Suiza anunciaron promesas de apoyo financiero por cinco millones de coronas y </w:t>
      </w:r>
      <w:r w:rsidR="00AA705E" w:rsidRPr="002927A1">
        <w:rPr>
          <w:rFonts w:eastAsiaTheme="minorEastAsia"/>
          <w:lang w:val="es-ES_tradnl"/>
        </w:rPr>
        <w:t>100</w:t>
      </w:r>
      <w:r w:rsidRPr="002927A1">
        <w:rPr>
          <w:rFonts w:eastAsiaTheme="minorEastAsia"/>
          <w:lang w:val="es-ES_tradnl"/>
        </w:rPr>
        <w:t>.</w:t>
      </w:r>
      <w:r w:rsidR="00AA705E" w:rsidRPr="002927A1">
        <w:rPr>
          <w:rFonts w:eastAsiaTheme="minorEastAsia"/>
          <w:lang w:val="es-ES_tradnl"/>
        </w:rPr>
        <w:t>000 franc</w:t>
      </w:r>
      <w:r w:rsidRPr="002927A1">
        <w:rPr>
          <w:rFonts w:eastAsiaTheme="minorEastAsia"/>
          <w:lang w:val="es-ES_tradnl"/>
        </w:rPr>
        <w:t>o</w:t>
      </w:r>
      <w:r w:rsidR="00AA705E" w:rsidRPr="002927A1">
        <w:rPr>
          <w:rFonts w:eastAsiaTheme="minorEastAsia"/>
          <w:lang w:val="es-ES_tradnl"/>
        </w:rPr>
        <w:t>s</w:t>
      </w:r>
      <w:r w:rsidRPr="002927A1">
        <w:rPr>
          <w:rFonts w:eastAsiaTheme="minorEastAsia"/>
          <w:lang w:val="es-ES_tradnl"/>
        </w:rPr>
        <w:t xml:space="preserve"> suizos, respectivamente</w:t>
      </w:r>
      <w:r w:rsidR="00AA705E" w:rsidRPr="002927A1">
        <w:rPr>
          <w:rFonts w:eastAsiaTheme="minorEastAsia"/>
          <w:lang w:val="es-ES_tradnl"/>
        </w:rPr>
        <w:t>.</w:t>
      </w:r>
      <w:bookmarkStart w:id="29" w:name="_DV_C313"/>
      <w:bookmarkEnd w:id="28"/>
    </w:p>
    <w:p w14:paraId="1979919A" w14:textId="15B33D5D" w:rsidR="00AA705E" w:rsidRPr="002927A1" w:rsidRDefault="006D6007" w:rsidP="00A524DB">
      <w:pPr>
        <w:pStyle w:val="Normalnumber"/>
        <w:numPr>
          <w:ilvl w:val="0"/>
          <w:numId w:val="38"/>
        </w:numPr>
        <w:tabs>
          <w:tab w:val="clear" w:pos="624"/>
          <w:tab w:val="clear" w:pos="1134"/>
          <w:tab w:val="clear" w:pos="1247"/>
        </w:tabs>
        <w:rPr>
          <w:rFonts w:eastAsiaTheme="minorEastAsia"/>
          <w:lang w:val="es-ES_tradnl"/>
        </w:rPr>
      </w:pPr>
      <w:bookmarkStart w:id="30" w:name="_DV_C314"/>
      <w:bookmarkEnd w:id="29"/>
      <w:r w:rsidRPr="002927A1">
        <w:rPr>
          <w:rFonts w:eastAsiaTheme="minorEastAsia"/>
          <w:lang w:val="es-ES_tradnl"/>
        </w:rPr>
        <w:t xml:space="preserve">Concluido el debate, la </w:t>
      </w:r>
      <w:r w:rsidR="00AA705E" w:rsidRPr="002927A1">
        <w:rPr>
          <w:rFonts w:eastAsiaTheme="minorEastAsia"/>
          <w:lang w:val="es-ES_tradnl"/>
        </w:rPr>
        <w:t>Conferenc</w:t>
      </w:r>
      <w:r w:rsidRPr="002927A1">
        <w:rPr>
          <w:rFonts w:eastAsiaTheme="minorEastAsia"/>
          <w:lang w:val="es-ES_tradnl"/>
        </w:rPr>
        <w:t xml:space="preserve">ia de las </w:t>
      </w:r>
      <w:r w:rsidR="00AA705E" w:rsidRPr="002927A1">
        <w:rPr>
          <w:rFonts w:eastAsiaTheme="minorEastAsia"/>
          <w:lang w:val="es-ES_tradnl"/>
        </w:rPr>
        <w:t xml:space="preserve">Partes </w:t>
      </w:r>
      <w:r w:rsidRPr="002927A1">
        <w:rPr>
          <w:rFonts w:eastAsiaTheme="minorEastAsia"/>
          <w:lang w:val="es-ES_tradnl"/>
        </w:rPr>
        <w:t xml:space="preserve">acordó remitir las cuestiones relativas a las deliberaciones sobre cómo fortalecer el </w:t>
      </w:r>
      <w:r w:rsidR="00AA705E" w:rsidRPr="002927A1">
        <w:rPr>
          <w:rFonts w:eastAsiaTheme="minorEastAsia"/>
          <w:lang w:val="es-ES_tradnl"/>
        </w:rPr>
        <w:t>Program</w:t>
      </w:r>
      <w:r w:rsidRPr="002927A1">
        <w:rPr>
          <w:rFonts w:eastAsiaTheme="minorEastAsia"/>
          <w:lang w:val="es-ES_tradnl"/>
        </w:rPr>
        <w:t>a Internacional Específico, incluido su funcionamiento, al Grupo de Amigos de la Presidencia</w:t>
      </w:r>
      <w:r w:rsidR="00FA6A30" w:rsidRPr="002927A1">
        <w:rPr>
          <w:rFonts w:eastAsiaTheme="minorEastAsia"/>
          <w:lang w:val="es-ES_tradnl"/>
        </w:rPr>
        <w:t xml:space="preserve"> </w:t>
      </w:r>
      <w:r w:rsidRPr="002927A1">
        <w:rPr>
          <w:rFonts w:eastAsiaTheme="minorEastAsia"/>
          <w:lang w:val="es-ES_tradnl"/>
        </w:rPr>
        <w:t>para que este prosiguiese el examen del tema, y la cuestión relativa al aumento del personal de la Secretaría al grupo de contacto sobre el programa de trabajo y presupuesto.</w:t>
      </w:r>
      <w:r w:rsidR="00AA705E" w:rsidRPr="002927A1">
        <w:rPr>
          <w:rFonts w:eastAsiaTheme="minorEastAsia"/>
          <w:lang w:val="es-ES_tradnl"/>
        </w:rPr>
        <w:t xml:space="preserve"> </w:t>
      </w:r>
      <w:bookmarkStart w:id="31" w:name="_DV_C315"/>
      <w:bookmarkEnd w:id="30"/>
    </w:p>
    <w:p w14:paraId="67D36F40" w14:textId="01D7D8BF" w:rsidR="00AA705E" w:rsidRPr="002927A1" w:rsidRDefault="006D6007" w:rsidP="00A524DB">
      <w:pPr>
        <w:pStyle w:val="Normalnumber"/>
        <w:numPr>
          <w:ilvl w:val="0"/>
          <w:numId w:val="38"/>
        </w:numPr>
        <w:tabs>
          <w:tab w:val="clear" w:pos="624"/>
          <w:tab w:val="clear" w:pos="1134"/>
          <w:tab w:val="clear" w:pos="1247"/>
        </w:tabs>
        <w:rPr>
          <w:rFonts w:eastAsiaTheme="minorEastAsia"/>
          <w:lang w:val="es-ES_tradnl"/>
        </w:rPr>
      </w:pPr>
      <w:bookmarkStart w:id="32" w:name="_DV_C316"/>
      <w:bookmarkEnd w:id="31"/>
      <w:r w:rsidRPr="002927A1">
        <w:rPr>
          <w:rFonts w:eastAsiaTheme="minorEastAsia"/>
          <w:lang w:val="es-ES_tradnl"/>
        </w:rPr>
        <w:t>Posteriormente, en consonancia con las recomendaciones del Grupo de Amigos de la</w:t>
      </w:r>
      <w:r w:rsidR="00B638DB" w:rsidRPr="002927A1">
        <w:rPr>
          <w:rFonts w:eastAsiaTheme="minorEastAsia"/>
          <w:lang w:val="es-ES_tradnl"/>
        </w:rPr>
        <w:t xml:space="preserve"> </w:t>
      </w:r>
      <w:r w:rsidRPr="002927A1">
        <w:rPr>
          <w:rFonts w:eastAsiaTheme="minorEastAsia"/>
          <w:lang w:val="es-ES_tradnl"/>
        </w:rPr>
        <w:t xml:space="preserve">Presidencia, la </w:t>
      </w:r>
      <w:r w:rsidR="00AA705E" w:rsidRPr="002927A1">
        <w:rPr>
          <w:rFonts w:eastAsiaTheme="minorEastAsia"/>
          <w:lang w:val="es-ES_tradnl"/>
        </w:rPr>
        <w:t>Conferenc</w:t>
      </w:r>
      <w:r w:rsidRPr="002927A1">
        <w:rPr>
          <w:rFonts w:eastAsiaTheme="minorEastAsia"/>
          <w:lang w:val="es-ES_tradnl"/>
        </w:rPr>
        <w:t xml:space="preserve">ia de las </w:t>
      </w:r>
      <w:r w:rsidR="00AA705E" w:rsidRPr="002927A1">
        <w:rPr>
          <w:rFonts w:eastAsiaTheme="minorEastAsia"/>
          <w:lang w:val="es-ES_tradnl"/>
        </w:rPr>
        <w:t xml:space="preserve">Partes </w:t>
      </w:r>
      <w:r w:rsidRPr="002927A1">
        <w:rPr>
          <w:rFonts w:eastAsiaTheme="minorEastAsia"/>
          <w:lang w:val="es-ES_tradnl"/>
        </w:rPr>
        <w:t>acordó incluir el siguiente texto en el presente informe</w:t>
      </w:r>
      <w:r w:rsidR="00AA705E" w:rsidRPr="002927A1">
        <w:rPr>
          <w:rFonts w:eastAsiaTheme="minorEastAsia"/>
          <w:lang w:val="es-ES_tradnl"/>
        </w:rPr>
        <w:t xml:space="preserve">: </w:t>
      </w:r>
      <w:r w:rsidRPr="002927A1">
        <w:rPr>
          <w:rFonts w:eastAsiaTheme="minorEastAsia"/>
          <w:lang w:val="es-ES_tradnl"/>
        </w:rPr>
        <w:t>la</w:t>
      </w:r>
      <w:r w:rsidR="00FA6A30" w:rsidRPr="002927A1">
        <w:rPr>
          <w:rFonts w:eastAsiaTheme="minorEastAsia"/>
          <w:lang w:val="es-ES_tradnl"/>
        </w:rPr>
        <w:t xml:space="preserve"> </w:t>
      </w:r>
      <w:r w:rsidR="00AA705E" w:rsidRPr="002927A1">
        <w:rPr>
          <w:rFonts w:eastAsiaTheme="minorEastAsia"/>
          <w:lang w:val="es-ES_tradnl"/>
        </w:rPr>
        <w:t>Conferenc</w:t>
      </w:r>
      <w:r w:rsidRPr="002927A1">
        <w:rPr>
          <w:rFonts w:eastAsiaTheme="minorEastAsia"/>
          <w:lang w:val="es-ES_tradnl"/>
        </w:rPr>
        <w:t xml:space="preserve">ia de las </w:t>
      </w:r>
      <w:r w:rsidR="00AA705E" w:rsidRPr="002927A1">
        <w:rPr>
          <w:rFonts w:eastAsiaTheme="minorEastAsia"/>
          <w:lang w:val="es-ES_tradnl"/>
        </w:rPr>
        <w:t>Partes reco</w:t>
      </w:r>
      <w:r w:rsidRPr="002927A1">
        <w:rPr>
          <w:rFonts w:eastAsiaTheme="minorEastAsia"/>
          <w:lang w:val="es-ES_tradnl"/>
        </w:rPr>
        <w:t xml:space="preserve">noció las actividades dadas a conocer por la Directora Ejecutiva del PNUMA para llevar a la </w:t>
      </w:r>
      <w:r w:rsidR="00C0605A" w:rsidRPr="002927A1">
        <w:rPr>
          <w:rFonts w:eastAsiaTheme="minorEastAsia"/>
          <w:lang w:val="es-ES_tradnl"/>
        </w:rPr>
        <w:t>práctica</w:t>
      </w:r>
      <w:r w:rsidRPr="002927A1">
        <w:rPr>
          <w:rFonts w:eastAsiaTheme="minorEastAsia"/>
          <w:lang w:val="es-ES_tradnl"/>
        </w:rPr>
        <w:t xml:space="preserve"> las iniciativas de reformas del Secretario </w:t>
      </w:r>
      <w:r w:rsidR="00AA705E" w:rsidRPr="002927A1">
        <w:rPr>
          <w:rFonts w:eastAsiaTheme="minorEastAsia"/>
          <w:lang w:val="es-ES_tradnl"/>
        </w:rPr>
        <w:t>General</w:t>
      </w:r>
      <w:r w:rsidRPr="002927A1">
        <w:rPr>
          <w:rFonts w:eastAsiaTheme="minorEastAsia"/>
          <w:lang w:val="es-ES_tradnl"/>
        </w:rPr>
        <w:t xml:space="preserve"> de las </w:t>
      </w:r>
      <w:r w:rsidR="0034570C" w:rsidRPr="002927A1">
        <w:rPr>
          <w:rFonts w:eastAsiaTheme="minorEastAsia"/>
          <w:lang w:val="es-ES_tradnl"/>
        </w:rPr>
        <w:t>Naciones Unidas</w:t>
      </w:r>
      <w:r w:rsidRPr="002927A1">
        <w:rPr>
          <w:rFonts w:eastAsiaTheme="minorEastAsia"/>
          <w:lang w:val="es-ES_tradnl"/>
        </w:rPr>
        <w:t xml:space="preserve">, entre otras las relativas a la consolidación mundial de los servicios </w:t>
      </w:r>
      <w:r w:rsidR="00AA705E" w:rsidRPr="002927A1">
        <w:rPr>
          <w:rFonts w:eastAsiaTheme="minorEastAsia"/>
          <w:lang w:val="es-ES_tradnl"/>
        </w:rPr>
        <w:t>administrativ</w:t>
      </w:r>
      <w:r w:rsidRPr="002927A1">
        <w:rPr>
          <w:rFonts w:eastAsiaTheme="minorEastAsia"/>
          <w:lang w:val="es-ES_tradnl"/>
        </w:rPr>
        <w:t>o</w:t>
      </w:r>
      <w:r w:rsidR="00AA705E" w:rsidRPr="002927A1">
        <w:rPr>
          <w:rFonts w:eastAsiaTheme="minorEastAsia"/>
          <w:lang w:val="es-ES_tradnl"/>
        </w:rPr>
        <w:t xml:space="preserve">s. </w:t>
      </w:r>
      <w:r w:rsidR="00C0605A" w:rsidRPr="002927A1">
        <w:rPr>
          <w:rFonts w:eastAsiaTheme="minorEastAsia"/>
          <w:lang w:val="es-ES_tradnl"/>
        </w:rPr>
        <w:t xml:space="preserve">En ese contexto, la </w:t>
      </w:r>
      <w:r w:rsidR="00AA705E" w:rsidRPr="002927A1">
        <w:rPr>
          <w:rFonts w:eastAsiaTheme="minorEastAsia"/>
          <w:lang w:val="es-ES_tradnl"/>
        </w:rPr>
        <w:t>Conferenc</w:t>
      </w:r>
      <w:r w:rsidR="00C0605A" w:rsidRPr="002927A1">
        <w:rPr>
          <w:rFonts w:eastAsiaTheme="minorEastAsia"/>
          <w:lang w:val="es-ES_tradnl"/>
        </w:rPr>
        <w:t xml:space="preserve">ia de las </w:t>
      </w:r>
      <w:r w:rsidR="00AA705E" w:rsidRPr="002927A1">
        <w:rPr>
          <w:rFonts w:eastAsiaTheme="minorEastAsia"/>
          <w:lang w:val="es-ES_tradnl"/>
        </w:rPr>
        <w:t xml:space="preserve">Partes </w:t>
      </w:r>
      <w:r w:rsidR="00C0605A" w:rsidRPr="002927A1">
        <w:rPr>
          <w:rFonts w:eastAsiaTheme="minorEastAsia"/>
          <w:lang w:val="es-ES_tradnl"/>
        </w:rPr>
        <w:t>alentó a la Directora</w:t>
      </w:r>
      <w:r w:rsidR="00FA6A30" w:rsidRPr="002927A1">
        <w:rPr>
          <w:rFonts w:eastAsiaTheme="minorEastAsia"/>
          <w:lang w:val="es-ES_tradnl"/>
        </w:rPr>
        <w:t xml:space="preserve"> </w:t>
      </w:r>
      <w:r w:rsidR="00AA705E" w:rsidRPr="002927A1">
        <w:rPr>
          <w:rFonts w:eastAsiaTheme="minorEastAsia"/>
          <w:lang w:val="es-ES_tradnl"/>
        </w:rPr>
        <w:t>E</w:t>
      </w:r>
      <w:r w:rsidR="00C0605A" w:rsidRPr="002927A1">
        <w:rPr>
          <w:rFonts w:eastAsiaTheme="minorEastAsia"/>
          <w:lang w:val="es-ES_tradnl"/>
        </w:rPr>
        <w:t>j</w:t>
      </w:r>
      <w:r w:rsidR="00AA705E" w:rsidRPr="002927A1">
        <w:rPr>
          <w:rFonts w:eastAsiaTheme="minorEastAsia"/>
          <w:lang w:val="es-ES_tradnl"/>
        </w:rPr>
        <w:t>ecutiv</w:t>
      </w:r>
      <w:r w:rsidR="00C0605A" w:rsidRPr="002927A1">
        <w:rPr>
          <w:rFonts w:eastAsiaTheme="minorEastAsia"/>
          <w:lang w:val="es-ES_tradnl"/>
        </w:rPr>
        <w:t>a a que, en consulta con la Junta Directiva del Programa Internacional Específico, evaluase</w:t>
      </w:r>
      <w:r w:rsidR="00AA705E" w:rsidRPr="002927A1">
        <w:rPr>
          <w:rFonts w:eastAsiaTheme="minorEastAsia"/>
          <w:lang w:val="es-ES_tradnl"/>
        </w:rPr>
        <w:t xml:space="preserve"> posible</w:t>
      </w:r>
      <w:r w:rsidR="00C0605A" w:rsidRPr="002927A1">
        <w:rPr>
          <w:rFonts w:eastAsiaTheme="minorEastAsia"/>
          <w:lang w:val="es-ES_tradnl"/>
        </w:rPr>
        <w:t>s</w:t>
      </w:r>
      <w:r w:rsidR="00AA705E" w:rsidRPr="002927A1">
        <w:rPr>
          <w:rFonts w:eastAsiaTheme="minorEastAsia"/>
          <w:lang w:val="es-ES_tradnl"/>
        </w:rPr>
        <w:t xml:space="preserve"> op</w:t>
      </w:r>
      <w:r w:rsidR="00C0605A" w:rsidRPr="002927A1">
        <w:rPr>
          <w:rFonts w:eastAsiaTheme="minorEastAsia"/>
          <w:lang w:val="es-ES_tradnl"/>
        </w:rPr>
        <w:t>c</w:t>
      </w:r>
      <w:r w:rsidR="00AA705E" w:rsidRPr="002927A1">
        <w:rPr>
          <w:rFonts w:eastAsiaTheme="minorEastAsia"/>
          <w:lang w:val="es-ES_tradnl"/>
        </w:rPr>
        <w:t>ion</w:t>
      </w:r>
      <w:r w:rsidR="00C0605A" w:rsidRPr="002927A1">
        <w:rPr>
          <w:rFonts w:eastAsiaTheme="minorEastAsia"/>
          <w:lang w:val="es-ES_tradnl"/>
        </w:rPr>
        <w:t>e</w:t>
      </w:r>
      <w:r w:rsidR="00AA705E" w:rsidRPr="002927A1">
        <w:rPr>
          <w:rFonts w:eastAsiaTheme="minorEastAsia"/>
          <w:lang w:val="es-ES_tradnl"/>
        </w:rPr>
        <w:t xml:space="preserve">s </w:t>
      </w:r>
      <w:r w:rsidR="00C0605A" w:rsidRPr="002927A1">
        <w:rPr>
          <w:rFonts w:eastAsiaTheme="minorEastAsia"/>
          <w:lang w:val="es-ES_tradnl"/>
        </w:rPr>
        <w:t xml:space="preserve">para perfeccionar el </w:t>
      </w:r>
      <w:r w:rsidR="00AA705E" w:rsidRPr="002927A1">
        <w:rPr>
          <w:rFonts w:eastAsiaTheme="minorEastAsia"/>
          <w:lang w:val="es-ES_tradnl"/>
        </w:rPr>
        <w:t>Program</w:t>
      </w:r>
      <w:r w:rsidR="00C0605A" w:rsidRPr="002927A1">
        <w:rPr>
          <w:rFonts w:eastAsiaTheme="minorEastAsia"/>
          <w:lang w:val="es-ES_tradnl"/>
        </w:rPr>
        <w:t>a y su funcionamiento</w:t>
      </w:r>
      <w:r w:rsidR="00AA705E" w:rsidRPr="002927A1">
        <w:rPr>
          <w:rFonts w:eastAsiaTheme="minorEastAsia"/>
          <w:lang w:val="es-ES_tradnl"/>
        </w:rPr>
        <w:t xml:space="preserve">. </w:t>
      </w:r>
      <w:r w:rsidR="00C0605A" w:rsidRPr="002927A1">
        <w:rPr>
          <w:rFonts w:eastAsiaTheme="minorEastAsia"/>
          <w:lang w:val="es-ES_tradnl"/>
        </w:rPr>
        <w:t>La finalidad de esas opc</w:t>
      </w:r>
      <w:r w:rsidR="00AA705E" w:rsidRPr="002927A1">
        <w:rPr>
          <w:rFonts w:eastAsiaTheme="minorEastAsia"/>
          <w:lang w:val="es-ES_tradnl"/>
        </w:rPr>
        <w:t>ion</w:t>
      </w:r>
      <w:r w:rsidR="00C0605A" w:rsidRPr="002927A1">
        <w:rPr>
          <w:rFonts w:eastAsiaTheme="minorEastAsia"/>
          <w:lang w:val="es-ES_tradnl"/>
        </w:rPr>
        <w:t>e</w:t>
      </w:r>
      <w:r w:rsidR="00AA705E" w:rsidRPr="002927A1">
        <w:rPr>
          <w:rFonts w:eastAsiaTheme="minorEastAsia"/>
          <w:lang w:val="es-ES_tradnl"/>
        </w:rPr>
        <w:t xml:space="preserve">s </w:t>
      </w:r>
      <w:r w:rsidR="00C0605A" w:rsidRPr="002927A1">
        <w:rPr>
          <w:rFonts w:eastAsiaTheme="minorEastAsia"/>
          <w:lang w:val="es-ES_tradnl"/>
        </w:rPr>
        <w:t xml:space="preserve">sería asegurar la capacidad del Programa Internacional Específico para hacer efectivo su mandato y aplicar sólidos procedimientos administrativos y una eficiente gestión de los proyectos, mejorando así la eficacia del </w:t>
      </w:r>
      <w:r w:rsidR="00AA705E" w:rsidRPr="002927A1">
        <w:rPr>
          <w:rFonts w:eastAsiaTheme="minorEastAsia"/>
          <w:lang w:val="es-ES_tradnl"/>
        </w:rPr>
        <w:t>Program</w:t>
      </w:r>
      <w:r w:rsidR="00C0605A" w:rsidRPr="002927A1">
        <w:rPr>
          <w:rFonts w:eastAsiaTheme="minorEastAsia"/>
          <w:lang w:val="es-ES_tradnl"/>
        </w:rPr>
        <w:t xml:space="preserve">a a la hora de apoyar a las Partes que reuniesen las condiciones para que pudiesen poner en práctica el </w:t>
      </w:r>
      <w:r w:rsidR="00C0605A" w:rsidRPr="002927A1">
        <w:rPr>
          <w:rFonts w:eastAsiaTheme="minorEastAsia"/>
          <w:lang w:val="es-ES_tradnl"/>
        </w:rPr>
        <w:lastRenderedPageBreak/>
        <w:t xml:space="preserve">Convenio de </w:t>
      </w:r>
      <w:r w:rsidR="00AA705E" w:rsidRPr="002927A1">
        <w:rPr>
          <w:rFonts w:eastAsiaTheme="minorEastAsia"/>
          <w:lang w:val="es-ES_tradnl"/>
        </w:rPr>
        <w:t xml:space="preserve">Minamata. </w:t>
      </w:r>
      <w:r w:rsidR="00C0605A" w:rsidRPr="002927A1">
        <w:rPr>
          <w:rFonts w:eastAsiaTheme="minorEastAsia"/>
          <w:lang w:val="es-ES_tradnl"/>
        </w:rPr>
        <w:t xml:space="preserve">Además, la </w:t>
      </w:r>
      <w:r w:rsidR="00AA705E" w:rsidRPr="002927A1">
        <w:rPr>
          <w:rFonts w:eastAsiaTheme="minorEastAsia"/>
          <w:lang w:val="es-ES_tradnl"/>
        </w:rPr>
        <w:t>Conferenc</w:t>
      </w:r>
      <w:r w:rsidR="00C0605A" w:rsidRPr="002927A1">
        <w:rPr>
          <w:rFonts w:eastAsiaTheme="minorEastAsia"/>
          <w:lang w:val="es-ES_tradnl"/>
        </w:rPr>
        <w:t xml:space="preserve">ia de las </w:t>
      </w:r>
      <w:r w:rsidR="00AA705E" w:rsidRPr="002927A1">
        <w:rPr>
          <w:rFonts w:eastAsiaTheme="minorEastAsia"/>
          <w:lang w:val="es-ES_tradnl"/>
        </w:rPr>
        <w:t xml:space="preserve">Partes </w:t>
      </w:r>
      <w:r w:rsidR="00C0605A" w:rsidRPr="002927A1">
        <w:rPr>
          <w:rFonts w:eastAsiaTheme="minorEastAsia"/>
          <w:lang w:val="es-ES_tradnl"/>
        </w:rPr>
        <w:t>invit</w:t>
      </w:r>
      <w:r w:rsidR="007534EC" w:rsidRPr="002927A1">
        <w:rPr>
          <w:rFonts w:eastAsiaTheme="minorEastAsia"/>
          <w:lang w:val="es-ES_tradnl"/>
        </w:rPr>
        <w:t>ó</w:t>
      </w:r>
      <w:r w:rsidR="00C0605A" w:rsidRPr="002927A1">
        <w:rPr>
          <w:rFonts w:eastAsiaTheme="minorEastAsia"/>
          <w:lang w:val="es-ES_tradnl"/>
        </w:rPr>
        <w:t xml:space="preserve"> a la Directora Ejecutiva a presentar un informe sobre el asunto para que fuese examinado en la cuarta reunión.</w:t>
      </w:r>
      <w:r w:rsidR="00AA705E" w:rsidRPr="002927A1">
        <w:rPr>
          <w:rFonts w:eastAsiaTheme="minorEastAsia"/>
          <w:lang w:val="es-ES_tradnl"/>
        </w:rPr>
        <w:t xml:space="preserve"> </w:t>
      </w:r>
      <w:bookmarkStart w:id="33" w:name="_DV_C317"/>
      <w:bookmarkEnd w:id="32"/>
    </w:p>
    <w:p w14:paraId="32720D63" w14:textId="191AA6B5" w:rsidR="00F57539" w:rsidRPr="002927A1" w:rsidRDefault="00E258C9" w:rsidP="00A524DB">
      <w:pPr>
        <w:pStyle w:val="Normalnumber"/>
        <w:numPr>
          <w:ilvl w:val="0"/>
          <w:numId w:val="38"/>
        </w:numPr>
        <w:tabs>
          <w:tab w:val="clear" w:pos="624"/>
          <w:tab w:val="clear" w:pos="1134"/>
          <w:tab w:val="clear" w:pos="1247"/>
        </w:tabs>
        <w:rPr>
          <w:rFonts w:eastAsiaTheme="minorEastAsia"/>
          <w:lang w:val="es-ES_tradnl"/>
        </w:rPr>
      </w:pPr>
      <w:bookmarkStart w:id="34" w:name="_DV_C318"/>
      <w:bookmarkEnd w:id="33"/>
      <w:r w:rsidRPr="002927A1">
        <w:rPr>
          <w:rFonts w:eastAsiaTheme="minorEastAsia"/>
          <w:lang w:val="es-ES_tradnl"/>
        </w:rPr>
        <w:t xml:space="preserve">Posteriormente, la </w:t>
      </w:r>
      <w:r w:rsidR="00AA705E" w:rsidRPr="002927A1">
        <w:rPr>
          <w:rFonts w:eastAsiaTheme="minorEastAsia"/>
          <w:lang w:val="es-ES_tradnl"/>
        </w:rPr>
        <w:t>Conferenc</w:t>
      </w:r>
      <w:r w:rsidRPr="002927A1">
        <w:rPr>
          <w:rFonts w:eastAsiaTheme="minorEastAsia"/>
          <w:lang w:val="es-ES_tradnl"/>
        </w:rPr>
        <w:t xml:space="preserve">ia de las Partes </w:t>
      </w:r>
      <w:r w:rsidR="003E4DAD" w:rsidRPr="002927A1">
        <w:rPr>
          <w:rFonts w:eastAsiaTheme="minorEastAsia"/>
          <w:lang w:val="es-ES_tradnl"/>
        </w:rPr>
        <w:t>confirm</w:t>
      </w:r>
      <w:r w:rsidR="007534EC" w:rsidRPr="002927A1">
        <w:rPr>
          <w:rFonts w:eastAsiaTheme="minorEastAsia"/>
          <w:lang w:val="es-ES_tradnl"/>
        </w:rPr>
        <w:t>ó</w:t>
      </w:r>
      <w:r w:rsidR="003E4DAD" w:rsidRPr="002927A1">
        <w:rPr>
          <w:rFonts w:eastAsiaTheme="minorEastAsia"/>
          <w:lang w:val="es-ES_tradnl"/>
        </w:rPr>
        <w:t xml:space="preserve"> a los miembros siguientes de</w:t>
      </w:r>
      <w:r w:rsidR="00A043B1" w:rsidRPr="002927A1">
        <w:rPr>
          <w:rFonts w:eastAsiaTheme="minorEastAsia"/>
          <w:lang w:val="es-ES_tradnl"/>
        </w:rPr>
        <w:t xml:space="preserve"> </w:t>
      </w:r>
      <w:r w:rsidR="003E4DAD" w:rsidRPr="002927A1">
        <w:rPr>
          <w:rFonts w:eastAsiaTheme="minorEastAsia"/>
          <w:lang w:val="es-ES_tradnl"/>
        </w:rPr>
        <w:t>l</w:t>
      </w:r>
      <w:r w:rsidR="00A043B1" w:rsidRPr="002927A1">
        <w:rPr>
          <w:rFonts w:eastAsiaTheme="minorEastAsia"/>
          <w:lang w:val="es-ES_tradnl"/>
        </w:rPr>
        <w:t>a</w:t>
      </w:r>
      <w:r w:rsidR="003E4DAD" w:rsidRPr="002927A1">
        <w:rPr>
          <w:rFonts w:eastAsiaTheme="minorEastAsia"/>
          <w:lang w:val="es-ES_tradnl"/>
        </w:rPr>
        <w:t xml:space="preserve"> </w:t>
      </w:r>
      <w:r w:rsidR="00573806" w:rsidRPr="002927A1">
        <w:rPr>
          <w:rFonts w:eastAsiaTheme="minorEastAsia"/>
          <w:lang w:val="es-ES_tradnl"/>
        </w:rPr>
        <w:t xml:space="preserve">Junta </w:t>
      </w:r>
      <w:r w:rsidR="00A055BE" w:rsidRPr="002927A1">
        <w:rPr>
          <w:rFonts w:eastAsiaTheme="minorEastAsia"/>
          <w:lang w:val="es-ES_tradnl"/>
        </w:rPr>
        <w:t>Directiva</w:t>
      </w:r>
      <w:r w:rsidR="00573806" w:rsidRPr="002927A1">
        <w:rPr>
          <w:rFonts w:eastAsiaTheme="minorEastAsia"/>
          <w:lang w:val="es-ES_tradnl"/>
        </w:rPr>
        <w:t xml:space="preserve"> del </w:t>
      </w:r>
      <w:r w:rsidR="00B33F64" w:rsidRPr="002927A1">
        <w:rPr>
          <w:rFonts w:eastAsiaTheme="minorEastAsia"/>
          <w:lang w:val="es-ES_tradnl"/>
        </w:rPr>
        <w:t>Programa Internacional Específico</w:t>
      </w:r>
      <w:r w:rsidR="00AA705E" w:rsidRPr="002927A1">
        <w:rPr>
          <w:rFonts w:eastAsiaTheme="minorEastAsia"/>
          <w:lang w:val="es-ES_tradnl"/>
        </w:rPr>
        <w:t>:</w:t>
      </w:r>
      <w:bookmarkStart w:id="35" w:name="_DV_C319"/>
      <w:bookmarkEnd w:id="34"/>
    </w:p>
    <w:p w14:paraId="37682737" w14:textId="2DF185D0" w:rsidR="00AA705E" w:rsidRPr="002927A1" w:rsidRDefault="003E4DAD" w:rsidP="00F57539">
      <w:pPr>
        <w:pStyle w:val="Normalnumber"/>
        <w:ind w:left="1247"/>
        <w:rPr>
          <w:rFonts w:eastAsiaTheme="minorEastAsia"/>
          <w:lang w:val="es-ES_tradnl"/>
        </w:rPr>
      </w:pPr>
      <w:r w:rsidRPr="002927A1">
        <w:rPr>
          <w:lang w:val="es-ES_tradnl"/>
        </w:rPr>
        <w:t>Estados de África</w:t>
      </w:r>
      <w:r w:rsidR="00AA705E" w:rsidRPr="002927A1">
        <w:rPr>
          <w:lang w:val="es-ES_tradnl"/>
        </w:rPr>
        <w:t xml:space="preserve">: </w:t>
      </w:r>
      <w:bookmarkEnd w:id="35"/>
    </w:p>
    <w:p w14:paraId="31B543B8" w14:textId="481396AD" w:rsidR="00AA705E" w:rsidRPr="002927A1" w:rsidRDefault="001B6ED7" w:rsidP="007025B5">
      <w:pPr>
        <w:pStyle w:val="Normalnumber"/>
        <w:keepNext/>
        <w:keepLines/>
        <w:ind w:left="1871" w:firstLine="624"/>
        <w:rPr>
          <w:rFonts w:eastAsiaTheme="minorEastAsia"/>
          <w:lang w:val="es-ES_tradnl"/>
        </w:rPr>
      </w:pPr>
      <w:bookmarkStart w:id="36" w:name="_DV_C320"/>
      <w:r w:rsidRPr="002927A1">
        <w:rPr>
          <w:rFonts w:eastAsiaTheme="minorEastAsia"/>
          <w:lang w:val="es-ES_tradnl"/>
        </w:rPr>
        <w:tab/>
      </w:r>
      <w:r w:rsidR="003E4DAD" w:rsidRPr="002927A1">
        <w:rPr>
          <w:rFonts w:eastAsiaTheme="minorEastAsia"/>
          <w:lang w:val="es-ES_tradnl"/>
        </w:rPr>
        <w:t xml:space="preserve">Sr. </w:t>
      </w:r>
      <w:r w:rsidR="00AA705E" w:rsidRPr="002927A1">
        <w:rPr>
          <w:rFonts w:eastAsiaTheme="minorEastAsia"/>
          <w:lang w:val="es-ES_tradnl"/>
        </w:rPr>
        <w:t xml:space="preserve">Olubunmi Olusanya (Nigeria) </w:t>
      </w:r>
      <w:bookmarkEnd w:id="36"/>
    </w:p>
    <w:p w14:paraId="11F3C26A" w14:textId="26999895" w:rsidR="00AA705E" w:rsidRPr="002927A1" w:rsidRDefault="001B6ED7" w:rsidP="007025B5">
      <w:pPr>
        <w:pStyle w:val="Normalnumber"/>
        <w:keepNext/>
        <w:keepLines/>
        <w:ind w:left="1871" w:firstLine="624"/>
        <w:rPr>
          <w:rFonts w:eastAsiaTheme="minorEastAsia"/>
          <w:lang w:val="es-ES_tradnl"/>
        </w:rPr>
      </w:pPr>
      <w:bookmarkStart w:id="37" w:name="_DV_C321"/>
      <w:r w:rsidRPr="002927A1">
        <w:rPr>
          <w:rFonts w:eastAsiaTheme="minorEastAsia"/>
          <w:lang w:val="es-ES_tradnl"/>
        </w:rPr>
        <w:tab/>
      </w:r>
      <w:r w:rsidR="003E4DAD" w:rsidRPr="002927A1">
        <w:rPr>
          <w:rFonts w:eastAsiaTheme="minorEastAsia"/>
          <w:lang w:val="es-ES_tradnl"/>
        </w:rPr>
        <w:t xml:space="preserve">Sr. </w:t>
      </w:r>
      <w:r w:rsidR="00AA705E" w:rsidRPr="002927A1">
        <w:rPr>
          <w:rFonts w:eastAsiaTheme="minorEastAsia"/>
          <w:lang w:val="es-ES_tradnl"/>
        </w:rPr>
        <w:t>A</w:t>
      </w:r>
      <w:r w:rsidR="00B27087">
        <w:rPr>
          <w:rFonts w:eastAsiaTheme="minorEastAsia"/>
          <w:lang w:val="es-ES_tradnl"/>
        </w:rPr>
        <w:t>ï</w:t>
      </w:r>
      <w:r w:rsidR="00AA705E" w:rsidRPr="002927A1">
        <w:rPr>
          <w:rFonts w:eastAsiaTheme="minorEastAsia"/>
          <w:lang w:val="es-ES_tradnl"/>
        </w:rPr>
        <w:t>ta Seck (Senegal)</w:t>
      </w:r>
      <w:bookmarkEnd w:id="37"/>
    </w:p>
    <w:p w14:paraId="7EC6ED90" w14:textId="77777777" w:rsidR="00331473" w:rsidRPr="002927A1" w:rsidRDefault="00331473" w:rsidP="00331473">
      <w:pPr>
        <w:pStyle w:val="Normalnumber"/>
        <w:ind w:left="1247"/>
        <w:rPr>
          <w:lang w:val="es-ES_tradnl"/>
        </w:rPr>
      </w:pPr>
      <w:bookmarkStart w:id="38" w:name="_DV_C328"/>
      <w:r w:rsidRPr="002927A1">
        <w:rPr>
          <w:lang w:val="es-ES_tradnl"/>
        </w:rPr>
        <w:t xml:space="preserve">Estados de América Latina y el Caribe: </w:t>
      </w:r>
      <w:bookmarkEnd w:id="38"/>
    </w:p>
    <w:p w14:paraId="309499A9" w14:textId="00EE94D1" w:rsidR="00331473" w:rsidRPr="002927A1" w:rsidRDefault="00B638DB" w:rsidP="007025B5">
      <w:pPr>
        <w:pStyle w:val="Normalnumber"/>
        <w:keepNext/>
        <w:keepLines/>
        <w:ind w:left="1871" w:firstLine="624"/>
        <w:rPr>
          <w:rFonts w:eastAsiaTheme="minorEastAsia"/>
          <w:lang w:val="es-ES_tradnl"/>
        </w:rPr>
      </w:pPr>
      <w:bookmarkStart w:id="39" w:name="_DV_C329"/>
      <w:r w:rsidRPr="002927A1">
        <w:rPr>
          <w:rFonts w:eastAsiaTheme="minorEastAsia"/>
          <w:lang w:val="es-ES_tradnl"/>
        </w:rPr>
        <w:tab/>
      </w:r>
      <w:r w:rsidR="00331473" w:rsidRPr="002927A1">
        <w:rPr>
          <w:rFonts w:eastAsiaTheme="minorEastAsia"/>
          <w:lang w:val="es-ES_tradnl"/>
        </w:rPr>
        <w:t xml:space="preserve">Sr. Pedro Piacesi de Souza (Brasil) </w:t>
      </w:r>
      <w:bookmarkEnd w:id="39"/>
    </w:p>
    <w:p w14:paraId="11A49FC6" w14:textId="5BCFB88B" w:rsidR="00331473" w:rsidRPr="002927A1" w:rsidRDefault="00B638DB" w:rsidP="007025B5">
      <w:pPr>
        <w:pStyle w:val="Normalnumber"/>
        <w:keepNext/>
        <w:keepLines/>
        <w:ind w:left="1871" w:firstLine="624"/>
        <w:rPr>
          <w:rFonts w:eastAsiaTheme="minorEastAsia"/>
          <w:lang w:val="es-ES_tradnl"/>
        </w:rPr>
      </w:pPr>
      <w:r w:rsidRPr="002927A1">
        <w:rPr>
          <w:rFonts w:eastAsiaTheme="minorEastAsia"/>
          <w:lang w:val="es-ES_tradnl"/>
        </w:rPr>
        <w:tab/>
      </w:r>
      <w:r w:rsidR="00331473" w:rsidRPr="002927A1">
        <w:rPr>
          <w:rFonts w:eastAsiaTheme="minorEastAsia"/>
          <w:lang w:val="es-ES_tradnl"/>
        </w:rPr>
        <w:t>Sra. Gina Griffith (Suriname</w:t>
      </w:r>
      <w:bookmarkStart w:id="40" w:name="_DV_C330"/>
      <w:r w:rsidR="00331473" w:rsidRPr="002927A1">
        <w:rPr>
          <w:rFonts w:eastAsiaTheme="minorEastAsia"/>
          <w:lang w:val="es-ES_tradnl"/>
        </w:rPr>
        <w:t>)</w:t>
      </w:r>
      <w:bookmarkEnd w:id="40"/>
    </w:p>
    <w:p w14:paraId="4F760472" w14:textId="4B00CBC3" w:rsidR="00AA705E" w:rsidRPr="002927A1" w:rsidRDefault="003E4DAD" w:rsidP="00F57539">
      <w:pPr>
        <w:pStyle w:val="Normalnumber"/>
        <w:ind w:left="1247"/>
        <w:rPr>
          <w:lang w:val="es-ES_tradnl"/>
        </w:rPr>
      </w:pPr>
      <w:bookmarkStart w:id="41" w:name="_DV_C322"/>
      <w:r w:rsidRPr="002927A1">
        <w:rPr>
          <w:lang w:val="es-ES_tradnl"/>
        </w:rPr>
        <w:t xml:space="preserve">Estados de </w:t>
      </w:r>
      <w:r w:rsidR="00AA705E" w:rsidRPr="002927A1">
        <w:rPr>
          <w:lang w:val="es-ES_tradnl"/>
        </w:rPr>
        <w:t>Asia</w:t>
      </w:r>
      <w:r w:rsidRPr="002927A1">
        <w:rPr>
          <w:lang w:val="es-ES_tradnl"/>
        </w:rPr>
        <w:t xml:space="preserve"> y el P</w:t>
      </w:r>
      <w:r w:rsidR="00AA705E" w:rsidRPr="002927A1">
        <w:rPr>
          <w:lang w:val="es-ES_tradnl"/>
        </w:rPr>
        <w:t>ac</w:t>
      </w:r>
      <w:r w:rsidRPr="002927A1">
        <w:rPr>
          <w:lang w:val="es-ES_tradnl"/>
        </w:rPr>
        <w:t>í</w:t>
      </w:r>
      <w:r w:rsidR="00AA705E" w:rsidRPr="002927A1">
        <w:rPr>
          <w:lang w:val="es-ES_tradnl"/>
        </w:rPr>
        <w:t>fic</w:t>
      </w:r>
      <w:r w:rsidRPr="002927A1">
        <w:rPr>
          <w:lang w:val="es-ES_tradnl"/>
        </w:rPr>
        <w:t>o</w:t>
      </w:r>
      <w:r w:rsidR="00AA705E" w:rsidRPr="002927A1">
        <w:rPr>
          <w:lang w:val="es-ES_tradnl"/>
        </w:rPr>
        <w:t xml:space="preserve">: </w:t>
      </w:r>
      <w:bookmarkEnd w:id="41"/>
    </w:p>
    <w:p w14:paraId="7D955C22" w14:textId="4AE79190" w:rsidR="00AA705E" w:rsidRPr="002927A1" w:rsidRDefault="001B6ED7" w:rsidP="007025B5">
      <w:pPr>
        <w:pStyle w:val="Normalnumber"/>
        <w:keepNext/>
        <w:keepLines/>
        <w:ind w:left="1871" w:firstLine="624"/>
        <w:rPr>
          <w:rFonts w:eastAsiaTheme="minorEastAsia"/>
          <w:lang w:val="es-ES_tradnl"/>
        </w:rPr>
      </w:pPr>
      <w:bookmarkStart w:id="42" w:name="_DV_C323"/>
      <w:r w:rsidRPr="002927A1">
        <w:rPr>
          <w:lang w:val="es-ES_tradnl"/>
        </w:rPr>
        <w:tab/>
      </w:r>
      <w:r w:rsidR="003E4DAD" w:rsidRPr="002927A1">
        <w:rPr>
          <w:lang w:val="es-ES_tradnl"/>
        </w:rPr>
        <w:t>Sr</w:t>
      </w:r>
      <w:r w:rsidR="003E4DAD" w:rsidRPr="002927A1">
        <w:rPr>
          <w:rFonts w:eastAsiaTheme="minorEastAsia"/>
          <w:lang w:val="es-ES_tradnl"/>
        </w:rPr>
        <w:t>. Mohsen Naziri Asl (República I</w:t>
      </w:r>
      <w:r w:rsidR="00AA705E" w:rsidRPr="002927A1">
        <w:rPr>
          <w:rFonts w:eastAsiaTheme="minorEastAsia"/>
          <w:lang w:val="es-ES_tradnl"/>
        </w:rPr>
        <w:t>sl</w:t>
      </w:r>
      <w:r w:rsidR="003E4DAD" w:rsidRPr="002927A1">
        <w:rPr>
          <w:rFonts w:eastAsiaTheme="minorEastAsia"/>
          <w:lang w:val="es-ES_tradnl"/>
        </w:rPr>
        <w:t>á</w:t>
      </w:r>
      <w:r w:rsidR="00AA705E" w:rsidRPr="002927A1">
        <w:rPr>
          <w:rFonts w:eastAsiaTheme="minorEastAsia"/>
          <w:lang w:val="es-ES_tradnl"/>
        </w:rPr>
        <w:t>mic</w:t>
      </w:r>
      <w:r w:rsidR="003E4DAD" w:rsidRPr="002927A1">
        <w:rPr>
          <w:rFonts w:eastAsiaTheme="minorEastAsia"/>
          <w:lang w:val="es-ES_tradnl"/>
        </w:rPr>
        <w:t xml:space="preserve">a del </w:t>
      </w:r>
      <w:r w:rsidR="00AA705E" w:rsidRPr="002927A1">
        <w:rPr>
          <w:rFonts w:eastAsiaTheme="minorEastAsia"/>
          <w:lang w:val="es-ES_tradnl"/>
        </w:rPr>
        <w:t>Ir</w:t>
      </w:r>
      <w:r w:rsidR="003E4DAD" w:rsidRPr="002927A1">
        <w:rPr>
          <w:rFonts w:eastAsiaTheme="minorEastAsia"/>
          <w:lang w:val="es-ES_tradnl"/>
        </w:rPr>
        <w:t>á</w:t>
      </w:r>
      <w:r w:rsidR="00AA705E" w:rsidRPr="002927A1">
        <w:rPr>
          <w:rFonts w:eastAsiaTheme="minorEastAsia"/>
          <w:lang w:val="es-ES_tradnl"/>
        </w:rPr>
        <w:t xml:space="preserve">n) </w:t>
      </w:r>
      <w:bookmarkEnd w:id="42"/>
    </w:p>
    <w:p w14:paraId="65FC7292" w14:textId="30C8110A" w:rsidR="00AA705E" w:rsidRPr="002927A1" w:rsidRDefault="00331473" w:rsidP="007025B5">
      <w:pPr>
        <w:pStyle w:val="Normalnumber"/>
        <w:keepNext/>
        <w:keepLines/>
        <w:ind w:left="1871" w:firstLine="624"/>
        <w:rPr>
          <w:rFonts w:eastAsiaTheme="minorEastAsia"/>
          <w:lang w:val="es-ES_tradnl"/>
        </w:rPr>
      </w:pPr>
      <w:bookmarkStart w:id="43" w:name="_DV_C324"/>
      <w:r w:rsidRPr="002927A1">
        <w:rPr>
          <w:rFonts w:eastAsiaTheme="minorEastAsia"/>
          <w:lang w:val="es-ES_tradnl"/>
        </w:rPr>
        <w:tab/>
      </w:r>
      <w:r w:rsidR="003E4DAD" w:rsidRPr="002927A1">
        <w:rPr>
          <w:rFonts w:eastAsiaTheme="minorEastAsia"/>
          <w:lang w:val="es-ES_tradnl"/>
        </w:rPr>
        <w:t xml:space="preserve">Sr. </w:t>
      </w:r>
      <w:r w:rsidR="00AA705E" w:rsidRPr="002927A1">
        <w:rPr>
          <w:rFonts w:eastAsiaTheme="minorEastAsia"/>
          <w:lang w:val="es-ES_tradnl"/>
        </w:rPr>
        <w:t>Prasert Tapaneeyangkul (Tailand</w:t>
      </w:r>
      <w:r w:rsidR="003E4DAD" w:rsidRPr="002927A1">
        <w:rPr>
          <w:rFonts w:eastAsiaTheme="minorEastAsia"/>
          <w:lang w:val="es-ES_tradnl"/>
        </w:rPr>
        <w:t>ia</w:t>
      </w:r>
      <w:r w:rsidR="00AA705E" w:rsidRPr="002927A1">
        <w:rPr>
          <w:rFonts w:eastAsiaTheme="minorEastAsia"/>
          <w:lang w:val="es-ES_tradnl"/>
        </w:rPr>
        <w:t xml:space="preserve">) </w:t>
      </w:r>
      <w:bookmarkEnd w:id="43"/>
    </w:p>
    <w:p w14:paraId="20C42C60" w14:textId="25CC13A5" w:rsidR="00AA705E" w:rsidRPr="002927A1" w:rsidRDefault="003E4DAD" w:rsidP="00F57539">
      <w:pPr>
        <w:pStyle w:val="Normalnumber"/>
        <w:ind w:left="1247"/>
        <w:rPr>
          <w:lang w:val="es-ES_tradnl"/>
        </w:rPr>
      </w:pPr>
      <w:bookmarkStart w:id="44" w:name="_DV_C325"/>
      <w:r w:rsidRPr="002927A1">
        <w:rPr>
          <w:lang w:val="es-ES_tradnl"/>
        </w:rPr>
        <w:t xml:space="preserve">Estados de Europa </w:t>
      </w:r>
      <w:r w:rsidR="00AA705E" w:rsidRPr="002927A1">
        <w:rPr>
          <w:lang w:val="es-ES_tradnl"/>
        </w:rPr>
        <w:t xml:space="preserve">Central </w:t>
      </w:r>
      <w:r w:rsidRPr="002927A1">
        <w:rPr>
          <w:lang w:val="es-ES_tradnl"/>
        </w:rPr>
        <w:t>y Oriental</w:t>
      </w:r>
      <w:r w:rsidR="00AA705E" w:rsidRPr="002927A1">
        <w:rPr>
          <w:lang w:val="es-ES_tradnl"/>
        </w:rPr>
        <w:t xml:space="preserve">: </w:t>
      </w:r>
      <w:bookmarkEnd w:id="44"/>
    </w:p>
    <w:p w14:paraId="20E7107B" w14:textId="06426A4D" w:rsidR="00AA705E" w:rsidRPr="002927A1" w:rsidRDefault="00B638DB" w:rsidP="007025B5">
      <w:pPr>
        <w:pStyle w:val="Normalnumber"/>
        <w:keepNext/>
        <w:keepLines/>
        <w:ind w:left="1871" w:firstLine="624"/>
        <w:rPr>
          <w:rFonts w:eastAsiaTheme="minorEastAsia"/>
          <w:lang w:val="es-ES_tradnl"/>
        </w:rPr>
      </w:pPr>
      <w:bookmarkStart w:id="45" w:name="_DV_C326"/>
      <w:r w:rsidRPr="002927A1">
        <w:rPr>
          <w:rFonts w:eastAsiaTheme="minorEastAsia"/>
          <w:lang w:val="es-ES_tradnl"/>
        </w:rPr>
        <w:tab/>
      </w:r>
      <w:r w:rsidR="003E4DAD" w:rsidRPr="002927A1">
        <w:rPr>
          <w:rFonts w:eastAsiaTheme="minorEastAsia"/>
          <w:lang w:val="es-ES_tradnl"/>
        </w:rPr>
        <w:t xml:space="preserve">Sr. </w:t>
      </w:r>
      <w:r w:rsidR="00AA705E" w:rsidRPr="002927A1">
        <w:rPr>
          <w:rFonts w:eastAsiaTheme="minorEastAsia"/>
          <w:lang w:val="es-ES_tradnl"/>
        </w:rPr>
        <w:t xml:space="preserve">Anahit Aleksandryan (Armenia) </w:t>
      </w:r>
      <w:bookmarkEnd w:id="45"/>
    </w:p>
    <w:p w14:paraId="5B6FFB99" w14:textId="3CF4D242" w:rsidR="00AA705E" w:rsidRPr="002927A1" w:rsidRDefault="00B638DB" w:rsidP="007025B5">
      <w:pPr>
        <w:pStyle w:val="Normalnumber"/>
        <w:keepNext/>
        <w:keepLines/>
        <w:ind w:left="1871" w:firstLine="624"/>
        <w:rPr>
          <w:rFonts w:eastAsiaTheme="minorEastAsia"/>
          <w:lang w:val="es-ES_tradnl"/>
        </w:rPr>
      </w:pPr>
      <w:bookmarkStart w:id="46" w:name="_DV_C327"/>
      <w:r w:rsidRPr="002927A1">
        <w:rPr>
          <w:rFonts w:eastAsiaTheme="minorEastAsia"/>
          <w:lang w:val="es-ES_tradnl"/>
        </w:rPr>
        <w:tab/>
      </w:r>
      <w:r w:rsidR="003E4DAD" w:rsidRPr="002927A1">
        <w:rPr>
          <w:rFonts w:eastAsiaTheme="minorEastAsia"/>
          <w:lang w:val="es-ES_tradnl"/>
        </w:rPr>
        <w:t xml:space="preserve">Sr. </w:t>
      </w:r>
      <w:r w:rsidR="00AA705E" w:rsidRPr="002927A1">
        <w:rPr>
          <w:rFonts w:eastAsiaTheme="minorEastAsia"/>
          <w:lang w:val="es-ES_tradnl"/>
        </w:rPr>
        <w:t xml:space="preserve">Kaupo Heinma (Estonia) </w:t>
      </w:r>
      <w:bookmarkEnd w:id="46"/>
    </w:p>
    <w:p w14:paraId="45F46189" w14:textId="01BD94E2" w:rsidR="00AA705E" w:rsidRPr="002927A1" w:rsidRDefault="003E4DAD" w:rsidP="00F57539">
      <w:pPr>
        <w:pStyle w:val="Normalnumber"/>
        <w:ind w:left="1247"/>
        <w:rPr>
          <w:lang w:val="es-ES_tradnl"/>
        </w:rPr>
      </w:pPr>
      <w:bookmarkStart w:id="47" w:name="_DV_C331"/>
      <w:r w:rsidRPr="002927A1">
        <w:rPr>
          <w:lang w:val="es-ES_tradnl"/>
        </w:rPr>
        <w:t>Estados de Europa Occidental y otros Estados</w:t>
      </w:r>
      <w:r w:rsidR="00AA705E" w:rsidRPr="002927A1">
        <w:rPr>
          <w:lang w:val="es-ES_tradnl"/>
        </w:rPr>
        <w:t xml:space="preserve">: </w:t>
      </w:r>
      <w:bookmarkEnd w:id="47"/>
    </w:p>
    <w:p w14:paraId="20AA0B8C" w14:textId="1732EFFE" w:rsidR="00331473" w:rsidRPr="002927A1" w:rsidRDefault="00B638DB" w:rsidP="007025B5">
      <w:pPr>
        <w:pStyle w:val="Normalnumber"/>
        <w:keepNext/>
        <w:keepLines/>
        <w:ind w:left="1871" w:firstLine="624"/>
        <w:rPr>
          <w:rFonts w:eastAsiaTheme="minorEastAsia"/>
          <w:lang w:val="es-ES_tradnl"/>
        </w:rPr>
      </w:pPr>
      <w:bookmarkStart w:id="48" w:name="_DV_C333"/>
      <w:bookmarkStart w:id="49" w:name="_DV_C332"/>
      <w:r w:rsidRPr="002927A1">
        <w:rPr>
          <w:rFonts w:eastAsiaTheme="minorEastAsia"/>
          <w:lang w:val="es-ES_tradnl"/>
        </w:rPr>
        <w:tab/>
      </w:r>
      <w:r w:rsidR="00331473" w:rsidRPr="002927A1">
        <w:rPr>
          <w:rFonts w:eastAsiaTheme="minorEastAsia"/>
          <w:lang w:val="es-ES_tradnl"/>
        </w:rPr>
        <w:t>Sr. Atle Fretheim (Noruega)</w:t>
      </w:r>
      <w:bookmarkEnd w:id="48"/>
    </w:p>
    <w:p w14:paraId="4B4E9910" w14:textId="182D97BA" w:rsidR="00AA705E" w:rsidRPr="002927A1" w:rsidRDefault="00B638DB" w:rsidP="007025B5">
      <w:pPr>
        <w:pStyle w:val="Normalnumber"/>
        <w:keepNext/>
        <w:keepLines/>
        <w:ind w:left="1871" w:firstLine="624"/>
        <w:rPr>
          <w:rFonts w:eastAsiaTheme="minorEastAsia"/>
          <w:lang w:val="es-ES_tradnl"/>
        </w:rPr>
      </w:pPr>
      <w:r w:rsidRPr="002927A1">
        <w:rPr>
          <w:rFonts w:eastAsiaTheme="minorEastAsia"/>
          <w:lang w:val="es-ES_tradnl"/>
        </w:rPr>
        <w:tab/>
      </w:r>
      <w:r w:rsidR="003E4DAD" w:rsidRPr="002927A1">
        <w:rPr>
          <w:rFonts w:eastAsiaTheme="minorEastAsia"/>
          <w:lang w:val="es-ES_tradnl"/>
        </w:rPr>
        <w:t xml:space="preserve">Sr. </w:t>
      </w:r>
      <w:r w:rsidR="00AA705E" w:rsidRPr="002927A1">
        <w:rPr>
          <w:rFonts w:eastAsiaTheme="minorEastAsia"/>
          <w:lang w:val="es-ES_tradnl"/>
        </w:rPr>
        <w:t>Reg</w:t>
      </w:r>
      <w:r w:rsidR="00CA79C3">
        <w:rPr>
          <w:rFonts w:eastAsiaTheme="minorEastAsia"/>
          <w:lang w:val="es-ES_tradnl"/>
        </w:rPr>
        <w:t>inald</w:t>
      </w:r>
      <w:r w:rsidR="00AA705E" w:rsidRPr="002927A1">
        <w:rPr>
          <w:rFonts w:eastAsiaTheme="minorEastAsia"/>
          <w:lang w:val="es-ES_tradnl"/>
        </w:rPr>
        <w:t xml:space="preserve"> Hernaus (</w:t>
      </w:r>
      <w:r w:rsidR="003E4DAD" w:rsidRPr="002927A1">
        <w:rPr>
          <w:rFonts w:eastAsiaTheme="minorEastAsia"/>
          <w:lang w:val="es-ES_tradnl"/>
        </w:rPr>
        <w:t>Países Bajos</w:t>
      </w:r>
      <w:r w:rsidR="00AA705E" w:rsidRPr="002927A1">
        <w:rPr>
          <w:rFonts w:eastAsiaTheme="minorEastAsia"/>
          <w:lang w:val="es-ES_tradnl"/>
        </w:rPr>
        <w:t xml:space="preserve">) </w:t>
      </w:r>
      <w:bookmarkEnd w:id="49"/>
    </w:p>
    <w:p w14:paraId="1FBF927A" w14:textId="6CACEBA2" w:rsidR="00F81F2A" w:rsidRPr="002927A1" w:rsidRDefault="00F81F2A" w:rsidP="00331473">
      <w:pPr>
        <w:pStyle w:val="Heading4"/>
        <w:spacing w:before="240"/>
      </w:pPr>
      <w:r w:rsidRPr="002927A1">
        <w:t>3.</w:t>
      </w:r>
      <w:r w:rsidRPr="002927A1">
        <w:tab/>
        <w:t>Examen del mecanismo financiero</w:t>
      </w:r>
    </w:p>
    <w:p w14:paraId="43D86A5A" w14:textId="74A0EDF9" w:rsidR="006B43CC" w:rsidRPr="002927A1" w:rsidRDefault="006B43CC" w:rsidP="00A524DB">
      <w:pPr>
        <w:pStyle w:val="Normalnumber"/>
        <w:numPr>
          <w:ilvl w:val="0"/>
          <w:numId w:val="38"/>
        </w:numPr>
        <w:tabs>
          <w:tab w:val="clear" w:pos="624"/>
          <w:tab w:val="clear" w:pos="1134"/>
          <w:tab w:val="clear" w:pos="1247"/>
        </w:tabs>
        <w:rPr>
          <w:lang w:val="es-ES_tradnl"/>
        </w:rPr>
      </w:pPr>
      <w:r w:rsidRPr="002927A1">
        <w:rPr>
          <w:lang w:val="es-ES_tradnl"/>
        </w:rPr>
        <w:t xml:space="preserve">Al presentar el subtema, la representante de la Secretaría señaló a la atención de los presentes lo previsto en el artículo 13 del Convenio y recordó que la Conferencia de las Partes, en su segunda reunión, había pedido a la Secretaría que recopilase la información que debían proporcionar el FMAM, el </w:t>
      </w:r>
      <w:r w:rsidR="00B33F64" w:rsidRPr="002927A1">
        <w:rPr>
          <w:lang w:val="es-ES_tradnl"/>
        </w:rPr>
        <w:t>Programa Internacional Específico</w:t>
      </w:r>
      <w:r w:rsidRPr="002927A1">
        <w:rPr>
          <w:lang w:val="es-ES_tradnl"/>
        </w:rPr>
        <w:t xml:space="preserve">, las Partes y otras fuentes pertinentes sobre las cuestiones que, según el párrafo 11 de ese artículo, eran necesarias para el examen del mecanismo financiero del Convenio, y que presentase un resumen de esa información para su examen por la Conferencia de las Partes en su tercera reunión (UNEP/MC/COP.2/19, párr. 120). En consecuencia, la Conferencia de las Partes tuvo ante sí una nota de la Secretaría sobre el examen del mecanismo financiero (UNEP/MC/COP.3/11), en la que se sintetizaba la información recibida del FMAM y la Junta Directiva del </w:t>
      </w:r>
      <w:r w:rsidR="00B33F64" w:rsidRPr="002927A1">
        <w:rPr>
          <w:lang w:val="es-ES_tradnl"/>
        </w:rPr>
        <w:t>Programa Internacional Específico</w:t>
      </w:r>
      <w:r w:rsidRPr="002927A1">
        <w:rPr>
          <w:lang w:val="es-ES_tradnl"/>
        </w:rPr>
        <w:t xml:space="preserve">. No se había obtenido información sobre el asunto procedente de las Partes ni de otras fuentes pertinentes. </w:t>
      </w:r>
    </w:p>
    <w:p w14:paraId="6074DA1B" w14:textId="29BCDD6A" w:rsidR="006B43CC" w:rsidRPr="002927A1" w:rsidRDefault="006B43CC" w:rsidP="00A524DB">
      <w:pPr>
        <w:pStyle w:val="Normalnumber"/>
        <w:numPr>
          <w:ilvl w:val="0"/>
          <w:numId w:val="38"/>
        </w:numPr>
        <w:tabs>
          <w:tab w:val="clear" w:pos="624"/>
          <w:tab w:val="clear" w:pos="1134"/>
          <w:tab w:val="clear" w:pos="1247"/>
        </w:tabs>
        <w:rPr>
          <w:lang w:val="es-ES_tradnl"/>
        </w:rPr>
      </w:pPr>
      <w:r w:rsidRPr="002927A1">
        <w:rPr>
          <w:lang w:val="es-ES_tradnl"/>
        </w:rPr>
        <w:t xml:space="preserve">Una representante, que habló en nombre de un grupo de países, elogió la rapidez con que se había puesto en marcha el mecanismo financiero. Otros dos representantes, que hablaron en nombre de grupos de países, reiteraron la importancia decisiva del </w:t>
      </w:r>
      <w:r w:rsidR="00B33F64" w:rsidRPr="002927A1">
        <w:rPr>
          <w:lang w:val="es-ES_tradnl"/>
        </w:rPr>
        <w:t>Programa Internacional Específico</w:t>
      </w:r>
      <w:r w:rsidRPr="002927A1">
        <w:rPr>
          <w:lang w:val="es-ES_tradnl"/>
        </w:rPr>
        <w:t xml:space="preserve"> para esos países. El primero, una representante, se felicitó por las mejoras introducidas durante las dos rondas en materia de transparencia y simplificación del proceso de presentación de solicitudes y pidió que se ampliase la duración del Programa. En cambio, el otro representante señaló que ya desde la primera ronda había quedado claro que el Programa carecía de recursos suficientes y expresó su preocupación por el hecho de que, apenas iniciada su andadura, estuviese ya desbordado por la demanda.</w:t>
      </w:r>
    </w:p>
    <w:p w14:paraId="7DE02EB9" w14:textId="77777777" w:rsidR="006B43CC" w:rsidRPr="002927A1" w:rsidRDefault="006B43CC" w:rsidP="00A524DB">
      <w:pPr>
        <w:pStyle w:val="Normalnumber"/>
        <w:numPr>
          <w:ilvl w:val="0"/>
          <w:numId w:val="38"/>
        </w:numPr>
        <w:tabs>
          <w:tab w:val="clear" w:pos="624"/>
          <w:tab w:val="clear" w:pos="1134"/>
          <w:tab w:val="clear" w:pos="1247"/>
        </w:tabs>
        <w:rPr>
          <w:lang w:val="es-ES_tradnl"/>
        </w:rPr>
      </w:pPr>
      <w:r w:rsidRPr="002927A1">
        <w:rPr>
          <w:lang w:val="es-ES_tradnl"/>
        </w:rPr>
        <w:t>Dada la importancia de la adopción de medidas contra el mercurio, no solo a nivel nacional sino también a nivel regional y subregional, un representante propuso que se preparase el proyecto de mandato para el segundo examen del mecanismo financiero a fin de que la Conferencia de las Partes lo examinase en su cuarta reunión y de ese modo pudiese prestarse una atención especial a los proyectos regionales y subregionales.</w:t>
      </w:r>
    </w:p>
    <w:p w14:paraId="46A42C57" w14:textId="65721B1F" w:rsidR="00AA705E" w:rsidRPr="002927A1" w:rsidRDefault="006B43CC" w:rsidP="00A524DB">
      <w:pPr>
        <w:pStyle w:val="Normalnumber"/>
        <w:numPr>
          <w:ilvl w:val="0"/>
          <w:numId w:val="38"/>
        </w:numPr>
        <w:tabs>
          <w:tab w:val="clear" w:pos="624"/>
          <w:tab w:val="clear" w:pos="1134"/>
          <w:tab w:val="clear" w:pos="1247"/>
        </w:tabs>
        <w:rPr>
          <w:rFonts w:eastAsiaTheme="minorEastAsia"/>
          <w:szCs w:val="24"/>
          <w:u w:val="double"/>
          <w:lang w:val="es-ES_tradnl"/>
        </w:rPr>
      </w:pPr>
      <w:r w:rsidRPr="002927A1">
        <w:rPr>
          <w:lang w:val="es-ES_tradnl"/>
        </w:rPr>
        <w:t xml:space="preserve">La Conferencia de las Partes adoptó la decisión MC-3/7, sobre el primer examen del mecanismo financiero, </w:t>
      </w:r>
      <w:r w:rsidR="007534EC" w:rsidRPr="002927A1">
        <w:rPr>
          <w:lang w:val="es-ES_tradnl"/>
        </w:rPr>
        <w:t xml:space="preserve">la cual </w:t>
      </w:r>
      <w:r w:rsidRPr="002927A1">
        <w:rPr>
          <w:lang w:val="es-ES_tradnl"/>
        </w:rPr>
        <w:t>figura en el anexo del presente informe.</w:t>
      </w:r>
    </w:p>
    <w:p w14:paraId="4F4CBA7A" w14:textId="77777777" w:rsidR="00753D17" w:rsidRDefault="00753D17">
      <w:pPr>
        <w:tabs>
          <w:tab w:val="clear" w:pos="1247"/>
          <w:tab w:val="clear" w:pos="1814"/>
          <w:tab w:val="clear" w:pos="2381"/>
          <w:tab w:val="clear" w:pos="2948"/>
          <w:tab w:val="clear" w:pos="3515"/>
        </w:tabs>
        <w:rPr>
          <w:b/>
          <w:sz w:val="24"/>
          <w:szCs w:val="24"/>
        </w:rPr>
      </w:pPr>
      <w:r>
        <w:rPr>
          <w:b/>
          <w:sz w:val="24"/>
          <w:szCs w:val="24"/>
        </w:rPr>
        <w:br w:type="page"/>
      </w:r>
    </w:p>
    <w:p w14:paraId="5E123908" w14:textId="4F501BF1" w:rsidR="00F81F2A" w:rsidRPr="002927A1" w:rsidRDefault="00F81F2A" w:rsidP="00111855">
      <w:pPr>
        <w:pStyle w:val="BodyTextFirstIndent2"/>
        <w:spacing w:before="240" w:after="120"/>
        <w:ind w:left="357" w:firstLine="357"/>
        <w:rPr>
          <w:b/>
          <w:sz w:val="24"/>
          <w:szCs w:val="24"/>
        </w:rPr>
      </w:pPr>
      <w:r w:rsidRPr="002927A1">
        <w:rPr>
          <w:b/>
          <w:sz w:val="24"/>
          <w:szCs w:val="24"/>
        </w:rPr>
        <w:lastRenderedPageBreak/>
        <w:t>F.</w:t>
      </w:r>
      <w:r w:rsidR="00885B5A" w:rsidRPr="002927A1">
        <w:rPr>
          <w:b/>
          <w:sz w:val="24"/>
          <w:szCs w:val="24"/>
        </w:rPr>
        <w:tab/>
      </w:r>
      <w:r w:rsidRPr="002927A1">
        <w:rPr>
          <w:b/>
          <w:sz w:val="24"/>
          <w:szCs w:val="24"/>
        </w:rPr>
        <w:t>Creación de capacidad, asistencia técnica y transferencia de tecnología</w:t>
      </w:r>
    </w:p>
    <w:p w14:paraId="7C22CF87" w14:textId="77777777" w:rsidR="00F81F2A" w:rsidRPr="002927A1" w:rsidRDefault="00F81F2A" w:rsidP="00A524DB">
      <w:pPr>
        <w:pStyle w:val="Normalnumber"/>
        <w:numPr>
          <w:ilvl w:val="0"/>
          <w:numId w:val="38"/>
        </w:numPr>
        <w:tabs>
          <w:tab w:val="clear" w:pos="624"/>
          <w:tab w:val="clear" w:pos="1134"/>
          <w:tab w:val="clear" w:pos="1247"/>
        </w:tabs>
        <w:rPr>
          <w:lang w:val="es-ES_tradnl"/>
        </w:rPr>
      </w:pPr>
      <w:r w:rsidRPr="002927A1">
        <w:rPr>
          <w:lang w:val="es-ES_tradnl"/>
        </w:rPr>
        <w:t>Al presentar el tema, el representante de la Secretaría recordó que, en su segunda reunión, la Conferencia de las Partes, en su decisión MC</w:t>
      </w:r>
      <w:r w:rsidRPr="002927A1">
        <w:rPr>
          <w:lang w:val="es-ES_tradnl"/>
        </w:rPr>
        <w:noBreakHyphen/>
        <w:t xml:space="preserve">2/11, había solicitado a la Secretaría que recopilase la información recibida de los arreglos regionales, subregionales y nacionales vigentes sobre creación de capacidad y asistencia técnica para ayudar a las Partes a cumplir las obligaciones contraídas en virtud del Convenio de Minamata, y que informase al respecto a la Conferencia de las Partes en su tercera reunión. En la misma decisión, la Conferencia de las Partes también había puesto de relieve la importancia de utilizar, según procediese, arreglos regionales, subregionales y nacionales, incluidos los centros regionales y subregionales existentes, para ayudar a crear capacidad y prestar asistencia técnica de conformidad con el artículo 14 del Convenio. En consecuencia, la Conferencia de las Partes tuvo ante sí una nota de la Secretaría sobre la cuestión (UNEP/MC/COP.3/12) y una recopilación de la información recibida (UNEP/MC/COP.3/INF/14). </w:t>
      </w:r>
    </w:p>
    <w:p w14:paraId="5E807643" w14:textId="026EBEAC" w:rsidR="00F81F2A" w:rsidRPr="002927A1" w:rsidRDefault="00F81F2A" w:rsidP="00A524DB">
      <w:pPr>
        <w:pStyle w:val="Normalnumber"/>
        <w:numPr>
          <w:ilvl w:val="0"/>
          <w:numId w:val="38"/>
        </w:numPr>
        <w:tabs>
          <w:tab w:val="clear" w:pos="624"/>
          <w:tab w:val="clear" w:pos="1134"/>
          <w:tab w:val="clear" w:pos="1247"/>
        </w:tabs>
        <w:rPr>
          <w:lang w:val="es-ES_tradnl"/>
        </w:rPr>
      </w:pPr>
      <w:r w:rsidRPr="002927A1">
        <w:rPr>
          <w:lang w:val="es-ES_tradnl"/>
        </w:rPr>
        <w:t>Un representante preguntó por la omisión de la “transferencia de tecnología” en el encabezamiento y el contenido del documento UNEP/MC/COP.3/12, a pesar de que el artículo 14 sí la</w:t>
      </w:r>
      <w:r w:rsidR="00753D17">
        <w:rPr>
          <w:lang w:val="es-ES_tradnl"/>
        </w:rPr>
        <w:t> </w:t>
      </w:r>
      <w:r w:rsidRPr="002927A1">
        <w:rPr>
          <w:lang w:val="es-ES_tradnl"/>
        </w:rPr>
        <w:t>incluía. La Secretaria Ejecutiva respondió que la Conferencia de las Parte</w:t>
      </w:r>
      <w:r w:rsidR="00A60CBD" w:rsidRPr="002927A1">
        <w:rPr>
          <w:lang w:val="es-ES_tradnl"/>
        </w:rPr>
        <w:t>s, en su decisión MC</w:t>
      </w:r>
      <w:r w:rsidR="00A60CBD" w:rsidRPr="002927A1">
        <w:rPr>
          <w:lang w:val="es-ES_tradnl"/>
        </w:rPr>
        <w:noBreakHyphen/>
        <w:t xml:space="preserve">2/11, </w:t>
      </w:r>
      <w:r w:rsidRPr="002927A1">
        <w:rPr>
          <w:lang w:val="es-ES_tradnl"/>
        </w:rPr>
        <w:t xml:space="preserve">había pedido </w:t>
      </w:r>
      <w:r w:rsidR="00A60CBD" w:rsidRPr="002927A1">
        <w:rPr>
          <w:lang w:val="es-ES_tradnl"/>
        </w:rPr>
        <w:t xml:space="preserve">únicamente </w:t>
      </w:r>
      <w:r w:rsidRPr="002927A1">
        <w:rPr>
          <w:lang w:val="es-ES_tradnl"/>
        </w:rPr>
        <w:t>a la Secretaría que informase en la presente reunión sobre la creación de capacidad y la asistencia técnica, y que la Secretaría había actuado de conformidad con el mandato de</w:t>
      </w:r>
      <w:r w:rsidR="00753D17">
        <w:rPr>
          <w:lang w:val="es-ES_tradnl"/>
        </w:rPr>
        <w:t> </w:t>
      </w:r>
      <w:r w:rsidRPr="002927A1">
        <w:rPr>
          <w:lang w:val="es-ES_tradnl"/>
        </w:rPr>
        <w:t xml:space="preserve">las Partes. </w:t>
      </w:r>
    </w:p>
    <w:p w14:paraId="0145CAE0" w14:textId="77777777" w:rsidR="00F81F2A" w:rsidRPr="002927A1" w:rsidRDefault="00F81F2A" w:rsidP="00A524DB">
      <w:pPr>
        <w:pStyle w:val="Normalnumber"/>
        <w:numPr>
          <w:ilvl w:val="0"/>
          <w:numId w:val="38"/>
        </w:numPr>
        <w:tabs>
          <w:tab w:val="clear" w:pos="624"/>
          <w:tab w:val="clear" w:pos="1134"/>
          <w:tab w:val="clear" w:pos="1247"/>
        </w:tabs>
        <w:rPr>
          <w:lang w:val="es-ES_tradnl"/>
        </w:rPr>
      </w:pPr>
      <w:r w:rsidRPr="002927A1">
        <w:rPr>
          <w:lang w:val="es-ES_tradnl"/>
        </w:rPr>
        <w:t>Durante el debate que tuvo lugar a continuación, muchos representantes se refirieron a la importancia de la creación de capacidad, la asistencia técnica y la transferencia de tecnología para garantizar que todas las Partes pudiesen cumplir las obligaciones contraídas en virtud del Convenio. Un representante, que habló en nombre de un grupo de países, destacó el papel de los centros regionales y subregionales en la mejora de la prestación de asistencia técnica y la creación de capacidad, de conformidad con la decisión MC</w:t>
      </w:r>
      <w:r w:rsidRPr="002927A1">
        <w:rPr>
          <w:lang w:val="es-ES_tradnl"/>
        </w:rPr>
        <w:noBreakHyphen/>
        <w:t>2/11. Con el apoyo de otras Partes, dijo que el mandato de la Secretaría de reunir información sobre esas cuestiones y comunicar las conclusiones a las Partes debería ampliarse a la cuarta reunión de la Conferencia de las Partes con la información solicitada tanto a las Partes como a otros interesados y expertos. Otro representante, que habló en nombre de un grupo de países, subrayó varias esferas en las que la creación de capacidad, la asistencia técnica y la transferencia de tecnología serían beneficiosas para los países en desarrollo, entre ellas: la elaboración de planes de acción nacionales; la tarea de garantizar que la tecnología compartida sea apropiada y esté actualizada; el fortalecimiento de la interfaz científico</w:t>
      </w:r>
      <w:r w:rsidRPr="002927A1">
        <w:rPr>
          <w:lang w:val="es-ES_tradnl"/>
        </w:rPr>
        <w:noBreakHyphen/>
        <w:t>normativa y el establecimiento de alianzas a todos los niveles, en particular mediante la cooperación Norte</w:t>
      </w:r>
      <w:r w:rsidRPr="002927A1">
        <w:rPr>
          <w:lang w:val="es-ES_tradnl"/>
        </w:rPr>
        <w:noBreakHyphen/>
        <w:t>Sur y Sur</w:t>
      </w:r>
      <w:r w:rsidRPr="002927A1">
        <w:rPr>
          <w:lang w:val="es-ES_tradnl"/>
        </w:rPr>
        <w:noBreakHyphen/>
        <w:t xml:space="preserve">Sur; y la creación de sinergias entre el Convenio de Minamata, los Convenios de Basilea, Estocolmo y Rotterdam, el PNUMA y otros asociados pertinentes, a fin de garantizar el uso eficiente de los recursos. </w:t>
      </w:r>
    </w:p>
    <w:p w14:paraId="68555110" w14:textId="77777777" w:rsidR="00AA705E" w:rsidRPr="002927A1" w:rsidRDefault="00F81F2A" w:rsidP="00A524DB">
      <w:pPr>
        <w:pStyle w:val="Normalnumber"/>
        <w:numPr>
          <w:ilvl w:val="0"/>
          <w:numId w:val="38"/>
        </w:numPr>
        <w:tabs>
          <w:tab w:val="clear" w:pos="624"/>
          <w:tab w:val="clear" w:pos="1134"/>
          <w:tab w:val="clear" w:pos="1247"/>
        </w:tabs>
        <w:rPr>
          <w:lang w:val="es-ES_tradnl"/>
        </w:rPr>
      </w:pPr>
      <w:r w:rsidRPr="002927A1">
        <w:rPr>
          <w:lang w:val="es-ES_tradnl"/>
        </w:rPr>
        <w:t xml:space="preserve">Dos representantes se refirieron al papel de la creación de capacidad en la lucha contra el comercio ilícito y los movimientos transfronterizos de mercurio. Un representante dijo que un mejor intercambio de información entre los centros de coordinación, las autoridades aduaneras y otras entidades ayudaría a ese respecto. Varios representantes se refirieron a la amenaza que representa para el medio ambiente y la salud humana la extracción de oro artesanal y en pequeña escala como una esfera en la que los países necesitaban asistencia con urgencia, en particular para desarrollar y aplicar tecnologías alternativas, de conformidad con el artículo 7 del Convenio. Un representante dijo que la creación de capacidad, la asistencia técnica y la transferencia de tecnología deberían basarse en las necesidades de los países y en objetivos claros. </w:t>
      </w:r>
    </w:p>
    <w:p w14:paraId="14D30A8D" w14:textId="015A20CB" w:rsidR="00113D26" w:rsidRPr="002927A1" w:rsidRDefault="00F81F2A" w:rsidP="00A524DB">
      <w:pPr>
        <w:pStyle w:val="Normalnumber"/>
        <w:numPr>
          <w:ilvl w:val="0"/>
          <w:numId w:val="38"/>
        </w:numPr>
        <w:tabs>
          <w:tab w:val="clear" w:pos="624"/>
          <w:tab w:val="clear" w:pos="1134"/>
          <w:tab w:val="clear" w:pos="1247"/>
        </w:tabs>
        <w:rPr>
          <w:lang w:val="es-ES_tradnl"/>
        </w:rPr>
      </w:pPr>
      <w:r w:rsidRPr="002927A1">
        <w:rPr>
          <w:lang w:val="es-ES_tradnl"/>
        </w:rPr>
        <w:t xml:space="preserve">La representante de la Unión Europea acogió con agrado las actividades de la Secretaría de conformidad con el artículo 14 del Convenio, y anunció que la Unión Europea había proporcionado a la Secretaría 500.000 euros para apoyar la creación de capacidad en materia de comercio y emisiones de mercurio a nivel subregional. La Secretaria Ejecutiva añadió que ya se habían llevado a cabo algunos talleres en América Latina y Asia en el marco de los proyectos financiados por la Unión Europea. Se </w:t>
      </w:r>
      <w:r w:rsidR="00EA25BC" w:rsidRPr="002927A1">
        <w:rPr>
          <w:lang w:val="es-ES_tradnl"/>
        </w:rPr>
        <w:t>tenía previsto</w:t>
      </w:r>
      <w:r w:rsidRPr="002927A1">
        <w:rPr>
          <w:lang w:val="es-ES_tradnl"/>
        </w:rPr>
        <w:t xml:space="preserve"> celebrar otros talle</w:t>
      </w:r>
      <w:r w:rsidR="009711FB" w:rsidRPr="002927A1">
        <w:rPr>
          <w:lang w:val="es-ES_tradnl"/>
        </w:rPr>
        <w:t>re</w:t>
      </w:r>
      <w:r w:rsidRPr="002927A1">
        <w:rPr>
          <w:lang w:val="es-ES_tradnl"/>
        </w:rPr>
        <w:t>s y actividades complementarias</w:t>
      </w:r>
      <w:r w:rsidR="00113D26" w:rsidRPr="002927A1">
        <w:rPr>
          <w:lang w:val="es-ES_tradnl"/>
        </w:rPr>
        <w:t>.</w:t>
      </w:r>
    </w:p>
    <w:p w14:paraId="6C1264CC" w14:textId="645BCF5D" w:rsidR="00AA705E" w:rsidRPr="002927A1" w:rsidRDefault="00C97EA3" w:rsidP="00A524DB">
      <w:pPr>
        <w:pStyle w:val="Normalnumber"/>
        <w:numPr>
          <w:ilvl w:val="0"/>
          <w:numId w:val="38"/>
        </w:numPr>
        <w:tabs>
          <w:tab w:val="clear" w:pos="624"/>
          <w:tab w:val="clear" w:pos="1134"/>
          <w:tab w:val="clear" w:pos="1247"/>
        </w:tabs>
        <w:rPr>
          <w:szCs w:val="24"/>
          <w:lang w:val="es-ES_tradnl"/>
        </w:rPr>
      </w:pPr>
      <w:bookmarkStart w:id="50" w:name="_DV_C358"/>
      <w:r w:rsidRPr="002927A1">
        <w:rPr>
          <w:lang w:val="es-ES_tradnl"/>
        </w:rPr>
        <w:t>A continuación, la representante de varias Partes de América Latina y el Caribe presentó un documento de sesión que contenía un proyecto de decisión titulado “Artículo 14</w:t>
      </w:r>
      <w:r w:rsidR="00A96B3B" w:rsidRPr="002927A1">
        <w:rPr>
          <w:lang w:val="es-ES_tradnl"/>
        </w:rPr>
        <w:t xml:space="preserve">: </w:t>
      </w:r>
      <w:r w:rsidRPr="002927A1">
        <w:rPr>
          <w:lang w:val="es-ES_tradnl"/>
        </w:rPr>
        <w:t>Creación de capacidad, asistencia técnica y transferencia de tecnología”. En el proyecto de decisión propuesto se destacaba la importancia de los arreglos regionales, subregionales y nacionales, incluidos los centros regionales y subregionales de los Convenios de Basilea y Estocolmo, en la prestación de creación de capacidad y asistencia técnica según lo dispuesto en el artículo 14 del Convenio, y se pedía a la Secretaría que emprendiese diversas actividades, incluida la reunión y el intercambio de información, para ayudar a las Partes en ese sentido</w:t>
      </w:r>
      <w:bookmarkStart w:id="51" w:name="_DV_C359"/>
      <w:bookmarkEnd w:id="50"/>
      <w:r w:rsidR="00B549F2" w:rsidRPr="002927A1">
        <w:rPr>
          <w:rStyle w:val="DeltaViewInsertion"/>
          <w:color w:val="auto"/>
          <w:szCs w:val="24"/>
          <w:u w:val="none"/>
          <w:lang w:val="es-ES_tradnl"/>
        </w:rPr>
        <w:t>.</w:t>
      </w:r>
    </w:p>
    <w:p w14:paraId="04610CE8" w14:textId="01B660FC" w:rsidR="000B502C" w:rsidRPr="002927A1" w:rsidRDefault="00050B0A" w:rsidP="00A524DB">
      <w:pPr>
        <w:pStyle w:val="Normalnumber"/>
        <w:numPr>
          <w:ilvl w:val="0"/>
          <w:numId w:val="38"/>
        </w:numPr>
        <w:tabs>
          <w:tab w:val="clear" w:pos="624"/>
          <w:tab w:val="clear" w:pos="1134"/>
          <w:tab w:val="clear" w:pos="1247"/>
        </w:tabs>
        <w:rPr>
          <w:lang w:val="es-ES_tradnl"/>
        </w:rPr>
      </w:pPr>
      <w:bookmarkStart w:id="52" w:name="_DV_C360"/>
      <w:bookmarkEnd w:id="51"/>
      <w:r w:rsidRPr="002927A1">
        <w:rPr>
          <w:rStyle w:val="DeltaViewInsertion"/>
          <w:color w:val="auto"/>
          <w:szCs w:val="24"/>
          <w:u w:val="none"/>
          <w:lang w:val="es-ES_tradnl"/>
        </w:rPr>
        <w:lastRenderedPageBreak/>
        <w:t xml:space="preserve">Más adelante, la Conferencia de las </w:t>
      </w:r>
      <w:r w:rsidR="00AA705E" w:rsidRPr="002927A1">
        <w:rPr>
          <w:rStyle w:val="DeltaViewInsertion"/>
          <w:color w:val="auto"/>
          <w:szCs w:val="24"/>
          <w:u w:val="none"/>
          <w:lang w:val="es-ES_tradnl"/>
        </w:rPr>
        <w:t xml:space="preserve">Partes </w:t>
      </w:r>
      <w:r w:rsidR="00AA705E" w:rsidRPr="002927A1">
        <w:rPr>
          <w:lang w:val="es-ES_tradnl"/>
        </w:rPr>
        <w:t>adopt</w:t>
      </w:r>
      <w:r w:rsidRPr="002927A1">
        <w:rPr>
          <w:lang w:val="es-ES_tradnl"/>
        </w:rPr>
        <w:t>ó</w:t>
      </w:r>
      <w:r w:rsidRPr="002927A1">
        <w:rPr>
          <w:rStyle w:val="DeltaViewInsertion"/>
          <w:color w:val="auto"/>
          <w:szCs w:val="24"/>
          <w:u w:val="none"/>
          <w:lang w:val="es-ES_tradnl"/>
        </w:rPr>
        <w:t xml:space="preserve"> la</w:t>
      </w:r>
      <w:r w:rsidR="00AA705E" w:rsidRPr="002927A1">
        <w:rPr>
          <w:rStyle w:val="DeltaViewInsertion"/>
          <w:color w:val="auto"/>
          <w:szCs w:val="24"/>
          <w:u w:val="none"/>
          <w:lang w:val="es-ES_tradnl"/>
        </w:rPr>
        <w:t xml:space="preserve"> decisi</w:t>
      </w:r>
      <w:r w:rsidRPr="002927A1">
        <w:rPr>
          <w:rStyle w:val="DeltaViewInsertion"/>
          <w:color w:val="auto"/>
          <w:szCs w:val="24"/>
          <w:u w:val="none"/>
          <w:lang w:val="es-ES_tradnl"/>
        </w:rPr>
        <w:t>ó</w:t>
      </w:r>
      <w:r w:rsidR="00AA705E" w:rsidRPr="002927A1">
        <w:rPr>
          <w:rStyle w:val="DeltaViewInsertion"/>
          <w:color w:val="auto"/>
          <w:szCs w:val="24"/>
          <w:u w:val="none"/>
          <w:lang w:val="es-ES_tradnl"/>
        </w:rPr>
        <w:t xml:space="preserve">n MC-3/8 </w:t>
      </w:r>
      <w:r w:rsidRPr="002927A1">
        <w:rPr>
          <w:rStyle w:val="DeltaViewInsertion"/>
          <w:color w:val="auto"/>
          <w:szCs w:val="24"/>
          <w:u w:val="none"/>
          <w:lang w:val="es-ES_tradnl"/>
        </w:rPr>
        <w:t>titulada</w:t>
      </w:r>
      <w:r w:rsidR="00AA705E" w:rsidRPr="002927A1">
        <w:rPr>
          <w:rStyle w:val="DeltaViewInsertion"/>
          <w:color w:val="auto"/>
          <w:szCs w:val="24"/>
          <w:u w:val="none"/>
          <w:lang w:val="es-ES_tradnl"/>
        </w:rPr>
        <w:t xml:space="preserve"> “Art</w:t>
      </w:r>
      <w:r w:rsidRPr="002927A1">
        <w:rPr>
          <w:rStyle w:val="DeltaViewInsertion"/>
          <w:color w:val="auto"/>
          <w:szCs w:val="24"/>
          <w:u w:val="none"/>
          <w:lang w:val="es-ES_tradnl"/>
        </w:rPr>
        <w:t>í</w:t>
      </w:r>
      <w:r w:rsidR="00AA705E" w:rsidRPr="002927A1">
        <w:rPr>
          <w:rStyle w:val="DeltaViewInsertion"/>
          <w:color w:val="auto"/>
          <w:szCs w:val="24"/>
          <w:u w:val="none"/>
          <w:lang w:val="es-ES_tradnl"/>
        </w:rPr>
        <w:t>c</w:t>
      </w:r>
      <w:r w:rsidRPr="002927A1">
        <w:rPr>
          <w:rStyle w:val="DeltaViewInsertion"/>
          <w:color w:val="auto"/>
          <w:szCs w:val="24"/>
          <w:u w:val="none"/>
          <w:lang w:val="es-ES_tradnl"/>
        </w:rPr>
        <w:t>u</w:t>
      </w:r>
      <w:r w:rsidR="00AA705E" w:rsidRPr="002927A1">
        <w:rPr>
          <w:rStyle w:val="DeltaViewInsertion"/>
          <w:color w:val="auto"/>
          <w:szCs w:val="24"/>
          <w:u w:val="none"/>
          <w:lang w:val="es-ES_tradnl"/>
        </w:rPr>
        <w:t>l</w:t>
      </w:r>
      <w:r w:rsidRPr="002927A1">
        <w:rPr>
          <w:rStyle w:val="DeltaViewInsertion"/>
          <w:color w:val="auto"/>
          <w:szCs w:val="24"/>
          <w:u w:val="none"/>
          <w:lang w:val="es-ES_tradnl"/>
        </w:rPr>
        <w:t>o</w:t>
      </w:r>
      <w:r w:rsidR="00AA705E" w:rsidRPr="002927A1">
        <w:rPr>
          <w:rStyle w:val="DeltaViewInsertion"/>
          <w:color w:val="auto"/>
          <w:szCs w:val="24"/>
          <w:u w:val="none"/>
          <w:lang w:val="es-ES_tradnl"/>
        </w:rPr>
        <w:t xml:space="preserve"> 14: c</w:t>
      </w:r>
      <w:r w:rsidRPr="002927A1">
        <w:rPr>
          <w:rStyle w:val="DeltaViewInsertion"/>
          <w:color w:val="auto"/>
          <w:szCs w:val="24"/>
          <w:u w:val="none"/>
          <w:lang w:val="es-ES_tradnl"/>
        </w:rPr>
        <w:t>reación de c</w:t>
      </w:r>
      <w:r w:rsidR="00AA705E" w:rsidRPr="002927A1">
        <w:rPr>
          <w:rStyle w:val="DeltaViewInsertion"/>
          <w:color w:val="auto"/>
          <w:szCs w:val="24"/>
          <w:u w:val="none"/>
          <w:lang w:val="es-ES_tradnl"/>
        </w:rPr>
        <w:t>apaci</w:t>
      </w:r>
      <w:r w:rsidRPr="002927A1">
        <w:rPr>
          <w:rStyle w:val="DeltaViewInsertion"/>
          <w:color w:val="auto"/>
          <w:szCs w:val="24"/>
          <w:u w:val="none"/>
          <w:lang w:val="es-ES_tradnl"/>
        </w:rPr>
        <w:t>dad</w:t>
      </w:r>
      <w:r w:rsidR="00AA705E" w:rsidRPr="002927A1">
        <w:rPr>
          <w:rStyle w:val="DeltaViewInsertion"/>
          <w:color w:val="auto"/>
          <w:szCs w:val="24"/>
          <w:u w:val="none"/>
          <w:lang w:val="es-ES_tradnl"/>
        </w:rPr>
        <w:t xml:space="preserve">, </w:t>
      </w:r>
      <w:r w:rsidRPr="002927A1">
        <w:rPr>
          <w:rStyle w:val="DeltaViewInsertion"/>
          <w:color w:val="auto"/>
          <w:szCs w:val="24"/>
          <w:u w:val="none"/>
          <w:lang w:val="es-ES_tradnl"/>
        </w:rPr>
        <w:t xml:space="preserve">asistencia </w:t>
      </w:r>
      <w:r w:rsidR="00AA705E" w:rsidRPr="002927A1">
        <w:rPr>
          <w:rStyle w:val="DeltaViewInsertion"/>
          <w:color w:val="auto"/>
          <w:szCs w:val="24"/>
          <w:u w:val="none"/>
          <w:lang w:val="es-ES_tradnl"/>
        </w:rPr>
        <w:t>t</w:t>
      </w:r>
      <w:r w:rsidRPr="002927A1">
        <w:rPr>
          <w:rStyle w:val="DeltaViewInsertion"/>
          <w:color w:val="auto"/>
          <w:szCs w:val="24"/>
          <w:u w:val="none"/>
          <w:lang w:val="es-ES_tradnl"/>
        </w:rPr>
        <w:t>é</w:t>
      </w:r>
      <w:r w:rsidR="00AA705E" w:rsidRPr="002927A1">
        <w:rPr>
          <w:rStyle w:val="DeltaViewInsertion"/>
          <w:color w:val="auto"/>
          <w:szCs w:val="24"/>
          <w:u w:val="none"/>
          <w:lang w:val="es-ES_tradnl"/>
        </w:rPr>
        <w:t>cnica</w:t>
      </w:r>
      <w:r w:rsidRPr="002927A1">
        <w:rPr>
          <w:rStyle w:val="DeltaViewInsertion"/>
          <w:color w:val="auto"/>
          <w:szCs w:val="24"/>
          <w:u w:val="none"/>
          <w:lang w:val="es-ES_tradnl"/>
        </w:rPr>
        <w:t xml:space="preserve"> y transferencia de </w:t>
      </w:r>
      <w:r w:rsidR="00AA705E" w:rsidRPr="002927A1">
        <w:rPr>
          <w:rStyle w:val="DeltaViewInsertion"/>
          <w:color w:val="auto"/>
          <w:szCs w:val="24"/>
          <w:u w:val="none"/>
          <w:lang w:val="es-ES_tradnl"/>
        </w:rPr>
        <w:t>tecnolog</w:t>
      </w:r>
      <w:r w:rsidRPr="002927A1">
        <w:rPr>
          <w:rStyle w:val="DeltaViewInsertion"/>
          <w:color w:val="auto"/>
          <w:szCs w:val="24"/>
          <w:u w:val="none"/>
          <w:lang w:val="es-ES_tradnl"/>
        </w:rPr>
        <w:t>ía</w:t>
      </w:r>
      <w:r w:rsidR="00AA705E" w:rsidRPr="002927A1">
        <w:rPr>
          <w:rStyle w:val="DeltaViewInsertion"/>
          <w:color w:val="auto"/>
          <w:szCs w:val="24"/>
          <w:u w:val="none"/>
          <w:lang w:val="es-ES_tradnl"/>
        </w:rPr>
        <w:t xml:space="preserve">”, </w:t>
      </w:r>
      <w:r w:rsidRPr="002927A1">
        <w:rPr>
          <w:rStyle w:val="DeltaViewInsertion"/>
          <w:color w:val="auto"/>
          <w:szCs w:val="24"/>
          <w:u w:val="none"/>
          <w:lang w:val="es-ES_tradnl"/>
        </w:rPr>
        <w:t>presentada tras las consultas oficiosas, la cual figura en el anexo del presente informe.</w:t>
      </w:r>
      <w:bookmarkEnd w:id="52"/>
    </w:p>
    <w:p w14:paraId="66607759" w14:textId="5773032D" w:rsidR="00077945" w:rsidRPr="002927A1" w:rsidRDefault="00EC6C6F" w:rsidP="00A7033C">
      <w:pPr>
        <w:pStyle w:val="CH2"/>
        <w:rPr>
          <w:lang w:val="es-ES_tradnl"/>
        </w:rPr>
      </w:pPr>
      <w:bookmarkStart w:id="53" w:name="_Toc27124729"/>
      <w:r w:rsidRPr="002927A1">
        <w:rPr>
          <w:lang w:val="es-ES_tradnl"/>
        </w:rPr>
        <w:tab/>
      </w:r>
      <w:r w:rsidR="00A7033C" w:rsidRPr="002927A1">
        <w:rPr>
          <w:lang w:val="es-ES_tradnl"/>
        </w:rPr>
        <w:t>G.</w:t>
      </w:r>
      <w:r w:rsidR="00A7033C" w:rsidRPr="002927A1">
        <w:rPr>
          <w:lang w:val="es-ES_tradnl"/>
        </w:rPr>
        <w:tab/>
      </w:r>
      <w:bookmarkEnd w:id="53"/>
      <w:r w:rsidR="00114669" w:rsidRPr="002927A1">
        <w:rPr>
          <w:bCs/>
          <w:lang w:val="es-ES_tradnl"/>
        </w:rPr>
        <w:t>Comité de Aplicación y Cumplimiento</w:t>
      </w:r>
    </w:p>
    <w:p w14:paraId="0FE8C605" w14:textId="13F0D3E6"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Al presentar el tema, la representante de la Secretaría recordó que por el artículo 15 del Convenio había quedado establecido un mecanismo, que incluía un Comité de Aplicación y Cumplimiento como órgano subsidiario de la Conferencia de las Partes, para promover la aplicación y</w:t>
      </w:r>
      <w:r w:rsidR="00706D66" w:rsidRPr="002927A1">
        <w:rPr>
          <w:lang w:val="es-ES_tradnl"/>
        </w:rPr>
        <w:t> </w:t>
      </w:r>
      <w:r w:rsidRPr="002927A1">
        <w:rPr>
          <w:lang w:val="es-ES_tradnl"/>
        </w:rPr>
        <w:t>examinar el cumplimiento de todas las disposiciones del Convenio. En su decisión MC-1/7, la Conferencia de las Partes había elegido a los 15 primeros miembros del Comité. De conformidad con</w:t>
      </w:r>
      <w:r w:rsidR="00706D66" w:rsidRPr="002927A1">
        <w:rPr>
          <w:lang w:val="es-ES_tradnl"/>
        </w:rPr>
        <w:t> </w:t>
      </w:r>
      <w:r w:rsidRPr="002927A1">
        <w:rPr>
          <w:lang w:val="es-ES_tradnl"/>
        </w:rPr>
        <w:t>el reglamento, la Conferencia de las Partes volvería a elegir a diez miembros de entre los primeros</w:t>
      </w:r>
      <w:r w:rsidR="00706D66" w:rsidRPr="002927A1">
        <w:rPr>
          <w:lang w:val="es-ES_tradnl"/>
        </w:rPr>
        <w:t> </w:t>
      </w:r>
      <w:r w:rsidRPr="002927A1">
        <w:rPr>
          <w:lang w:val="es-ES_tradnl"/>
        </w:rPr>
        <w:t>miembros del Comité por un mandato y a cinco miembros nuevos por dos mandatos. En el</w:t>
      </w:r>
      <w:r w:rsidR="00706D66" w:rsidRPr="002927A1">
        <w:rPr>
          <w:lang w:val="es-ES_tradnl"/>
        </w:rPr>
        <w:t> </w:t>
      </w:r>
      <w:r w:rsidRPr="002927A1">
        <w:rPr>
          <w:lang w:val="es-ES_tradnl"/>
        </w:rPr>
        <w:t>anexo de una nota de la Secretaría sobre la labor del Comité de Aplicación y Cumplimiento (UNEP/MC/COP.3/13) figuraba el informe sobre la segunda reunión del Comité, que se había celebrado en Ginebra los días 3 y 4 de junio de 2019. En los apéndices a ese informe se recogía el proyecto de mandato para el Comité de Aplicación y Cumplimiento, y un proyecto de decisión por la que se aprobaría ese mandato y se aprobaría un proyecto de plantilla para las comunicaciones por escrito de las Partes con respecto a su propio cumplimiento</w:t>
      </w:r>
      <w:r w:rsidR="00CA79C3">
        <w:rPr>
          <w:lang w:val="es-ES_tradnl"/>
        </w:rPr>
        <w:t>; y el propio proyecto de plantilla</w:t>
      </w:r>
      <w:r w:rsidRPr="002927A1">
        <w:rPr>
          <w:lang w:val="es-ES_tradnl"/>
        </w:rPr>
        <w:t>.</w:t>
      </w:r>
    </w:p>
    <w:p w14:paraId="700165C9" w14:textId="79A8B481" w:rsidR="00C97EA3" w:rsidRPr="002927A1" w:rsidRDefault="009711FB"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Sra. </w:t>
      </w:r>
      <w:r w:rsidR="00C97EA3" w:rsidRPr="002927A1">
        <w:rPr>
          <w:lang w:val="es-ES_tradnl"/>
        </w:rPr>
        <w:t>Claudia Sorina Dumitru (Rumania), Presidenta del Comité de Aplicación y Cumplimiento, presentó un informe resumido de su segunda reunión. Los asuntos examinados en esa reunión fueron: el mandato del Comité; la orientación en relación con las comunicaciones por escrito de las Partes con respecto a su propio cumplimiento; una actualización sobre la presentación de informes nacionales de conformidad con el artículo 21; las notificaciones presentadas por las Partes con arreglo al párrafo 9 del artículo 3; la información y las recomendaciones formuladas de conformidad con el artículo 15, que podrían utilizarse para llevar a cabo la evaluación de la eficacia con arreglo al artículo 22; y el programa de trabajo del Comité de Aplicación y Cumplimiento. El Comité había decidido que su tercera reunión sería un encuentro presencial de tres días de duración cuya celebración tendría lugar en Ginebra el primer trimestre de 2021.</w:t>
      </w:r>
    </w:p>
    <w:p w14:paraId="00AAC42A" w14:textId="7777777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el debate que tuvo lugar a continuación, varios representantes dijeron que el proyecto de mandato y el proyecto de plantilla para las comunicaciones por escrito de las Partes con respecto a su propio cumplimiento constituían una base útil para la futura labor del Comité de Aplicación y Cumplimiento. Sobre la cuestión del mandato, dos representantes, una de las cuales habló en nombre de un grupo de países, propusieron cambios en el texto del mandato. Otro representante expresó su oposición a los cambios propuestos, ya que tenían connotaciones jurídicas y no se habían presentado a la Conferencia de las Partes de forma oportuna. Otra representante, que habló en nombre de un grupo de países, dijo que se necesitaba más tiempo para examinar los cambios sugeridos. </w:t>
      </w:r>
    </w:p>
    <w:p w14:paraId="3234215A" w14:textId="5A06DFCA"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Varios representantes consideraron que la aprobación del mandato en la presente reunión era una prioridad urgente. Algunos se expresaron a favor de celebrar más debates sobre el texto con diferentes grados de formalidad, pero muchos otros pidieron su aprobación sin ninguna otra modificación. Había opiniones diferentes sobre cuál era el enfoque más apropiado para examinar las propuestas de cambios en el ma</w:t>
      </w:r>
      <w:r w:rsidR="00DD2BC1" w:rsidRPr="002927A1">
        <w:rPr>
          <w:lang w:val="es-ES_tradnl"/>
        </w:rPr>
        <w:t>ndato. El Presidente invitó a la</w:t>
      </w:r>
      <w:r w:rsidRPr="002927A1">
        <w:rPr>
          <w:lang w:val="es-ES_tradnl"/>
        </w:rPr>
        <w:t xml:space="preserve">s </w:t>
      </w:r>
      <w:r w:rsidR="00DD2BC1" w:rsidRPr="002927A1">
        <w:rPr>
          <w:lang w:val="es-ES_tradnl"/>
        </w:rPr>
        <w:t>P</w:t>
      </w:r>
      <w:r w:rsidRPr="002927A1">
        <w:rPr>
          <w:lang w:val="es-ES_tradnl"/>
        </w:rPr>
        <w:t xml:space="preserve">artes interesadas en la cuestión a que celebrasen consultas de manera oficiosa. </w:t>
      </w:r>
    </w:p>
    <w:p w14:paraId="4C548CB3" w14:textId="334A22AC" w:rsidR="00113D26"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A continuación, la Conferencia de las Partes acordó remitir el asunto del mandato al </w:t>
      </w:r>
      <w:r w:rsidR="009711FB" w:rsidRPr="002927A1">
        <w:rPr>
          <w:lang w:val="es-ES_tradnl"/>
        </w:rPr>
        <w:t>Grupo de A</w:t>
      </w:r>
      <w:r w:rsidRPr="002927A1">
        <w:rPr>
          <w:lang w:val="es-ES_tradnl"/>
        </w:rPr>
        <w:t>migos de</w:t>
      </w:r>
      <w:r w:rsidR="009711FB" w:rsidRPr="002927A1">
        <w:rPr>
          <w:lang w:val="es-ES_tradnl"/>
        </w:rPr>
        <w:t xml:space="preserve"> </w:t>
      </w:r>
      <w:r w:rsidRPr="002927A1">
        <w:rPr>
          <w:lang w:val="es-ES_tradnl"/>
        </w:rPr>
        <w:t>l</w:t>
      </w:r>
      <w:r w:rsidR="009711FB" w:rsidRPr="002927A1">
        <w:rPr>
          <w:lang w:val="es-ES_tradnl"/>
        </w:rPr>
        <w:t xml:space="preserve">a </w:t>
      </w:r>
      <w:r w:rsidRPr="002927A1">
        <w:rPr>
          <w:lang w:val="es-ES_tradnl"/>
        </w:rPr>
        <w:t>Presiden</w:t>
      </w:r>
      <w:r w:rsidR="009711FB" w:rsidRPr="002927A1">
        <w:rPr>
          <w:lang w:val="es-ES_tradnl"/>
        </w:rPr>
        <w:t>cia</w:t>
      </w:r>
      <w:r w:rsidRPr="002927A1">
        <w:rPr>
          <w:lang w:val="es-ES_tradnl"/>
        </w:rPr>
        <w:t xml:space="preserve"> para que siguiese examinándolo</w:t>
      </w:r>
      <w:r w:rsidR="00113D26" w:rsidRPr="002927A1">
        <w:rPr>
          <w:lang w:val="es-ES_tradnl"/>
        </w:rPr>
        <w:t xml:space="preserve">. </w:t>
      </w:r>
    </w:p>
    <w:p w14:paraId="6C57BD74" w14:textId="3B68BFEC" w:rsidR="00CC6D5F" w:rsidRPr="002927A1" w:rsidRDefault="000A4226" w:rsidP="00A524DB">
      <w:pPr>
        <w:pStyle w:val="Normalnumber"/>
        <w:numPr>
          <w:ilvl w:val="0"/>
          <w:numId w:val="44"/>
        </w:numPr>
        <w:tabs>
          <w:tab w:val="clear" w:pos="624"/>
          <w:tab w:val="clear" w:pos="1134"/>
          <w:tab w:val="clear" w:pos="1247"/>
        </w:tabs>
        <w:rPr>
          <w:lang w:val="es-ES_tradnl"/>
        </w:rPr>
      </w:pPr>
      <w:r w:rsidRPr="002927A1">
        <w:rPr>
          <w:lang w:val="es-ES_tradnl"/>
        </w:rPr>
        <w:t xml:space="preserve">Posteriormente, la </w:t>
      </w:r>
      <w:r w:rsidR="00CC6D5F" w:rsidRPr="002927A1">
        <w:rPr>
          <w:lang w:val="es-ES_tradnl"/>
        </w:rPr>
        <w:t>Conferenc</w:t>
      </w:r>
      <w:r w:rsidRPr="002927A1">
        <w:rPr>
          <w:lang w:val="es-ES_tradnl"/>
        </w:rPr>
        <w:t>ia de las Partes eligió a los miembros siguientes del Comité de Aplicación y Cumplimiento:</w:t>
      </w:r>
    </w:p>
    <w:p w14:paraId="2E1B10C3" w14:textId="0C731D1A" w:rsidR="00D648F6" w:rsidRPr="002927A1" w:rsidRDefault="000A4226" w:rsidP="00417FE2">
      <w:pPr>
        <w:pStyle w:val="Normalnumber"/>
        <w:keepNext/>
        <w:keepLines/>
        <w:ind w:left="1247" w:firstLine="624"/>
        <w:rPr>
          <w:lang w:val="es-ES_tradnl"/>
        </w:rPr>
      </w:pPr>
      <w:r w:rsidRPr="002927A1">
        <w:rPr>
          <w:lang w:val="es-ES_tradnl"/>
        </w:rPr>
        <w:t>Estados de África</w:t>
      </w:r>
      <w:r w:rsidR="00D648F6" w:rsidRPr="002927A1">
        <w:rPr>
          <w:lang w:val="es-ES_tradnl"/>
        </w:rPr>
        <w:t>:</w:t>
      </w:r>
    </w:p>
    <w:p w14:paraId="49E5D913" w14:textId="373013C3" w:rsidR="00F519E9" w:rsidRPr="002927A1" w:rsidRDefault="000A4226" w:rsidP="00417FE2">
      <w:pPr>
        <w:pStyle w:val="Normalnumber"/>
        <w:keepNext/>
        <w:keepLines/>
        <w:ind w:left="1871" w:firstLine="624"/>
        <w:rPr>
          <w:lang w:val="es-ES_tradnl"/>
        </w:rPr>
      </w:pPr>
      <w:r w:rsidRPr="002927A1">
        <w:rPr>
          <w:lang w:val="es-ES_tradnl"/>
        </w:rPr>
        <w:t xml:space="preserve">Sr. </w:t>
      </w:r>
      <w:r w:rsidR="00F519E9" w:rsidRPr="002927A1">
        <w:rPr>
          <w:lang w:val="es-ES_tradnl"/>
        </w:rPr>
        <w:t>Hanitriniaina Liliane Randrianomenjanahary (Madagascar)</w:t>
      </w:r>
    </w:p>
    <w:p w14:paraId="11C586EC" w14:textId="4A72E4D9" w:rsidR="00F519E9" w:rsidRPr="002927A1" w:rsidRDefault="000A4226" w:rsidP="00417FE2">
      <w:pPr>
        <w:pStyle w:val="Normalnumber"/>
        <w:keepNext/>
        <w:keepLines/>
        <w:ind w:left="1871" w:firstLine="624"/>
        <w:rPr>
          <w:lang w:val="es-ES_tradnl"/>
        </w:rPr>
      </w:pPr>
      <w:r w:rsidRPr="002927A1">
        <w:rPr>
          <w:lang w:val="es-ES_tradnl"/>
        </w:rPr>
        <w:t xml:space="preserve">Sr. </w:t>
      </w:r>
      <w:r w:rsidR="00F519E9" w:rsidRPr="002927A1">
        <w:rPr>
          <w:lang w:val="es-ES_tradnl"/>
        </w:rPr>
        <w:t>Mohamed Abdulai Kamara (Sierra Leon</w:t>
      </w:r>
      <w:r w:rsidRPr="002927A1">
        <w:rPr>
          <w:lang w:val="es-ES_tradnl"/>
        </w:rPr>
        <w:t>a</w:t>
      </w:r>
      <w:r w:rsidR="00F519E9" w:rsidRPr="002927A1">
        <w:rPr>
          <w:lang w:val="es-ES_tradnl"/>
        </w:rPr>
        <w:t>)</w:t>
      </w:r>
    </w:p>
    <w:p w14:paraId="61D5B71E" w14:textId="7BA005C9" w:rsidR="00F519E9" w:rsidRPr="002927A1" w:rsidRDefault="000A4226" w:rsidP="00417FE2">
      <w:pPr>
        <w:pStyle w:val="Normalnumber"/>
        <w:keepNext/>
        <w:keepLines/>
        <w:ind w:left="1871" w:firstLine="624"/>
        <w:rPr>
          <w:lang w:val="es-ES_tradnl"/>
        </w:rPr>
      </w:pPr>
      <w:r w:rsidRPr="002927A1">
        <w:rPr>
          <w:lang w:val="es-ES_tradnl"/>
        </w:rPr>
        <w:t xml:space="preserve">Sr. </w:t>
      </w:r>
      <w:r w:rsidR="00F519E9" w:rsidRPr="002927A1">
        <w:rPr>
          <w:lang w:val="es-ES_tradnl"/>
        </w:rPr>
        <w:t>Christopher Kanema (Zambia)</w:t>
      </w:r>
    </w:p>
    <w:p w14:paraId="4DF1006D" w14:textId="77777777" w:rsidR="00496C8B" w:rsidRPr="002927A1" w:rsidRDefault="00496C8B" w:rsidP="00496C8B">
      <w:pPr>
        <w:pStyle w:val="Normalnumber"/>
        <w:keepNext/>
        <w:keepLines/>
        <w:ind w:left="1247" w:firstLine="624"/>
        <w:rPr>
          <w:lang w:val="es-ES_tradnl"/>
        </w:rPr>
      </w:pPr>
      <w:r w:rsidRPr="002927A1">
        <w:rPr>
          <w:lang w:val="es-ES_tradnl"/>
        </w:rPr>
        <w:t>Estados de América Latina y el Caribe:</w:t>
      </w:r>
    </w:p>
    <w:p w14:paraId="31AA2193" w14:textId="5EA2B53B" w:rsidR="00496C8B" w:rsidRPr="002927A1" w:rsidRDefault="00496C8B" w:rsidP="00496C8B">
      <w:pPr>
        <w:pStyle w:val="Normalnumber"/>
        <w:keepNext/>
        <w:keepLines/>
        <w:ind w:left="1871" w:firstLine="624"/>
        <w:rPr>
          <w:lang w:val="es-ES_tradnl"/>
        </w:rPr>
      </w:pPr>
      <w:r w:rsidRPr="002927A1">
        <w:rPr>
          <w:lang w:val="es-ES_tradnl"/>
        </w:rPr>
        <w:t>Sra. Paulina R</w:t>
      </w:r>
      <w:r w:rsidR="00CA79C3">
        <w:rPr>
          <w:lang w:val="es-ES_tradnl"/>
        </w:rPr>
        <w:t>i</w:t>
      </w:r>
      <w:r w:rsidRPr="002927A1">
        <w:rPr>
          <w:lang w:val="es-ES_tradnl"/>
        </w:rPr>
        <w:t>quelme (Chile)</w:t>
      </w:r>
    </w:p>
    <w:p w14:paraId="66D6E548" w14:textId="77777777" w:rsidR="00496C8B" w:rsidRPr="002927A1" w:rsidRDefault="00496C8B" w:rsidP="00496C8B">
      <w:pPr>
        <w:pStyle w:val="Normalnumber"/>
        <w:ind w:left="1871" w:firstLine="624"/>
        <w:rPr>
          <w:lang w:val="es-ES_tradnl"/>
        </w:rPr>
      </w:pPr>
      <w:r w:rsidRPr="002927A1">
        <w:rPr>
          <w:lang w:val="es-ES_tradnl"/>
        </w:rPr>
        <w:t>Sr. José Antonio Piedra Montoya (Ecuador)</w:t>
      </w:r>
    </w:p>
    <w:p w14:paraId="5D26F60A" w14:textId="77777777" w:rsidR="00496C8B" w:rsidRPr="002927A1" w:rsidRDefault="00496C8B" w:rsidP="00496C8B">
      <w:pPr>
        <w:pStyle w:val="Normalnumber"/>
        <w:ind w:left="1871" w:firstLine="624"/>
        <w:rPr>
          <w:lang w:val="es-ES_tradnl"/>
        </w:rPr>
      </w:pPr>
      <w:r w:rsidRPr="002927A1">
        <w:rPr>
          <w:lang w:val="es-ES_tradnl"/>
        </w:rPr>
        <w:t>Sr. Arturo Gavilán García (México)</w:t>
      </w:r>
    </w:p>
    <w:p w14:paraId="4C1B2D0D" w14:textId="3487CFD2" w:rsidR="00D648F6" w:rsidRPr="002927A1" w:rsidRDefault="000A4226" w:rsidP="00856BE7">
      <w:pPr>
        <w:pStyle w:val="Normalnumber"/>
        <w:keepNext/>
        <w:keepLines/>
        <w:ind w:left="1247" w:firstLine="624"/>
        <w:rPr>
          <w:lang w:val="es-ES_tradnl"/>
        </w:rPr>
      </w:pPr>
      <w:r w:rsidRPr="002927A1">
        <w:rPr>
          <w:lang w:val="es-ES_tradnl"/>
        </w:rPr>
        <w:lastRenderedPageBreak/>
        <w:t xml:space="preserve">Estados de </w:t>
      </w:r>
      <w:r w:rsidR="00D648F6" w:rsidRPr="002927A1">
        <w:rPr>
          <w:lang w:val="es-ES_tradnl"/>
        </w:rPr>
        <w:t>Asia</w:t>
      </w:r>
      <w:r w:rsidRPr="002927A1">
        <w:rPr>
          <w:lang w:val="es-ES_tradnl"/>
        </w:rPr>
        <w:t xml:space="preserve"> y el </w:t>
      </w:r>
      <w:r w:rsidR="00D648F6" w:rsidRPr="002927A1">
        <w:rPr>
          <w:lang w:val="es-ES_tradnl"/>
        </w:rPr>
        <w:t>Pac</w:t>
      </w:r>
      <w:r w:rsidRPr="002927A1">
        <w:rPr>
          <w:lang w:val="es-ES_tradnl"/>
        </w:rPr>
        <w:t>í</w:t>
      </w:r>
      <w:r w:rsidR="00D648F6" w:rsidRPr="002927A1">
        <w:rPr>
          <w:lang w:val="es-ES_tradnl"/>
        </w:rPr>
        <w:t>fic</w:t>
      </w:r>
      <w:r w:rsidRPr="002927A1">
        <w:rPr>
          <w:lang w:val="es-ES_tradnl"/>
        </w:rPr>
        <w:t>o</w:t>
      </w:r>
      <w:r w:rsidR="00D648F6" w:rsidRPr="002927A1">
        <w:rPr>
          <w:lang w:val="es-ES_tradnl"/>
        </w:rPr>
        <w:t>:</w:t>
      </w:r>
    </w:p>
    <w:p w14:paraId="2B5C04DA" w14:textId="1ACB0EE4" w:rsidR="00D648F6" w:rsidRPr="002927A1" w:rsidRDefault="000A4226" w:rsidP="008F77F9">
      <w:pPr>
        <w:pStyle w:val="Normalnumber"/>
        <w:ind w:left="1871" w:firstLine="624"/>
        <w:rPr>
          <w:lang w:val="es-ES_tradnl"/>
        </w:rPr>
      </w:pPr>
      <w:r w:rsidRPr="002927A1">
        <w:rPr>
          <w:lang w:val="es-ES_tradnl"/>
        </w:rPr>
        <w:t xml:space="preserve">Sr. </w:t>
      </w:r>
      <w:r w:rsidR="00D648F6" w:rsidRPr="002927A1">
        <w:rPr>
          <w:lang w:val="es-ES_tradnl"/>
        </w:rPr>
        <w:t>Haijun Chen (China)</w:t>
      </w:r>
    </w:p>
    <w:p w14:paraId="5EDEDA41" w14:textId="2E076EDA" w:rsidR="00F519E9" w:rsidRPr="002927A1" w:rsidRDefault="000A4226" w:rsidP="00417FE2">
      <w:pPr>
        <w:pStyle w:val="Normalnumber"/>
        <w:ind w:left="1871" w:firstLine="624"/>
        <w:rPr>
          <w:lang w:val="es-ES_tradnl"/>
        </w:rPr>
      </w:pPr>
      <w:r w:rsidRPr="002927A1">
        <w:rPr>
          <w:lang w:val="es-ES_tradnl"/>
        </w:rPr>
        <w:t xml:space="preserve">Sr. </w:t>
      </w:r>
      <w:r w:rsidR="00F519E9" w:rsidRPr="002927A1">
        <w:rPr>
          <w:lang w:val="es-ES_tradnl"/>
        </w:rPr>
        <w:t>Itsuki Kuroda (Jap</w:t>
      </w:r>
      <w:r w:rsidRPr="002927A1">
        <w:rPr>
          <w:lang w:val="es-ES_tradnl"/>
        </w:rPr>
        <w:t>ó</w:t>
      </w:r>
      <w:r w:rsidR="00F519E9" w:rsidRPr="002927A1">
        <w:rPr>
          <w:lang w:val="es-ES_tradnl"/>
        </w:rPr>
        <w:t>n)</w:t>
      </w:r>
    </w:p>
    <w:p w14:paraId="2667E015" w14:textId="0EE6DFA5" w:rsidR="00F519E9" w:rsidRPr="002927A1" w:rsidRDefault="000A4226" w:rsidP="00417FE2">
      <w:pPr>
        <w:pStyle w:val="Normalnumber"/>
        <w:ind w:left="1871" w:firstLine="624"/>
        <w:rPr>
          <w:lang w:val="es-ES_tradnl"/>
        </w:rPr>
      </w:pPr>
      <w:r w:rsidRPr="002927A1">
        <w:rPr>
          <w:lang w:val="es-ES_tradnl"/>
        </w:rPr>
        <w:t xml:space="preserve">Sr. </w:t>
      </w:r>
      <w:r w:rsidR="00F519E9" w:rsidRPr="002927A1">
        <w:rPr>
          <w:lang w:val="es-ES_tradnl"/>
        </w:rPr>
        <w:t>Ahmad Al Qatarneh (Jordan</w:t>
      </w:r>
      <w:r w:rsidRPr="002927A1">
        <w:rPr>
          <w:lang w:val="es-ES_tradnl"/>
        </w:rPr>
        <w:t>ia</w:t>
      </w:r>
      <w:r w:rsidR="00F519E9" w:rsidRPr="002927A1">
        <w:rPr>
          <w:lang w:val="es-ES_tradnl"/>
        </w:rPr>
        <w:t>)</w:t>
      </w:r>
    </w:p>
    <w:p w14:paraId="15FAE697" w14:textId="7C603B2C" w:rsidR="00D648F6" w:rsidRPr="002927A1" w:rsidRDefault="000A4226" w:rsidP="008F77F9">
      <w:pPr>
        <w:pStyle w:val="Normalnumber"/>
        <w:ind w:left="1247" w:firstLine="624"/>
        <w:rPr>
          <w:lang w:val="es-ES_tradnl"/>
        </w:rPr>
      </w:pPr>
      <w:r w:rsidRPr="002927A1">
        <w:rPr>
          <w:lang w:val="es-ES_tradnl"/>
        </w:rPr>
        <w:t>Estados de Europa Central y Oriental</w:t>
      </w:r>
      <w:r w:rsidR="00D648F6" w:rsidRPr="002927A1">
        <w:rPr>
          <w:lang w:val="es-ES_tradnl"/>
        </w:rPr>
        <w:t>:</w:t>
      </w:r>
    </w:p>
    <w:p w14:paraId="45A947EF" w14:textId="6E34684D" w:rsidR="00F519E9" w:rsidRPr="002927A1" w:rsidRDefault="000A4226" w:rsidP="00417FE2">
      <w:pPr>
        <w:pStyle w:val="Normalnumber"/>
        <w:ind w:left="1871" w:firstLine="624"/>
        <w:rPr>
          <w:lang w:val="es-ES_tradnl"/>
        </w:rPr>
      </w:pPr>
      <w:r w:rsidRPr="002927A1">
        <w:rPr>
          <w:lang w:val="es-ES_tradnl"/>
        </w:rPr>
        <w:t xml:space="preserve">Sr. </w:t>
      </w:r>
      <w:r w:rsidR="00F519E9" w:rsidRPr="002927A1">
        <w:rPr>
          <w:lang w:val="es-ES_tradnl"/>
        </w:rPr>
        <w:t>Dubravka Marija Krekovic (Croa</w:t>
      </w:r>
      <w:r w:rsidRPr="002927A1">
        <w:rPr>
          <w:lang w:val="es-ES_tradnl"/>
        </w:rPr>
        <w:t>c</w:t>
      </w:r>
      <w:r w:rsidR="00F519E9" w:rsidRPr="002927A1">
        <w:rPr>
          <w:lang w:val="es-ES_tradnl"/>
        </w:rPr>
        <w:t>ia)</w:t>
      </w:r>
    </w:p>
    <w:p w14:paraId="0A39682E" w14:textId="10ABFBF3" w:rsidR="00F519E9" w:rsidRPr="002927A1" w:rsidRDefault="000A4226" w:rsidP="00417FE2">
      <w:pPr>
        <w:pStyle w:val="Normalnumber"/>
        <w:ind w:left="1871" w:firstLine="624"/>
        <w:rPr>
          <w:lang w:val="es-ES_tradnl"/>
        </w:rPr>
      </w:pPr>
      <w:r w:rsidRPr="002927A1">
        <w:rPr>
          <w:lang w:val="es-ES_tradnl"/>
        </w:rPr>
        <w:t xml:space="preserve">Sra. </w:t>
      </w:r>
      <w:r w:rsidR="00F519E9" w:rsidRPr="002927A1">
        <w:rPr>
          <w:lang w:val="es-ES_tradnl"/>
        </w:rPr>
        <w:t>Svetlana Bolocan (</w:t>
      </w:r>
      <w:r w:rsidR="00D648F6" w:rsidRPr="002927A1">
        <w:rPr>
          <w:lang w:val="es-ES_tradnl"/>
        </w:rPr>
        <w:t>Rep</w:t>
      </w:r>
      <w:r w:rsidRPr="002927A1">
        <w:rPr>
          <w:lang w:val="es-ES_tradnl"/>
        </w:rPr>
        <w:t>ú</w:t>
      </w:r>
      <w:r w:rsidR="00D648F6" w:rsidRPr="002927A1">
        <w:rPr>
          <w:lang w:val="es-ES_tradnl"/>
        </w:rPr>
        <w:t>blic</w:t>
      </w:r>
      <w:r w:rsidRPr="002927A1">
        <w:rPr>
          <w:lang w:val="es-ES_tradnl"/>
        </w:rPr>
        <w:t>a de</w:t>
      </w:r>
      <w:r w:rsidR="00D648F6" w:rsidRPr="002927A1">
        <w:rPr>
          <w:lang w:val="es-ES_tradnl"/>
        </w:rPr>
        <w:t xml:space="preserve"> </w:t>
      </w:r>
      <w:r w:rsidR="00F519E9" w:rsidRPr="002927A1">
        <w:rPr>
          <w:lang w:val="es-ES_tradnl"/>
        </w:rPr>
        <w:t>Moldova)</w:t>
      </w:r>
    </w:p>
    <w:p w14:paraId="575E63B5" w14:textId="6E5DAEED" w:rsidR="00F519E9" w:rsidRPr="002927A1" w:rsidRDefault="000A4226" w:rsidP="00417FE2">
      <w:pPr>
        <w:pStyle w:val="Normalnumber"/>
        <w:ind w:left="1871" w:firstLine="624"/>
        <w:rPr>
          <w:lang w:val="es-ES_tradnl"/>
        </w:rPr>
      </w:pPr>
      <w:r w:rsidRPr="002927A1">
        <w:rPr>
          <w:lang w:val="es-ES_tradnl"/>
        </w:rPr>
        <w:t xml:space="preserve">Sra. </w:t>
      </w:r>
      <w:r w:rsidR="00F519E9" w:rsidRPr="002927A1">
        <w:rPr>
          <w:lang w:val="es-ES_tradnl"/>
        </w:rPr>
        <w:t>Claudia Sorina Dumitru (R</w:t>
      </w:r>
      <w:r w:rsidRPr="002927A1">
        <w:rPr>
          <w:lang w:val="es-ES_tradnl"/>
        </w:rPr>
        <w:t>uman</w:t>
      </w:r>
      <w:r w:rsidR="00C6563A" w:rsidRPr="002927A1">
        <w:rPr>
          <w:lang w:val="es-ES_tradnl"/>
        </w:rPr>
        <w:t>i</w:t>
      </w:r>
      <w:r w:rsidR="00F519E9" w:rsidRPr="002927A1">
        <w:rPr>
          <w:lang w:val="es-ES_tradnl"/>
        </w:rPr>
        <w:t>a)</w:t>
      </w:r>
    </w:p>
    <w:p w14:paraId="5420F942" w14:textId="594E8ED7" w:rsidR="00D648F6" w:rsidRPr="002927A1" w:rsidRDefault="000A4226" w:rsidP="00417FE2">
      <w:pPr>
        <w:pStyle w:val="Normalnumber"/>
        <w:ind w:left="1247" w:firstLine="624"/>
        <w:rPr>
          <w:bCs/>
          <w:lang w:val="es-ES_tradnl"/>
        </w:rPr>
      </w:pPr>
      <w:r w:rsidRPr="002927A1">
        <w:rPr>
          <w:bCs/>
          <w:lang w:val="es-ES_tradnl"/>
        </w:rPr>
        <w:t>Estados de Europa Occidental y otros Estados</w:t>
      </w:r>
      <w:r w:rsidR="00D648F6" w:rsidRPr="002927A1">
        <w:rPr>
          <w:bCs/>
          <w:lang w:val="es-ES_tradnl"/>
        </w:rPr>
        <w:t>:</w:t>
      </w:r>
    </w:p>
    <w:p w14:paraId="5B35B652" w14:textId="36A04573" w:rsidR="00496C8B" w:rsidRPr="002927A1" w:rsidRDefault="00496C8B" w:rsidP="008F77F9">
      <w:pPr>
        <w:pStyle w:val="Normalnumber"/>
        <w:ind w:left="1871" w:firstLine="624"/>
        <w:rPr>
          <w:lang w:val="es-ES_tradnl"/>
        </w:rPr>
      </w:pPr>
      <w:r w:rsidRPr="002927A1">
        <w:rPr>
          <w:lang w:val="es-ES_tradnl"/>
        </w:rPr>
        <w:t>Sr. Gene Smilansky (Estados Unidos de América)</w:t>
      </w:r>
    </w:p>
    <w:p w14:paraId="5559C269" w14:textId="3F2DCD9C" w:rsidR="00D648F6" w:rsidRPr="002927A1" w:rsidRDefault="000A4226" w:rsidP="008F77F9">
      <w:pPr>
        <w:pStyle w:val="Normalnumber"/>
        <w:ind w:left="1871" w:firstLine="624"/>
        <w:rPr>
          <w:lang w:val="es-ES_tradnl"/>
        </w:rPr>
      </w:pPr>
      <w:r w:rsidRPr="002927A1">
        <w:rPr>
          <w:lang w:val="es-ES_tradnl"/>
        </w:rPr>
        <w:t xml:space="preserve">Sra. </w:t>
      </w:r>
      <w:r w:rsidR="00D648F6" w:rsidRPr="002927A1">
        <w:rPr>
          <w:lang w:val="es-ES_tradnl"/>
        </w:rPr>
        <w:t>Karoliina Anttonen (</w:t>
      </w:r>
      <w:r w:rsidRPr="002927A1">
        <w:rPr>
          <w:lang w:val="es-ES_tradnl"/>
        </w:rPr>
        <w:t>Finlandia</w:t>
      </w:r>
      <w:r w:rsidR="00D648F6" w:rsidRPr="002927A1">
        <w:rPr>
          <w:lang w:val="es-ES_tradnl"/>
        </w:rPr>
        <w:t>)</w:t>
      </w:r>
    </w:p>
    <w:p w14:paraId="429BB03A" w14:textId="6B923A45" w:rsidR="00F519E9" w:rsidRPr="002927A1" w:rsidRDefault="000A4226" w:rsidP="00417FE2">
      <w:pPr>
        <w:pStyle w:val="Normalnumber"/>
        <w:ind w:left="1871" w:firstLine="624"/>
        <w:rPr>
          <w:lang w:val="es-ES_tradnl"/>
        </w:rPr>
      </w:pPr>
      <w:r w:rsidRPr="002927A1">
        <w:rPr>
          <w:lang w:val="es-ES_tradnl"/>
        </w:rPr>
        <w:t xml:space="preserve">Sra. </w:t>
      </w:r>
      <w:r w:rsidR="00F519E9" w:rsidRPr="002927A1">
        <w:rPr>
          <w:lang w:val="es-ES_tradnl"/>
        </w:rPr>
        <w:t>Janine van Aalst (</w:t>
      </w:r>
      <w:r w:rsidRPr="002927A1">
        <w:rPr>
          <w:lang w:val="es-ES_tradnl"/>
        </w:rPr>
        <w:t>Países Bajos</w:t>
      </w:r>
      <w:r w:rsidR="00F519E9" w:rsidRPr="002927A1">
        <w:rPr>
          <w:lang w:val="es-ES_tradnl"/>
        </w:rPr>
        <w:t>)</w:t>
      </w:r>
    </w:p>
    <w:p w14:paraId="5B74FFE5" w14:textId="3E1E0366" w:rsidR="00CC6D5F" w:rsidRPr="002927A1" w:rsidRDefault="000A4226"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w:t>
      </w:r>
      <w:r w:rsidR="00CC6D5F" w:rsidRPr="002927A1">
        <w:rPr>
          <w:lang w:val="es-ES_tradnl"/>
        </w:rPr>
        <w:t>Conferenc</w:t>
      </w:r>
      <w:r w:rsidRPr="002927A1">
        <w:rPr>
          <w:lang w:val="es-ES_tradnl"/>
        </w:rPr>
        <w:t xml:space="preserve">ia de las </w:t>
      </w:r>
      <w:r w:rsidR="00CC6D5F" w:rsidRPr="002927A1">
        <w:rPr>
          <w:lang w:val="es-ES_tradnl"/>
        </w:rPr>
        <w:t>Partes</w:t>
      </w:r>
      <w:r w:rsidR="006023F9" w:rsidRPr="002927A1">
        <w:rPr>
          <w:lang w:val="es-ES_tradnl"/>
        </w:rPr>
        <w:t xml:space="preserve"> aprobó</w:t>
      </w:r>
      <w:r w:rsidR="00A96B3B" w:rsidRPr="002927A1">
        <w:rPr>
          <w:lang w:val="es-ES"/>
        </w:rPr>
        <w:t xml:space="preserve"> </w:t>
      </w:r>
      <w:r w:rsidRPr="002927A1">
        <w:rPr>
          <w:lang w:val="es-ES_tradnl"/>
        </w:rPr>
        <w:t xml:space="preserve">también </w:t>
      </w:r>
      <w:r w:rsidR="00A96B3B" w:rsidRPr="002927A1">
        <w:rPr>
          <w:lang w:val="es-ES_tradnl"/>
        </w:rPr>
        <w:t xml:space="preserve">la </w:t>
      </w:r>
      <w:r w:rsidR="00027B01" w:rsidRPr="002927A1">
        <w:rPr>
          <w:lang w:val="es-ES_tradnl"/>
        </w:rPr>
        <w:t>plantilla para las comunicaciones por escrito de las Partes con respecto a su propio cumplimiento (artículo 15, párrafo 4 a)</w:t>
      </w:r>
      <w:r w:rsidR="00CC6D5F" w:rsidRPr="002927A1">
        <w:rPr>
          <w:lang w:val="es-ES_tradnl"/>
        </w:rPr>
        <w:t xml:space="preserve">), </w:t>
      </w:r>
      <w:r w:rsidR="00A24DB9" w:rsidRPr="002927A1">
        <w:rPr>
          <w:lang w:val="es-ES_tradnl"/>
        </w:rPr>
        <w:t xml:space="preserve">que figura en el </w:t>
      </w:r>
      <w:r w:rsidR="00CC6D5F" w:rsidRPr="002927A1">
        <w:rPr>
          <w:lang w:val="es-ES_tradnl"/>
        </w:rPr>
        <w:t>ap</w:t>
      </w:r>
      <w:r w:rsidR="00A24DB9" w:rsidRPr="002927A1">
        <w:rPr>
          <w:lang w:val="es-ES_tradnl"/>
        </w:rPr>
        <w:t>é</w:t>
      </w:r>
      <w:r w:rsidR="00CC6D5F" w:rsidRPr="002927A1">
        <w:rPr>
          <w:lang w:val="es-ES_tradnl"/>
        </w:rPr>
        <w:t>ndi</w:t>
      </w:r>
      <w:r w:rsidR="00A24DB9" w:rsidRPr="002927A1">
        <w:rPr>
          <w:lang w:val="es-ES_tradnl"/>
        </w:rPr>
        <w:t>ce</w:t>
      </w:r>
      <w:r w:rsidR="00CC6D5F" w:rsidRPr="002927A1">
        <w:rPr>
          <w:lang w:val="es-ES_tradnl"/>
        </w:rPr>
        <w:t xml:space="preserve"> III </w:t>
      </w:r>
      <w:r w:rsidR="00A24DB9" w:rsidRPr="002927A1">
        <w:rPr>
          <w:lang w:val="es-ES_tradnl"/>
        </w:rPr>
        <w:t>del anexo al documento</w:t>
      </w:r>
      <w:r w:rsidR="00CC6D5F" w:rsidRPr="002927A1">
        <w:rPr>
          <w:lang w:val="es-ES_tradnl"/>
        </w:rPr>
        <w:t xml:space="preserve"> UNEP/MC/COP.3/13.</w:t>
      </w:r>
    </w:p>
    <w:p w14:paraId="15F3EA51" w14:textId="2075424A" w:rsidR="00A7033C" w:rsidRPr="002927A1" w:rsidRDefault="00A24DB9" w:rsidP="00A524DB">
      <w:pPr>
        <w:pStyle w:val="Normalnumber"/>
        <w:numPr>
          <w:ilvl w:val="0"/>
          <w:numId w:val="44"/>
        </w:numPr>
        <w:tabs>
          <w:tab w:val="clear" w:pos="624"/>
          <w:tab w:val="clear" w:pos="1134"/>
          <w:tab w:val="clear" w:pos="1247"/>
        </w:tabs>
        <w:rPr>
          <w:lang w:val="es-ES_tradnl"/>
        </w:rPr>
      </w:pPr>
      <w:r w:rsidRPr="002927A1">
        <w:rPr>
          <w:lang w:val="es-ES_tradnl"/>
        </w:rPr>
        <w:t xml:space="preserve">Además, la </w:t>
      </w:r>
      <w:r w:rsidR="00CC6D5F" w:rsidRPr="002927A1">
        <w:rPr>
          <w:lang w:val="es-ES_tradnl"/>
        </w:rPr>
        <w:t>Conferenc</w:t>
      </w:r>
      <w:r w:rsidRPr="002927A1">
        <w:rPr>
          <w:lang w:val="es-ES_tradnl"/>
        </w:rPr>
        <w:t xml:space="preserve">ia de las </w:t>
      </w:r>
      <w:r w:rsidR="00CC6D5F" w:rsidRPr="002927A1">
        <w:rPr>
          <w:lang w:val="es-ES_tradnl"/>
        </w:rPr>
        <w:t>Partes apro</w:t>
      </w:r>
      <w:r w:rsidRPr="002927A1">
        <w:rPr>
          <w:lang w:val="es-ES_tradnl"/>
        </w:rPr>
        <w:t>bó el mandato, en su forma enmendada, y adoptó la decisión</w:t>
      </w:r>
      <w:r w:rsidR="00CC6D5F" w:rsidRPr="002927A1">
        <w:rPr>
          <w:lang w:val="es-ES_tradnl"/>
        </w:rPr>
        <w:t xml:space="preserve"> MC-3/</w:t>
      </w:r>
      <w:r w:rsidR="00EE6A6E" w:rsidRPr="002927A1">
        <w:rPr>
          <w:lang w:val="es-ES_tradnl"/>
        </w:rPr>
        <w:t>9</w:t>
      </w:r>
      <w:r w:rsidR="00CC6D5F" w:rsidRPr="002927A1">
        <w:rPr>
          <w:lang w:val="es-ES_tradnl"/>
        </w:rPr>
        <w:t xml:space="preserve"> </w:t>
      </w:r>
      <w:r w:rsidRPr="002927A1">
        <w:rPr>
          <w:lang w:val="es-ES_tradnl"/>
        </w:rPr>
        <w:t>titulada</w:t>
      </w:r>
      <w:r w:rsidR="0073584A" w:rsidRPr="002927A1">
        <w:rPr>
          <w:lang w:val="es-ES_tradnl"/>
        </w:rPr>
        <w:t xml:space="preserve"> “</w:t>
      </w:r>
      <w:r w:rsidRPr="002927A1">
        <w:rPr>
          <w:lang w:val="es-ES_tradnl"/>
        </w:rPr>
        <w:t>Comité de Aplicación y Cumplimiento</w:t>
      </w:r>
      <w:r w:rsidR="0073584A" w:rsidRPr="002927A1">
        <w:rPr>
          <w:lang w:val="es-ES_tradnl"/>
        </w:rPr>
        <w:t xml:space="preserve">: </w:t>
      </w:r>
      <w:r w:rsidRPr="002927A1">
        <w:rPr>
          <w:lang w:val="es-ES_tradnl"/>
        </w:rPr>
        <w:t xml:space="preserve">mandato y </w:t>
      </w:r>
      <w:r w:rsidR="00027B01" w:rsidRPr="002927A1">
        <w:rPr>
          <w:lang w:val="es-ES_tradnl"/>
        </w:rPr>
        <w:t>plantilla para las comunicaciones por escrito</w:t>
      </w:r>
      <w:r w:rsidRPr="002927A1">
        <w:rPr>
          <w:lang w:val="es-ES_tradnl"/>
        </w:rPr>
        <w:t xml:space="preserve"> por las Partes </w:t>
      </w:r>
      <w:r w:rsidR="00027B01" w:rsidRPr="002927A1">
        <w:rPr>
          <w:lang w:val="es-ES_tradnl"/>
        </w:rPr>
        <w:t xml:space="preserve">con </w:t>
      </w:r>
      <w:r w:rsidRPr="002927A1">
        <w:rPr>
          <w:lang w:val="es-ES_tradnl"/>
        </w:rPr>
        <w:t xml:space="preserve">respecto </w:t>
      </w:r>
      <w:r w:rsidR="00027B01" w:rsidRPr="002927A1">
        <w:rPr>
          <w:lang w:val="es-ES_tradnl"/>
        </w:rPr>
        <w:t>a</w:t>
      </w:r>
      <w:r w:rsidRPr="002927A1">
        <w:rPr>
          <w:lang w:val="es-ES_tradnl"/>
        </w:rPr>
        <w:t xml:space="preserve"> su propio cumplimiento</w:t>
      </w:r>
      <w:r w:rsidR="0073584A" w:rsidRPr="002927A1">
        <w:rPr>
          <w:lang w:val="es-ES_tradnl"/>
        </w:rPr>
        <w:t>”</w:t>
      </w:r>
      <w:r w:rsidR="00CC6D5F" w:rsidRPr="002927A1">
        <w:rPr>
          <w:lang w:val="es-ES_tradnl"/>
        </w:rPr>
        <w:t xml:space="preserve">, </w:t>
      </w:r>
      <w:r w:rsidRPr="002927A1">
        <w:rPr>
          <w:lang w:val="es-ES_tradnl"/>
        </w:rPr>
        <w:t xml:space="preserve">presentada por el </w:t>
      </w:r>
      <w:r w:rsidR="00221DEE" w:rsidRPr="002927A1">
        <w:rPr>
          <w:lang w:val="es-ES_tradnl"/>
        </w:rPr>
        <w:t>G</w:t>
      </w:r>
      <w:r w:rsidRPr="002927A1">
        <w:rPr>
          <w:lang w:val="es-ES_tradnl"/>
        </w:rPr>
        <w:t>rupo de Amigos de la Presidencia, la cual figura en el anexo del presente informe</w:t>
      </w:r>
      <w:r w:rsidR="00CC6D5F" w:rsidRPr="002927A1">
        <w:rPr>
          <w:lang w:val="es-ES_tradnl"/>
        </w:rPr>
        <w:t xml:space="preserve">. </w:t>
      </w:r>
    </w:p>
    <w:p w14:paraId="1DCF8F24" w14:textId="34134177" w:rsidR="00077945" w:rsidRPr="002927A1" w:rsidRDefault="00EC6C6F" w:rsidP="00A7033C">
      <w:pPr>
        <w:pStyle w:val="CH2"/>
        <w:rPr>
          <w:lang w:val="es-ES_tradnl"/>
        </w:rPr>
      </w:pPr>
      <w:bookmarkStart w:id="54" w:name="_Toc27124730"/>
      <w:r w:rsidRPr="002927A1">
        <w:rPr>
          <w:lang w:val="es-ES_tradnl"/>
        </w:rPr>
        <w:tab/>
      </w:r>
      <w:r w:rsidR="00A7033C" w:rsidRPr="002927A1">
        <w:rPr>
          <w:lang w:val="es-ES_tradnl"/>
        </w:rPr>
        <w:t>H.</w:t>
      </w:r>
      <w:r w:rsidR="00A7033C" w:rsidRPr="002927A1">
        <w:rPr>
          <w:lang w:val="es-ES_tradnl"/>
        </w:rPr>
        <w:tab/>
      </w:r>
      <w:r w:rsidR="00077945" w:rsidRPr="002927A1">
        <w:rPr>
          <w:lang w:val="es-ES_tradnl"/>
        </w:rPr>
        <w:t>E</w:t>
      </w:r>
      <w:r w:rsidR="00114669" w:rsidRPr="002927A1">
        <w:rPr>
          <w:lang w:val="es-ES_tradnl"/>
        </w:rPr>
        <w:t>valuación de la eficacia</w:t>
      </w:r>
      <w:bookmarkEnd w:id="54"/>
    </w:p>
    <w:p w14:paraId="64C343EB" w14:textId="06F3DDF5" w:rsidR="001248F8" w:rsidRPr="002927A1" w:rsidRDefault="00114669" w:rsidP="00A524DB">
      <w:pPr>
        <w:pStyle w:val="Normalnumber"/>
        <w:numPr>
          <w:ilvl w:val="0"/>
          <w:numId w:val="44"/>
        </w:numPr>
        <w:tabs>
          <w:tab w:val="clear" w:pos="624"/>
          <w:tab w:val="clear" w:pos="1134"/>
          <w:tab w:val="clear" w:pos="1247"/>
        </w:tabs>
        <w:rPr>
          <w:lang w:val="es-ES_tradnl"/>
        </w:rPr>
      </w:pPr>
      <w:r w:rsidRPr="002927A1">
        <w:rPr>
          <w:lang w:val="es-ES_tradnl"/>
        </w:rPr>
        <w:t>Al presentar el tema, la representante de la Secretaría recordó que en el artículo 22 del Convenio se prescribía una evaluación de la eficacia del propio Convenio. Después, pasó a examinar las medidas adoptadas por la Conferencia de las Partes, en sus reuniones primera y segunda y en el período previo a la tercera reunión, para llevar a cabo esa tarea, en especial los arreglos para la provisión de datos de vigilancia comparables sobre la circulación de mercurio en el medio ambiente y sobre las tendencias observadas en los niveles de compuestos de mercurio en los medios bióticos y las poblaciones vulnerables, y el mandato de un comité de evaluación de la eficacia. La oradora llamó a la atención de los presentes la información recogida en la nota de la Secretaría sobre la cuestión (UNEP/MC/COP.3/14; UNEP/M</w:t>
      </w:r>
      <w:r w:rsidR="00AA53B0" w:rsidRPr="002927A1">
        <w:rPr>
          <w:lang w:val="es-ES_tradnl"/>
        </w:rPr>
        <w:t xml:space="preserve">C/COP.3/14/Add.1), la cual abarcaba </w:t>
      </w:r>
      <w:r w:rsidRPr="002927A1">
        <w:rPr>
          <w:lang w:val="es-ES_tradnl"/>
        </w:rPr>
        <w:t>el informe del grupo especial de expertos técnicos sobre el marco propuesto para la evaluación de la eficacia del Convenio</w:t>
      </w:r>
      <w:r w:rsidR="00AA53B0" w:rsidRPr="002927A1">
        <w:rPr>
          <w:lang w:val="es-ES_tradnl"/>
        </w:rPr>
        <w:t>,</w:t>
      </w:r>
      <w:r w:rsidRPr="002927A1">
        <w:rPr>
          <w:lang w:val="es-ES_tradnl"/>
        </w:rPr>
        <w:t xml:space="preserve"> y la información técnica recopilada por el Grupo para ayudar a la Secretaría a examinar el asunto</w:t>
      </w:r>
      <w:r w:rsidR="00CA79C3">
        <w:rPr>
          <w:lang w:val="es-ES_tradnl"/>
        </w:rPr>
        <w:t xml:space="preserve">, así como información de contexto sobre la vigilancia del mercurio </w:t>
      </w:r>
      <w:r w:rsidRPr="002927A1">
        <w:rPr>
          <w:lang w:val="es-ES_tradnl"/>
        </w:rPr>
        <w:t>(UNEP/MC/COP.3/INF/15)</w:t>
      </w:r>
      <w:r w:rsidR="001248F8" w:rsidRPr="002927A1">
        <w:rPr>
          <w:lang w:val="es-ES_tradnl"/>
        </w:rPr>
        <w:t xml:space="preserve">. </w:t>
      </w:r>
    </w:p>
    <w:p w14:paraId="6342EC40" w14:textId="4746666E" w:rsidR="00114669" w:rsidRPr="002927A1" w:rsidRDefault="00114669" w:rsidP="00A524DB">
      <w:pPr>
        <w:pStyle w:val="Normalnumber"/>
        <w:numPr>
          <w:ilvl w:val="0"/>
          <w:numId w:val="44"/>
        </w:numPr>
        <w:tabs>
          <w:tab w:val="clear" w:pos="624"/>
          <w:tab w:val="clear" w:pos="1134"/>
          <w:tab w:val="clear" w:pos="1247"/>
        </w:tabs>
        <w:rPr>
          <w:lang w:val="es-ES_tradnl"/>
        </w:rPr>
      </w:pPr>
      <w:r w:rsidRPr="002927A1">
        <w:rPr>
          <w:lang w:val="es-ES_tradnl"/>
        </w:rPr>
        <w:t xml:space="preserve">Tras esa exposición, los Copresidentes del </w:t>
      </w:r>
      <w:r w:rsidR="00A96B3B" w:rsidRPr="002927A1">
        <w:rPr>
          <w:lang w:val="es-ES_tradnl"/>
        </w:rPr>
        <w:t>g</w:t>
      </w:r>
      <w:r w:rsidRPr="002927A1">
        <w:rPr>
          <w:lang w:val="es-ES_tradnl"/>
        </w:rPr>
        <w:t xml:space="preserve">rupo especial de expertos técnicos, Sra. Kateřina Šebková (Chequia) y Sr. Mohamed Khashashneh (Jordania), informaron sobre la labor del Grupo. En concreto, detallaron el proceso de preparación de la propuesta de un marco para la evaluación de la eficacia y los arreglos de vigilancia mundial en el marco del Convenio. Casi todas las cuestiones planteadas se habían resuelto o incorporado en el informe, pero persistían discrepancias en algunos ámbitos, que se resaltaban en color gris en los documentos de trabajo. En el informe del </w:t>
      </w:r>
      <w:r w:rsidR="00A96B3B" w:rsidRPr="002927A1">
        <w:rPr>
          <w:lang w:val="es-ES_tradnl"/>
        </w:rPr>
        <w:t>g</w:t>
      </w:r>
      <w:r w:rsidRPr="002927A1">
        <w:rPr>
          <w:lang w:val="es-ES_tradnl"/>
        </w:rPr>
        <w:t>rupo especial de expertos técnicos también se exponían los arreglos de vigilancia propuestos. Teniendo en cuenta las posibilidades que brindaban los conocimientos actuales, las actividades de supervisión e investigación en curso y las necesidades del Convenio, el Grupo había señalado cinco elementos fundamentales de los arreglos de vigilancia del Convenio de Minamata, a saber: primero, datos sobre mercurio extraídos de programas de vigilancia de la salud humana y el medio ambiente, de alcance mundial y que comprendían datos representativos básicos de todas las regiones; segundo, instrumentos de apoyo para la armonización de los datos; tercero, conocimientos especializados para reunir y unificar la información armonizada de forma que los datos de vigilancia del mercurio sean comparables y coherentes a largo plazo; cuarto, capacidades de creación de modelos; y quinto, un informe periódico de vigilancia mundial sobre los niveles y las tendencias del mercurio.</w:t>
      </w:r>
    </w:p>
    <w:p w14:paraId="196E4944" w14:textId="77777777" w:rsidR="00114669" w:rsidRPr="002927A1" w:rsidRDefault="00114669" w:rsidP="00A524DB">
      <w:pPr>
        <w:pStyle w:val="Normalnumber"/>
        <w:numPr>
          <w:ilvl w:val="0"/>
          <w:numId w:val="44"/>
        </w:numPr>
        <w:rPr>
          <w:lang w:val="es-ES_tradnl"/>
        </w:rPr>
      </w:pPr>
      <w:r w:rsidRPr="002927A1">
        <w:rPr>
          <w:lang w:val="es-ES_tradnl"/>
        </w:rPr>
        <w:t xml:space="preserve">Los Copresidentes reconocían que había diferencias en cuanto al grado de armonización de las actividades en curso que se habían examinado y también lagunas en los datos, pero insistieron en que la disponibilidad de datos representativos sobre vigilancia del mercurio era fundamental para analizar los niveles y las tendencias de mercurio a nivel mundial y para realizar la evaluación de la eficacia que se solicitaba en el artículo 22. Tras dar las gracias a cuantos habían contribuido a la preparación y el </w:t>
      </w:r>
      <w:r w:rsidRPr="002927A1">
        <w:rPr>
          <w:lang w:val="es-ES_tradnl"/>
        </w:rPr>
        <w:lastRenderedPageBreak/>
        <w:t>examen del informe, los Copresidentes expusieron los arreglos de vigilancia propuestos para su examen y posible aprobación en la reunión en curso.</w:t>
      </w:r>
    </w:p>
    <w:p w14:paraId="36FD6C67" w14:textId="77777777" w:rsidR="00114669" w:rsidRPr="002927A1" w:rsidRDefault="00114669" w:rsidP="00A524DB">
      <w:pPr>
        <w:pStyle w:val="Normalnumber"/>
        <w:numPr>
          <w:ilvl w:val="0"/>
          <w:numId w:val="44"/>
        </w:numPr>
        <w:rPr>
          <w:color w:val="000000"/>
          <w:lang w:val="es-ES_tradnl"/>
        </w:rPr>
      </w:pPr>
      <w:r w:rsidRPr="002927A1">
        <w:rPr>
          <w:lang w:val="es-ES_tradnl"/>
        </w:rPr>
        <w:t xml:space="preserve">Durante el debate que tuvo lugar a continuación, varios representantes destacaron la importancia de la evaluación de la eficacia para el funcionamiento adecuado del Convenio de Minamata y para el cumplimiento de sus disposiciones por las Partes. Una representante dijo que hacía falta un proceso sólido de evaluación de la eficacia para cuantificar la medida en que el tratado funcionaba correctamente y que era fundamental que en la presente reunión se lograsen avances al respecto. Había que destinar una partida suficiente del fondo fiduciario general para garantizar la solidez del proceso. </w:t>
      </w:r>
    </w:p>
    <w:p w14:paraId="34F00009" w14:textId="130B4A46" w:rsidR="00174D64" w:rsidRPr="002927A1" w:rsidRDefault="00114669" w:rsidP="00A524DB">
      <w:pPr>
        <w:pStyle w:val="Normalnumber"/>
        <w:numPr>
          <w:ilvl w:val="0"/>
          <w:numId w:val="44"/>
        </w:numPr>
        <w:rPr>
          <w:lang w:val="es-ES_tradnl"/>
        </w:rPr>
      </w:pPr>
      <w:r w:rsidRPr="002927A1">
        <w:rPr>
          <w:lang w:val="es-ES_tradnl"/>
        </w:rPr>
        <w:t xml:space="preserve">Varios representantes elogiaron la labor realizada por el </w:t>
      </w:r>
      <w:r w:rsidR="007534EC" w:rsidRPr="002927A1">
        <w:rPr>
          <w:lang w:val="es-ES_tradnl"/>
        </w:rPr>
        <w:t>g</w:t>
      </w:r>
      <w:r w:rsidRPr="002927A1">
        <w:rPr>
          <w:lang w:val="es-ES_tradnl"/>
        </w:rPr>
        <w:t xml:space="preserve">rupo especial de expertos técnicos para la evaluación de la eficacia en la preparación de la propuesta del marco para la evaluación de la eficacia del Convenio de Minamata sobre el Mercurio. En general se coincidía en que el informe de la Secretaría contenido en el documento UNEP/MC/COP.3/14 y su adición eran una buena base para seguir examinando el asunto. Una representante, que habló en nombre de un grupo de países, expresó su apoyo a varios de los elementos propuestos por el </w:t>
      </w:r>
      <w:r w:rsidR="007534EC" w:rsidRPr="002927A1">
        <w:rPr>
          <w:lang w:val="es-ES_tradnl"/>
        </w:rPr>
        <w:t>g</w:t>
      </w:r>
      <w:r w:rsidRPr="002927A1">
        <w:rPr>
          <w:lang w:val="es-ES_tradnl"/>
        </w:rPr>
        <w:t>rupo especial de expertos técnicos, a saber: el proyecto de mandato para el comité de evaluación de la eficacia, los arreglos de vigilancia mundial propuestos de conformidad con el artículo 22 del Convenio, el proyecto de mandato para el grupo de vigilancia y la propuesta de encomendar a este grupo la elaboración de orientación para las Partes en materia de vigilancia del mercurio, incluidos unos procedimientos operativos normalizados</w:t>
      </w:r>
      <w:r w:rsidR="00174D64" w:rsidRPr="002927A1">
        <w:rPr>
          <w:lang w:val="es-ES_tradnl"/>
        </w:rPr>
        <w:t xml:space="preserve">. </w:t>
      </w:r>
    </w:p>
    <w:p w14:paraId="392B1CFC" w14:textId="332D2AE2" w:rsidR="00114669" w:rsidRPr="002927A1" w:rsidRDefault="00114669" w:rsidP="00A524DB">
      <w:pPr>
        <w:pStyle w:val="Normalnumber"/>
        <w:numPr>
          <w:ilvl w:val="0"/>
          <w:numId w:val="44"/>
        </w:numPr>
        <w:rPr>
          <w:lang w:val="es-ES_tradnl"/>
        </w:rPr>
      </w:pPr>
      <w:r w:rsidRPr="002927A1">
        <w:rPr>
          <w:lang w:val="es-ES_tradnl"/>
        </w:rPr>
        <w:t xml:space="preserve">Varios representantes hicieron referencia a diversos elementos de las conclusiones del </w:t>
      </w:r>
      <w:r w:rsidR="007534EC" w:rsidRPr="002927A1">
        <w:rPr>
          <w:lang w:val="es-ES_tradnl"/>
        </w:rPr>
        <w:t>g</w:t>
      </w:r>
      <w:r w:rsidRPr="002927A1">
        <w:rPr>
          <w:lang w:val="es-ES_tradnl"/>
        </w:rPr>
        <w:t xml:space="preserve">rupo especial de expertos técnicos que merecían un examen más profundo sobre los indicadores elaborados, el número de expertos que designaría cada región de las Naciones Unidas para el comité de evaluación de la eficacia y el grupo de supervisión, la fecha y el contenido del informe de atribución, y la función que podrían desempeñar la creación de capacidad, la asistencia técnica y la transferencia de tecnología con arreglo a lo dispuesto en el artículo 14. En ese sentido, un representante, que habló en nombre de un grupo de países, dijo que la evaluación de la eficacia representaba la columna vertebral del Convenio para su región y que se necesitaban recursos suficientes para llevarla a término. Una representante insistió en que a fin de garantizar que las conclusiones fuesen exactas y fidedignas los datos empleados en el informe deberían derivarse de datos oficiales y, en caso de que no se dispusiese de ellos, los datos deberían ser avalados por el Gobierno. Otro representante dijo que la gestión ambientalmente racional de los desechos sería cada vez más importante conforme fuesen eliminándose los productos que contenían mercurio y que el informe sobre los desechos era, pues, decisivo para evaluar la eficacia de los artículos 9 y 11. Un representante, que habló en nombre de un grupo de países, destacó la importancia de vigilar los niveles de mercurio en los sistemas acuáticos de agua dulce, y otra representante subrayó la pertinencia de la vigilancia biológica del mercurio para los pequeños Estados insulares en desarrollo. </w:t>
      </w:r>
    </w:p>
    <w:p w14:paraId="4603CDE2" w14:textId="5B3D1200" w:rsidR="00114669" w:rsidRPr="002927A1" w:rsidRDefault="00114669" w:rsidP="00A524DB">
      <w:pPr>
        <w:pStyle w:val="Normalnumber"/>
        <w:numPr>
          <w:ilvl w:val="0"/>
          <w:numId w:val="44"/>
        </w:numPr>
        <w:tabs>
          <w:tab w:val="clear" w:pos="624"/>
          <w:tab w:val="clear" w:pos="1134"/>
          <w:tab w:val="clear" w:pos="1247"/>
        </w:tabs>
        <w:rPr>
          <w:lang w:val="es-ES_tradnl"/>
        </w:rPr>
      </w:pPr>
      <w:r w:rsidRPr="002927A1">
        <w:rPr>
          <w:lang w:val="es-ES_tradnl"/>
        </w:rPr>
        <w:t xml:space="preserve">Representantes de organizaciones no gubernamentales señalaron a la atención de los presentes varios aspectos que eran motivo de preocupación, como el peligro que planteaban los altos niveles de mercurio en el agua dulce y la necesidad de armonizar los estudios de la contaminación por mercurio con el Objetivo de Desarrollo Sostenible 6, sobre agua </w:t>
      </w:r>
      <w:r w:rsidR="00CA79C3">
        <w:rPr>
          <w:lang w:val="es-ES_tradnl"/>
        </w:rPr>
        <w:t>potable</w:t>
      </w:r>
      <w:r w:rsidRPr="002927A1">
        <w:rPr>
          <w:lang w:val="es-ES_tradnl"/>
        </w:rPr>
        <w:t xml:space="preserve">; y la acumulación de mercurio transportado a larga distancia en el medio ambiente del Ártico, lo que obligaba a seguir realizando actividades de vigilancia e investigación para establecer los niveles de exposición y monitorizar las tendencias. </w:t>
      </w:r>
    </w:p>
    <w:p w14:paraId="1AFE24E1" w14:textId="192EB852" w:rsidR="00114669" w:rsidRPr="002927A1" w:rsidRDefault="00114669"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representante del PNUMA dijo que la Organización, en colaboración con los asociados, incluida </w:t>
      </w:r>
      <w:r w:rsidR="001653E7" w:rsidRPr="002927A1">
        <w:rPr>
          <w:lang w:val="es-ES_tradnl"/>
        </w:rPr>
        <w:t>l</w:t>
      </w:r>
      <w:r w:rsidRPr="002927A1">
        <w:rPr>
          <w:lang w:val="es-ES_tradnl"/>
        </w:rPr>
        <w:t>a OMS, y con el apoyo del FMAM, había elaborado un plan para la vigilancia mundial de la</w:t>
      </w:r>
      <w:r w:rsidR="00881775" w:rsidRPr="002927A1">
        <w:rPr>
          <w:lang w:val="es-ES_tradnl"/>
        </w:rPr>
        <w:t> </w:t>
      </w:r>
      <w:r w:rsidRPr="002927A1">
        <w:rPr>
          <w:lang w:val="es-ES_tradnl"/>
        </w:rPr>
        <w:t xml:space="preserve">exposición humana al mercurio y las concentraciones de este en el medio ambiente, como se indicaba en el documento UNEP/MC/COP.3/INF/19. También destacó la </w:t>
      </w:r>
      <w:r w:rsidRPr="002927A1">
        <w:rPr>
          <w:i/>
          <w:iCs/>
          <w:lang w:val="es-ES_tradnl"/>
        </w:rPr>
        <w:t>Evaluación Mundial del Mercurio 2018</w:t>
      </w:r>
      <w:r w:rsidRPr="002927A1">
        <w:rPr>
          <w:lang w:val="es-ES_tradnl"/>
        </w:rPr>
        <w:t xml:space="preserve"> del PNUMA, que incluía estimaciones</w:t>
      </w:r>
      <w:r w:rsidR="00E258D1" w:rsidRPr="002927A1">
        <w:rPr>
          <w:lang w:val="es-ES_tradnl"/>
        </w:rPr>
        <w:tab/>
      </w:r>
      <w:r w:rsidRPr="002927A1">
        <w:rPr>
          <w:lang w:val="es-ES_tradnl"/>
        </w:rPr>
        <w:t xml:space="preserve"> de las emisiones de mercurio por sectores y</w:t>
      </w:r>
      <w:r w:rsidR="00881775" w:rsidRPr="002927A1">
        <w:rPr>
          <w:lang w:val="es-ES_tradnl"/>
        </w:rPr>
        <w:t> </w:t>
      </w:r>
      <w:r w:rsidRPr="002927A1">
        <w:rPr>
          <w:lang w:val="es-ES_tradnl"/>
        </w:rPr>
        <w:t xml:space="preserve">países. </w:t>
      </w:r>
    </w:p>
    <w:p w14:paraId="700B3A26" w14:textId="3E09CF33" w:rsidR="00174D64" w:rsidRPr="002927A1" w:rsidRDefault="00114669" w:rsidP="00A524DB">
      <w:pPr>
        <w:pStyle w:val="Normalnumber"/>
        <w:numPr>
          <w:ilvl w:val="0"/>
          <w:numId w:val="44"/>
        </w:numPr>
        <w:tabs>
          <w:tab w:val="clear" w:pos="624"/>
          <w:tab w:val="clear" w:pos="1134"/>
          <w:tab w:val="clear" w:pos="1247"/>
        </w:tabs>
        <w:rPr>
          <w:lang w:val="es-ES_tradnl"/>
        </w:rPr>
      </w:pPr>
      <w:r w:rsidRPr="002927A1">
        <w:rPr>
          <w:lang w:val="es-ES_tradnl"/>
        </w:rPr>
        <w:t xml:space="preserve">Tras el debate, la Conferencia de las Partes acordó establecer un grupo de contacto, copresidido por la Sra. Kateřina Šebková (Chequia) y la Sra. Teeraporn Wiriwutikorn (Tailandia), </w:t>
      </w:r>
      <w:r w:rsidR="00CA79C3">
        <w:rPr>
          <w:lang w:val="es-ES_tradnl"/>
        </w:rPr>
        <w:t xml:space="preserve">para resolver </w:t>
      </w:r>
      <w:r w:rsidRPr="002927A1">
        <w:rPr>
          <w:lang w:val="es-ES_tradnl"/>
        </w:rPr>
        <w:t>toda</w:t>
      </w:r>
      <w:r w:rsidR="00CA79C3">
        <w:rPr>
          <w:lang w:val="es-ES_tradnl"/>
        </w:rPr>
        <w:t xml:space="preserve">s las cuestiones que pudieran quedar pendientes </w:t>
      </w:r>
      <w:r w:rsidRPr="002927A1">
        <w:rPr>
          <w:lang w:val="es-ES_tradnl"/>
        </w:rPr>
        <w:t>en el marco propuesto para la evaluación de la eficacia; llegara a un acuerdo sobre la labor que se realizaría en el período entre las reuniones tercera y cuarta de la Conferencia de las Partes; y, a partir del proyecto de decisión que figuraba en el anexo I del documento UNEP/MC/COP.3/14, preparase una versión revisada del proyecto de decisión sobre los arreglos relativos a la primera evaluación de la</w:t>
      </w:r>
      <w:r w:rsidR="001653E7" w:rsidRPr="002927A1">
        <w:rPr>
          <w:lang w:val="es-ES_tradnl"/>
        </w:rPr>
        <w:t> </w:t>
      </w:r>
      <w:r w:rsidRPr="002927A1">
        <w:rPr>
          <w:lang w:val="es-ES_tradnl"/>
        </w:rPr>
        <w:t>eficacia del Convenio de Minamata, para su examen por el plenario, incluida la descripción del marco, el mandato del comité que se ha de establecer para llevar a cabo la evaluación de la eficacia, los arreglos de vigilancia a nivel mundial, y una descripción de los informes que deberá preparar el</w:t>
      </w:r>
      <w:r w:rsidR="001653E7" w:rsidRPr="002927A1">
        <w:rPr>
          <w:lang w:val="es-ES_tradnl"/>
        </w:rPr>
        <w:t> </w:t>
      </w:r>
      <w:r w:rsidR="00D7498B" w:rsidRPr="002927A1">
        <w:rPr>
          <w:lang w:val="es-ES_tradnl"/>
        </w:rPr>
        <w:t>C</w:t>
      </w:r>
      <w:r w:rsidRPr="002927A1">
        <w:rPr>
          <w:lang w:val="es-ES_tradnl"/>
        </w:rPr>
        <w:t>omité</w:t>
      </w:r>
      <w:r w:rsidR="00174D64" w:rsidRPr="002927A1">
        <w:rPr>
          <w:lang w:val="es-ES_tradnl"/>
        </w:rPr>
        <w:t>.</w:t>
      </w:r>
    </w:p>
    <w:p w14:paraId="6C2CC08D" w14:textId="473C244F" w:rsidR="00623D70" w:rsidRPr="002927A1" w:rsidRDefault="00050B0A" w:rsidP="00A524DB">
      <w:pPr>
        <w:pStyle w:val="Normalnumber"/>
        <w:numPr>
          <w:ilvl w:val="0"/>
          <w:numId w:val="44"/>
        </w:numPr>
        <w:tabs>
          <w:tab w:val="clear" w:pos="624"/>
          <w:tab w:val="clear" w:pos="1134"/>
          <w:tab w:val="clear" w:pos="1247"/>
        </w:tabs>
        <w:rPr>
          <w:lang w:val="es-ES_tradnl"/>
        </w:rPr>
      </w:pPr>
      <w:r w:rsidRPr="002927A1">
        <w:rPr>
          <w:lang w:val="es-ES_tradnl"/>
        </w:rPr>
        <w:lastRenderedPageBreak/>
        <w:t xml:space="preserve">Una vez concluida la labor del grupo de contacto sobre evaluación de la eficacia encargado de preparar un proyecto de </w:t>
      </w:r>
      <w:r w:rsidR="00A60CBD" w:rsidRPr="002927A1">
        <w:rPr>
          <w:lang w:val="es-ES_tradnl"/>
        </w:rPr>
        <w:t>decisión</w:t>
      </w:r>
      <w:r w:rsidRPr="002927A1">
        <w:rPr>
          <w:lang w:val="es-ES_tradnl"/>
        </w:rPr>
        <w:t xml:space="preserve"> para que fuese examinado por la Conferencia de las Partes, y luego de la celebración de nuevas consultas oficiosas, el </w:t>
      </w:r>
      <w:r w:rsidR="006B1AD4" w:rsidRPr="002927A1">
        <w:rPr>
          <w:lang w:val="es-ES_tradnl"/>
        </w:rPr>
        <w:t>President</w:t>
      </w:r>
      <w:r w:rsidRPr="002927A1">
        <w:rPr>
          <w:lang w:val="es-ES_tradnl"/>
        </w:rPr>
        <w:t>e</w:t>
      </w:r>
      <w:r w:rsidR="006B1AD4" w:rsidRPr="002927A1">
        <w:rPr>
          <w:lang w:val="es-ES_tradnl"/>
        </w:rPr>
        <w:t xml:space="preserve"> prop</w:t>
      </w:r>
      <w:r w:rsidRPr="002927A1">
        <w:rPr>
          <w:lang w:val="es-ES_tradnl"/>
        </w:rPr>
        <w:t>u</w:t>
      </w:r>
      <w:r w:rsidR="006B1AD4" w:rsidRPr="002927A1">
        <w:rPr>
          <w:lang w:val="es-ES_tradnl"/>
        </w:rPr>
        <w:t>s</w:t>
      </w:r>
      <w:r w:rsidRPr="002927A1">
        <w:rPr>
          <w:lang w:val="es-ES_tradnl"/>
        </w:rPr>
        <w:t>o un proyecto de decisión sobre los arreglos para la primera evaluación de la eficacia, el cual debería ser examinado por la</w:t>
      </w:r>
      <w:r w:rsidR="006B1AD4" w:rsidRPr="002927A1">
        <w:rPr>
          <w:lang w:val="es-ES_tradnl"/>
        </w:rPr>
        <w:t xml:space="preserve"> </w:t>
      </w:r>
      <w:r w:rsidRPr="002927A1">
        <w:rPr>
          <w:lang w:val="es-ES_tradnl"/>
        </w:rPr>
        <w:t xml:space="preserve">Conferencia de las </w:t>
      </w:r>
      <w:r w:rsidR="00B56FE3" w:rsidRPr="002927A1">
        <w:rPr>
          <w:lang w:val="es-ES_tradnl"/>
        </w:rPr>
        <w:t>Partes</w:t>
      </w:r>
      <w:r w:rsidRPr="002927A1">
        <w:rPr>
          <w:lang w:val="es-ES_tradnl"/>
        </w:rPr>
        <w:t>.</w:t>
      </w:r>
      <w:r w:rsidR="006B1AD4" w:rsidRPr="002927A1">
        <w:rPr>
          <w:lang w:val="es-ES_tradnl"/>
        </w:rPr>
        <w:t xml:space="preserve"> </w:t>
      </w:r>
      <w:r w:rsidRPr="002927A1">
        <w:rPr>
          <w:lang w:val="es-ES_tradnl"/>
        </w:rPr>
        <w:t xml:space="preserve">Posteriormente, la </w:t>
      </w:r>
      <w:r w:rsidR="00623D70" w:rsidRPr="002927A1">
        <w:rPr>
          <w:lang w:val="es-ES_tradnl"/>
        </w:rPr>
        <w:t>Conferenc</w:t>
      </w:r>
      <w:r w:rsidRPr="002927A1">
        <w:rPr>
          <w:lang w:val="es-ES_tradnl"/>
        </w:rPr>
        <w:t xml:space="preserve">ia de las </w:t>
      </w:r>
      <w:r w:rsidR="00623D70" w:rsidRPr="002927A1">
        <w:rPr>
          <w:lang w:val="es-ES_tradnl"/>
        </w:rPr>
        <w:t>Partes adopt</w:t>
      </w:r>
      <w:r w:rsidRPr="002927A1">
        <w:rPr>
          <w:lang w:val="es-ES_tradnl"/>
        </w:rPr>
        <w:t xml:space="preserve">ó la </w:t>
      </w:r>
      <w:r w:rsidR="00623D70" w:rsidRPr="002927A1">
        <w:rPr>
          <w:lang w:val="es-ES_tradnl"/>
        </w:rPr>
        <w:t>decisi</w:t>
      </w:r>
      <w:r w:rsidRPr="002927A1">
        <w:rPr>
          <w:lang w:val="es-ES_tradnl"/>
        </w:rPr>
        <w:t>ó</w:t>
      </w:r>
      <w:r w:rsidR="00623D70" w:rsidRPr="002927A1">
        <w:rPr>
          <w:lang w:val="es-ES_tradnl"/>
        </w:rPr>
        <w:t>n MC-3/</w:t>
      </w:r>
      <w:r w:rsidR="00EE6A6E" w:rsidRPr="002927A1">
        <w:rPr>
          <w:lang w:val="es-ES_tradnl"/>
        </w:rPr>
        <w:t>10</w:t>
      </w:r>
      <w:r w:rsidRPr="002927A1">
        <w:rPr>
          <w:lang w:val="es-ES_tradnl"/>
        </w:rPr>
        <w:t xml:space="preserve"> relativa a los </w:t>
      </w:r>
      <w:r w:rsidR="0019398A" w:rsidRPr="002927A1">
        <w:rPr>
          <w:lang w:val="es-ES_tradnl"/>
        </w:rPr>
        <w:t xml:space="preserve">arreglos para la primera evaluación de la eficacia del </w:t>
      </w:r>
      <w:r w:rsidR="00EE6A6E" w:rsidRPr="002927A1">
        <w:rPr>
          <w:lang w:val="es-ES_tradnl"/>
        </w:rPr>
        <w:t>Convenio</w:t>
      </w:r>
      <w:r w:rsidR="00623D70" w:rsidRPr="002927A1">
        <w:rPr>
          <w:lang w:val="es-ES_tradnl"/>
        </w:rPr>
        <w:t xml:space="preserve">, </w:t>
      </w:r>
      <w:r w:rsidR="0019398A" w:rsidRPr="002927A1">
        <w:rPr>
          <w:lang w:val="es-ES_tradnl"/>
        </w:rPr>
        <w:t>la cual se reproduce en el anexo del presente informe</w:t>
      </w:r>
      <w:r w:rsidR="00623D70" w:rsidRPr="002927A1">
        <w:rPr>
          <w:lang w:val="es-ES_tradnl"/>
        </w:rPr>
        <w:t xml:space="preserve">. </w:t>
      </w:r>
    </w:p>
    <w:p w14:paraId="3EB30A95" w14:textId="1822EF52" w:rsidR="00077945" w:rsidRPr="0085378A" w:rsidRDefault="00EC6C6F" w:rsidP="003051A1">
      <w:pPr>
        <w:pStyle w:val="CH1"/>
        <w:rPr>
          <w:sz w:val="24"/>
          <w:szCs w:val="24"/>
          <w:lang w:val="es-ES_tradnl"/>
        </w:rPr>
      </w:pPr>
      <w:r w:rsidRPr="002927A1">
        <w:rPr>
          <w:lang w:val="es-ES_tradnl"/>
        </w:rPr>
        <w:tab/>
      </w:r>
      <w:r w:rsidR="00A7033C" w:rsidRPr="0085378A">
        <w:rPr>
          <w:sz w:val="24"/>
          <w:szCs w:val="24"/>
          <w:lang w:val="es-ES_tradnl"/>
        </w:rPr>
        <w:t>I.</w:t>
      </w:r>
      <w:r w:rsidR="00A7033C" w:rsidRPr="0085378A">
        <w:rPr>
          <w:sz w:val="24"/>
          <w:szCs w:val="24"/>
          <w:lang w:val="es-ES_tradnl"/>
        </w:rPr>
        <w:tab/>
      </w:r>
      <w:r w:rsidR="004C1C14" w:rsidRPr="0085378A">
        <w:rPr>
          <w:bCs/>
          <w:sz w:val="24"/>
          <w:szCs w:val="24"/>
          <w:lang w:val="es-ES_tradnl"/>
        </w:rPr>
        <w:t>Reglamento financiero</w:t>
      </w:r>
    </w:p>
    <w:p w14:paraId="0F3BD829" w14:textId="52063391" w:rsidR="004C1C14" w:rsidRPr="002927A1" w:rsidRDefault="004C1C14" w:rsidP="00A524DB">
      <w:pPr>
        <w:pStyle w:val="Normalnumber"/>
        <w:numPr>
          <w:ilvl w:val="0"/>
          <w:numId w:val="44"/>
        </w:numPr>
        <w:tabs>
          <w:tab w:val="clear" w:pos="624"/>
          <w:tab w:val="clear" w:pos="1134"/>
          <w:tab w:val="clear" w:pos="1247"/>
        </w:tabs>
        <w:rPr>
          <w:lang w:val="es-ES_tradnl"/>
        </w:rPr>
      </w:pPr>
      <w:r w:rsidRPr="002927A1">
        <w:rPr>
          <w:lang w:val="es-ES_tradnl"/>
        </w:rPr>
        <w:t>Al presentar el tema, la representante de la Secretaría recordó que, en su primera reunión, en la decisión MC</w:t>
      </w:r>
      <w:r w:rsidRPr="002927A1">
        <w:rPr>
          <w:lang w:val="es-ES_tradnl"/>
        </w:rPr>
        <w:noBreakHyphen/>
        <w:t xml:space="preserve">1/10, la Conferencia de las Partes había aprobado su reglamento financiero y los de cualesquiera órganos subsidiarios que pudiera establecer, junto con las disposiciones financieras que han de regir el funcionamiento de la Secretaría. Se dejó entre corchetes el texto del párrafo 3 e) del artículo 5 del reglamento financiero y el de los párrafos 2 y 5 del anexo del reglamento financiero. En su segunda reunión, la Conferencia había acordado aplazar la continuación del examen de la cuestión hasta su tercera reunión. La oradora señaló a la atención de los presentes la información pertinente que figuraba en la nota de la Secretaría sobre la cuestión (UNEP/MC/COP.3/15) </w:t>
      </w:r>
    </w:p>
    <w:p w14:paraId="05E05791" w14:textId="77777777" w:rsidR="004C1C14" w:rsidRPr="002927A1" w:rsidRDefault="004C1C14"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Conferencia de las Partes examinó primeramente el párrafo 3 e) del artículo 5. Varios representantes se opusieron a la supresión de los corchetes. Una objeción similar fue planteada por otro representante a la propuesta de eliminar los corchetes del texto que figuraba en el anexo. </w:t>
      </w:r>
    </w:p>
    <w:p w14:paraId="0A8C11C6" w14:textId="77777777" w:rsidR="004C1C14" w:rsidRPr="002927A1" w:rsidRDefault="004C1C14" w:rsidP="00A524DB">
      <w:pPr>
        <w:pStyle w:val="Normalnumber"/>
        <w:numPr>
          <w:ilvl w:val="0"/>
          <w:numId w:val="44"/>
        </w:numPr>
        <w:tabs>
          <w:tab w:val="clear" w:pos="624"/>
          <w:tab w:val="clear" w:pos="1134"/>
          <w:tab w:val="clear" w:pos="1247"/>
        </w:tabs>
        <w:rPr>
          <w:lang w:val="es-ES_tradnl"/>
        </w:rPr>
      </w:pPr>
      <w:r w:rsidRPr="002927A1">
        <w:rPr>
          <w:lang w:val="es-ES_tradnl"/>
        </w:rPr>
        <w:t>Por consiguiente, la Conferencia de las Partes acordó aplazar el examen del texto entre corchetes en el artículo 5 y en el anexo del reglamento financiero hasta su cuarta reunión.</w:t>
      </w:r>
    </w:p>
    <w:p w14:paraId="14C42728" w14:textId="3B272743" w:rsidR="00372928" w:rsidRPr="002927A1" w:rsidRDefault="004C1C14" w:rsidP="00A524DB">
      <w:pPr>
        <w:pStyle w:val="Normalnumber"/>
        <w:numPr>
          <w:ilvl w:val="0"/>
          <w:numId w:val="44"/>
        </w:numPr>
        <w:tabs>
          <w:tab w:val="clear" w:pos="624"/>
          <w:tab w:val="clear" w:pos="1134"/>
          <w:tab w:val="clear" w:pos="1247"/>
        </w:tabs>
        <w:rPr>
          <w:lang w:val="es-ES_tradnl"/>
        </w:rPr>
      </w:pPr>
      <w:r w:rsidRPr="002927A1">
        <w:rPr>
          <w:lang w:val="es-ES_tradnl"/>
        </w:rPr>
        <w:t xml:space="preserve">Recordando una situación parecida a propósito del tema 3, sobre el reglamento, el Presidente reiteró su advertencia </w:t>
      </w:r>
      <w:r w:rsidR="00AA53B0" w:rsidRPr="002927A1">
        <w:rPr>
          <w:lang w:val="es-ES_tradnl"/>
        </w:rPr>
        <w:t xml:space="preserve">de que </w:t>
      </w:r>
      <w:r w:rsidRPr="002927A1">
        <w:rPr>
          <w:lang w:val="es-ES_tradnl"/>
        </w:rPr>
        <w:t>la insistencia en aplazar el examen de esas cuestiones creaba un legado de cuestiones por resolver en esferas importantes del Convenio</w:t>
      </w:r>
      <w:r w:rsidR="00372928" w:rsidRPr="002927A1">
        <w:rPr>
          <w:lang w:val="es-ES_tradnl"/>
        </w:rPr>
        <w:t>.</w:t>
      </w:r>
      <w:r w:rsidR="009473E1" w:rsidRPr="002927A1">
        <w:rPr>
          <w:lang w:val="es-ES_tradnl"/>
        </w:rPr>
        <w:t xml:space="preserve"> </w:t>
      </w:r>
    </w:p>
    <w:p w14:paraId="75A9B9F0" w14:textId="4F3F3080" w:rsidR="00077945" w:rsidRPr="002927A1" w:rsidRDefault="00EC6C6F" w:rsidP="00683434">
      <w:pPr>
        <w:pStyle w:val="CH2"/>
        <w:rPr>
          <w:lang w:val="es-ES_tradnl"/>
        </w:rPr>
      </w:pPr>
      <w:bookmarkStart w:id="55" w:name="_Toc27124731"/>
      <w:r w:rsidRPr="002927A1">
        <w:rPr>
          <w:lang w:val="es-ES_tradnl"/>
        </w:rPr>
        <w:tab/>
      </w:r>
      <w:r w:rsidR="00A7033C" w:rsidRPr="002927A1">
        <w:rPr>
          <w:lang w:val="es-ES_tradnl"/>
        </w:rPr>
        <w:t>J.</w:t>
      </w:r>
      <w:r w:rsidR="00A7033C" w:rsidRPr="002927A1">
        <w:rPr>
          <w:lang w:val="es-ES_tradnl"/>
        </w:rPr>
        <w:tab/>
      </w:r>
      <w:r w:rsidR="00077945" w:rsidRPr="002927A1">
        <w:rPr>
          <w:lang w:val="es-ES_tradnl"/>
        </w:rPr>
        <w:t>Secretar</w:t>
      </w:r>
      <w:r w:rsidR="004F3EFB" w:rsidRPr="002927A1">
        <w:rPr>
          <w:lang w:val="es-ES_tradnl"/>
        </w:rPr>
        <w:t>ía</w:t>
      </w:r>
      <w:bookmarkEnd w:id="55"/>
    </w:p>
    <w:p w14:paraId="4AB46CA1" w14:textId="3EC800AE" w:rsidR="004F3EFB"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Al introducir el tema en nombre de la Directora Ejecutiva, la Sra. Sonja Leighton</w:t>
      </w:r>
      <w:r w:rsidRPr="002927A1">
        <w:rPr>
          <w:lang w:val="es-ES_tradnl"/>
        </w:rPr>
        <w:noBreakHyphen/>
        <w:t>Kone, Directora de la División de Servicios Corporativos del PNUMA, recordó que en su segunda reunión, en su decisión MC</w:t>
      </w:r>
      <w:r w:rsidRPr="002927A1">
        <w:rPr>
          <w:lang w:val="es-ES_tradnl"/>
        </w:rPr>
        <w:noBreakHyphen/>
        <w:t xml:space="preserve">2/7, </w:t>
      </w:r>
      <w:r w:rsidR="00CA79C3">
        <w:rPr>
          <w:lang w:val="es-ES_tradnl"/>
        </w:rPr>
        <w:t xml:space="preserve">relativa a la cooperación entre la Secretaría del Convenio de Minamata y la de los Convenios de Basilea, Estocolmo y Rotterdam, </w:t>
      </w:r>
      <w:r w:rsidRPr="002927A1">
        <w:rPr>
          <w:lang w:val="es-ES_tradnl"/>
        </w:rPr>
        <w:t xml:space="preserve">la Conferencia de las Partes había pedido a la Directora Ejecutiva del PNUMA que presentase una propuesta operativa sobre un marco estable para compartir servicios entre la Secretaría del Convenio de Minamata y la Secretaría de los Convenios de Basilea, Estocolmo y Rotterdam. En consulta con la Secretaria Ejecutiva del Convenio de Minamata y apoyado por el Secretario Ejecutivo de los Convenios de Basilea, Estocolmo y Rotterdam, el PNUMA había elaborado una propuesta en la que se evaluaban las esferas de posibles sinergias y la eficiencia en la ejecución de los mandatos, de acuerdo con las decisiones de las conferencias de las Partes. La propuesta, que figuraba en el documento UNEP/MC/COP.3/16, se atenía a los cinco principios básicos: primero, la utilización económica de los recursos; segundo, la autonomía de las </w:t>
      </w:r>
      <w:r w:rsidR="00CA79C3">
        <w:rPr>
          <w:lang w:val="es-ES_tradnl"/>
        </w:rPr>
        <w:t>S</w:t>
      </w:r>
      <w:r w:rsidRPr="002927A1">
        <w:rPr>
          <w:lang w:val="es-ES_tradnl"/>
        </w:rPr>
        <w:t xml:space="preserve">ecretarías y la rendición de cuentas de sus respectivos jefes ejecutivos; tercero, la flexibilidad y la previsibilidad; cuarto, la recuperación total de los costos; y, quinto, el cumplimiento de las normas y reglamentos aplicables de las </w:t>
      </w:r>
      <w:r w:rsidR="0034570C" w:rsidRPr="002927A1">
        <w:rPr>
          <w:lang w:val="es-ES_tradnl"/>
        </w:rPr>
        <w:t>Naciones Unidas</w:t>
      </w:r>
      <w:r w:rsidRPr="002927A1">
        <w:rPr>
          <w:lang w:val="es-ES_tradnl"/>
        </w:rPr>
        <w:t xml:space="preserve">. En </w:t>
      </w:r>
      <w:r w:rsidR="00CA79C3">
        <w:rPr>
          <w:lang w:val="es-ES_tradnl"/>
        </w:rPr>
        <w:t xml:space="preserve">la </w:t>
      </w:r>
      <w:r w:rsidRPr="002927A1">
        <w:rPr>
          <w:lang w:val="es-ES_tradnl"/>
        </w:rPr>
        <w:t xml:space="preserve">aplicación de esos principios, se habían identificado tres opciones: primera, </w:t>
      </w:r>
      <w:r w:rsidR="00AA53B0" w:rsidRPr="002927A1">
        <w:rPr>
          <w:lang w:val="es-ES_tradnl"/>
        </w:rPr>
        <w:t xml:space="preserve">establecer </w:t>
      </w:r>
      <w:r w:rsidRPr="002927A1">
        <w:rPr>
          <w:lang w:val="es-ES_tradnl"/>
        </w:rPr>
        <w:t>una dependencia consolidada que prest</w:t>
      </w:r>
      <w:r w:rsidR="00AA53B0" w:rsidRPr="002927A1">
        <w:rPr>
          <w:lang w:val="es-ES_tradnl"/>
        </w:rPr>
        <w:t>as</w:t>
      </w:r>
      <w:r w:rsidRPr="002927A1">
        <w:rPr>
          <w:lang w:val="es-ES_tradnl"/>
        </w:rPr>
        <w:t xml:space="preserve">e servicios a las dos Secretarías, </w:t>
      </w:r>
      <w:r w:rsidR="00AA53B0" w:rsidRPr="002927A1">
        <w:rPr>
          <w:lang w:val="es-ES_tradnl"/>
        </w:rPr>
        <w:t xml:space="preserve">las cuales </w:t>
      </w:r>
      <w:r w:rsidRPr="002927A1">
        <w:rPr>
          <w:lang w:val="es-ES_tradnl"/>
        </w:rPr>
        <w:t>aportaría</w:t>
      </w:r>
      <w:r w:rsidR="00AA53B0" w:rsidRPr="002927A1">
        <w:rPr>
          <w:lang w:val="es-ES_tradnl"/>
        </w:rPr>
        <w:t>n</w:t>
      </w:r>
      <w:r w:rsidRPr="002927A1">
        <w:rPr>
          <w:lang w:val="es-ES_tradnl"/>
        </w:rPr>
        <w:t xml:space="preserve"> recursos a la nueva dependencia; segunda, la reasignación de personal de la Secretaría del Convenio de Minamata a la Secretaría de los Convenios de Basilea, Estocolmo y Rotterdam a fin de que la Secretaría de estos últimos prest</w:t>
      </w:r>
      <w:r w:rsidR="0028495B" w:rsidRPr="002927A1">
        <w:rPr>
          <w:lang w:val="es-ES_tradnl"/>
        </w:rPr>
        <w:t>as</w:t>
      </w:r>
      <w:r w:rsidRPr="002927A1">
        <w:rPr>
          <w:lang w:val="es-ES_tradnl"/>
        </w:rPr>
        <w:t xml:space="preserve">e servicios al primero; y, tercero, la adquisición de servicios sobre la base de recuperación de gastos. Tras una proyección de los datos financieros para las tres opciones, el modelo de recuperación de gastos había resultado ser el más ventajoso y, por lo tanto, era el recomendado por el PNUMA. </w:t>
      </w:r>
    </w:p>
    <w:p w14:paraId="06B83E6C" w14:textId="77777777" w:rsidR="004F3EFB"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Posteriormente, el representante de la Secretaría de los Convenios de Basilea, Estocolmo y Rotterdam y la representante de la Secretaría del Convenio de Minamata señalaron a la atención de los presentes algunas de las actividades de cooperación que se estaban llevando a cabo en esos momentos y se describían en los documentos UNEP/MC/COP.3/19 y UNEP/MC/COP.3/INF/6, respectivamente.</w:t>
      </w:r>
    </w:p>
    <w:p w14:paraId="653F7838" w14:textId="1B944F75" w:rsidR="004F3EFB"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La representante de la Unión Europea presentó un documento de sesión que contenía un proyecto de decisión sobre el aumento de la cooperación entre la Secretaría del Convenio de Minamata y la Secretaría de los Convenios de Basilea, Estocolmo y Rotterdam, presentado por Costa</w:t>
      </w:r>
      <w:r w:rsidR="00753D17">
        <w:rPr>
          <w:lang w:val="es-ES_tradnl"/>
        </w:rPr>
        <w:t> </w:t>
      </w:r>
      <w:r w:rsidRPr="002927A1">
        <w:rPr>
          <w:lang w:val="es-ES_tradnl"/>
        </w:rPr>
        <w:t xml:space="preserve">Rica, Congo, Gabón, Malí, Noruega, Senegal, Suiza, Tailandia y la Unión Europea y sus Estados Miembros. El proyecto de decisión se basaba en la propuesta operativa presentada por la </w:t>
      </w:r>
      <w:r w:rsidRPr="002927A1">
        <w:rPr>
          <w:lang w:val="es-ES_tradnl"/>
        </w:rPr>
        <w:lastRenderedPageBreak/>
        <w:t>Directora Ejecutiva del PNUMA (UNEP/MC/COP.3/16) y, entre otras cosas, apoyaba la adquisición de los servicios pertinentes por parte de la Secretaría del Convenio de Minamata a la Secretaría de los Convenios de Basilea, Estocolmo y Rotterdam sobre la base de la recuperación de gastos; apoyaba la</w:t>
      </w:r>
      <w:r w:rsidR="00CD78A7">
        <w:rPr>
          <w:lang w:val="es-ES_tradnl"/>
        </w:rPr>
        <w:t> </w:t>
      </w:r>
      <w:r w:rsidRPr="002927A1">
        <w:rPr>
          <w:lang w:val="es-ES_tradnl"/>
        </w:rPr>
        <w:t xml:space="preserve">revitalización del equipo de tareas </w:t>
      </w:r>
      <w:r w:rsidR="00CA79C3">
        <w:rPr>
          <w:lang w:val="es-ES_tradnl"/>
        </w:rPr>
        <w:t xml:space="preserve">conjunto de </w:t>
      </w:r>
      <w:r w:rsidRPr="002927A1">
        <w:rPr>
          <w:lang w:val="es-ES_tradnl"/>
        </w:rPr>
        <w:t>las dos Secretarías y la Subdivisión de Salud y Productos Químicos del PNUMA; y preveía el establecimiento de grupos de trabajo entre secretarías adscritos al equipo de tareas, que se encargarían de cuestiones sustantivas o administrativas específicas.</w:t>
      </w:r>
    </w:p>
    <w:p w14:paraId="4EF3E505" w14:textId="77777777" w:rsidR="004F3EFB"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el debate que tuvo lugar a continuación, muchos representantes expresaron su reconocimiento a la Directora Ejecutiva por su propuesta operativa, y dieron las gracias a los autores del documento de sesión por su propuesta. Muchos representantes, entre ellos uno que habló en nombre de un grupo de países, expresaron su apoyo al proyecto de decisión que figuraba en el documento de sesión, y recalcaron que proporcionaba un marco práctico y estable para el aumento de la colaboración y la cooperación entre las dos Secretarías que iba más allá de la organización de reuniones y la adquisición de servicios, sin dejar de respetar la autonomía jurídica de cada Secretaría. </w:t>
      </w:r>
    </w:p>
    <w:p w14:paraId="7DA5C123" w14:textId="77777777" w:rsidR="004F3EFB"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 xml:space="preserve">Varios representantes dijeron que necesitaban más tiempo para examinar el proyecto de decisión propuesto. Dos representantes expresaron su apoyo a una decisión que se centrase en la propuesta de adquisición de servicios por el Convenio de Minamata, no generase costos adicionales para las Partes en el Convenio de Minamata y permitiera que las dos secretarías conservasen su autonomía jurídica, aunque uno de ellos expresó preocupación porque en el proyecto de decisión propuesto se trataban servicios, como el asesoramiento jurídico. Un tercer representante expresó apoyo a una Secretaría del Convenio de Minamata fuerte e independiente, que respondiese únicamente a las Partes en ese Convenio. </w:t>
      </w:r>
    </w:p>
    <w:p w14:paraId="5AEF5120" w14:textId="32058D85" w:rsidR="004F3EFB"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Uno de los patrocinadores del documento de sesión dijo que el objetivo del proyecto de decisión propuesto era crear un marco estable que permitiera a las dos Secretarías cooperar en relación con todas las cuestiones pertinentes y utilizar los recursos de la manera más eficiente. Otro de los patrocinadores, tras señalar que el proyecto de decisión era práctico y hacía uso de los instrumentos y</w:t>
      </w:r>
      <w:r w:rsidR="00CD78A7">
        <w:rPr>
          <w:lang w:val="es-ES_tradnl"/>
        </w:rPr>
        <w:t> </w:t>
      </w:r>
      <w:r w:rsidRPr="002927A1">
        <w:rPr>
          <w:lang w:val="es-ES_tradnl"/>
        </w:rPr>
        <w:t>los mandatos existentes, dijo que, por ejemplo, la Subdivisión de Salud y Productos Químicos del</w:t>
      </w:r>
      <w:r w:rsidR="00CD78A7">
        <w:rPr>
          <w:lang w:val="es-ES_tradnl"/>
        </w:rPr>
        <w:t> </w:t>
      </w:r>
      <w:r w:rsidRPr="002927A1">
        <w:rPr>
          <w:lang w:val="es-ES_tradnl"/>
        </w:rPr>
        <w:t>PNUMA y las dos Secretarías ya tenían los mandatos necesarios de sus órganos rectores de aumentar su colaboración mutua.</w:t>
      </w:r>
    </w:p>
    <w:p w14:paraId="2464277A" w14:textId="793D898E" w:rsidR="00EF0951" w:rsidRPr="002927A1" w:rsidRDefault="004F3EFB" w:rsidP="00A524DB">
      <w:pPr>
        <w:pStyle w:val="Normalnumber"/>
        <w:numPr>
          <w:ilvl w:val="0"/>
          <w:numId w:val="44"/>
        </w:numPr>
        <w:tabs>
          <w:tab w:val="clear" w:pos="624"/>
          <w:tab w:val="clear" w:pos="1134"/>
          <w:tab w:val="clear" w:pos="1247"/>
        </w:tabs>
        <w:rPr>
          <w:lang w:val="es-ES_tradnl"/>
        </w:rPr>
      </w:pPr>
      <w:r w:rsidRPr="002927A1">
        <w:rPr>
          <w:lang w:val="es-ES_tradnl"/>
        </w:rPr>
        <w:t xml:space="preserve">Tras el debate, la Conferencia de las Partes acordó establecer un </w:t>
      </w:r>
      <w:r w:rsidR="0028495B" w:rsidRPr="002927A1">
        <w:rPr>
          <w:lang w:val="es-ES_tradnl"/>
        </w:rPr>
        <w:t>Grupo de A</w:t>
      </w:r>
      <w:r w:rsidRPr="002927A1">
        <w:rPr>
          <w:lang w:val="es-ES_tradnl"/>
        </w:rPr>
        <w:t xml:space="preserve">migos de la Presidencia, </w:t>
      </w:r>
      <w:r w:rsidR="0028495B" w:rsidRPr="002927A1">
        <w:rPr>
          <w:lang w:val="es-ES_tradnl"/>
        </w:rPr>
        <w:t xml:space="preserve">en </w:t>
      </w:r>
      <w:r w:rsidR="008834F4" w:rsidRPr="002927A1">
        <w:rPr>
          <w:lang w:val="es-ES_tradnl"/>
        </w:rPr>
        <w:t xml:space="preserve">el </w:t>
      </w:r>
      <w:r w:rsidR="0028495B" w:rsidRPr="002927A1">
        <w:rPr>
          <w:lang w:val="es-ES_tradnl"/>
        </w:rPr>
        <w:t xml:space="preserve">que solo podrían participar los países que fuesen </w:t>
      </w:r>
      <w:r w:rsidRPr="002927A1">
        <w:rPr>
          <w:lang w:val="es-ES_tradnl"/>
        </w:rPr>
        <w:t xml:space="preserve">Parte y </w:t>
      </w:r>
      <w:r w:rsidR="0028495B" w:rsidRPr="002927A1">
        <w:rPr>
          <w:lang w:val="es-ES_tradnl"/>
        </w:rPr>
        <w:t xml:space="preserve">que estaría </w:t>
      </w:r>
      <w:r w:rsidRPr="002927A1">
        <w:rPr>
          <w:lang w:val="es-ES_tradnl"/>
        </w:rPr>
        <w:t xml:space="preserve">facilitado por la Sra. Nina Cromnier (Suecia), </w:t>
      </w:r>
      <w:r w:rsidR="0028495B" w:rsidRPr="002927A1">
        <w:rPr>
          <w:lang w:val="es-ES_tradnl"/>
        </w:rPr>
        <w:t>con el mandato de seguir</w:t>
      </w:r>
      <w:r w:rsidRPr="002927A1">
        <w:rPr>
          <w:lang w:val="es-ES_tradnl"/>
        </w:rPr>
        <w:t xml:space="preserve"> examinando la cuestión, teniendo en cuenta la propuesta de parte dispositiva formulada por la Directora Ejecutiva del PNUMA y el documento de sesión </w:t>
      </w:r>
      <w:r w:rsidR="0028495B" w:rsidRPr="002927A1">
        <w:rPr>
          <w:lang w:val="es-ES_tradnl"/>
        </w:rPr>
        <w:t xml:space="preserve">que se había presentado, </w:t>
      </w:r>
      <w:r w:rsidRPr="002927A1">
        <w:rPr>
          <w:lang w:val="es-ES_tradnl"/>
        </w:rPr>
        <w:t xml:space="preserve">y </w:t>
      </w:r>
      <w:r w:rsidR="0028495B" w:rsidRPr="002927A1">
        <w:rPr>
          <w:lang w:val="es-ES_tradnl"/>
        </w:rPr>
        <w:t xml:space="preserve">someter </w:t>
      </w:r>
      <w:r w:rsidRPr="002927A1">
        <w:rPr>
          <w:lang w:val="es-ES_tradnl"/>
        </w:rPr>
        <w:t xml:space="preserve">un proyecto de decisión revisado </w:t>
      </w:r>
      <w:r w:rsidR="0028495B" w:rsidRPr="002927A1">
        <w:rPr>
          <w:lang w:val="es-ES_tradnl"/>
        </w:rPr>
        <w:t xml:space="preserve">al </w:t>
      </w:r>
      <w:r w:rsidRPr="002927A1">
        <w:rPr>
          <w:lang w:val="es-ES_tradnl"/>
        </w:rPr>
        <w:t xml:space="preserve">examen </w:t>
      </w:r>
      <w:r w:rsidR="0028495B" w:rsidRPr="002927A1">
        <w:rPr>
          <w:lang w:val="es-ES_tradnl"/>
        </w:rPr>
        <w:t>de</w:t>
      </w:r>
      <w:r w:rsidRPr="002927A1">
        <w:rPr>
          <w:lang w:val="es-ES_tradnl"/>
        </w:rPr>
        <w:t xml:space="preserve"> la Conferencia de las Partes</w:t>
      </w:r>
      <w:r w:rsidR="00EF0951" w:rsidRPr="002927A1">
        <w:rPr>
          <w:lang w:val="es-ES_tradnl"/>
        </w:rPr>
        <w:t>.</w:t>
      </w:r>
      <w:r w:rsidR="00890358" w:rsidRPr="002927A1">
        <w:rPr>
          <w:lang w:val="es-ES_tradnl"/>
        </w:rPr>
        <w:t xml:space="preserve"> </w:t>
      </w:r>
    </w:p>
    <w:p w14:paraId="469067A9" w14:textId="5DC61DC2" w:rsidR="00A7033C" w:rsidRPr="002927A1" w:rsidRDefault="0019398A" w:rsidP="00A524DB">
      <w:pPr>
        <w:pStyle w:val="Normalnumber"/>
        <w:numPr>
          <w:ilvl w:val="0"/>
          <w:numId w:val="44"/>
        </w:numPr>
        <w:tabs>
          <w:tab w:val="clear" w:pos="624"/>
          <w:tab w:val="clear" w:pos="1134"/>
          <w:tab w:val="clear" w:pos="1247"/>
        </w:tabs>
        <w:rPr>
          <w:lang w:val="es-ES_tradnl"/>
        </w:rPr>
      </w:pPr>
      <w:r w:rsidRPr="002927A1">
        <w:rPr>
          <w:lang w:val="es-ES_tradnl"/>
        </w:rPr>
        <w:t xml:space="preserve">A continuación, la </w:t>
      </w:r>
      <w:r w:rsidR="00EE6A6E" w:rsidRPr="002927A1">
        <w:rPr>
          <w:lang w:val="es-ES_tradnl"/>
        </w:rPr>
        <w:t>Conferenc</w:t>
      </w:r>
      <w:r w:rsidRPr="002927A1">
        <w:rPr>
          <w:lang w:val="es-ES_tradnl"/>
        </w:rPr>
        <w:t xml:space="preserve">ia de las </w:t>
      </w:r>
      <w:r w:rsidR="00EE6A6E" w:rsidRPr="002927A1">
        <w:rPr>
          <w:lang w:val="es-ES_tradnl"/>
        </w:rPr>
        <w:t>Partes adopt</w:t>
      </w:r>
      <w:r w:rsidRPr="002927A1">
        <w:rPr>
          <w:lang w:val="es-ES_tradnl"/>
        </w:rPr>
        <w:t xml:space="preserve">ó la </w:t>
      </w:r>
      <w:r w:rsidR="00EE6A6E" w:rsidRPr="002927A1">
        <w:rPr>
          <w:lang w:val="es-ES_tradnl"/>
        </w:rPr>
        <w:t>decisi</w:t>
      </w:r>
      <w:r w:rsidRPr="002927A1">
        <w:rPr>
          <w:lang w:val="es-ES_tradnl"/>
        </w:rPr>
        <w:t>ó</w:t>
      </w:r>
      <w:r w:rsidR="00EE6A6E" w:rsidRPr="002927A1">
        <w:rPr>
          <w:lang w:val="es-ES_tradnl"/>
        </w:rPr>
        <w:t xml:space="preserve">n MC-3/11, </w:t>
      </w:r>
      <w:r w:rsidRPr="002927A1">
        <w:rPr>
          <w:lang w:val="es-ES_tradnl"/>
        </w:rPr>
        <w:t>sobre el aumento de la cooperación entre la S</w:t>
      </w:r>
      <w:r w:rsidR="00EE6A6E" w:rsidRPr="002927A1">
        <w:rPr>
          <w:lang w:val="es-ES_tradnl"/>
        </w:rPr>
        <w:t>ecretar</w:t>
      </w:r>
      <w:r w:rsidRPr="002927A1">
        <w:rPr>
          <w:lang w:val="es-ES_tradnl"/>
        </w:rPr>
        <w:t xml:space="preserve">ía del Convenio de </w:t>
      </w:r>
      <w:r w:rsidR="00EE6A6E" w:rsidRPr="002927A1">
        <w:rPr>
          <w:lang w:val="es-ES_tradnl"/>
        </w:rPr>
        <w:t>Minamata</w:t>
      </w:r>
      <w:r w:rsidRPr="002927A1">
        <w:rPr>
          <w:lang w:val="es-ES_tradnl"/>
        </w:rPr>
        <w:t xml:space="preserve"> y la Secretaría de los Convenios de </w:t>
      </w:r>
      <w:r w:rsidR="00EE6A6E" w:rsidRPr="002927A1">
        <w:rPr>
          <w:lang w:val="es-ES_tradnl"/>
        </w:rPr>
        <w:t>Bas</w:t>
      </w:r>
      <w:r w:rsidRPr="002927A1">
        <w:rPr>
          <w:lang w:val="es-ES_tradnl"/>
        </w:rPr>
        <w:t>i</w:t>
      </w:r>
      <w:r w:rsidR="00EE6A6E" w:rsidRPr="002927A1">
        <w:rPr>
          <w:lang w:val="es-ES_tradnl"/>
        </w:rPr>
        <w:t>l</w:t>
      </w:r>
      <w:r w:rsidRPr="002927A1">
        <w:rPr>
          <w:lang w:val="es-ES_tradnl"/>
        </w:rPr>
        <w:t>ea</w:t>
      </w:r>
      <w:r w:rsidR="00EE6A6E" w:rsidRPr="002927A1">
        <w:rPr>
          <w:lang w:val="es-ES_tradnl"/>
        </w:rPr>
        <w:t xml:space="preserve">, </w:t>
      </w:r>
      <w:r w:rsidRPr="002927A1">
        <w:rPr>
          <w:lang w:val="es-ES_tradnl"/>
        </w:rPr>
        <w:t xml:space="preserve">Estocolmo y </w:t>
      </w:r>
      <w:r w:rsidR="00EE6A6E" w:rsidRPr="002927A1">
        <w:rPr>
          <w:lang w:val="es-ES_tradnl"/>
        </w:rPr>
        <w:t>Rotterdam</w:t>
      </w:r>
      <w:r w:rsidRPr="002927A1">
        <w:rPr>
          <w:lang w:val="es-ES_tradnl"/>
        </w:rPr>
        <w:t xml:space="preserve">, presentada por el </w:t>
      </w:r>
      <w:r w:rsidR="00221DEE" w:rsidRPr="002927A1">
        <w:rPr>
          <w:lang w:val="es-ES_tradnl"/>
        </w:rPr>
        <w:t>G</w:t>
      </w:r>
      <w:r w:rsidRPr="002927A1">
        <w:rPr>
          <w:lang w:val="es-ES_tradnl"/>
        </w:rPr>
        <w:t xml:space="preserve">rupo de </w:t>
      </w:r>
      <w:r w:rsidR="00221DEE" w:rsidRPr="002927A1">
        <w:rPr>
          <w:lang w:val="es-ES_tradnl"/>
        </w:rPr>
        <w:t>A</w:t>
      </w:r>
      <w:r w:rsidRPr="002927A1">
        <w:rPr>
          <w:lang w:val="es-ES_tradnl"/>
        </w:rPr>
        <w:t>migos de la Presidencia, la cual se reproduce en el anexo del presente informe.</w:t>
      </w:r>
      <w:r w:rsidR="00EE6A6E" w:rsidRPr="002927A1">
        <w:rPr>
          <w:lang w:val="es-ES_tradnl"/>
        </w:rPr>
        <w:t xml:space="preserve"> </w:t>
      </w:r>
    </w:p>
    <w:p w14:paraId="0B4F14CA" w14:textId="29D11A22" w:rsidR="00077945" w:rsidRPr="002927A1" w:rsidRDefault="00EC6C6F" w:rsidP="00A7033C">
      <w:pPr>
        <w:pStyle w:val="CH2"/>
        <w:rPr>
          <w:lang w:val="es-ES_tradnl"/>
        </w:rPr>
      </w:pPr>
      <w:bookmarkStart w:id="56" w:name="_Toc27124732"/>
      <w:r w:rsidRPr="002927A1">
        <w:rPr>
          <w:lang w:val="es-ES_tradnl"/>
        </w:rPr>
        <w:tab/>
      </w:r>
      <w:r w:rsidR="00A7033C" w:rsidRPr="002927A1">
        <w:rPr>
          <w:lang w:val="es-ES_tradnl"/>
        </w:rPr>
        <w:t>K.</w:t>
      </w:r>
      <w:r w:rsidR="00A7033C" w:rsidRPr="002927A1">
        <w:rPr>
          <w:lang w:val="es-ES_tradnl"/>
        </w:rPr>
        <w:tab/>
      </w:r>
      <w:bookmarkEnd w:id="56"/>
      <w:r w:rsidR="0066596F" w:rsidRPr="002927A1">
        <w:rPr>
          <w:bCs/>
          <w:lang w:val="es-ES_tradnl"/>
        </w:rPr>
        <w:t>Emisiones de mercurio dimanantes de la quema a cielo abierto de desechos</w:t>
      </w:r>
    </w:p>
    <w:p w14:paraId="5274C98A" w14:textId="7777777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la representante de la Secretaría señaló a la atención de los presentes las notas de la Secretaría sobre la información relativa a las emisiones de mercurio resultantes de la quema a cielo abierto de desechos (UNEP/MC/COP.3/17) y la información recibida en relación con las emisiones de mercurio resultantes de la quema a cielo abierto de desechos (UNEP/MC/COP.3/INF/16). Los documentos habían sido preparados por la Secretaría en respuesta a la solicitud formulada por la Conferencia de las Partes, en su segunda reunión, de que la Secretaría siguiese reuniendo y facilitando la información sobre las emisiones de mercurio provenientes de la quema a cielo abierto de desechos que había presentado a la Conferencia en su segunda reunión con arreglo a la decisión MC-1/14.</w:t>
      </w:r>
      <w:bookmarkStart w:id="57" w:name="_Hlk25733331"/>
      <w:bookmarkEnd w:id="57"/>
    </w:p>
    <w:p w14:paraId="6564A446" w14:textId="3DC77B2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el debate que tuvo lugar a continuación, los representantes se manifestaron a favor de solicitar a la Secretaría que siguiese reuniendo esa información y compartiéndola con las Partes. Una representante, que habló en nombre de un grupo de países, sugirió que la Secretaría crease una </w:t>
      </w:r>
      <w:r w:rsidR="009711FB" w:rsidRPr="002927A1">
        <w:rPr>
          <w:lang w:val="es-ES_tradnl"/>
        </w:rPr>
        <w:t>sección</w:t>
      </w:r>
      <w:r w:rsidRPr="002927A1">
        <w:rPr>
          <w:lang w:val="es-ES_tradnl"/>
        </w:rPr>
        <w:t xml:space="preserve"> especial en el sitio web del Convenio para compartir dicha información. Otra representante pidió a la Secretaría que colaborase con las Secretarías de los Convenios de Basilea, Estocolmo y Rotterdam en la cuestión de la quema a cielo abierto de desechos, y dijo que era un asunto de gestión de desechos.</w:t>
      </w:r>
    </w:p>
    <w:p w14:paraId="0B3E87A2" w14:textId="77777777" w:rsidR="00753D17" w:rsidRDefault="00753D17">
      <w:pPr>
        <w:tabs>
          <w:tab w:val="clear" w:pos="1247"/>
          <w:tab w:val="clear" w:pos="1814"/>
          <w:tab w:val="clear" w:pos="2381"/>
          <w:tab w:val="clear" w:pos="2948"/>
          <w:tab w:val="clear" w:pos="3515"/>
        </w:tabs>
      </w:pPr>
      <w:r>
        <w:br w:type="page"/>
      </w:r>
    </w:p>
    <w:p w14:paraId="60FEF5E8" w14:textId="23B8FFEA" w:rsidR="00C97EA3" w:rsidRPr="002927A1" w:rsidRDefault="00C97EA3" w:rsidP="00A524DB">
      <w:pPr>
        <w:pStyle w:val="Normalnumber"/>
        <w:numPr>
          <w:ilvl w:val="0"/>
          <w:numId w:val="44"/>
        </w:numPr>
        <w:rPr>
          <w:lang w:val="es-ES_tradnl"/>
        </w:rPr>
      </w:pPr>
      <w:r w:rsidRPr="002927A1">
        <w:rPr>
          <w:lang w:val="es-ES_tradnl"/>
        </w:rPr>
        <w:lastRenderedPageBreak/>
        <w:t xml:space="preserve">Otra representante solicitó a la Secretaría que siguiese reuniendo dicha información en el período comprendido entre las reuniones tercera y cuarta de la Conferencia de las Partes y que presentase un informe más completo sobre esta cuestión a la Conferencia de las Partes en su cuarta reunión. </w:t>
      </w:r>
    </w:p>
    <w:p w14:paraId="302CB560" w14:textId="7271EFC3"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Un representante señaló a la atención de los presentes el taller sobre sinergias en la gestión de los desechos de mercurio que se celebró en Osaka (Japón) los días 30 y 31 de mayo de 2019, en el cual, como se indica en el documento UNEP/MC/COP.3/17, se trataron diferentes tipos de quema a cielo abierto de desechos. El or</w:t>
      </w:r>
      <w:r w:rsidR="00DD2BC1" w:rsidRPr="002927A1">
        <w:rPr>
          <w:lang w:val="es-ES_tradnl"/>
        </w:rPr>
        <w:t>ador invitó a las P</w:t>
      </w:r>
      <w:r w:rsidRPr="002927A1">
        <w:rPr>
          <w:lang w:val="es-ES_tradnl"/>
        </w:rPr>
        <w:t xml:space="preserve">artes a que leyesen el informe del taller, que se podía consultar en el sitio web del Convenio. Afirmó que el Japón había participado en proyectos para supervisar el mercurio en los emplazamientos de quema a cielo abierto en tres países en desarrollo y estaba interesado en supervisar más emplazamientos en otros países. </w:t>
      </w:r>
    </w:p>
    <w:p w14:paraId="3E36F386" w14:textId="7777777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Dos representantes, uno de los cuales habló en nombre de un grupo de países, afirmaron que los sistemas de gestión de desechos en África eran inadecuados o inexistentes y pidieron que se estableciesen alianzas y que se prestase asistencia técnica a los países africanos para ayudarlos a abordar la cuestión de la quema a cielo abierto de desechos. En ese sentido, acogieron con beneplácito el ofrecimiento del Japón para supervisar las emisiones de mercurio provenientes de emplazamientos de quema a cielo abierto de desechos en los países en desarrollo y dijeron que los países africanos estaban dispuestos a participar en ese tipo de colaboración.</w:t>
      </w:r>
    </w:p>
    <w:p w14:paraId="5D2938BD" w14:textId="7777777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Otra representante dio las gracias al Gobierno del Japón por el apoyo prestado a su país en la supervisión y el análisis de las emisiones utilizando el Instrumental para la Identificación y Cuantificación de las Liberaciones de Mercurio, que ofrecía instrumentos prácticos, pero debía actualizarse periódicamente a la luz de los cambios en las tecnologías utilizadas por los países. </w:t>
      </w:r>
    </w:p>
    <w:p w14:paraId="11729B6E" w14:textId="48D30C7D"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Varios representantes, entre ellos una que habló en nombre de un grupo de países, dijeron que estaban experimentando dificultades considerables en relación con la cuestión de la quema a cielo abierto de desechos, que seguía practicándose en sus países y regiones, incluso en los casos en </w:t>
      </w:r>
      <w:r w:rsidR="008834F4" w:rsidRPr="002927A1">
        <w:rPr>
          <w:lang w:val="es-ES_tradnl"/>
        </w:rPr>
        <w:t xml:space="preserve">los </w:t>
      </w:r>
      <w:r w:rsidRPr="002927A1">
        <w:rPr>
          <w:lang w:val="es-ES_tradnl"/>
        </w:rPr>
        <w:t xml:space="preserve">que se había prohibido, y que provocaba liberaciones y emisiones de mercurio y otros contaminantes, como las dioxinas y los furanos. Una representante que habló en nombre de un grupo de países sugirió que la cuestión de las emisiones y liberaciones de mercurio procedentes de la quema a cielo abierto de desechos debería analizarse en la evaluación de la eficacia del Convenio. </w:t>
      </w:r>
    </w:p>
    <w:p w14:paraId="74C18C98" w14:textId="7777777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Otro representante dijo que consideraba que en muchos países las prácticas más avanzadas de gestión de los desechos eran inalcanzables, y sugirió que las evaluaciones iniciales contempladas en el Convenio de Minamata podrían ser un instrumento importante para abordar las cuestiones de gestión de los desechos a fin de reducir la exposición de un gran número de personas al mercurio y otros contaminantes. Destacó que la cooperación con el Convenio de Basilea era crucial para alcanzar las metas del Convenio de Minamata relacionadas con los desechos. </w:t>
      </w:r>
    </w:p>
    <w:p w14:paraId="403BA7EB" w14:textId="2594520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Dos representantes señalaron la importancia de ir más allá de la recopilación de información para tratar la cuestión de la quema a cielo abierto de desechos. Encomiaron los esfuerzos de colaboración para enfrentar la cuestión, incluidos los que estaba llevando a cabo el Japón.</w:t>
      </w:r>
    </w:p>
    <w:p w14:paraId="4BA5B039" w14:textId="54D045C3"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Una observadora dijo que la quema a cielo abierto de desechos estaba teniendo lugar no solo</w:t>
      </w:r>
      <w:r w:rsidR="00753D17">
        <w:rPr>
          <w:lang w:val="es-ES_tradnl"/>
        </w:rPr>
        <w:t> </w:t>
      </w:r>
      <w:r w:rsidRPr="002927A1">
        <w:rPr>
          <w:lang w:val="es-ES_tradnl"/>
        </w:rPr>
        <w:t>en vertederos urbanos, sino también en los barrios residenciales y de otro tipo de los países en</w:t>
      </w:r>
      <w:r w:rsidR="00753D17">
        <w:rPr>
          <w:lang w:val="es-ES_tradnl"/>
        </w:rPr>
        <w:t> </w:t>
      </w:r>
      <w:r w:rsidRPr="002927A1">
        <w:rPr>
          <w:lang w:val="es-ES_tradnl"/>
        </w:rPr>
        <w:t>desarrollo, y sugirió que la medición de las emisiones de la quema a cielo abierto incluyese investigaciones sobre el origen de los desechos, los principales tipos de desechos que se quemaban y el tipo de combustible que se utilizaba. La oradora pidió compromisos políticos para prohibir la quema a cielo abierto de desechos, pero instó a examinar cuidadosamente los planes para pasar de la quema a</w:t>
      </w:r>
      <w:r w:rsidR="00753D17">
        <w:rPr>
          <w:lang w:val="es-ES_tradnl"/>
        </w:rPr>
        <w:t> </w:t>
      </w:r>
      <w:r w:rsidRPr="002927A1">
        <w:rPr>
          <w:lang w:val="es-ES_tradnl"/>
        </w:rPr>
        <w:t>cielo abierto a otros métodos de gestión de desechos, destacando que algunos métodos no serían financiera o económicamente viables en los países de bajos ingresos.</w:t>
      </w:r>
    </w:p>
    <w:p w14:paraId="5826D34A" w14:textId="2E6649FC" w:rsidR="00113D26"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La Conferencia de las Partes acordó pedir a la Secretaría que siguiese reuniendo información sobre la quema a cielo abierto de desechos y que publicase esa información en el sitio web del Convenio, que cooperase con la Secretaría de los Convenios de Basilea, Estocolmo y Rotterdam, y que informase a la Conferencia de las Partes en su cuarta reunión acerca de la puesta en práctica de esas actividades</w:t>
      </w:r>
      <w:r w:rsidR="00113D26" w:rsidRPr="002927A1">
        <w:rPr>
          <w:lang w:val="es-ES_tradnl"/>
        </w:rPr>
        <w:t>.</w:t>
      </w:r>
    </w:p>
    <w:p w14:paraId="73DD52BC" w14:textId="134BD437" w:rsidR="00077945" w:rsidRPr="002927A1" w:rsidRDefault="00EC6C6F" w:rsidP="00A7033C">
      <w:pPr>
        <w:pStyle w:val="CH2"/>
        <w:rPr>
          <w:sz w:val="28"/>
          <w:szCs w:val="28"/>
          <w:lang w:val="es-ES_tradnl"/>
        </w:rPr>
      </w:pPr>
      <w:bookmarkStart w:id="58" w:name="_Toc27124733"/>
      <w:r w:rsidRPr="002927A1">
        <w:rPr>
          <w:sz w:val="28"/>
          <w:szCs w:val="28"/>
          <w:lang w:val="es-ES_tradnl"/>
        </w:rPr>
        <w:tab/>
      </w:r>
      <w:r w:rsidR="00A7033C" w:rsidRPr="002927A1">
        <w:rPr>
          <w:sz w:val="28"/>
          <w:szCs w:val="28"/>
          <w:lang w:val="es-ES_tradnl"/>
        </w:rPr>
        <w:t>VI.</w:t>
      </w:r>
      <w:r w:rsidR="00A7033C" w:rsidRPr="002927A1">
        <w:rPr>
          <w:sz w:val="28"/>
          <w:szCs w:val="28"/>
          <w:lang w:val="es-ES_tradnl"/>
        </w:rPr>
        <w:tab/>
      </w:r>
      <w:bookmarkEnd w:id="58"/>
      <w:r w:rsidR="0066596F" w:rsidRPr="002927A1">
        <w:rPr>
          <w:bCs/>
          <w:sz w:val="28"/>
          <w:szCs w:val="28"/>
          <w:lang w:val="es-ES_tradnl"/>
        </w:rPr>
        <w:t>Cooperación y coordinación internacionales</w:t>
      </w:r>
    </w:p>
    <w:p w14:paraId="05A621E8" w14:textId="147093F7" w:rsidR="00C97EA3" w:rsidRPr="002927A1" w:rsidRDefault="00C97EA3" w:rsidP="00A524DB">
      <w:pPr>
        <w:pStyle w:val="Normalnumber"/>
        <w:numPr>
          <w:ilvl w:val="0"/>
          <w:numId w:val="44"/>
        </w:numPr>
        <w:tabs>
          <w:tab w:val="clear" w:pos="624"/>
          <w:tab w:val="clear" w:pos="1134"/>
          <w:tab w:val="clear" w:pos="1247"/>
        </w:tabs>
        <w:rPr>
          <w:lang w:val="es-ES_tradnl"/>
        </w:rPr>
      </w:pPr>
      <w:r w:rsidRPr="002927A1">
        <w:rPr>
          <w:lang w:val="es-ES_tradnl"/>
        </w:rPr>
        <w:t xml:space="preserve">Al presentar el tema, la representante de la Secretaría observó que en varias disposiciones del Convenio se instaba a la cooperación con las organizaciones intergubernamentales pertinentes. En particular, el artículo 16 especificaba que la Conferencia de las Partes, al examinar cuestiones o actividades relacionadas con la salud, debería consultar y colaborar con la Organización Mundial </w:t>
      </w:r>
      <w:r w:rsidRPr="002927A1">
        <w:rPr>
          <w:lang w:val="es-ES_tradnl"/>
        </w:rPr>
        <w:lastRenderedPageBreak/>
        <w:t xml:space="preserve">de la Salud (OMS), la Organización Internacional del Trabajo (OIT) y otras organizaciones intergubernamentales pertinentes, según </w:t>
      </w:r>
      <w:r w:rsidR="00A96B3B" w:rsidRPr="002927A1">
        <w:rPr>
          <w:lang w:val="es-ES_tradnl"/>
        </w:rPr>
        <w:t>sea necesario</w:t>
      </w:r>
      <w:r w:rsidRPr="002927A1">
        <w:rPr>
          <w:lang w:val="es-ES_tradnl"/>
        </w:rPr>
        <w:t>, y promover la cooperación y el intercambio de información con esas organizaciones, según proceda.</w:t>
      </w:r>
    </w:p>
    <w:p w14:paraId="0CBBEFD6" w14:textId="71E1D8AC" w:rsidR="00077945" w:rsidRPr="002927A1" w:rsidRDefault="00A7033C" w:rsidP="00A7033C">
      <w:pPr>
        <w:pStyle w:val="CH2"/>
        <w:rPr>
          <w:lang w:val="es-ES_tradnl"/>
        </w:rPr>
      </w:pPr>
      <w:r w:rsidRPr="002927A1">
        <w:rPr>
          <w:lang w:val="es-ES_tradnl"/>
        </w:rPr>
        <w:tab/>
      </w:r>
      <w:bookmarkStart w:id="59" w:name="_Toc27124734"/>
      <w:r w:rsidR="00711DD6" w:rsidRPr="002927A1">
        <w:rPr>
          <w:lang w:val="es-ES_tradnl"/>
        </w:rPr>
        <w:t>A</w:t>
      </w:r>
      <w:r w:rsidRPr="002927A1">
        <w:rPr>
          <w:lang w:val="es-ES_tradnl"/>
        </w:rPr>
        <w:t>.</w:t>
      </w:r>
      <w:r w:rsidRPr="002927A1">
        <w:rPr>
          <w:lang w:val="es-ES_tradnl"/>
        </w:rPr>
        <w:tab/>
      </w:r>
      <w:bookmarkEnd w:id="59"/>
      <w:r w:rsidR="00BC4297" w:rsidRPr="002927A1">
        <w:rPr>
          <w:bCs/>
          <w:lang w:val="es-ES_tradnl"/>
        </w:rPr>
        <w:t>Organización Mundial de la Salud;</w:t>
      </w:r>
      <w:r w:rsidR="00BC4297" w:rsidRPr="002927A1">
        <w:rPr>
          <w:lang w:val="es-ES_tradnl"/>
        </w:rPr>
        <w:t xml:space="preserve"> </w:t>
      </w:r>
      <w:r w:rsidR="00BC4297" w:rsidRPr="002927A1">
        <w:rPr>
          <w:bCs/>
          <w:lang w:val="es-ES_tradnl"/>
        </w:rPr>
        <w:t>Organización Internacional del Trabajo</w:t>
      </w:r>
    </w:p>
    <w:p w14:paraId="043E98B4" w14:textId="3B53088C"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la representante de la Secretaría señaló a la atención de los presentes la información pertinente que figuraba en el informe sobre las actividades de cooperación con la Organización Mundial de la Salud y la Organización Internacional del Trabajo (UNEP/MC/COP.3/18, anexo</w:t>
      </w:r>
      <w:r w:rsidR="00CA79C3">
        <w:rPr>
          <w:lang w:val="es-ES_tradnl"/>
        </w:rPr>
        <w:t>s I y II, respectivamente</w:t>
      </w:r>
      <w:r w:rsidRPr="002927A1">
        <w:rPr>
          <w:lang w:val="es-ES_tradnl"/>
        </w:rPr>
        <w:t>).</w:t>
      </w:r>
    </w:p>
    <w:p w14:paraId="7074DF65" w14:textId="3DE92134"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 xml:space="preserve">El representante de la OMS destacó las actividades que guardan relación con el Convenio emprendidas por la OMS desde la segunda reunión de la Conferencia de las Partes. Entre ellas cabía destacar la elaboración y publicación en los seis idiomas oficiales de las </w:t>
      </w:r>
      <w:r w:rsidR="0034570C" w:rsidRPr="002927A1">
        <w:rPr>
          <w:lang w:val="es-ES_tradnl"/>
        </w:rPr>
        <w:t>Naciones Unidas</w:t>
      </w:r>
      <w:r w:rsidRPr="002927A1">
        <w:rPr>
          <w:lang w:val="es-ES_tradnl"/>
        </w:rPr>
        <w:t xml:space="preserve"> de orientación sobre la planificación </w:t>
      </w:r>
      <w:r w:rsidR="00EF37DE" w:rsidRPr="002927A1">
        <w:rPr>
          <w:lang w:val="es-ES_tradnl"/>
        </w:rPr>
        <w:t xml:space="preserve">estratégica para </w:t>
      </w:r>
      <w:r w:rsidRPr="002927A1">
        <w:rPr>
          <w:lang w:val="es-ES_tradnl"/>
        </w:rPr>
        <w:t xml:space="preserve">la aplicación de los artículos del Convenio relacionados con la salud. La OMS también preparó orientaciones sobre la </w:t>
      </w:r>
      <w:r w:rsidR="00EF37DE" w:rsidRPr="002927A1">
        <w:rPr>
          <w:lang w:val="es-ES_tradnl"/>
        </w:rPr>
        <w:t>manera de abordar las</w:t>
      </w:r>
      <w:r w:rsidRPr="002927A1">
        <w:rPr>
          <w:lang w:val="es-ES_tradnl"/>
        </w:rPr>
        <w:t xml:space="preserve"> cuestion</w:t>
      </w:r>
      <w:r w:rsidR="00EF37DE" w:rsidRPr="002927A1">
        <w:rPr>
          <w:lang w:val="es-ES_tradnl"/>
        </w:rPr>
        <w:t>es relacionadas con la salud a la hora de elaborar</w:t>
      </w:r>
      <w:r w:rsidRPr="002927A1">
        <w:rPr>
          <w:lang w:val="es-ES_tradnl"/>
        </w:rPr>
        <w:t xml:space="preserve"> planes de acción nacionales</w:t>
      </w:r>
      <w:r w:rsidR="00EF37DE" w:rsidRPr="002927A1">
        <w:rPr>
          <w:lang w:val="es-ES_tradnl"/>
        </w:rPr>
        <w:t xml:space="preserve"> sobre la extracción de oro artesanal y en pequeña escala</w:t>
      </w:r>
      <w:r w:rsidRPr="002927A1">
        <w:rPr>
          <w:lang w:val="es-ES_tradnl"/>
        </w:rPr>
        <w:t>, que ya habían sido utilizadas por varios países. La</w:t>
      </w:r>
      <w:r w:rsidR="002606D7" w:rsidRPr="002927A1">
        <w:rPr>
          <w:lang w:val="es-ES_tradnl"/>
        </w:rPr>
        <w:t> </w:t>
      </w:r>
      <w:r w:rsidRPr="002927A1">
        <w:rPr>
          <w:lang w:val="es-ES_tradnl"/>
        </w:rPr>
        <w:t xml:space="preserve">OMS estaba preparando asimismo especificaciones técnicas detalladas para los instrumentos de medición de la presión arterial, que servirían de referencia fundamental para los países en la eliminación de los dispositivos que contienen mercurio. Además, a través de un proyecto PNUMA/FMAM, la OMS había publicado un protocolo y procedimientos operativos normalizados para la vigilancia biológica de los seres humanos y también había contribuido a la labor del </w:t>
      </w:r>
      <w:r w:rsidR="00A96B3B" w:rsidRPr="002927A1">
        <w:rPr>
          <w:lang w:val="es-ES_tradnl"/>
        </w:rPr>
        <w:t>g</w:t>
      </w:r>
      <w:r w:rsidRPr="002927A1">
        <w:rPr>
          <w:lang w:val="es-ES_tradnl"/>
        </w:rPr>
        <w:t>rupo especial de expertos técnicos sobre la evaluación de la eficacia.</w:t>
      </w:r>
    </w:p>
    <w:p w14:paraId="4EAB13C3" w14:textId="484790E1"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La representante de la OIT dijo que su organización y sus mandantes tripartitos estaban alineando su apoyo técnico con el artículo 7</w:t>
      </w:r>
      <w:r w:rsidR="00CA79C3">
        <w:rPr>
          <w:lang w:val="es-ES_tradnl"/>
        </w:rPr>
        <w:t xml:space="preserve"> y el</w:t>
      </w:r>
      <w:r w:rsidRPr="002927A1">
        <w:rPr>
          <w:lang w:val="es-ES_tradnl"/>
        </w:rPr>
        <w:t xml:space="preserve"> anexo C, relativo a la extracción de oro artesanal y en pequeña escala, y ampliando las iniciativas para incluir la exposición al mercurio en el sector de los desechos electrónicos. En cumplimiento de su compromiso de proteger a los trabajadores de exposiciones peligrosas, en particular al mercurio, la OIT había elaborado una serie de instrumentos internacionales pertinentes, que la representante enumeró. Además, su lista oficial de enfermedades profesionales reconocía las enfermedades causadas por la exposición ocupacional al mercurio y sus compuestos. La oradora también examinó los proyectos a escala nacional iniciados por la OIT para remediar la escasez de trabajo decente y mejorar las condiciones laborales de los trabajadores expuestos al mercurio, incluido el </w:t>
      </w:r>
      <w:r w:rsidRPr="002927A1">
        <w:rPr>
          <w:i/>
          <w:lang w:val="es-ES_tradnl"/>
        </w:rPr>
        <w:t>Caring Gold Project</w:t>
      </w:r>
      <w:r w:rsidRPr="002927A1">
        <w:rPr>
          <w:lang w:val="es-ES_tradnl"/>
        </w:rPr>
        <w:t xml:space="preserve"> en Ghana y Filipinas, que promovía activamente el uso de métodos de procesamiento de oro sin mercurio para salvaguardar la salud de los mineros, sus familias y las comunidades enteras. La OIT también había elaborado proyectos sobre la exposición al mercurio en el sector del desmantelamiento de automóviles y estaba desempeñando un papel cada vez más importante en el sector de los desechos electrónicos, en el que estaba llevando a cabo investigaciones con base empírica sobre el trabajo decente con miras a fundamentar la posibilidad de elaborar directrices o un código de prácticas en ese ámbito.</w:t>
      </w:r>
    </w:p>
    <w:p w14:paraId="1421F33D" w14:textId="357C5CD6"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En el debate que tuvo lugar a continuación, muchos representantes, varios de los cuales hablaron en nombre de grupos de países, expresaron su apoyo y su aprecio por la cooperación entre las</w:t>
      </w:r>
      <w:r w:rsidR="00753D17">
        <w:rPr>
          <w:lang w:val="es-ES_tradnl"/>
        </w:rPr>
        <w:t> </w:t>
      </w:r>
      <w:r w:rsidRPr="002927A1">
        <w:rPr>
          <w:lang w:val="es-ES_tradnl"/>
        </w:rPr>
        <w:t>dos organizaciones. Varios representantes señalaron las esferas en las que la cooperación con la</w:t>
      </w:r>
      <w:r w:rsidR="00753D17">
        <w:rPr>
          <w:lang w:val="es-ES_tradnl"/>
        </w:rPr>
        <w:t> </w:t>
      </w:r>
      <w:r w:rsidRPr="002927A1">
        <w:rPr>
          <w:lang w:val="es-ES_tradnl"/>
        </w:rPr>
        <w:t>OIT y la OMS revestía especial importancia, entre ellas el fortalecimiento institucional y la creación de capacidad técnica en la utilización de marcadores biológicos sobre la exposición al mercurio; la asistencia odontológica; el fortalecimiento de la capacidad de los profesionales de la salud que trabajan con grupos vulnerables, como los pueblos indígenas expuestos al mercurio a través de vías</w:t>
      </w:r>
      <w:r w:rsidR="00753D17">
        <w:rPr>
          <w:lang w:val="es-ES_tradnl"/>
        </w:rPr>
        <w:t> </w:t>
      </w:r>
      <w:r w:rsidRPr="002927A1">
        <w:rPr>
          <w:lang w:val="es-ES_tradnl"/>
        </w:rPr>
        <w:t>como su dieta; y las repercusiones relacionadas con la salud del comercio ilícito de mercurio y</w:t>
      </w:r>
      <w:r w:rsidR="00753D17">
        <w:rPr>
          <w:lang w:val="es-ES_tradnl"/>
        </w:rPr>
        <w:t> </w:t>
      </w:r>
      <w:r w:rsidRPr="002927A1">
        <w:rPr>
          <w:lang w:val="es-ES_tradnl"/>
        </w:rPr>
        <w:t>compuestos de mercurio. Un representante destacó la necesidad de reforzar la cooperación en el ámbito del control y la vigilancia de la salud de las personas expuestas al mercurio.</w:t>
      </w:r>
    </w:p>
    <w:p w14:paraId="757D2500" w14:textId="17A3286D"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 xml:space="preserve">Varios representantes, algunos de los cuales hablaron en nombre de grupos de países, examinaron las actividades nacionales que entrañaban la cooperación con organizaciones internacionales, entre ellas la OIT y la OMS, y algunas representantes pidieron que se aprovechasen las sinergias entre esas organizaciones, con miras a evitar la duplicación y facilitar la consecución de los Objetivos de Desarrollo Sostenible relacionados con los productos químicos y los desechos. Una representante encomió a esas organizaciones por sus actividades relacionadas con el mercurio en los pequeños Estados insulares en desarrollo, mientras que otra observó que las estrategias de la OMS a veces eran difíciles de aplicar sobre el terreno, como sucedía en la labor relativa a los efectos patológicos del mercurio, y se preguntó si esas estrategias podrían optimizarse y si se podrían destinar más recursos a esa labor. Un representante hizo una solicitud concreta de la OMS </w:t>
      </w:r>
      <w:r w:rsidR="005F3A80" w:rsidRPr="002927A1">
        <w:rPr>
          <w:lang w:val="es-ES_tradnl"/>
        </w:rPr>
        <w:t>relativa a la organización de</w:t>
      </w:r>
      <w:r w:rsidRPr="002927A1">
        <w:rPr>
          <w:lang w:val="es-ES_tradnl"/>
        </w:rPr>
        <w:t xml:space="preserve"> talleres de capacitación técnica en las distintas regiones de la OMS sobre la gestión </w:t>
      </w:r>
      <w:r w:rsidRPr="002927A1">
        <w:rPr>
          <w:lang w:val="es-ES_tradnl"/>
        </w:rPr>
        <w:lastRenderedPageBreak/>
        <w:t>del mercurio, con miras a crear capacidad en esas regiones y facilitar la transferencia de conocimientos técnicos entre los miembros de la región.</w:t>
      </w:r>
    </w:p>
    <w:p w14:paraId="5D0179E4" w14:textId="77777777"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 xml:space="preserve">Los representantes de dos organizaciones no gubernamentales hicieron uso de la palabra para subrayar la importancia de la cooperación internacional para sus grupos interesados, en particular para hacer frente a los altos niveles de exposición al mercurio que sufren los pueblos indígenas de todo el mundo; la sensibilización sobre los riesgos del mercurio para la salud; la prestación de asistencia técnica en ámbitos como el análisis del cabello; la organización de actividades de creación de capacidades y proyectos sobre sitios contaminados; y la aplicación de medidas para combatir el contrabando y el comercio ilegal de mercurio. </w:t>
      </w:r>
    </w:p>
    <w:p w14:paraId="1CAE1AA3" w14:textId="33ABA3C1"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El representante de la Unión Europea y sus Estados Miembros presentó un documento de sesión, también en nombre de Ghana, Mal</w:t>
      </w:r>
      <w:r w:rsidR="005E0266" w:rsidRPr="002927A1">
        <w:rPr>
          <w:lang w:val="es-ES_tradnl"/>
        </w:rPr>
        <w:t>i</w:t>
      </w:r>
      <w:r w:rsidRPr="002927A1">
        <w:rPr>
          <w:lang w:val="es-ES_tradnl"/>
        </w:rPr>
        <w:t xml:space="preserve">, Nigeria, Noruega, Tailandia y el Uruguay, en el que se exponía un proyecto de decisión en el que se pedía a las Partes y a otros interesados que intensificasen y priorizasen las actividades relacionadas con la gestión racional de los productos químicos y los desechos con miras a la consecución en 2020 de la meta 12.4 de la Agenda 2030 para el Desarrollo Sostenible, y se procuraba ampliar e intensificar la cooperación internacional con la </w:t>
      </w:r>
      <w:r w:rsidR="001B5627" w:rsidRPr="002927A1">
        <w:rPr>
          <w:lang w:val="es-ES_tradnl"/>
        </w:rPr>
        <w:t>S</w:t>
      </w:r>
      <w:r w:rsidRPr="002927A1">
        <w:rPr>
          <w:lang w:val="es-ES_tradnl"/>
        </w:rPr>
        <w:t>ecretaría del Enfoque Estratégico para la Gestión de Productos Químicos a Nivel Internacional y con otras organizaciones internacionales, entre ellas el PNUMA, la OMS y la OIT.</w:t>
      </w:r>
    </w:p>
    <w:p w14:paraId="5E40ADE3" w14:textId="53AAE6C7" w:rsidR="0051708C"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Varios representantes expresaron su apoyo a la propuesta</w:t>
      </w:r>
      <w:r w:rsidR="00211FF1" w:rsidRPr="002927A1">
        <w:rPr>
          <w:lang w:val="es-ES_tradnl"/>
        </w:rPr>
        <w:t>, a</w:t>
      </w:r>
      <w:r w:rsidRPr="002927A1">
        <w:rPr>
          <w:lang w:val="es-ES_tradnl"/>
        </w:rPr>
        <w:t xml:space="preserve">lgunos formularon </w:t>
      </w:r>
      <w:r w:rsidR="00211FF1" w:rsidRPr="002927A1">
        <w:rPr>
          <w:lang w:val="es-ES_tradnl"/>
        </w:rPr>
        <w:t xml:space="preserve">nuevas </w:t>
      </w:r>
      <w:r w:rsidRPr="002927A1">
        <w:rPr>
          <w:lang w:val="es-ES_tradnl"/>
        </w:rPr>
        <w:t xml:space="preserve">sugerencias, que se referían no solo a la prestación de asistencia técnica y </w:t>
      </w:r>
      <w:r w:rsidR="00211FF1" w:rsidRPr="002927A1">
        <w:rPr>
          <w:lang w:val="es-ES_tradnl"/>
        </w:rPr>
        <w:t>creación</w:t>
      </w:r>
      <w:r w:rsidR="00FA6A30" w:rsidRPr="002927A1">
        <w:rPr>
          <w:lang w:val="es-ES_tradnl"/>
        </w:rPr>
        <w:t xml:space="preserve"> </w:t>
      </w:r>
      <w:r w:rsidRPr="002927A1">
        <w:rPr>
          <w:lang w:val="es-ES_tradnl"/>
        </w:rPr>
        <w:t>de capacidad</w:t>
      </w:r>
      <w:r w:rsidR="00211FF1" w:rsidRPr="002927A1">
        <w:rPr>
          <w:lang w:val="es-ES_tradnl"/>
        </w:rPr>
        <w:t>es</w:t>
      </w:r>
      <w:r w:rsidRPr="002927A1">
        <w:rPr>
          <w:lang w:val="es-ES_tradnl"/>
        </w:rPr>
        <w:t xml:space="preserve">, sino también a la financiación de proyectos para que las Partes dispusiesen de los recursos necesarios para lograr una aplicación eficaz y resultados mesurables; y la inclusión de la transferencia de conocimientos, además de la asistencia técnica y </w:t>
      </w:r>
      <w:r w:rsidR="00211FF1" w:rsidRPr="002927A1">
        <w:rPr>
          <w:lang w:val="es-ES_tradnl"/>
        </w:rPr>
        <w:t>la creación de</w:t>
      </w:r>
      <w:r w:rsidR="00FA6A30" w:rsidRPr="002927A1">
        <w:rPr>
          <w:lang w:val="es-ES_tradnl"/>
        </w:rPr>
        <w:t xml:space="preserve"> </w:t>
      </w:r>
      <w:r w:rsidRPr="002927A1">
        <w:rPr>
          <w:lang w:val="es-ES_tradnl"/>
        </w:rPr>
        <w:t>capacidad. Una representante reiteró su petición de que se oficializasen la cooperación y la coordinación entre la OMS, la OIT y la Secretaría del Convenio de Minamata mediante un plan de acción a tal efecto. Otra representante cuestionó la necesidad de formalizar la cooperación, que parecía estar funcionando bien en su configuración actual</w:t>
      </w:r>
      <w:r w:rsidR="00211FF1" w:rsidRPr="002927A1">
        <w:rPr>
          <w:lang w:val="es-ES_tradnl"/>
        </w:rPr>
        <w:t xml:space="preserve">, y </w:t>
      </w:r>
      <w:r w:rsidRPr="002927A1">
        <w:rPr>
          <w:lang w:val="es-ES_tradnl"/>
        </w:rPr>
        <w:t>subrayó la necesidad de velar por que la cooperación y la coordinación siguiesen centrándose en la aplicación del Convenio.</w:t>
      </w:r>
    </w:p>
    <w:p w14:paraId="17802214" w14:textId="725BD306" w:rsidR="00113D26" w:rsidRPr="002927A1" w:rsidRDefault="0051708C" w:rsidP="00A524DB">
      <w:pPr>
        <w:pStyle w:val="Normalnumber"/>
        <w:numPr>
          <w:ilvl w:val="0"/>
          <w:numId w:val="44"/>
        </w:numPr>
        <w:tabs>
          <w:tab w:val="clear" w:pos="624"/>
          <w:tab w:val="clear" w:pos="1134"/>
          <w:tab w:val="clear" w:pos="1247"/>
        </w:tabs>
        <w:rPr>
          <w:lang w:val="es-ES_tradnl"/>
        </w:rPr>
      </w:pPr>
      <w:r w:rsidRPr="002927A1">
        <w:rPr>
          <w:lang w:val="es-ES_tradnl"/>
        </w:rPr>
        <w:t>El Presidente invitó a las Partes interesadas a que celebrasen consultas bilaterales con los proponentes del proyecto de decisión con miras a llegar a un acuerdo sobre el texto de un proyecto de decisión</w:t>
      </w:r>
      <w:r w:rsidR="00113D26" w:rsidRPr="002927A1">
        <w:rPr>
          <w:lang w:val="es-ES_tradnl"/>
        </w:rPr>
        <w:t xml:space="preserve">. </w:t>
      </w:r>
    </w:p>
    <w:p w14:paraId="5789BD89" w14:textId="1BFCE49B" w:rsidR="00F572BB" w:rsidRPr="002927A1" w:rsidRDefault="005B6D86" w:rsidP="00A524DB">
      <w:pPr>
        <w:pStyle w:val="Normalnumber"/>
        <w:numPr>
          <w:ilvl w:val="0"/>
          <w:numId w:val="44"/>
        </w:numPr>
        <w:tabs>
          <w:tab w:val="clear" w:pos="624"/>
          <w:tab w:val="clear" w:pos="1134"/>
          <w:tab w:val="clear" w:pos="1247"/>
        </w:tabs>
        <w:rPr>
          <w:lang w:val="es-ES_tradnl"/>
        </w:rPr>
      </w:pPr>
      <w:r w:rsidRPr="002927A1">
        <w:rPr>
          <w:lang w:val="es-ES_tradnl"/>
        </w:rPr>
        <w:t>A continuación el representante de la Unión Europea</w:t>
      </w:r>
      <w:r w:rsidR="00F572BB" w:rsidRPr="002927A1">
        <w:rPr>
          <w:lang w:val="es-ES_tradnl"/>
        </w:rPr>
        <w:t xml:space="preserve">, </w:t>
      </w:r>
      <w:r w:rsidRPr="002927A1">
        <w:rPr>
          <w:lang w:val="es-ES_tradnl"/>
        </w:rPr>
        <w:t xml:space="preserve">que hizo uso de la palabra también en nombre de los otros patrocinadores del proyecto de </w:t>
      </w:r>
      <w:r w:rsidR="00EA25BC" w:rsidRPr="002927A1">
        <w:rPr>
          <w:lang w:val="es-ES_tradnl"/>
        </w:rPr>
        <w:t>decisión</w:t>
      </w:r>
      <w:r w:rsidRPr="002927A1">
        <w:rPr>
          <w:lang w:val="es-ES_tradnl"/>
        </w:rPr>
        <w:t xml:space="preserve">, a saber, </w:t>
      </w:r>
      <w:r w:rsidR="00F572BB" w:rsidRPr="002927A1">
        <w:rPr>
          <w:lang w:val="es-ES_tradnl"/>
        </w:rPr>
        <w:t>Ghana, Mali, Nigeria, Nor</w:t>
      </w:r>
      <w:r w:rsidRPr="002927A1">
        <w:rPr>
          <w:lang w:val="es-ES_tradnl"/>
        </w:rPr>
        <w:t>uega</w:t>
      </w:r>
      <w:r w:rsidR="00F572BB" w:rsidRPr="002927A1">
        <w:rPr>
          <w:lang w:val="es-ES_tradnl"/>
        </w:rPr>
        <w:t>, Tailand</w:t>
      </w:r>
      <w:r w:rsidRPr="002927A1">
        <w:rPr>
          <w:lang w:val="es-ES_tradnl"/>
        </w:rPr>
        <w:t>ia y</w:t>
      </w:r>
      <w:r w:rsidR="004D3A31" w:rsidRPr="002927A1">
        <w:rPr>
          <w:lang w:val="es-ES_tradnl"/>
        </w:rPr>
        <w:t xml:space="preserve"> </w:t>
      </w:r>
      <w:r w:rsidR="00F572BB" w:rsidRPr="002927A1">
        <w:rPr>
          <w:lang w:val="es-ES_tradnl"/>
        </w:rPr>
        <w:t xml:space="preserve">Uruguay, </w:t>
      </w:r>
      <w:r w:rsidRPr="002927A1">
        <w:rPr>
          <w:lang w:val="es-ES_tradnl"/>
        </w:rPr>
        <w:t>presentó una versión revisada del documento de sesión, en la que se habían incorporado un gr</w:t>
      </w:r>
      <w:r w:rsidR="00F635B7" w:rsidRPr="002927A1">
        <w:rPr>
          <w:lang w:val="es-ES_tradnl"/>
        </w:rPr>
        <w:t>u</w:t>
      </w:r>
      <w:r w:rsidRPr="002927A1">
        <w:rPr>
          <w:lang w:val="es-ES_tradnl"/>
        </w:rPr>
        <w:t>po de cambios propuestos por otros representantes durante las consultas oficiosas.</w:t>
      </w:r>
      <w:r w:rsidR="00F572BB" w:rsidRPr="002927A1">
        <w:rPr>
          <w:lang w:val="es-ES_tradnl"/>
        </w:rPr>
        <w:t xml:space="preserve"> </w:t>
      </w:r>
    </w:p>
    <w:p w14:paraId="5ABA646F" w14:textId="1E839161" w:rsidR="00F572BB" w:rsidRPr="002927A1" w:rsidRDefault="00F572BB" w:rsidP="00A524DB">
      <w:pPr>
        <w:pStyle w:val="Normalnumber"/>
        <w:numPr>
          <w:ilvl w:val="0"/>
          <w:numId w:val="44"/>
        </w:numPr>
        <w:tabs>
          <w:tab w:val="clear" w:pos="624"/>
          <w:tab w:val="clear" w:pos="1134"/>
          <w:tab w:val="clear" w:pos="1247"/>
        </w:tabs>
        <w:rPr>
          <w:lang w:val="es-ES_tradnl"/>
        </w:rPr>
      </w:pPr>
      <w:r w:rsidRPr="002927A1">
        <w:rPr>
          <w:lang w:val="es-ES_tradnl"/>
        </w:rPr>
        <w:t>M</w:t>
      </w:r>
      <w:r w:rsidR="005B6D86" w:rsidRPr="002927A1">
        <w:rPr>
          <w:lang w:val="es-ES_tradnl"/>
        </w:rPr>
        <w:t>uchos representantes, entre ellos uno que habló en nombre de un grupo de países, expresaron</w:t>
      </w:r>
      <w:r w:rsidR="00AA1BCE" w:rsidRPr="002927A1">
        <w:rPr>
          <w:lang w:val="es-ES_tradnl"/>
        </w:rPr>
        <w:t> </w:t>
      </w:r>
      <w:r w:rsidR="005B6D86" w:rsidRPr="002927A1">
        <w:rPr>
          <w:lang w:val="es-ES_tradnl"/>
        </w:rPr>
        <w:t xml:space="preserve">su apoyo a la adopción del proyecto de </w:t>
      </w:r>
      <w:r w:rsidR="00EA25BC" w:rsidRPr="002927A1">
        <w:rPr>
          <w:lang w:val="es-ES_tradnl"/>
        </w:rPr>
        <w:t>decisión</w:t>
      </w:r>
      <w:r w:rsidR="005B6D86" w:rsidRPr="002927A1">
        <w:rPr>
          <w:lang w:val="es-ES_tradnl"/>
        </w:rPr>
        <w:t xml:space="preserve"> y agradecieron a los patrocinadores la labor realizada con otras Partes para revisar y mejorar el texto, y subrayaron que su </w:t>
      </w:r>
      <w:r w:rsidRPr="002927A1">
        <w:rPr>
          <w:lang w:val="es-ES_tradnl"/>
        </w:rPr>
        <w:t>implemen</w:t>
      </w:r>
      <w:r w:rsidR="005B6D86" w:rsidRPr="002927A1">
        <w:rPr>
          <w:lang w:val="es-ES_tradnl"/>
        </w:rPr>
        <w:t>tac</w:t>
      </w:r>
      <w:r w:rsidRPr="002927A1">
        <w:rPr>
          <w:lang w:val="es-ES_tradnl"/>
        </w:rPr>
        <w:t>i</w:t>
      </w:r>
      <w:r w:rsidR="005B6D86" w:rsidRPr="002927A1">
        <w:rPr>
          <w:lang w:val="es-ES_tradnl"/>
        </w:rPr>
        <w:t>ó</w:t>
      </w:r>
      <w:r w:rsidRPr="002927A1">
        <w:rPr>
          <w:lang w:val="es-ES_tradnl"/>
        </w:rPr>
        <w:t>n contribu</w:t>
      </w:r>
      <w:r w:rsidR="005B6D86" w:rsidRPr="002927A1">
        <w:rPr>
          <w:lang w:val="es-ES_tradnl"/>
        </w:rPr>
        <w:t>iría a fortalecer la gestión racional de los productos químicos y los desechos y mejoraría las sinergias entre las entidades encargadas de los productos químicos y los desechos, en consonancia con</w:t>
      </w:r>
      <w:r w:rsidR="00AA1BCE" w:rsidRPr="002927A1">
        <w:rPr>
          <w:lang w:val="es-ES_tradnl"/>
        </w:rPr>
        <w:t> </w:t>
      </w:r>
      <w:r w:rsidR="005B6D86" w:rsidRPr="002927A1">
        <w:rPr>
          <w:lang w:val="es-ES_tradnl"/>
        </w:rPr>
        <w:t xml:space="preserve">los llamamientos realizados por la Asamblea de las </w:t>
      </w:r>
      <w:r w:rsidR="0034570C" w:rsidRPr="002927A1">
        <w:rPr>
          <w:lang w:val="es-ES_tradnl"/>
        </w:rPr>
        <w:t>Naciones Unidas</w:t>
      </w:r>
      <w:r w:rsidR="005B6D86" w:rsidRPr="002927A1">
        <w:rPr>
          <w:lang w:val="es-ES_tradnl"/>
        </w:rPr>
        <w:t xml:space="preserve"> sobre el Medio Ambiente del</w:t>
      </w:r>
      <w:r w:rsidR="00AA1BCE" w:rsidRPr="002927A1">
        <w:rPr>
          <w:lang w:val="es-ES_tradnl"/>
        </w:rPr>
        <w:t> </w:t>
      </w:r>
      <w:r w:rsidR="005B6D86" w:rsidRPr="002927A1">
        <w:rPr>
          <w:lang w:val="es-ES_tradnl"/>
        </w:rPr>
        <w:t xml:space="preserve">PNUMA en relación con la adopción de medidas </w:t>
      </w:r>
      <w:r w:rsidRPr="002927A1">
        <w:rPr>
          <w:lang w:val="es-ES_tradnl"/>
        </w:rPr>
        <w:t>urgent</w:t>
      </w:r>
      <w:r w:rsidR="005B6D86" w:rsidRPr="002927A1">
        <w:rPr>
          <w:lang w:val="es-ES_tradnl"/>
        </w:rPr>
        <w:t>es y firmes para implementar las cuestiones de la Agenda</w:t>
      </w:r>
      <w:r w:rsidRPr="002927A1">
        <w:rPr>
          <w:lang w:val="es-ES_tradnl"/>
        </w:rPr>
        <w:t xml:space="preserve"> 2030 </w:t>
      </w:r>
      <w:r w:rsidR="005B6D86" w:rsidRPr="002927A1">
        <w:rPr>
          <w:lang w:val="es-ES_tradnl"/>
        </w:rPr>
        <w:t>para e</w:t>
      </w:r>
      <w:r w:rsidR="0083200D" w:rsidRPr="002927A1">
        <w:rPr>
          <w:lang w:val="es-ES_tradnl"/>
        </w:rPr>
        <w:t>l</w:t>
      </w:r>
      <w:r w:rsidR="005B6D86" w:rsidRPr="002927A1">
        <w:rPr>
          <w:lang w:val="es-ES_tradnl"/>
        </w:rPr>
        <w:t xml:space="preserve"> Desarrollo Sostenible que guardaban relación con la gestión racional de los productos químicos y los desechos</w:t>
      </w:r>
      <w:r w:rsidRPr="002927A1">
        <w:rPr>
          <w:lang w:val="es-ES_tradnl"/>
        </w:rPr>
        <w:t>.</w:t>
      </w:r>
    </w:p>
    <w:p w14:paraId="4DD2D996" w14:textId="192BCC75" w:rsidR="00F572BB" w:rsidRPr="002927A1" w:rsidRDefault="0083200D" w:rsidP="00A524DB">
      <w:pPr>
        <w:pStyle w:val="Normalnumber"/>
        <w:numPr>
          <w:ilvl w:val="0"/>
          <w:numId w:val="44"/>
        </w:numPr>
        <w:tabs>
          <w:tab w:val="clear" w:pos="624"/>
          <w:tab w:val="clear" w:pos="1134"/>
          <w:tab w:val="clear" w:pos="1247"/>
        </w:tabs>
        <w:rPr>
          <w:lang w:val="es-ES_tradnl"/>
        </w:rPr>
      </w:pPr>
      <w:r w:rsidRPr="002927A1">
        <w:rPr>
          <w:lang w:val="es-ES_tradnl"/>
        </w:rPr>
        <w:t xml:space="preserve">Una representante expresó el respaldo de su país a la cooperación y coordinación internacionales para implementar el Convenio de </w:t>
      </w:r>
      <w:r w:rsidR="00F572BB" w:rsidRPr="002927A1">
        <w:rPr>
          <w:lang w:val="es-ES_tradnl"/>
        </w:rPr>
        <w:t xml:space="preserve">Minamata, </w:t>
      </w:r>
      <w:r w:rsidRPr="002927A1">
        <w:rPr>
          <w:lang w:val="es-ES_tradnl"/>
        </w:rPr>
        <w:t xml:space="preserve">pero dijo que no </w:t>
      </w:r>
      <w:r w:rsidR="00EA25BC" w:rsidRPr="002927A1">
        <w:rPr>
          <w:lang w:val="es-ES_tradnl"/>
        </w:rPr>
        <w:t>podía</w:t>
      </w:r>
      <w:r w:rsidRPr="002927A1">
        <w:rPr>
          <w:lang w:val="es-ES_tradnl"/>
        </w:rPr>
        <w:t xml:space="preserve"> apoyar la adopción del proyecto de decisión, ya que representaba un posicionamiento político que politizaría el</w:t>
      </w:r>
      <w:r w:rsidR="00F635B7" w:rsidRPr="002927A1">
        <w:rPr>
          <w:lang w:val="es-ES_tradnl"/>
        </w:rPr>
        <w:t> </w:t>
      </w:r>
      <w:r w:rsidRPr="002927A1">
        <w:rPr>
          <w:lang w:val="es-ES_tradnl"/>
        </w:rPr>
        <w:t>Convenio y pedía acciones que eran innecesarias y no estaban comprendidas en el ámbito del Convenio</w:t>
      </w:r>
      <w:r w:rsidR="00F572BB" w:rsidRPr="002927A1">
        <w:rPr>
          <w:lang w:val="es-ES_tradnl"/>
        </w:rPr>
        <w:t>.</w:t>
      </w:r>
    </w:p>
    <w:p w14:paraId="631F7CEB" w14:textId="0446C89A" w:rsidR="00F572BB" w:rsidRPr="002927A1" w:rsidRDefault="0083200D" w:rsidP="00A524DB">
      <w:pPr>
        <w:pStyle w:val="Normalnumber"/>
        <w:numPr>
          <w:ilvl w:val="0"/>
          <w:numId w:val="44"/>
        </w:numPr>
        <w:tabs>
          <w:tab w:val="clear" w:pos="624"/>
          <w:tab w:val="clear" w:pos="1134"/>
          <w:tab w:val="clear" w:pos="1247"/>
        </w:tabs>
        <w:rPr>
          <w:lang w:val="es-ES_tradnl"/>
        </w:rPr>
      </w:pPr>
      <w:r w:rsidRPr="002927A1">
        <w:rPr>
          <w:lang w:val="es-ES_tradnl"/>
        </w:rPr>
        <w:t xml:space="preserve">El representante de la Unión </w:t>
      </w:r>
      <w:r w:rsidR="00F572BB" w:rsidRPr="002927A1">
        <w:rPr>
          <w:lang w:val="es-ES_tradnl"/>
        </w:rPr>
        <w:t>Europea</w:t>
      </w:r>
      <w:r w:rsidRPr="002927A1">
        <w:rPr>
          <w:lang w:val="es-ES_tradnl"/>
        </w:rPr>
        <w:t>, quien pidió que su intervención quedase recogida en el presente informe, lamentó que la oposición de una sola Parte hubiese impedido la adopción del proyecto de decisión</w:t>
      </w:r>
      <w:r w:rsidR="004D3A31" w:rsidRPr="002927A1">
        <w:rPr>
          <w:lang w:val="es-ES_tradnl"/>
        </w:rPr>
        <w:t xml:space="preserve">. </w:t>
      </w:r>
      <w:r w:rsidRPr="002927A1">
        <w:rPr>
          <w:lang w:val="es-ES_tradnl"/>
        </w:rPr>
        <w:t xml:space="preserve">Subrayó que la inmensa mayoría de las Partes presentes en la reunión en curso habían tratado de sumarse a la declaración de la Asamblea de las </w:t>
      </w:r>
      <w:r w:rsidR="0034570C" w:rsidRPr="002927A1">
        <w:rPr>
          <w:lang w:val="es-ES_tradnl"/>
        </w:rPr>
        <w:t>Naciones Unidas</w:t>
      </w:r>
      <w:r w:rsidRPr="002927A1">
        <w:rPr>
          <w:lang w:val="es-ES_tradnl"/>
        </w:rPr>
        <w:t xml:space="preserve"> sobre el Medio Ambiente de su profunda preocupación por la creciente contaminación del planeta y a su exhortación a</w:t>
      </w:r>
      <w:r w:rsidR="00315A55" w:rsidRPr="002927A1">
        <w:rPr>
          <w:lang w:val="es-ES_tradnl"/>
        </w:rPr>
        <w:t> </w:t>
      </w:r>
      <w:r w:rsidRPr="002927A1">
        <w:rPr>
          <w:lang w:val="es-ES_tradnl"/>
        </w:rPr>
        <w:t xml:space="preserve">todos los </w:t>
      </w:r>
      <w:r w:rsidR="00F572BB" w:rsidRPr="002927A1">
        <w:rPr>
          <w:lang w:val="es-ES_tradnl"/>
        </w:rPr>
        <w:t>Go</w:t>
      </w:r>
      <w:r w:rsidRPr="002927A1">
        <w:rPr>
          <w:lang w:val="es-ES_tradnl"/>
        </w:rPr>
        <w:t>biernos y otros interesados a combatir la contaminación a todos los niveles, concretamente en relación con el mercurio</w:t>
      </w:r>
      <w:r w:rsidR="00F572BB" w:rsidRPr="002927A1">
        <w:rPr>
          <w:lang w:val="es-ES_tradnl"/>
        </w:rPr>
        <w:t xml:space="preserve">. </w:t>
      </w:r>
      <w:r w:rsidRPr="002927A1">
        <w:rPr>
          <w:lang w:val="es-ES_tradnl"/>
        </w:rPr>
        <w:t>Asimismo, la mayoría de las Partes había considerado fundamental hacer hincapié en la necesidad de emprender acciones urgentes y decididas para implementar las cuestiones</w:t>
      </w:r>
      <w:r w:rsidR="008C0CC8" w:rsidRPr="002927A1">
        <w:rPr>
          <w:lang w:val="es-ES_tradnl"/>
        </w:rPr>
        <w:t xml:space="preserve"> de la Agenda 2030 para el Desarrollo Sostenible que guardaban relación con la gestión racional de los productos químicos y los desechos</w:t>
      </w:r>
      <w:r w:rsidR="00F572BB" w:rsidRPr="002927A1">
        <w:rPr>
          <w:lang w:val="es-ES_tradnl"/>
        </w:rPr>
        <w:t xml:space="preserve">, </w:t>
      </w:r>
      <w:r w:rsidR="008C0CC8" w:rsidRPr="002927A1">
        <w:rPr>
          <w:lang w:val="es-ES_tradnl"/>
        </w:rPr>
        <w:t xml:space="preserve">entre otras cosas por intermedio de </w:t>
      </w:r>
      <w:r w:rsidR="008C0CC8" w:rsidRPr="002927A1">
        <w:rPr>
          <w:lang w:val="es-ES_tradnl"/>
        </w:rPr>
        <w:lastRenderedPageBreak/>
        <w:t xml:space="preserve">un marco internacional mejorado, e instar a todas las Parte e interesados a intensificar y priorizar los esfuerzos por cumplir la meta de </w:t>
      </w:r>
      <w:r w:rsidR="00F572BB" w:rsidRPr="002927A1">
        <w:rPr>
          <w:lang w:val="es-ES_tradnl"/>
        </w:rPr>
        <w:t xml:space="preserve">2020 </w:t>
      </w:r>
      <w:r w:rsidR="008C0CC8" w:rsidRPr="002927A1">
        <w:rPr>
          <w:lang w:val="es-ES_tradnl"/>
        </w:rPr>
        <w:t xml:space="preserve">relativa a la gestión racional de los productos químicos y los desechos, la cual estaba recogida en la meta </w:t>
      </w:r>
      <w:r w:rsidR="00F572BB" w:rsidRPr="002927A1">
        <w:rPr>
          <w:lang w:val="es-ES_tradnl"/>
        </w:rPr>
        <w:t xml:space="preserve">12.4 </w:t>
      </w:r>
      <w:r w:rsidR="008C0CC8" w:rsidRPr="002927A1">
        <w:rPr>
          <w:lang w:val="es-ES_tradnl"/>
        </w:rPr>
        <w:t>de los Objetivos de Desarrollo Sostenible</w:t>
      </w:r>
      <w:r w:rsidR="00F572BB" w:rsidRPr="002927A1">
        <w:rPr>
          <w:lang w:val="es-ES_tradnl"/>
        </w:rPr>
        <w:t xml:space="preserve">, </w:t>
      </w:r>
      <w:r w:rsidR="008C0CC8" w:rsidRPr="002927A1">
        <w:rPr>
          <w:lang w:val="es-ES_tradnl"/>
        </w:rPr>
        <w:t>e</w:t>
      </w:r>
      <w:r w:rsidR="00F572BB" w:rsidRPr="002927A1">
        <w:rPr>
          <w:lang w:val="es-ES_tradnl"/>
        </w:rPr>
        <w:t xml:space="preserve">n particular </w:t>
      </w:r>
      <w:r w:rsidR="008C0CC8" w:rsidRPr="002927A1">
        <w:rPr>
          <w:lang w:val="es-ES_tradnl"/>
        </w:rPr>
        <w:t xml:space="preserve">desde la </w:t>
      </w:r>
      <w:r w:rsidR="00F572BB" w:rsidRPr="002927A1">
        <w:rPr>
          <w:lang w:val="es-ES_tradnl"/>
        </w:rPr>
        <w:t>perspectiv</w:t>
      </w:r>
      <w:r w:rsidR="008C0CC8" w:rsidRPr="002927A1">
        <w:rPr>
          <w:lang w:val="es-ES_tradnl"/>
        </w:rPr>
        <w:t xml:space="preserve">a del Convenio de </w:t>
      </w:r>
      <w:r w:rsidR="00F572BB" w:rsidRPr="002927A1">
        <w:rPr>
          <w:lang w:val="es-ES_tradnl"/>
        </w:rPr>
        <w:t>Minamata</w:t>
      </w:r>
      <w:r w:rsidR="008C0CC8" w:rsidRPr="002927A1">
        <w:rPr>
          <w:lang w:val="es-ES_tradnl"/>
        </w:rPr>
        <w:t xml:space="preserve"> y en relación con el </w:t>
      </w:r>
      <w:r w:rsidR="00F572BB" w:rsidRPr="002927A1">
        <w:rPr>
          <w:lang w:val="es-ES_tradnl"/>
        </w:rPr>
        <w:t>mercur</w:t>
      </w:r>
      <w:r w:rsidR="008C0CC8" w:rsidRPr="002927A1">
        <w:rPr>
          <w:lang w:val="es-ES_tradnl"/>
        </w:rPr>
        <w:t>io</w:t>
      </w:r>
      <w:r w:rsidR="00F572BB" w:rsidRPr="002927A1">
        <w:rPr>
          <w:lang w:val="es-ES_tradnl"/>
        </w:rPr>
        <w:t xml:space="preserve">. </w:t>
      </w:r>
      <w:r w:rsidR="008C0CC8" w:rsidRPr="002927A1">
        <w:rPr>
          <w:lang w:val="es-ES_tradnl"/>
        </w:rPr>
        <w:t xml:space="preserve">Para lograr cumplir esa meta era preciso aumentar la cooperación entre todas las organizaciones pertinentes, los </w:t>
      </w:r>
      <w:r w:rsidR="00F572BB" w:rsidRPr="002927A1">
        <w:rPr>
          <w:lang w:val="es-ES_tradnl"/>
        </w:rPr>
        <w:t>Go</w:t>
      </w:r>
      <w:r w:rsidR="008C0CC8" w:rsidRPr="002927A1">
        <w:rPr>
          <w:lang w:val="es-ES_tradnl"/>
        </w:rPr>
        <w:t>biernos y otros interesados.</w:t>
      </w:r>
    </w:p>
    <w:p w14:paraId="20EC89D5" w14:textId="7A1F4003" w:rsidR="00077945" w:rsidRPr="002927A1" w:rsidRDefault="00EC6C6F" w:rsidP="00A7033C">
      <w:pPr>
        <w:pStyle w:val="CH2"/>
        <w:rPr>
          <w:lang w:val="es-ES_tradnl"/>
        </w:rPr>
      </w:pPr>
      <w:bookmarkStart w:id="60" w:name="_Toc27124735"/>
      <w:r w:rsidRPr="002927A1">
        <w:rPr>
          <w:lang w:val="es-ES_tradnl"/>
        </w:rPr>
        <w:tab/>
      </w:r>
      <w:r w:rsidR="00E472C8" w:rsidRPr="002927A1">
        <w:rPr>
          <w:lang w:val="es-ES_tradnl"/>
        </w:rPr>
        <w:t>B</w:t>
      </w:r>
      <w:r w:rsidR="00A7033C" w:rsidRPr="002927A1">
        <w:rPr>
          <w:lang w:val="es-ES_tradnl"/>
        </w:rPr>
        <w:t>.</w:t>
      </w:r>
      <w:r w:rsidR="00A7033C" w:rsidRPr="002927A1">
        <w:rPr>
          <w:lang w:val="es-ES_tradnl"/>
        </w:rPr>
        <w:tab/>
      </w:r>
      <w:bookmarkEnd w:id="60"/>
      <w:r w:rsidR="00BC4297" w:rsidRPr="002927A1">
        <w:rPr>
          <w:bCs/>
          <w:lang w:val="es-ES_tradnl"/>
        </w:rPr>
        <w:t>Otras organizaciones y órganos internacionales</w:t>
      </w:r>
    </w:p>
    <w:p w14:paraId="59F8ACCD" w14:textId="7F0241B3" w:rsidR="00EF37DE" w:rsidRPr="002927A1" w:rsidRDefault="00EF37DE" w:rsidP="00A524DB">
      <w:pPr>
        <w:pStyle w:val="Normalnumber"/>
        <w:numPr>
          <w:ilvl w:val="0"/>
          <w:numId w:val="44"/>
        </w:numPr>
        <w:tabs>
          <w:tab w:val="clear" w:pos="624"/>
          <w:tab w:val="clear" w:pos="1134"/>
          <w:tab w:val="clear" w:pos="1247"/>
        </w:tabs>
        <w:rPr>
          <w:lang w:val="es-ES_tradnl"/>
        </w:rPr>
      </w:pPr>
      <w:r w:rsidRPr="002927A1">
        <w:rPr>
          <w:lang w:val="es-ES_tradnl"/>
        </w:rPr>
        <w:t>Al presentar el subtema, el representante de la Secretaría señaló a la atención la información pertinente que figura en el informe sobre las actividades de los órganos internacionales competentes (UNEP/MC/COP.3/INF/17).</w:t>
      </w:r>
    </w:p>
    <w:p w14:paraId="340A23AB" w14:textId="07065A3C" w:rsidR="00EF37DE" w:rsidRPr="00454804" w:rsidRDefault="004F4970" w:rsidP="00985351">
      <w:pPr>
        <w:pStyle w:val="CH3"/>
        <w:rPr>
          <w:lang w:val="es-ES"/>
        </w:rPr>
      </w:pPr>
      <w:r w:rsidRPr="00454804">
        <w:rPr>
          <w:lang w:val="es-ES"/>
        </w:rPr>
        <w:tab/>
      </w:r>
      <w:r w:rsidR="00EF37DE" w:rsidRPr="00454804">
        <w:rPr>
          <w:lang w:val="es-ES"/>
        </w:rPr>
        <w:t>1.</w:t>
      </w:r>
      <w:r w:rsidR="00EF37DE" w:rsidRPr="00454804">
        <w:rPr>
          <w:lang w:val="es-ES"/>
        </w:rPr>
        <w:tab/>
        <w:t>Grupo Asesor de la Asociación Mundial sobre el Mercurio</w:t>
      </w:r>
    </w:p>
    <w:p w14:paraId="620850C8" w14:textId="10EFC2C0" w:rsidR="00EF37DE" w:rsidRPr="002927A1" w:rsidRDefault="00EF37DE" w:rsidP="00A524DB">
      <w:pPr>
        <w:pStyle w:val="Normalnumber"/>
        <w:numPr>
          <w:ilvl w:val="0"/>
          <w:numId w:val="44"/>
        </w:numPr>
        <w:tabs>
          <w:tab w:val="clear" w:pos="624"/>
          <w:tab w:val="clear" w:pos="1134"/>
          <w:tab w:val="clear" w:pos="1247"/>
        </w:tabs>
        <w:rPr>
          <w:lang w:val="es-ES_tradnl"/>
        </w:rPr>
      </w:pPr>
      <w:r w:rsidRPr="002927A1">
        <w:rPr>
          <w:lang w:val="es-ES_tradnl"/>
        </w:rPr>
        <w:t>El</w:t>
      </w:r>
      <w:r w:rsidRPr="002927A1">
        <w:rPr>
          <w:bCs/>
          <w:lang w:val="es-ES_tradnl"/>
        </w:rPr>
        <w:t xml:space="preserve"> representante del Grupo Asesor de la Asociación Mundial sobre el Mercurio del PNUMA informó acerca de la décima reunión del Grupo, que tuvo lugar en Ginebra </w:t>
      </w:r>
      <w:r w:rsidRPr="002927A1">
        <w:rPr>
          <w:lang w:val="es-ES_tradnl"/>
        </w:rPr>
        <w:t>el</w:t>
      </w:r>
      <w:r w:rsidRPr="002927A1">
        <w:rPr>
          <w:bCs/>
          <w:lang w:val="es-ES_tradnl"/>
        </w:rPr>
        <w:t xml:space="preserve"> 23 de noviembre de 2019</w:t>
      </w:r>
      <w:r w:rsidR="00BE7D8C" w:rsidRPr="002927A1">
        <w:rPr>
          <w:bCs/>
          <w:lang w:val="es-ES_tradnl"/>
        </w:rPr>
        <w:t xml:space="preserve">, en la cual </w:t>
      </w:r>
      <w:r w:rsidRPr="002927A1">
        <w:rPr>
          <w:bCs/>
          <w:lang w:val="es-ES_tradnl"/>
        </w:rPr>
        <w:t xml:space="preserve">el </w:t>
      </w:r>
      <w:r w:rsidRPr="002927A1">
        <w:rPr>
          <w:lang w:val="es-ES_tradnl"/>
        </w:rPr>
        <w:t>Grupo</w:t>
      </w:r>
      <w:r w:rsidRPr="002927A1">
        <w:rPr>
          <w:bCs/>
          <w:lang w:val="es-ES_tradnl"/>
        </w:rPr>
        <w:t xml:space="preserve"> había determinado una serie de temas como posibles esferas de trabajo prioritarias para la Asociación, que en la actualidad contaba con más de 190 miembros, incluido el perfeccionamiento de los factores de emisión de los sectores clave, el establecimiento de un marco para una base de datos centralizada sobre las evaluaciones del mercurio, la elaboración de directrices sobre productos con mercurio añadido, la elaboración de instrumentos de información sobre tecnologías de desechos y la organización de seminarios en línea para el intercambio de información. El Grupo también había examinado cuestiones intersectoriales que podrían provocar un incremento en la disponibilidad de mercurio en el mercado y en sus liberaciones en el medio ambiente, y había pedido a la secretaría de la Asociación que convocase debates específicos sobre esas cuestiones. El representante señaló a la atención el documento de antecedentes que la Conferencia tenía ante sí en su reunión en curso, en el que se detallaban las actividades realizadas por la Asociación durante el año anterior (UNEP/MC/COP.3/INF/7/Rev.1)</w:t>
      </w:r>
      <w:r w:rsidR="00CF6FD8" w:rsidRPr="002927A1">
        <w:rPr>
          <w:bCs/>
          <w:lang w:val="es-ES_tradnl"/>
        </w:rPr>
        <w:t>.</w:t>
      </w:r>
    </w:p>
    <w:p w14:paraId="0D2E58F7" w14:textId="7DBFCD06" w:rsidR="00113D26" w:rsidRPr="00454804" w:rsidRDefault="004F4970" w:rsidP="004F4970">
      <w:pPr>
        <w:pStyle w:val="CH3"/>
        <w:rPr>
          <w:lang w:val="es-ES"/>
        </w:rPr>
      </w:pPr>
      <w:r w:rsidRPr="00454804">
        <w:rPr>
          <w:b w:val="0"/>
          <w:bCs/>
          <w:lang w:val="es-ES"/>
        </w:rPr>
        <w:tab/>
      </w:r>
      <w:r w:rsidR="00113D26" w:rsidRPr="00454804">
        <w:rPr>
          <w:lang w:val="es-ES"/>
        </w:rPr>
        <w:t>2.</w:t>
      </w:r>
      <w:r w:rsidR="00113D26" w:rsidRPr="00454804">
        <w:rPr>
          <w:lang w:val="es-ES"/>
        </w:rPr>
        <w:tab/>
      </w:r>
      <w:r w:rsidR="002A5EAD" w:rsidRPr="00454804">
        <w:rPr>
          <w:lang w:val="es-ES"/>
        </w:rPr>
        <w:t xml:space="preserve">Programa de las </w:t>
      </w:r>
      <w:r w:rsidR="0034570C" w:rsidRPr="00454804">
        <w:rPr>
          <w:lang w:val="es-ES"/>
        </w:rPr>
        <w:t>Naciones Unidas</w:t>
      </w:r>
      <w:r w:rsidR="002A5EAD" w:rsidRPr="00454804">
        <w:rPr>
          <w:lang w:val="es-ES"/>
        </w:rPr>
        <w:t xml:space="preserve"> para el Medio Ambiente</w:t>
      </w:r>
    </w:p>
    <w:p w14:paraId="4617B9D9" w14:textId="6036276E" w:rsidR="00113D26" w:rsidRPr="002927A1" w:rsidRDefault="00397AAF" w:rsidP="00A524DB">
      <w:pPr>
        <w:pStyle w:val="Normalnumber"/>
        <w:numPr>
          <w:ilvl w:val="0"/>
          <w:numId w:val="44"/>
        </w:numPr>
        <w:tabs>
          <w:tab w:val="clear" w:pos="624"/>
          <w:tab w:val="clear" w:pos="1134"/>
          <w:tab w:val="clear" w:pos="1247"/>
        </w:tabs>
        <w:rPr>
          <w:lang w:val="es-ES_tradnl"/>
        </w:rPr>
      </w:pPr>
      <w:r w:rsidRPr="002927A1">
        <w:rPr>
          <w:lang w:val="es-ES_tradnl"/>
        </w:rPr>
        <w:t xml:space="preserve">El </w:t>
      </w:r>
      <w:r w:rsidR="0093456E" w:rsidRPr="002927A1">
        <w:rPr>
          <w:lang w:val="es-ES_tradnl"/>
        </w:rPr>
        <w:t>representa</w:t>
      </w:r>
      <w:r w:rsidRPr="002927A1">
        <w:rPr>
          <w:lang w:val="es-ES_tradnl"/>
        </w:rPr>
        <w:t>nte del PNUMA señaló a la atención de los presentes el informe de la Directora</w:t>
      </w:r>
      <w:r w:rsidR="00753D17">
        <w:rPr>
          <w:lang w:val="es-ES_tradnl"/>
        </w:rPr>
        <w:t> </w:t>
      </w:r>
      <w:r w:rsidRPr="002927A1">
        <w:rPr>
          <w:lang w:val="es-ES_tradnl"/>
        </w:rPr>
        <w:t>Ejecutiva del PNUMA a la reunión en curso</w:t>
      </w:r>
      <w:r w:rsidR="00311CAC" w:rsidRPr="002927A1">
        <w:rPr>
          <w:lang w:val="es-ES_tradnl"/>
        </w:rPr>
        <w:t xml:space="preserve"> (UNEP</w:t>
      </w:r>
      <w:bookmarkStart w:id="61" w:name="OLE_LINK2"/>
      <w:bookmarkStart w:id="62" w:name="OLE_LINK1"/>
      <w:r w:rsidR="00311CAC" w:rsidRPr="002927A1">
        <w:rPr>
          <w:lang w:val="es-ES_tradnl"/>
        </w:rPr>
        <w:t>/MC/</w:t>
      </w:r>
      <w:bookmarkEnd w:id="61"/>
      <w:bookmarkEnd w:id="62"/>
      <w:r w:rsidR="00311CAC" w:rsidRPr="002927A1">
        <w:rPr>
          <w:lang w:val="es-ES_tradnl"/>
        </w:rPr>
        <w:t>COP.3/INF/4)</w:t>
      </w:r>
      <w:r w:rsidRPr="002927A1">
        <w:rPr>
          <w:lang w:val="es-ES_tradnl"/>
        </w:rPr>
        <w:t xml:space="preserve"> el cual, señaló, constaba de tres</w:t>
      </w:r>
      <w:r w:rsidR="00311CAC" w:rsidRPr="002927A1">
        <w:rPr>
          <w:lang w:val="es-ES_tradnl"/>
        </w:rPr>
        <w:t xml:space="preserve"> part</w:t>
      </w:r>
      <w:r w:rsidRPr="002927A1">
        <w:rPr>
          <w:lang w:val="es-ES_tradnl"/>
        </w:rPr>
        <w:t>e</w:t>
      </w:r>
      <w:r w:rsidR="00AC2855" w:rsidRPr="002927A1">
        <w:rPr>
          <w:lang w:val="es-ES_tradnl"/>
        </w:rPr>
        <w:t xml:space="preserve">s. En la primera parte </w:t>
      </w:r>
      <w:r w:rsidR="004E75E0">
        <w:rPr>
          <w:lang w:val="es-ES_tradnl"/>
        </w:rPr>
        <w:t>se destacaba la colaboración programática entre el</w:t>
      </w:r>
      <w:r w:rsidR="00753D17">
        <w:rPr>
          <w:lang w:val="es-ES_tradnl"/>
        </w:rPr>
        <w:t> </w:t>
      </w:r>
      <w:r w:rsidR="004E75E0">
        <w:rPr>
          <w:lang w:val="es-ES_tradnl"/>
        </w:rPr>
        <w:t xml:space="preserve">PNUMA y el Convenio de Minamata y </w:t>
      </w:r>
      <w:r w:rsidR="00AC2855" w:rsidRPr="002927A1">
        <w:rPr>
          <w:lang w:val="es-ES_tradnl"/>
        </w:rPr>
        <w:t>se esbozaba el apoyo prestado por el PNUMA a la A</w:t>
      </w:r>
      <w:r w:rsidR="00276554" w:rsidRPr="002927A1">
        <w:rPr>
          <w:lang w:val="es-ES_tradnl"/>
        </w:rPr>
        <w:t>sociación</w:t>
      </w:r>
      <w:r w:rsidR="00AC2855" w:rsidRPr="002927A1">
        <w:rPr>
          <w:lang w:val="es-ES_tradnl"/>
        </w:rPr>
        <w:t xml:space="preserve"> Mundial sobre el Mercurio</w:t>
      </w:r>
      <w:r w:rsidR="00311CAC" w:rsidRPr="002927A1">
        <w:rPr>
          <w:lang w:val="es-ES_tradnl"/>
        </w:rPr>
        <w:t xml:space="preserve">; </w:t>
      </w:r>
      <w:r w:rsidR="00AC2855" w:rsidRPr="002927A1">
        <w:rPr>
          <w:lang w:val="es-ES_tradnl"/>
        </w:rPr>
        <w:t>la c</w:t>
      </w:r>
      <w:r w:rsidR="00311CAC" w:rsidRPr="002927A1">
        <w:rPr>
          <w:lang w:val="es-ES_tradnl"/>
        </w:rPr>
        <w:t>ontribu</w:t>
      </w:r>
      <w:r w:rsidR="00AC2855" w:rsidRPr="002927A1">
        <w:rPr>
          <w:lang w:val="es-ES_tradnl"/>
        </w:rPr>
        <w:t>c</w:t>
      </w:r>
      <w:r w:rsidR="00311CAC" w:rsidRPr="002927A1">
        <w:rPr>
          <w:lang w:val="es-ES_tradnl"/>
        </w:rPr>
        <w:t>i</w:t>
      </w:r>
      <w:r w:rsidR="00AC2855" w:rsidRPr="002927A1">
        <w:rPr>
          <w:lang w:val="es-ES_tradnl"/>
        </w:rPr>
        <w:t>ó</w:t>
      </w:r>
      <w:r w:rsidR="00311CAC" w:rsidRPr="002927A1">
        <w:rPr>
          <w:lang w:val="es-ES_tradnl"/>
        </w:rPr>
        <w:t xml:space="preserve">n </w:t>
      </w:r>
      <w:r w:rsidR="00AC2855" w:rsidRPr="002927A1">
        <w:rPr>
          <w:lang w:val="es-ES_tradnl"/>
        </w:rPr>
        <w:t>del PNUMA a labor entre reuniones</w:t>
      </w:r>
      <w:r w:rsidR="00311CAC" w:rsidRPr="002927A1">
        <w:rPr>
          <w:lang w:val="es-ES_tradnl"/>
        </w:rPr>
        <w:t xml:space="preserve">; </w:t>
      </w:r>
      <w:r w:rsidR="00AC2855" w:rsidRPr="002927A1">
        <w:rPr>
          <w:lang w:val="es-ES_tradnl"/>
        </w:rPr>
        <w:t>su apoyo a los países para la</w:t>
      </w:r>
      <w:r w:rsidR="00F600D5" w:rsidRPr="002927A1">
        <w:rPr>
          <w:lang w:val="es-ES_tradnl"/>
        </w:rPr>
        <w:t> </w:t>
      </w:r>
      <w:r w:rsidR="00AC2855" w:rsidRPr="002927A1">
        <w:rPr>
          <w:lang w:val="es-ES_tradnl"/>
        </w:rPr>
        <w:t xml:space="preserve">ratificación del Convenio de </w:t>
      </w:r>
      <w:r w:rsidR="00311CAC" w:rsidRPr="002927A1">
        <w:rPr>
          <w:lang w:val="es-ES_tradnl"/>
        </w:rPr>
        <w:t xml:space="preserve">Minamata; </w:t>
      </w:r>
      <w:r w:rsidR="00AC2855" w:rsidRPr="002927A1">
        <w:rPr>
          <w:lang w:val="es-ES_tradnl"/>
        </w:rPr>
        <w:t xml:space="preserve">la preparación de la </w:t>
      </w:r>
      <w:r w:rsidR="00E258D1" w:rsidRPr="002927A1">
        <w:rPr>
          <w:i/>
          <w:iCs/>
          <w:lang w:val="es-ES_tradnl"/>
        </w:rPr>
        <w:t>Evaluación Mundial del Mercurio</w:t>
      </w:r>
      <w:r w:rsidR="00AC2855" w:rsidRPr="002927A1">
        <w:rPr>
          <w:lang w:val="es-ES_tradnl"/>
        </w:rPr>
        <w:t xml:space="preserve"> de</w:t>
      </w:r>
      <w:r w:rsidR="00F600D5" w:rsidRPr="002927A1">
        <w:rPr>
          <w:lang w:val="es-ES_tradnl"/>
        </w:rPr>
        <w:t> </w:t>
      </w:r>
      <w:r w:rsidR="00311CAC" w:rsidRPr="002927A1">
        <w:rPr>
          <w:lang w:val="es-ES_tradnl"/>
        </w:rPr>
        <w:t xml:space="preserve">2018; </w:t>
      </w:r>
      <w:r w:rsidR="00AC2855" w:rsidRPr="002927A1">
        <w:rPr>
          <w:lang w:val="es-ES_tradnl"/>
        </w:rPr>
        <w:t xml:space="preserve">la actualización de </w:t>
      </w:r>
      <w:r w:rsidR="00311CAC" w:rsidRPr="002927A1">
        <w:rPr>
          <w:lang w:val="es-ES_tradnl"/>
        </w:rPr>
        <w:t xml:space="preserve">2019 </w:t>
      </w:r>
      <w:r w:rsidR="00AC2855" w:rsidRPr="002927A1">
        <w:rPr>
          <w:lang w:val="es-ES_tradnl"/>
        </w:rPr>
        <w:t xml:space="preserve">del instrumental para los inventarios de </w:t>
      </w:r>
      <w:r w:rsidR="00EA25BC" w:rsidRPr="002927A1">
        <w:rPr>
          <w:lang w:val="es-ES_tradnl"/>
        </w:rPr>
        <w:t>mercurio</w:t>
      </w:r>
      <w:r w:rsidR="000A7DD5">
        <w:rPr>
          <w:lang w:val="es-ES_tradnl"/>
        </w:rPr>
        <w:t>;</w:t>
      </w:r>
      <w:r w:rsidR="00AC2855" w:rsidRPr="002927A1">
        <w:rPr>
          <w:lang w:val="es-ES_tradnl"/>
        </w:rPr>
        <w:t xml:space="preserve"> y las</w:t>
      </w:r>
      <w:r w:rsidR="00753D17">
        <w:rPr>
          <w:lang w:val="es-ES_tradnl"/>
        </w:rPr>
        <w:t> </w:t>
      </w:r>
      <w:r w:rsidR="00AC2855" w:rsidRPr="002927A1">
        <w:rPr>
          <w:lang w:val="es-ES_tradnl"/>
        </w:rPr>
        <w:t>actividades realizadas por el PNUMA en relación con la vigilancia del mercurio y los desechos de mercurio</w:t>
      </w:r>
      <w:r w:rsidR="00311CAC" w:rsidRPr="002927A1">
        <w:rPr>
          <w:lang w:val="es-ES_tradnl"/>
        </w:rPr>
        <w:t xml:space="preserve">. </w:t>
      </w:r>
      <w:r w:rsidR="00AC2855" w:rsidRPr="002927A1">
        <w:rPr>
          <w:lang w:val="es-ES_tradnl"/>
        </w:rPr>
        <w:t>La</w:t>
      </w:r>
      <w:r w:rsidR="00F600D5" w:rsidRPr="002927A1">
        <w:rPr>
          <w:lang w:val="es-ES_tradnl"/>
        </w:rPr>
        <w:t> </w:t>
      </w:r>
      <w:r w:rsidR="00AC2855" w:rsidRPr="002927A1">
        <w:rPr>
          <w:lang w:val="es-ES_tradnl"/>
        </w:rPr>
        <w:t xml:space="preserve">segunda parte del informe hacía referencia al apoyo </w:t>
      </w:r>
      <w:r w:rsidR="00215BF6" w:rsidRPr="002927A1">
        <w:rPr>
          <w:lang w:val="es-ES_tradnl"/>
        </w:rPr>
        <w:t>administrativo</w:t>
      </w:r>
      <w:r w:rsidR="00AC2855" w:rsidRPr="002927A1">
        <w:rPr>
          <w:lang w:val="es-ES_tradnl"/>
        </w:rPr>
        <w:t xml:space="preserve"> y</w:t>
      </w:r>
      <w:r w:rsidR="00311CAC" w:rsidRPr="002927A1">
        <w:rPr>
          <w:lang w:val="es-ES_tradnl"/>
        </w:rPr>
        <w:t xml:space="preserve"> </w:t>
      </w:r>
      <w:r w:rsidR="00AC2855" w:rsidRPr="002927A1">
        <w:rPr>
          <w:lang w:val="es-ES_tradnl"/>
        </w:rPr>
        <w:t>financiero prestado por el</w:t>
      </w:r>
      <w:r w:rsidR="00F600D5" w:rsidRPr="002927A1">
        <w:rPr>
          <w:lang w:val="es-ES_tradnl"/>
        </w:rPr>
        <w:t> </w:t>
      </w:r>
      <w:r w:rsidR="00AC2855" w:rsidRPr="002927A1">
        <w:rPr>
          <w:lang w:val="es-ES_tradnl"/>
        </w:rPr>
        <w:t>PNUMA a la Se</w:t>
      </w:r>
      <w:r w:rsidR="00311CAC" w:rsidRPr="002927A1">
        <w:rPr>
          <w:lang w:val="es-ES_tradnl"/>
        </w:rPr>
        <w:t>cretar</w:t>
      </w:r>
      <w:r w:rsidR="00AC2855" w:rsidRPr="002927A1">
        <w:rPr>
          <w:lang w:val="es-ES_tradnl"/>
        </w:rPr>
        <w:t xml:space="preserve">ía del Convenio de </w:t>
      </w:r>
      <w:r w:rsidR="00311CAC" w:rsidRPr="002927A1">
        <w:rPr>
          <w:lang w:val="es-ES_tradnl"/>
        </w:rPr>
        <w:t>Minamata</w:t>
      </w:r>
      <w:r w:rsidR="00AC2855" w:rsidRPr="002927A1">
        <w:rPr>
          <w:lang w:val="es-ES_tradnl"/>
        </w:rPr>
        <w:t>; y la tercera parte describía la contribución del</w:t>
      </w:r>
      <w:r w:rsidR="00F600D5" w:rsidRPr="002927A1">
        <w:rPr>
          <w:lang w:val="es-ES_tradnl"/>
        </w:rPr>
        <w:t> </w:t>
      </w:r>
      <w:r w:rsidR="00AC2855" w:rsidRPr="002927A1">
        <w:rPr>
          <w:lang w:val="es-ES_tradnl"/>
        </w:rPr>
        <w:t>PNUMA a los preparativos y la celebración de la reunión en curso y la cooperación entre la Subdivisión de Productos Químicos y Salud del PNUMA, la S</w:t>
      </w:r>
      <w:r w:rsidR="00851014" w:rsidRPr="002927A1">
        <w:rPr>
          <w:lang w:val="es-ES_tradnl"/>
        </w:rPr>
        <w:t>ecretar</w:t>
      </w:r>
      <w:r w:rsidR="00AC2855" w:rsidRPr="002927A1">
        <w:rPr>
          <w:lang w:val="es-ES_tradnl"/>
        </w:rPr>
        <w:t xml:space="preserve">ía de los Convenios de </w:t>
      </w:r>
      <w:r w:rsidR="00311CAC" w:rsidRPr="002927A1">
        <w:rPr>
          <w:lang w:val="es-ES_tradnl"/>
        </w:rPr>
        <w:t>Bas</w:t>
      </w:r>
      <w:r w:rsidR="00AC2855" w:rsidRPr="002927A1">
        <w:rPr>
          <w:lang w:val="es-ES_tradnl"/>
        </w:rPr>
        <w:t>i</w:t>
      </w:r>
      <w:r w:rsidR="00311CAC" w:rsidRPr="002927A1">
        <w:rPr>
          <w:lang w:val="es-ES_tradnl"/>
        </w:rPr>
        <w:t>l</w:t>
      </w:r>
      <w:r w:rsidR="00AC2855" w:rsidRPr="002927A1">
        <w:rPr>
          <w:lang w:val="es-ES_tradnl"/>
        </w:rPr>
        <w:t>ea</w:t>
      </w:r>
      <w:r w:rsidR="00311CAC" w:rsidRPr="002927A1">
        <w:rPr>
          <w:lang w:val="es-ES_tradnl"/>
        </w:rPr>
        <w:t xml:space="preserve">, </w:t>
      </w:r>
      <w:r w:rsidR="00AC2855" w:rsidRPr="002927A1">
        <w:rPr>
          <w:lang w:val="es-ES_tradnl"/>
        </w:rPr>
        <w:t xml:space="preserve">Estocolmo y </w:t>
      </w:r>
      <w:r w:rsidR="00311CAC" w:rsidRPr="002927A1">
        <w:rPr>
          <w:lang w:val="es-ES_tradnl"/>
        </w:rPr>
        <w:t>Rotterdam</w:t>
      </w:r>
      <w:r w:rsidR="00AC2855" w:rsidRPr="002927A1">
        <w:rPr>
          <w:lang w:val="es-ES_tradnl"/>
        </w:rPr>
        <w:t>, la S</w:t>
      </w:r>
      <w:r w:rsidR="00311CAC" w:rsidRPr="002927A1">
        <w:rPr>
          <w:lang w:val="es-ES_tradnl"/>
        </w:rPr>
        <w:t>ecretar</w:t>
      </w:r>
      <w:r w:rsidR="00AC2855" w:rsidRPr="002927A1">
        <w:rPr>
          <w:lang w:val="es-ES_tradnl"/>
        </w:rPr>
        <w:t xml:space="preserve">ía del Convenio de </w:t>
      </w:r>
      <w:r w:rsidR="00311CAC" w:rsidRPr="002927A1">
        <w:rPr>
          <w:lang w:val="es-ES_tradnl"/>
        </w:rPr>
        <w:t>Minamata</w:t>
      </w:r>
      <w:r w:rsidR="00AC2855" w:rsidRPr="002927A1">
        <w:rPr>
          <w:lang w:val="es-ES_tradnl"/>
        </w:rPr>
        <w:t xml:space="preserve"> y la S</w:t>
      </w:r>
      <w:r w:rsidR="00311CAC" w:rsidRPr="002927A1">
        <w:rPr>
          <w:lang w:val="es-ES_tradnl"/>
        </w:rPr>
        <w:t>ecretar</w:t>
      </w:r>
      <w:r w:rsidR="00AC2855" w:rsidRPr="002927A1">
        <w:rPr>
          <w:lang w:val="es-ES_tradnl"/>
        </w:rPr>
        <w:t xml:space="preserve">ía del </w:t>
      </w:r>
      <w:r w:rsidR="00215BF6" w:rsidRPr="002927A1">
        <w:rPr>
          <w:bCs/>
          <w:lang w:val="es-ES_tradnl"/>
        </w:rPr>
        <w:t>Enfoque Estratégico para la Gestión de Productos Químicos a Nivel Internacional</w:t>
      </w:r>
      <w:r w:rsidR="00311CAC" w:rsidRPr="002927A1">
        <w:rPr>
          <w:lang w:val="es-ES_tradnl"/>
        </w:rPr>
        <w:t>.</w:t>
      </w:r>
      <w:r w:rsidR="00311CAC" w:rsidRPr="002927A1" w:rsidDel="00311CAC">
        <w:rPr>
          <w:lang w:val="es-ES_tradnl"/>
        </w:rPr>
        <w:t xml:space="preserve"> </w:t>
      </w:r>
    </w:p>
    <w:p w14:paraId="17418390" w14:textId="2057E37D" w:rsidR="00113D26" w:rsidRPr="002927A1" w:rsidRDefault="00EC6C6F" w:rsidP="00113D26">
      <w:pPr>
        <w:pStyle w:val="CH3"/>
        <w:rPr>
          <w:lang w:val="es-ES_tradnl"/>
        </w:rPr>
      </w:pPr>
      <w:r w:rsidRPr="002927A1">
        <w:rPr>
          <w:lang w:val="es-ES_tradnl"/>
        </w:rPr>
        <w:tab/>
      </w:r>
      <w:r w:rsidR="00113D26" w:rsidRPr="002927A1">
        <w:rPr>
          <w:lang w:val="es-ES_tradnl"/>
        </w:rPr>
        <w:t>3.</w:t>
      </w:r>
      <w:r w:rsidR="00113D26" w:rsidRPr="002927A1">
        <w:rPr>
          <w:lang w:val="es-ES_tradnl"/>
        </w:rPr>
        <w:tab/>
      </w:r>
      <w:r w:rsidR="00EF37DE" w:rsidRPr="002927A1">
        <w:rPr>
          <w:bCs/>
          <w:lang w:val="es-ES_tradnl"/>
        </w:rPr>
        <w:t>Enfoque Estratégico para la Gestión de Productos Químicos a Nivel Internacional</w:t>
      </w:r>
    </w:p>
    <w:p w14:paraId="4760FAF6" w14:textId="1599D35B" w:rsidR="00113D26" w:rsidRPr="002927A1" w:rsidRDefault="00EF37DE" w:rsidP="00A524DB">
      <w:pPr>
        <w:pStyle w:val="Normalnumber"/>
        <w:numPr>
          <w:ilvl w:val="0"/>
          <w:numId w:val="44"/>
        </w:numPr>
        <w:tabs>
          <w:tab w:val="clear" w:pos="624"/>
          <w:tab w:val="clear" w:pos="1134"/>
          <w:tab w:val="clear" w:pos="1247"/>
        </w:tabs>
        <w:rPr>
          <w:lang w:val="es-ES_tradnl"/>
        </w:rPr>
      </w:pPr>
      <w:r w:rsidRPr="002927A1">
        <w:rPr>
          <w:bCs/>
          <w:lang w:val="es-ES_tradnl"/>
        </w:rPr>
        <w:t xml:space="preserve">La </w:t>
      </w:r>
      <w:r w:rsidRPr="002927A1">
        <w:rPr>
          <w:lang w:val="es-ES_tradnl"/>
        </w:rPr>
        <w:t>representante</w:t>
      </w:r>
      <w:r w:rsidRPr="002927A1">
        <w:rPr>
          <w:bCs/>
          <w:lang w:val="es-ES_tradnl"/>
        </w:rPr>
        <w:t xml:space="preserve"> del Enfoque Estratégico para la Gestión de Productos Químicos a Nivel Internacional dijo que la </w:t>
      </w:r>
      <w:r w:rsidR="003477A7" w:rsidRPr="002927A1">
        <w:rPr>
          <w:bCs/>
          <w:lang w:val="es-ES_tradnl"/>
        </w:rPr>
        <w:t>S</w:t>
      </w:r>
      <w:r w:rsidRPr="002927A1">
        <w:rPr>
          <w:bCs/>
          <w:lang w:val="es-ES_tradnl"/>
        </w:rPr>
        <w:t xml:space="preserve">ecretaría del Enfoque Estratégico cooperaba </w:t>
      </w:r>
      <w:r w:rsidRPr="002927A1">
        <w:rPr>
          <w:lang w:val="es-ES_tradnl"/>
        </w:rPr>
        <w:t>activamente</w:t>
      </w:r>
      <w:r w:rsidRPr="002927A1">
        <w:rPr>
          <w:bCs/>
          <w:lang w:val="es-ES_tradnl"/>
        </w:rPr>
        <w:t xml:space="preserve"> con las Partes en el Convenio de Minamata y con la Secretaría del Convenio de Minamata. El Programa de Inicio Rápido había financiado diferentes proyectos directamente pertinentes para el mercurio, incluidas actividades relacionadas con la extracción de oro artesanal y en pequeña escala y los productos que contienen mercurio, y, siempre que había sido posible, se habían celebrado reuniones co</w:t>
      </w:r>
      <w:r w:rsidR="00DD2BC1" w:rsidRPr="002927A1">
        <w:rPr>
          <w:bCs/>
          <w:lang w:val="es-ES_tradnl"/>
        </w:rPr>
        <w:t>nsecutivas con lo</w:t>
      </w:r>
      <w:r w:rsidRPr="002927A1">
        <w:rPr>
          <w:bCs/>
          <w:lang w:val="es-ES_tradnl"/>
        </w:rPr>
        <w:t>s interesad</w:t>
      </w:r>
      <w:r w:rsidR="00DD2BC1" w:rsidRPr="002927A1">
        <w:rPr>
          <w:bCs/>
          <w:lang w:val="es-ES_tradnl"/>
        </w:rPr>
        <w:t>o</w:t>
      </w:r>
      <w:r w:rsidRPr="002927A1">
        <w:rPr>
          <w:bCs/>
          <w:lang w:val="es-ES_tradnl"/>
        </w:rPr>
        <w:t>s comunes a fin de reducir los costos. Recordando que el quinto período de sesiones de la Conferencia Internacional sobre Gestión de Productos Químicos se celebraría en octubre de 2020, la oradora explicó que se preveía que en ese período de sesiones se adoptasen decisiones cruciales resultantes del proceso entre períodos de sesiones que se estableció en 2015, en el cuarto período de sesiones, para examinar el futuro del Enfoque Estratégico y la gestión racional de los productos químicos y los desechos después de 2020</w:t>
      </w:r>
      <w:r w:rsidR="00113D26" w:rsidRPr="002927A1">
        <w:rPr>
          <w:lang w:val="es-ES_tradnl"/>
        </w:rPr>
        <w:t xml:space="preserve">. </w:t>
      </w:r>
    </w:p>
    <w:p w14:paraId="6E888C6D" w14:textId="3B8CB711" w:rsidR="00113D26" w:rsidRPr="002927A1" w:rsidRDefault="00EC6C6F" w:rsidP="00113D26">
      <w:pPr>
        <w:pStyle w:val="CH3"/>
        <w:rPr>
          <w:lang w:val="es-ES_tradnl"/>
        </w:rPr>
      </w:pPr>
      <w:r w:rsidRPr="002927A1">
        <w:rPr>
          <w:lang w:val="es-ES_tradnl"/>
        </w:rPr>
        <w:lastRenderedPageBreak/>
        <w:tab/>
      </w:r>
      <w:r w:rsidR="00113D26" w:rsidRPr="002927A1">
        <w:rPr>
          <w:lang w:val="es-ES_tradnl"/>
        </w:rPr>
        <w:t>4.</w:t>
      </w:r>
      <w:r w:rsidR="00113D26" w:rsidRPr="002927A1">
        <w:rPr>
          <w:lang w:val="es-ES_tradnl"/>
        </w:rPr>
        <w:tab/>
      </w:r>
      <w:r w:rsidR="00EF37DE" w:rsidRPr="002927A1">
        <w:rPr>
          <w:bCs/>
          <w:lang w:val="es-ES_tradnl"/>
        </w:rPr>
        <w:t>Programa Interinstitucional para la Gestión Racional de los Productos Químicos</w:t>
      </w:r>
    </w:p>
    <w:p w14:paraId="0780225E" w14:textId="2A7DED1B" w:rsidR="00113D26" w:rsidRPr="002927A1" w:rsidRDefault="00EF37DE" w:rsidP="00A524DB">
      <w:pPr>
        <w:pStyle w:val="Normalnumber"/>
        <w:numPr>
          <w:ilvl w:val="0"/>
          <w:numId w:val="44"/>
        </w:numPr>
        <w:tabs>
          <w:tab w:val="clear" w:pos="624"/>
          <w:tab w:val="clear" w:pos="1134"/>
          <w:tab w:val="clear" w:pos="1247"/>
        </w:tabs>
        <w:rPr>
          <w:color w:val="000000" w:themeColor="text1"/>
          <w:lang w:val="es-ES_tradnl"/>
        </w:rPr>
      </w:pPr>
      <w:r w:rsidRPr="002927A1">
        <w:rPr>
          <w:bCs/>
          <w:lang w:val="es-ES_tradnl"/>
        </w:rPr>
        <w:t>La representante de la OIT formuló una declaración en nombre de las organizaciones del Programa Interinstitucional para la Gestión Racional de los Productos Químicos (IOMC) que participaban en el Grupo sobre el Mercurio del IOMC, a saber, el Banco Mundial, la OIT, la</w:t>
      </w:r>
      <w:r w:rsidR="00CF6FD8" w:rsidRPr="002927A1">
        <w:rPr>
          <w:bCs/>
          <w:lang w:val="es-ES_tradnl"/>
        </w:rPr>
        <w:t> </w:t>
      </w:r>
      <w:r w:rsidRPr="002927A1">
        <w:rPr>
          <w:lang w:val="es-ES_tradnl"/>
        </w:rPr>
        <w:t>OMS</w:t>
      </w:r>
      <w:r w:rsidRPr="002927A1">
        <w:rPr>
          <w:bCs/>
          <w:lang w:val="es-ES_tradnl"/>
        </w:rPr>
        <w:t>, la</w:t>
      </w:r>
      <w:r w:rsidR="001A1DE5">
        <w:rPr>
          <w:bCs/>
          <w:lang w:val="es-ES_tradnl"/>
        </w:rPr>
        <w:t> </w:t>
      </w:r>
      <w:r w:rsidRPr="002927A1">
        <w:rPr>
          <w:bCs/>
          <w:lang w:val="es-ES_tradnl"/>
        </w:rPr>
        <w:t>ONUDI, la Organización de Cooperación y Desarrollo Económicos (OCDE), el PNUMA, el</w:t>
      </w:r>
      <w:r w:rsidR="001A1DE5">
        <w:rPr>
          <w:bCs/>
          <w:lang w:val="es-ES_tradnl"/>
        </w:rPr>
        <w:t> </w:t>
      </w:r>
      <w:r w:rsidRPr="002927A1">
        <w:rPr>
          <w:bCs/>
          <w:lang w:val="es-ES_tradnl"/>
        </w:rPr>
        <w:t xml:space="preserve">Programa de las </w:t>
      </w:r>
      <w:r w:rsidR="0034570C" w:rsidRPr="002927A1">
        <w:rPr>
          <w:bCs/>
          <w:lang w:val="es-ES_tradnl"/>
        </w:rPr>
        <w:t>Naciones Unidas</w:t>
      </w:r>
      <w:r w:rsidRPr="002927A1">
        <w:rPr>
          <w:bCs/>
          <w:lang w:val="es-ES_tradnl"/>
        </w:rPr>
        <w:t xml:space="preserve"> para el Desarrollo (PNUD) y el UNITAR, con inclusión también de las Secretarías del Convenio de Minamata y el FMAM, en calidad de observadores. Además de ofrecer detalles de las actividades de algunas de las organizaciones participantes en el IOMC, la</w:t>
      </w:r>
      <w:r w:rsidR="00823798">
        <w:rPr>
          <w:bCs/>
          <w:lang w:val="es-ES_tradnl"/>
        </w:rPr>
        <w:t> </w:t>
      </w:r>
      <w:r w:rsidRPr="002927A1">
        <w:rPr>
          <w:bCs/>
          <w:lang w:val="es-ES_tradnl"/>
        </w:rPr>
        <w:t xml:space="preserve">oradora destacó la estrecha cooperación y coordinación entre los miembros del Grupo sobre el Mercurio, en representación de diversos sectores, a la hora de ejecutar las principales actividades de apoyo al Convenio. Las organizaciones participantes en el IOMC habían respaldado la labor de más de 100 países en la elaboración y aplicación de las evaluaciones iniciales del Convenio de Minamata financiadas por el FMAM, entre otras, la elaboración de inventarios de mercurio y la revisión de los marcos legislativos. Por intermedio del OIMC, los organismos de ejecución habían convenido en adoptar un marco y un formato comunes para las evaluaciones, incluida la utilización del instrumental para los inventarios del PNUMA y el documento de orientación del PNUD relativo a la estructura y el contenido comunes de los informes de evaluación inicial del Convenio de Minamata. Asimismo, el IOMC prestaba apoyo conjunto a más de 30 países en la elaboración de sus planes nacionales de acción sobre la extracción de oro artesanal y en pequeña escala. Las organizaciones participantes en el IOMC estaban empezando a examinar las enseñanzas extraídas de la evaluación inicial del Convenio de Minamata y los procesos de planes nacionales de acción y a analizar los problemas y las prioridades emanadas de esos documentos, con el fin de determinar la mejor forma de apoyar a las Partes. A medida que el Convenio dejaba atrás las fases de ratificación y evaluación inicial para adentrarse en la implementación, </w:t>
      </w:r>
      <w:r w:rsidR="005E0266" w:rsidRPr="002927A1">
        <w:rPr>
          <w:bCs/>
          <w:lang w:val="es-ES_tradnl"/>
        </w:rPr>
        <w:t>era</w:t>
      </w:r>
      <w:r w:rsidRPr="002927A1">
        <w:rPr>
          <w:bCs/>
          <w:lang w:val="es-ES_tradnl"/>
        </w:rPr>
        <w:t xml:space="preserve"> cada vez más importante prestar apoyo a las Partes en el cumplimiento de sus obligaciones de reducir los efectos del mercurio en la salud y el medio ambiente y ello requería la colaboración multisectorial a nivel nacional</w:t>
      </w:r>
      <w:r w:rsidR="00113D26" w:rsidRPr="002927A1">
        <w:rPr>
          <w:lang w:val="es-ES_tradnl"/>
        </w:rPr>
        <w:t xml:space="preserve">. </w:t>
      </w:r>
    </w:p>
    <w:p w14:paraId="59B331DC" w14:textId="4D46ACA2" w:rsidR="00113D26" w:rsidRPr="002927A1" w:rsidRDefault="00EC6C6F" w:rsidP="00113D26">
      <w:pPr>
        <w:pStyle w:val="CH3"/>
        <w:rPr>
          <w:lang w:val="es-ES_tradnl"/>
        </w:rPr>
      </w:pPr>
      <w:r w:rsidRPr="002927A1">
        <w:rPr>
          <w:lang w:val="es-ES_tradnl"/>
        </w:rPr>
        <w:tab/>
      </w:r>
      <w:r w:rsidR="00113D26" w:rsidRPr="002927A1">
        <w:rPr>
          <w:lang w:val="es-ES_tradnl"/>
        </w:rPr>
        <w:t>5.</w:t>
      </w:r>
      <w:r w:rsidR="00113D26" w:rsidRPr="002927A1">
        <w:rPr>
          <w:lang w:val="es-ES_tradnl"/>
        </w:rPr>
        <w:tab/>
      </w:r>
      <w:r w:rsidR="00561038" w:rsidRPr="002927A1">
        <w:rPr>
          <w:bCs/>
          <w:lang w:val="es-ES_tradnl"/>
        </w:rPr>
        <w:t xml:space="preserve">Instituto de las </w:t>
      </w:r>
      <w:r w:rsidR="0034570C" w:rsidRPr="002927A1">
        <w:rPr>
          <w:bCs/>
          <w:lang w:val="es-ES_tradnl"/>
        </w:rPr>
        <w:t>Naciones Unidas</w:t>
      </w:r>
      <w:r w:rsidR="00561038" w:rsidRPr="002927A1">
        <w:rPr>
          <w:bCs/>
          <w:lang w:val="es-ES_tradnl"/>
        </w:rPr>
        <w:t xml:space="preserve"> para Formación Profesional e Investigaciones</w:t>
      </w:r>
    </w:p>
    <w:p w14:paraId="4A8CAA39" w14:textId="282AA07C" w:rsidR="00113D26" w:rsidRPr="002927A1" w:rsidRDefault="000111F1" w:rsidP="00A524DB">
      <w:pPr>
        <w:pStyle w:val="Normalnumber"/>
        <w:numPr>
          <w:ilvl w:val="0"/>
          <w:numId w:val="44"/>
        </w:numPr>
        <w:tabs>
          <w:tab w:val="clear" w:pos="624"/>
          <w:tab w:val="clear" w:pos="1134"/>
          <w:tab w:val="clear" w:pos="1247"/>
        </w:tabs>
        <w:rPr>
          <w:szCs w:val="22"/>
          <w:lang w:val="es-ES_tradnl"/>
        </w:rPr>
      </w:pPr>
      <w:r w:rsidRPr="002927A1">
        <w:rPr>
          <w:bCs/>
          <w:lang w:val="es-ES_tradnl"/>
        </w:rPr>
        <w:t xml:space="preserve">El representante del Instituto de las </w:t>
      </w:r>
      <w:r w:rsidR="0034570C" w:rsidRPr="002927A1">
        <w:rPr>
          <w:bCs/>
          <w:lang w:val="es-ES_tradnl"/>
        </w:rPr>
        <w:t>Naciones Unidas</w:t>
      </w:r>
      <w:r w:rsidRPr="002927A1">
        <w:rPr>
          <w:bCs/>
          <w:lang w:val="es-ES_tradnl"/>
        </w:rPr>
        <w:t xml:space="preserve"> para Formación Profesional e Investigaciones (UNITAR) destacó que la creación de capacidad y la capacitación eran esenciales para implementar con éxito el Convenio de Minamata. El UNITAR había prestado apoyo a 24 países en sus esfuerzos por ratificar el Convenio; 16 de ellos ya lo habían ratificado y otros 2 se preparaban para depositar sus instrumentos. El UNITAR había participado en la realización de 20 evaluaciones iniciales del Convenio de Minamata y prestado asistencia a otros 15 países, concretamente en relación con los inventarios de </w:t>
      </w:r>
      <w:r w:rsidRPr="002927A1">
        <w:rPr>
          <w:lang w:val="es-ES_tradnl"/>
        </w:rPr>
        <w:t>mercurio</w:t>
      </w:r>
      <w:r w:rsidRPr="002927A1">
        <w:rPr>
          <w:bCs/>
          <w:lang w:val="es-ES_tradnl"/>
        </w:rPr>
        <w:t>. Además, de consuno con el PNUMA, estaba trabajando para ejecutar planes nacionales de acción relativos a la extracción de oro artesanal y en pequeña escala en tres países y había elaborado un manual sobre el desarrollo de estrategias nacionales para la formalización de ese sector en esos planes. El UNITAR también prestaba apoyo por intermedio de herramientas en línea de sensibilización y aprendizaje, trabajando concretamente con el PNUMA y las Secretarías de los Convenios de Basilea, Estocolmo y Rotterdam, el Convenio de Minamata y el Enfoque Estratégico para la Gestión de Productos Químicos a Nivel Internacional</w:t>
      </w:r>
      <w:r w:rsidR="00113D26" w:rsidRPr="002927A1">
        <w:rPr>
          <w:lang w:val="es-ES_tradnl"/>
        </w:rPr>
        <w:t>.</w:t>
      </w:r>
    </w:p>
    <w:p w14:paraId="116B3CBA" w14:textId="33F2E332" w:rsidR="00113D26" w:rsidRPr="002927A1" w:rsidRDefault="00CA2744" w:rsidP="00113D26">
      <w:pPr>
        <w:pStyle w:val="CH3"/>
        <w:tabs>
          <w:tab w:val="left" w:pos="4368"/>
          <w:tab w:val="right" w:pos="9206"/>
        </w:tabs>
        <w:rPr>
          <w:lang w:val="es-ES_tradnl"/>
        </w:rPr>
      </w:pPr>
      <w:r w:rsidRPr="002927A1">
        <w:rPr>
          <w:lang w:val="es-ES_tradnl"/>
        </w:rPr>
        <w:tab/>
      </w:r>
      <w:r w:rsidR="00DA4BAB" w:rsidRPr="002927A1">
        <w:rPr>
          <w:lang w:val="es-ES_tradnl"/>
        </w:rPr>
        <w:t>6.</w:t>
      </w:r>
      <w:r w:rsidR="00DA4BAB" w:rsidRPr="002927A1">
        <w:rPr>
          <w:lang w:val="es-ES_tradnl"/>
        </w:rPr>
        <w:tab/>
        <w:t>Organismo Internacional de Energía Atómica</w:t>
      </w:r>
    </w:p>
    <w:p w14:paraId="5B22761A" w14:textId="7C470887" w:rsidR="00311CAC" w:rsidRPr="002927A1" w:rsidRDefault="00EC6C6F" w:rsidP="00A524DB">
      <w:pPr>
        <w:pStyle w:val="Normalnumber"/>
        <w:numPr>
          <w:ilvl w:val="0"/>
          <w:numId w:val="44"/>
        </w:numPr>
        <w:tabs>
          <w:tab w:val="clear" w:pos="624"/>
          <w:tab w:val="clear" w:pos="1134"/>
          <w:tab w:val="clear" w:pos="1247"/>
        </w:tabs>
        <w:rPr>
          <w:lang w:val="es-ES_tradnl"/>
        </w:rPr>
      </w:pPr>
      <w:r w:rsidRPr="002927A1">
        <w:rPr>
          <w:lang w:val="es-ES_tradnl"/>
        </w:rPr>
        <w:t>La</w:t>
      </w:r>
      <w:r w:rsidR="00CA2744" w:rsidRPr="002927A1">
        <w:rPr>
          <w:lang w:val="es-ES_tradnl"/>
        </w:rPr>
        <w:t xml:space="preserve"> representante del Organismo Internacional de Energía Atómica (OIEA) dijo que el Organismo podría desempeñar un importante papel en la implementación del Convenio de </w:t>
      </w:r>
      <w:r w:rsidR="00311CAC" w:rsidRPr="002927A1">
        <w:rPr>
          <w:lang w:val="es-ES_tradnl"/>
        </w:rPr>
        <w:t>Minamata</w:t>
      </w:r>
      <w:r w:rsidR="00CA2744" w:rsidRPr="002927A1">
        <w:rPr>
          <w:lang w:val="es-ES_tradnl"/>
        </w:rPr>
        <w:t>.</w:t>
      </w:r>
      <w:r w:rsidR="00311CAC" w:rsidRPr="002927A1">
        <w:rPr>
          <w:lang w:val="es-ES_tradnl"/>
        </w:rPr>
        <w:t xml:space="preserve"> </w:t>
      </w:r>
      <w:r w:rsidR="00CA2744" w:rsidRPr="002927A1">
        <w:rPr>
          <w:lang w:val="es-ES_tradnl"/>
        </w:rPr>
        <w:t xml:space="preserve">Su Departamento de </w:t>
      </w:r>
      <w:r w:rsidR="00026D19" w:rsidRPr="002927A1">
        <w:rPr>
          <w:lang w:val="es-ES_tradnl"/>
        </w:rPr>
        <w:t xml:space="preserve">Ciencias y </w:t>
      </w:r>
      <w:r w:rsidR="00CA2744" w:rsidRPr="002927A1">
        <w:rPr>
          <w:lang w:val="es-ES_tradnl"/>
        </w:rPr>
        <w:t xml:space="preserve">Aplicaciones Nucleares tenía, junto con sus laboratorios ambientales, una infraestructura que podría contribuir a la evaluación de la eficacia del Convenio en términos de garantía de calidad de los datos de vigilancia sobre el mercurio en los peces y la </w:t>
      </w:r>
      <w:r w:rsidR="00311CAC" w:rsidRPr="002927A1">
        <w:rPr>
          <w:lang w:val="es-ES_tradnl"/>
        </w:rPr>
        <w:t xml:space="preserve">biota </w:t>
      </w:r>
      <w:r w:rsidR="00CA2744" w:rsidRPr="002927A1">
        <w:rPr>
          <w:lang w:val="es-ES_tradnl"/>
        </w:rPr>
        <w:t>y posiblemente otros indicadores.</w:t>
      </w:r>
      <w:r w:rsidR="00311CAC" w:rsidRPr="002927A1">
        <w:rPr>
          <w:lang w:val="es-ES_tradnl"/>
        </w:rPr>
        <w:t xml:space="preserve"> </w:t>
      </w:r>
      <w:r w:rsidR="00CA2744" w:rsidRPr="002927A1">
        <w:rPr>
          <w:lang w:val="es-ES_tradnl"/>
        </w:rPr>
        <w:t xml:space="preserve">Su laboratorio marino, que era el único de su tipo en todo el </w:t>
      </w:r>
      <w:r w:rsidR="00276554" w:rsidRPr="002927A1">
        <w:rPr>
          <w:lang w:val="es-ES_tradnl"/>
        </w:rPr>
        <w:t>sistema</w:t>
      </w:r>
      <w:r w:rsidR="00CA2744" w:rsidRPr="002927A1">
        <w:rPr>
          <w:lang w:val="es-ES_tradnl"/>
        </w:rPr>
        <w:t xml:space="preserve"> de las </w:t>
      </w:r>
      <w:r w:rsidR="0034570C" w:rsidRPr="002927A1">
        <w:rPr>
          <w:lang w:val="es-ES_tradnl"/>
        </w:rPr>
        <w:t>Naciones Unidas</w:t>
      </w:r>
      <w:r w:rsidR="00CA2744" w:rsidRPr="002927A1">
        <w:rPr>
          <w:lang w:val="es-ES_tradnl"/>
        </w:rPr>
        <w:t xml:space="preserve">, contaba con experiencia de larga data en la producción de materiales de referencia </w:t>
      </w:r>
      <w:r w:rsidR="00311CAC" w:rsidRPr="002927A1">
        <w:rPr>
          <w:lang w:val="es-ES_tradnl"/>
        </w:rPr>
        <w:t>certifi</w:t>
      </w:r>
      <w:r w:rsidR="00CA2744" w:rsidRPr="002927A1">
        <w:rPr>
          <w:lang w:val="es-ES_tradnl"/>
        </w:rPr>
        <w:t xml:space="preserve">cados, por ejemplo </w:t>
      </w:r>
      <w:r w:rsidR="00026D19" w:rsidRPr="002927A1">
        <w:rPr>
          <w:lang w:val="es-ES_tradnl"/>
        </w:rPr>
        <w:t>fracciones de masa de mercurio y metilmercurio</w:t>
      </w:r>
      <w:r w:rsidR="00311CAC" w:rsidRPr="002927A1">
        <w:rPr>
          <w:lang w:val="es-ES_tradnl"/>
        </w:rPr>
        <w:t xml:space="preserve">, </w:t>
      </w:r>
      <w:r w:rsidR="00026D19" w:rsidRPr="002927A1">
        <w:rPr>
          <w:lang w:val="es-ES_tradnl"/>
        </w:rPr>
        <w:t>y en la organización de pruebas de competencia para los laboratorios con el fin de evaluar y mejorar la calidad de los datos analíticos sobre el mercurio. La evaluación de la calidad era fundamental para producir datos comparables en los cuales basar las decisiones en materia de políticas.</w:t>
      </w:r>
      <w:r w:rsidR="00311CAC" w:rsidRPr="002927A1">
        <w:rPr>
          <w:lang w:val="es-ES_tradnl"/>
        </w:rPr>
        <w:t xml:space="preserve"> </w:t>
      </w:r>
      <w:r w:rsidR="00026D19" w:rsidRPr="002927A1">
        <w:rPr>
          <w:lang w:val="es-ES_tradnl"/>
        </w:rPr>
        <w:t xml:space="preserve">Además, por intermedio de su programa de colaboración técnica, el OIEA prestaba asistencia a los países que la necesitasen para fortalecer su capacidad de análisis de la presencia del mercurio en el medio ambiente, entre otras cosas </w:t>
      </w:r>
      <w:r w:rsidRPr="002927A1">
        <w:rPr>
          <w:lang w:val="es-ES_tradnl"/>
        </w:rPr>
        <w:t>mediante la compra de analizadores de mercurio y la realización de cursos de capacitación en su uso para técnicos de los laboratorios.</w:t>
      </w:r>
      <w:r w:rsidR="00311CAC" w:rsidRPr="002927A1">
        <w:rPr>
          <w:lang w:val="es-ES_tradnl"/>
        </w:rPr>
        <w:t xml:space="preserve"> </w:t>
      </w:r>
      <w:r w:rsidRPr="002927A1">
        <w:rPr>
          <w:lang w:val="es-ES_tradnl"/>
        </w:rPr>
        <w:t xml:space="preserve">La oradora </w:t>
      </w:r>
      <w:r w:rsidRPr="002927A1">
        <w:rPr>
          <w:bCs/>
          <w:lang w:val="es-ES_tradnl"/>
        </w:rPr>
        <w:t>exhortó</w:t>
      </w:r>
      <w:r w:rsidRPr="002927A1">
        <w:rPr>
          <w:lang w:val="es-ES_tradnl"/>
        </w:rPr>
        <w:t xml:space="preserve"> a las Partes a contactar a sus puntos de contacto nacionales en el</w:t>
      </w:r>
      <w:r w:rsidR="00FA6A30" w:rsidRPr="002927A1">
        <w:rPr>
          <w:lang w:val="es-ES_tradnl"/>
        </w:rPr>
        <w:t xml:space="preserve"> </w:t>
      </w:r>
      <w:r w:rsidRPr="002927A1">
        <w:rPr>
          <w:lang w:val="es-ES_tradnl"/>
        </w:rPr>
        <w:t xml:space="preserve">OIEA a fin de obtener más información. Por </w:t>
      </w:r>
      <w:r w:rsidR="00EA25BC" w:rsidRPr="002927A1">
        <w:rPr>
          <w:lang w:val="es-ES_tradnl"/>
        </w:rPr>
        <w:t>último</w:t>
      </w:r>
      <w:r w:rsidRPr="002927A1">
        <w:rPr>
          <w:lang w:val="es-ES_tradnl"/>
        </w:rPr>
        <w:t>, anunció que la Oficina del Director General del OIEA había dado su aprobación para que el Organismo pasase a formar parte de la A</w:t>
      </w:r>
      <w:r w:rsidR="00FA1708" w:rsidRPr="002927A1">
        <w:rPr>
          <w:lang w:val="es-ES_tradnl"/>
        </w:rPr>
        <w:t>sociación</w:t>
      </w:r>
      <w:r w:rsidRPr="002927A1">
        <w:rPr>
          <w:lang w:val="es-ES_tradnl"/>
        </w:rPr>
        <w:t xml:space="preserve"> Mundial sobre el Mercurio.</w:t>
      </w:r>
    </w:p>
    <w:p w14:paraId="1E499C6F" w14:textId="7F6C9BD8" w:rsidR="00113D26" w:rsidRPr="002927A1" w:rsidRDefault="00EC6C6F" w:rsidP="00113D26">
      <w:pPr>
        <w:pStyle w:val="CH3"/>
        <w:rPr>
          <w:lang w:val="es-ES_tradnl"/>
        </w:rPr>
      </w:pPr>
      <w:r w:rsidRPr="002927A1">
        <w:rPr>
          <w:lang w:val="es-ES_tradnl"/>
        </w:rPr>
        <w:lastRenderedPageBreak/>
        <w:tab/>
      </w:r>
      <w:r w:rsidR="00113D26" w:rsidRPr="002927A1">
        <w:rPr>
          <w:lang w:val="es-ES_tradnl"/>
        </w:rPr>
        <w:t>7.</w:t>
      </w:r>
      <w:r w:rsidR="00113D26" w:rsidRPr="002927A1">
        <w:rPr>
          <w:lang w:val="es-ES_tradnl"/>
        </w:rPr>
        <w:tab/>
      </w:r>
      <w:r w:rsidR="000111F1" w:rsidRPr="002927A1">
        <w:rPr>
          <w:bCs/>
          <w:lang w:val="es-ES_tradnl"/>
        </w:rPr>
        <w:t>Grupo de Observaciones de la Tierra</w:t>
      </w:r>
    </w:p>
    <w:p w14:paraId="0903185B" w14:textId="627B0F7D" w:rsidR="00113D26" w:rsidRPr="002927A1" w:rsidRDefault="000111F1" w:rsidP="00A524DB">
      <w:pPr>
        <w:pStyle w:val="Normalnumber"/>
        <w:numPr>
          <w:ilvl w:val="0"/>
          <w:numId w:val="44"/>
        </w:numPr>
        <w:tabs>
          <w:tab w:val="clear" w:pos="624"/>
          <w:tab w:val="clear" w:pos="1134"/>
          <w:tab w:val="clear" w:pos="1247"/>
        </w:tabs>
        <w:rPr>
          <w:lang w:val="es-ES_tradnl"/>
        </w:rPr>
      </w:pPr>
      <w:r w:rsidRPr="002927A1">
        <w:rPr>
          <w:bCs/>
          <w:lang w:val="es-ES_tradnl"/>
        </w:rPr>
        <w:t xml:space="preserve">El representante de la </w:t>
      </w:r>
      <w:r w:rsidR="00A043B1" w:rsidRPr="002927A1">
        <w:rPr>
          <w:bCs/>
          <w:lang w:val="es-ES_tradnl"/>
        </w:rPr>
        <w:t>S</w:t>
      </w:r>
      <w:r w:rsidRPr="002927A1">
        <w:rPr>
          <w:bCs/>
          <w:lang w:val="es-ES_tradnl"/>
        </w:rPr>
        <w:t xml:space="preserve">ecretaría del Grupo de Observaciones de la Tierra, una asociación internacional formada por más de 100 Estados Miembros de las </w:t>
      </w:r>
      <w:r w:rsidR="0034570C" w:rsidRPr="002927A1">
        <w:rPr>
          <w:bCs/>
          <w:lang w:val="es-ES_tradnl"/>
        </w:rPr>
        <w:t>Naciones Unidas</w:t>
      </w:r>
      <w:r w:rsidRPr="002927A1">
        <w:rPr>
          <w:bCs/>
          <w:lang w:val="es-ES_tradnl"/>
        </w:rPr>
        <w:t>, la Comisión Europea y más de 100 organizaciones internacionales, explicó que la secretaría del Grupo estaba trabajando para mejorar la disponibilidad, el acceso y la utilización de la información de observación de la Tierra en beneficio de la sociedad. El emblemático sistema mundial de observación del mercurio del Grupo promovía medidas para proporcionar datos de vigilancia comparables y de alta calidad sobre el mercurio, marcos de modelización validados y una plataforma exclusiva como parte de su centro de conocimientos para apoyar las evaluaciones y decisiones normativas. Su objetivo era apoyar a tod</w:t>
      </w:r>
      <w:r w:rsidR="00DD2BC1" w:rsidRPr="002927A1">
        <w:rPr>
          <w:bCs/>
          <w:lang w:val="es-ES_tradnl"/>
        </w:rPr>
        <w:t>o</w:t>
      </w:r>
      <w:r w:rsidRPr="002927A1">
        <w:rPr>
          <w:bCs/>
          <w:lang w:val="es-ES_tradnl"/>
        </w:rPr>
        <w:t>s l</w:t>
      </w:r>
      <w:r w:rsidR="00DD2BC1" w:rsidRPr="002927A1">
        <w:rPr>
          <w:bCs/>
          <w:lang w:val="es-ES_tradnl"/>
        </w:rPr>
        <w:t>o</w:t>
      </w:r>
      <w:r w:rsidRPr="002927A1">
        <w:rPr>
          <w:bCs/>
          <w:lang w:val="es-ES_tradnl"/>
        </w:rPr>
        <w:t xml:space="preserve">s </w:t>
      </w:r>
      <w:r w:rsidR="00DD2BC1" w:rsidRPr="002927A1">
        <w:rPr>
          <w:bCs/>
          <w:lang w:val="es-ES_tradnl"/>
        </w:rPr>
        <w:t>interesado</w:t>
      </w:r>
      <w:r w:rsidRPr="002927A1">
        <w:rPr>
          <w:bCs/>
          <w:lang w:val="es-ES_tradnl"/>
        </w:rPr>
        <w:t xml:space="preserve">s en la aplicación del Convenio de Minamata, en particular en relación con </w:t>
      </w:r>
      <w:r w:rsidR="00211FF1" w:rsidRPr="002927A1">
        <w:rPr>
          <w:bCs/>
          <w:lang w:val="es-ES_tradnl"/>
        </w:rPr>
        <w:t xml:space="preserve">la creación </w:t>
      </w:r>
      <w:r w:rsidRPr="002927A1">
        <w:rPr>
          <w:bCs/>
          <w:lang w:val="es-ES_tradnl"/>
        </w:rPr>
        <w:t>de capacidad y la prestación de asistencia técnica a las Partes que son países en desarrollo</w:t>
      </w:r>
      <w:r w:rsidR="00113D26" w:rsidRPr="002927A1">
        <w:rPr>
          <w:lang w:val="es-ES_tradnl"/>
        </w:rPr>
        <w:t>.</w:t>
      </w:r>
    </w:p>
    <w:p w14:paraId="56CA2037" w14:textId="0858B7A2" w:rsidR="00113D26" w:rsidRPr="002927A1" w:rsidRDefault="00EC6C6F" w:rsidP="00113D26">
      <w:pPr>
        <w:pStyle w:val="CH3"/>
        <w:rPr>
          <w:lang w:val="es-ES_tradnl"/>
        </w:rPr>
      </w:pPr>
      <w:r w:rsidRPr="002927A1">
        <w:rPr>
          <w:lang w:val="es-ES_tradnl"/>
        </w:rPr>
        <w:tab/>
      </w:r>
      <w:r w:rsidR="00113D26" w:rsidRPr="002927A1">
        <w:rPr>
          <w:lang w:val="es-ES_tradnl"/>
        </w:rPr>
        <w:t>8.</w:t>
      </w:r>
      <w:r w:rsidR="00113D26" w:rsidRPr="002927A1">
        <w:rPr>
          <w:lang w:val="es-ES_tradnl"/>
        </w:rPr>
        <w:tab/>
      </w:r>
      <w:r w:rsidR="000111F1" w:rsidRPr="002927A1">
        <w:rPr>
          <w:bCs/>
          <w:lang w:val="es-ES_tradnl"/>
        </w:rPr>
        <w:t xml:space="preserve">Organización de las </w:t>
      </w:r>
      <w:r w:rsidR="0034570C" w:rsidRPr="002927A1">
        <w:rPr>
          <w:bCs/>
          <w:lang w:val="es-ES_tradnl"/>
        </w:rPr>
        <w:t>Naciones Unidas</w:t>
      </w:r>
      <w:r w:rsidR="000111F1" w:rsidRPr="002927A1">
        <w:rPr>
          <w:bCs/>
          <w:lang w:val="es-ES_tradnl"/>
        </w:rPr>
        <w:t xml:space="preserve"> para el Desarrollo Industrial</w:t>
      </w:r>
    </w:p>
    <w:p w14:paraId="2342D0EC" w14:textId="0CB42EAE" w:rsidR="00113D26" w:rsidRPr="002927A1" w:rsidRDefault="000111F1" w:rsidP="00A524DB">
      <w:pPr>
        <w:pStyle w:val="Normalnumber"/>
        <w:numPr>
          <w:ilvl w:val="0"/>
          <w:numId w:val="44"/>
        </w:numPr>
        <w:tabs>
          <w:tab w:val="clear" w:pos="624"/>
          <w:tab w:val="clear" w:pos="1134"/>
          <w:tab w:val="clear" w:pos="1247"/>
        </w:tabs>
        <w:rPr>
          <w:lang w:val="es-ES_tradnl"/>
        </w:rPr>
      </w:pPr>
      <w:r w:rsidRPr="002927A1">
        <w:rPr>
          <w:bCs/>
          <w:lang w:val="es-ES_tradnl"/>
        </w:rPr>
        <w:t xml:space="preserve">El representante de la Organización de las </w:t>
      </w:r>
      <w:r w:rsidR="0034570C" w:rsidRPr="002927A1">
        <w:rPr>
          <w:bCs/>
          <w:lang w:val="es-ES_tradnl"/>
        </w:rPr>
        <w:t>Naciones Unidas</w:t>
      </w:r>
      <w:r w:rsidRPr="002927A1">
        <w:rPr>
          <w:bCs/>
          <w:lang w:val="es-ES_tradnl"/>
        </w:rPr>
        <w:t xml:space="preserve"> para el Desarrollo Industrial (ONUDI) dijo que la ONUDI había prestado apoyo a ocho países en la ratificación y la pronta aplicación del Convenio de Minamata en diferentes regiones. Gracias a un apoyo financiero adicional, en 2019 la ONUDI había podido ampliar el proyecto para prestar asistencia técnica a los países en su </w:t>
      </w:r>
      <w:r w:rsidRPr="002927A1">
        <w:rPr>
          <w:lang w:val="es-ES_tradnl"/>
        </w:rPr>
        <w:t>cumplimiento</w:t>
      </w:r>
      <w:r w:rsidRPr="002927A1">
        <w:rPr>
          <w:bCs/>
          <w:lang w:val="es-ES_tradnl"/>
        </w:rPr>
        <w:t xml:space="preserve"> de las disposiciones del Convenio de Minamata y otros instrumentos relacionados con los productos químicos y los desechos. También se había prestado asistencia técnica a 25 países para la preparación de sus evaluaciones iniciales de Minamata. Con respecto a la extracción de oro artesanal y en pequeña escala, la ONUDI llevaba más de 20 años trabajando en tecnologías libres de mercurio y estaba ayudando a nueve países a preparar sus planes de acción nacionales. En cuanto a la industria, la ONUDI estaba trabajando para eliminar el uso de mercurio en la producción de cloruro de vinilo monómero y cloro</w:t>
      </w:r>
      <w:r w:rsidRPr="002927A1">
        <w:rPr>
          <w:bCs/>
          <w:lang w:val="es-ES_tradnl"/>
        </w:rPr>
        <w:noBreakHyphen/>
        <w:t>álcali, en particular mediante un proyecto en China. También estaba intentando reducir las emisiones de mercurio en sectores como la producción de cemento, los hornos de fundición de metales no ferrosos y la gestión de desechos, y estaba colaborando con el Gobierno del Japón para promover la gestión ambientalmente racional de los desechos de mercurio</w:t>
      </w:r>
      <w:r w:rsidR="00113D26" w:rsidRPr="002927A1">
        <w:rPr>
          <w:lang w:val="es-ES_tradnl"/>
        </w:rPr>
        <w:t>.</w:t>
      </w:r>
    </w:p>
    <w:p w14:paraId="5555B9A3" w14:textId="141CCA53" w:rsidR="00113D26" w:rsidRPr="002927A1" w:rsidRDefault="00EC6C6F" w:rsidP="00113D26">
      <w:pPr>
        <w:pStyle w:val="CH3"/>
        <w:rPr>
          <w:lang w:val="es-ES_tradnl"/>
        </w:rPr>
      </w:pPr>
      <w:r w:rsidRPr="002927A1">
        <w:rPr>
          <w:lang w:val="es-ES_tradnl"/>
        </w:rPr>
        <w:tab/>
      </w:r>
      <w:r w:rsidR="00113D26" w:rsidRPr="002927A1">
        <w:rPr>
          <w:lang w:val="es-ES_tradnl"/>
        </w:rPr>
        <w:t>9.</w:t>
      </w:r>
      <w:r w:rsidR="00113D26" w:rsidRPr="002927A1">
        <w:rPr>
          <w:lang w:val="es-ES_tradnl"/>
        </w:rPr>
        <w:tab/>
      </w:r>
      <w:r w:rsidR="00511EA8" w:rsidRPr="002927A1">
        <w:rPr>
          <w:bCs/>
          <w:lang w:val="es-ES_tradnl"/>
        </w:rPr>
        <w:t>Grupo de Trabajo Cero Mercurio</w:t>
      </w:r>
    </w:p>
    <w:p w14:paraId="7B409284" w14:textId="4A16EEB2" w:rsidR="00311CAC" w:rsidRPr="002927A1" w:rsidRDefault="00EA25BC" w:rsidP="00A524DB">
      <w:pPr>
        <w:pStyle w:val="Normalnumber"/>
        <w:numPr>
          <w:ilvl w:val="0"/>
          <w:numId w:val="44"/>
        </w:numPr>
        <w:tabs>
          <w:tab w:val="clear" w:pos="624"/>
          <w:tab w:val="clear" w:pos="1134"/>
          <w:tab w:val="clear" w:pos="1247"/>
        </w:tabs>
        <w:rPr>
          <w:lang w:val="es-ES_tradnl"/>
        </w:rPr>
      </w:pPr>
      <w:r w:rsidRPr="002927A1">
        <w:rPr>
          <w:lang w:val="es-ES_tradnl"/>
        </w:rPr>
        <w:t xml:space="preserve">El </w:t>
      </w:r>
      <w:r w:rsidR="00311CAC" w:rsidRPr="002927A1">
        <w:rPr>
          <w:lang w:val="es-ES_tradnl"/>
        </w:rPr>
        <w:t>representa</w:t>
      </w:r>
      <w:r w:rsidRPr="002927A1">
        <w:rPr>
          <w:lang w:val="es-ES_tradnl"/>
        </w:rPr>
        <w:t>nte del Grupo de Trabajo Cero Mercurio dijo que</w:t>
      </w:r>
      <w:r w:rsidR="006F71B8" w:rsidRPr="002927A1">
        <w:rPr>
          <w:lang w:val="es-ES_tradnl"/>
        </w:rPr>
        <w:t xml:space="preserve"> con la finalidad de </w:t>
      </w:r>
      <w:r w:rsidR="009711FB" w:rsidRPr="002927A1">
        <w:rPr>
          <w:lang w:val="es-ES_tradnl"/>
        </w:rPr>
        <w:t>promover</w:t>
      </w:r>
      <w:r w:rsidRPr="002927A1">
        <w:rPr>
          <w:lang w:val="es-ES_tradnl"/>
        </w:rPr>
        <w:t xml:space="preserve"> la aplicación de</w:t>
      </w:r>
      <w:r w:rsidR="009711FB" w:rsidRPr="002927A1">
        <w:rPr>
          <w:lang w:val="es-ES_tradnl"/>
        </w:rPr>
        <w:t>l</w:t>
      </w:r>
      <w:r w:rsidRPr="002927A1">
        <w:rPr>
          <w:lang w:val="es-ES_tradnl"/>
        </w:rPr>
        <w:t xml:space="preserve"> Convenio de </w:t>
      </w:r>
      <w:r w:rsidR="00311CAC" w:rsidRPr="002927A1">
        <w:rPr>
          <w:lang w:val="es-ES_tradnl"/>
        </w:rPr>
        <w:t>Minamata</w:t>
      </w:r>
      <w:r w:rsidR="006F71B8" w:rsidRPr="002927A1">
        <w:rPr>
          <w:lang w:val="es-ES_tradnl"/>
        </w:rPr>
        <w:t xml:space="preserve"> </w:t>
      </w:r>
      <w:r w:rsidRPr="002927A1">
        <w:rPr>
          <w:lang w:val="es-ES_tradnl"/>
        </w:rPr>
        <w:t>el Grupo de Trabajo había participado en tod</w:t>
      </w:r>
      <w:r w:rsidR="009711FB" w:rsidRPr="002927A1">
        <w:rPr>
          <w:lang w:val="es-ES_tradnl"/>
        </w:rPr>
        <w:t>as las reuniones de</w:t>
      </w:r>
      <w:r w:rsidRPr="002927A1">
        <w:rPr>
          <w:lang w:val="es-ES_tradnl"/>
        </w:rPr>
        <w:t xml:space="preserve"> los grupos de expertos entre reuniones y realizado sus aportaciones, y había apoyado la labor de la </w:t>
      </w:r>
      <w:r w:rsidR="009711FB" w:rsidRPr="002927A1">
        <w:rPr>
          <w:lang w:val="es-ES_tradnl"/>
        </w:rPr>
        <w:t>esfera relativa a las asociaciones sobre el contenido de mercurio en productos de la Asociación Mundial sobre el Mercurio</w:t>
      </w:r>
      <w:r w:rsidR="00311CAC" w:rsidRPr="002927A1">
        <w:rPr>
          <w:lang w:val="es-ES_tradnl"/>
        </w:rPr>
        <w:t xml:space="preserve">. </w:t>
      </w:r>
      <w:r w:rsidR="009711FB" w:rsidRPr="002927A1">
        <w:rPr>
          <w:lang w:val="es-ES_tradnl"/>
        </w:rPr>
        <w:t>Los asociados del Grupo de Trabajo que eran organizaciones no gubernamentales habían estado prestando apoyo a sus respectivos</w:t>
      </w:r>
      <w:r w:rsidR="00CC0DD8" w:rsidRPr="002927A1">
        <w:rPr>
          <w:lang w:val="es-ES_tradnl"/>
        </w:rPr>
        <w:t xml:space="preserve"> Gobiernos e</w:t>
      </w:r>
      <w:r w:rsidR="009711FB" w:rsidRPr="002927A1">
        <w:rPr>
          <w:lang w:val="es-ES_tradnl"/>
        </w:rPr>
        <w:t xml:space="preserve">n la ratificación del Convenio y la implementación de las disposiciones </w:t>
      </w:r>
      <w:r w:rsidR="009711FB" w:rsidRPr="002927A1">
        <w:rPr>
          <w:bCs/>
          <w:lang w:val="es-ES_tradnl"/>
        </w:rPr>
        <w:t>relativas</w:t>
      </w:r>
      <w:r w:rsidR="009711FB" w:rsidRPr="002927A1">
        <w:rPr>
          <w:lang w:val="es-ES_tradnl"/>
        </w:rPr>
        <w:t xml:space="preserve"> a los productos con mercurio añadido conexos y la extracción de oro artesanal y en pequeña escala.</w:t>
      </w:r>
      <w:r w:rsidR="00311CAC" w:rsidRPr="002927A1">
        <w:rPr>
          <w:lang w:val="es-ES_tradnl"/>
        </w:rPr>
        <w:t xml:space="preserve"> </w:t>
      </w:r>
      <w:r w:rsidR="00CC0DD8" w:rsidRPr="002927A1">
        <w:rPr>
          <w:lang w:val="es-ES_tradnl"/>
        </w:rPr>
        <w:t>Con vistas a fortalecer las capacidades de esos asociados, el Grupo de Trabajo había organizado reuniones regionales en 2</w:t>
      </w:r>
      <w:r w:rsidR="00311CAC" w:rsidRPr="002927A1">
        <w:rPr>
          <w:lang w:val="es-ES_tradnl"/>
        </w:rPr>
        <w:t xml:space="preserve">018 </w:t>
      </w:r>
      <w:r w:rsidR="00CC0DD8" w:rsidRPr="002927A1">
        <w:rPr>
          <w:lang w:val="es-ES_tradnl"/>
        </w:rPr>
        <w:t>y</w:t>
      </w:r>
      <w:r w:rsidR="00311CAC" w:rsidRPr="002927A1">
        <w:rPr>
          <w:lang w:val="es-ES_tradnl"/>
        </w:rPr>
        <w:t xml:space="preserve"> 2019 </w:t>
      </w:r>
      <w:r w:rsidR="00CC0DD8" w:rsidRPr="002927A1">
        <w:rPr>
          <w:lang w:val="es-ES_tradnl"/>
        </w:rPr>
        <w:t xml:space="preserve">en las que habían participado </w:t>
      </w:r>
      <w:r w:rsidR="00311CAC" w:rsidRPr="002927A1">
        <w:rPr>
          <w:lang w:val="es-ES_tradnl"/>
        </w:rPr>
        <w:t>90 representa</w:t>
      </w:r>
      <w:r w:rsidR="00CC0DD8" w:rsidRPr="002927A1">
        <w:rPr>
          <w:lang w:val="es-ES_tradnl"/>
        </w:rPr>
        <w:t xml:space="preserve">ntes de más de </w:t>
      </w:r>
      <w:r w:rsidR="00311CAC" w:rsidRPr="002927A1">
        <w:rPr>
          <w:lang w:val="es-ES_tradnl"/>
        </w:rPr>
        <w:t xml:space="preserve">50 </w:t>
      </w:r>
      <w:r w:rsidR="00CC0DD8" w:rsidRPr="002927A1">
        <w:rPr>
          <w:lang w:val="es-ES_tradnl"/>
        </w:rPr>
        <w:t>países</w:t>
      </w:r>
      <w:r w:rsidR="00311CAC" w:rsidRPr="002927A1">
        <w:rPr>
          <w:lang w:val="es-ES_tradnl"/>
        </w:rPr>
        <w:t xml:space="preserve">. </w:t>
      </w:r>
      <w:r w:rsidR="00CC0DD8" w:rsidRPr="002927A1">
        <w:rPr>
          <w:lang w:val="es-ES_tradnl"/>
        </w:rPr>
        <w:t>Como parte de la campaña mundial en relación con las cremas blanqueadoras,</w:t>
      </w:r>
      <w:r w:rsidR="006F71B8" w:rsidRPr="002927A1">
        <w:rPr>
          <w:lang w:val="es-ES_tradnl"/>
        </w:rPr>
        <w:t xml:space="preserve"> se</w:t>
      </w:r>
      <w:r w:rsidR="00CC0DD8" w:rsidRPr="002927A1">
        <w:rPr>
          <w:lang w:val="es-ES_tradnl"/>
        </w:rPr>
        <w:t xml:space="preserve"> había</w:t>
      </w:r>
      <w:r w:rsidR="006F71B8" w:rsidRPr="002927A1">
        <w:rPr>
          <w:lang w:val="es-ES_tradnl"/>
        </w:rPr>
        <w:t>n</w:t>
      </w:r>
      <w:r w:rsidR="00CC0DD8" w:rsidRPr="002927A1">
        <w:rPr>
          <w:lang w:val="es-ES_tradnl"/>
        </w:rPr>
        <w:t xml:space="preserve"> realizado pruebas </w:t>
      </w:r>
      <w:r w:rsidR="006F71B8" w:rsidRPr="002927A1">
        <w:rPr>
          <w:lang w:val="es-ES_tradnl"/>
        </w:rPr>
        <w:t>mediante las cuales se ha</w:t>
      </w:r>
      <w:r w:rsidR="00CC0DD8" w:rsidRPr="002927A1">
        <w:rPr>
          <w:lang w:val="es-ES_tradnl"/>
        </w:rPr>
        <w:t>bía logrado demostrar que el 60</w:t>
      </w:r>
      <w:r w:rsidR="005205A2" w:rsidRPr="002927A1">
        <w:rPr>
          <w:lang w:val="es-ES_tradnl"/>
        </w:rPr>
        <w:t> </w:t>
      </w:r>
      <w:r w:rsidR="00CC0DD8" w:rsidRPr="002927A1">
        <w:rPr>
          <w:lang w:val="es-ES_tradnl"/>
        </w:rPr>
        <w:t>% de las cremas seleccionadas, de 12 países, tenían un alto contenido de mercurio.</w:t>
      </w:r>
      <w:r w:rsidR="00311CAC" w:rsidRPr="002927A1">
        <w:rPr>
          <w:lang w:val="es-ES_tradnl"/>
        </w:rPr>
        <w:t xml:space="preserve"> </w:t>
      </w:r>
      <w:r w:rsidR="00CC0DD8" w:rsidRPr="002927A1">
        <w:rPr>
          <w:lang w:val="es-ES_tradnl"/>
        </w:rPr>
        <w:t>Después de que se hubiese publicado un informe sobre la cuestión, dos importantes empresas minoristas de ventas de esos productos en línea habían retirado las cremas de sus sitios web.</w:t>
      </w:r>
      <w:r w:rsidR="00311CAC" w:rsidRPr="002927A1">
        <w:rPr>
          <w:lang w:val="es-ES_tradnl"/>
        </w:rPr>
        <w:t xml:space="preserve"> </w:t>
      </w:r>
      <w:r w:rsidR="00CC0DD8" w:rsidRPr="002927A1">
        <w:rPr>
          <w:lang w:val="es-ES_tradnl"/>
        </w:rPr>
        <w:t xml:space="preserve">Otro informe conexo tenía también por objeto apoyar los esfuerzos de las Partes </w:t>
      </w:r>
      <w:r w:rsidR="006F71B8" w:rsidRPr="002927A1">
        <w:rPr>
          <w:lang w:val="es-ES_tradnl"/>
        </w:rPr>
        <w:t>por</w:t>
      </w:r>
      <w:r w:rsidR="00CC0DD8" w:rsidRPr="002927A1">
        <w:rPr>
          <w:lang w:val="es-ES_tradnl"/>
        </w:rPr>
        <w:t xml:space="preserve"> restringir esos productos tóxicos, entre otras cosas, presentando ejemplos de casos de éxito y buenas prácticas.</w:t>
      </w:r>
      <w:r w:rsidR="00311CAC" w:rsidRPr="002927A1">
        <w:rPr>
          <w:lang w:val="es-ES_tradnl"/>
        </w:rPr>
        <w:t xml:space="preserve"> </w:t>
      </w:r>
      <w:r w:rsidR="00CC0DD8" w:rsidRPr="002927A1">
        <w:rPr>
          <w:lang w:val="es-ES_tradnl"/>
        </w:rPr>
        <w:t xml:space="preserve">Habida cuenta de la importancia de hacer cumplir el Convenio, el Grupo de Trabajo había </w:t>
      </w:r>
      <w:r w:rsidR="00810704" w:rsidRPr="002927A1">
        <w:rPr>
          <w:lang w:val="es-ES_tradnl"/>
        </w:rPr>
        <w:t xml:space="preserve">preparado un cartel en </w:t>
      </w:r>
      <w:r w:rsidR="006F71B8" w:rsidRPr="002927A1">
        <w:rPr>
          <w:lang w:val="es-ES_tradnl"/>
        </w:rPr>
        <w:t xml:space="preserve">el </w:t>
      </w:r>
      <w:r w:rsidR="00810704" w:rsidRPr="002927A1">
        <w:rPr>
          <w:lang w:val="es-ES_tradnl"/>
        </w:rPr>
        <w:t>que presentaba de manera sucinta las obligaciones directas de las Partes y compartía instrumentos para hacer cumplir el Convenio y módulos de capacitación</w:t>
      </w:r>
      <w:r w:rsidR="00311CAC" w:rsidRPr="002927A1">
        <w:rPr>
          <w:lang w:val="es-ES_tradnl"/>
        </w:rPr>
        <w:t xml:space="preserve">. </w:t>
      </w:r>
    </w:p>
    <w:p w14:paraId="2D7086D9" w14:textId="788D15B8" w:rsidR="00077945" w:rsidRPr="002927A1" w:rsidRDefault="00EC6C6F" w:rsidP="00A7033C">
      <w:pPr>
        <w:pStyle w:val="CH2"/>
        <w:rPr>
          <w:sz w:val="28"/>
          <w:szCs w:val="28"/>
          <w:lang w:val="es-ES_tradnl"/>
        </w:rPr>
      </w:pPr>
      <w:bookmarkStart w:id="63" w:name="_Toc27124736"/>
      <w:r w:rsidRPr="002927A1">
        <w:rPr>
          <w:sz w:val="28"/>
          <w:szCs w:val="28"/>
          <w:lang w:val="es-ES_tradnl"/>
        </w:rPr>
        <w:tab/>
      </w:r>
      <w:r w:rsidR="00A7033C" w:rsidRPr="002927A1">
        <w:rPr>
          <w:sz w:val="28"/>
          <w:szCs w:val="28"/>
          <w:lang w:val="es-ES_tradnl"/>
        </w:rPr>
        <w:t>VII.</w:t>
      </w:r>
      <w:r w:rsidR="00A7033C" w:rsidRPr="002927A1">
        <w:rPr>
          <w:sz w:val="28"/>
          <w:szCs w:val="28"/>
          <w:lang w:val="es-ES_tradnl"/>
        </w:rPr>
        <w:tab/>
      </w:r>
      <w:bookmarkEnd w:id="63"/>
      <w:r w:rsidR="00513A0C" w:rsidRPr="002927A1">
        <w:rPr>
          <w:bCs/>
          <w:sz w:val="28"/>
          <w:szCs w:val="28"/>
          <w:lang w:val="es-ES_tradnl"/>
        </w:rPr>
        <w:t>Programa de trabajo y presupuesto</w:t>
      </w:r>
    </w:p>
    <w:p w14:paraId="71B7B654" w14:textId="5BE10105"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Al presentar el tema, la Secretaria Ejecutiva señaló a la atención de los presentes una nota de la Secretaría sobre los proyectos de programa de trabajo y presupuesto para el bienio 2020-2021, elaborados de conformidad con la decisión MC-2/12 y en los que se recogían dos hipótesis de financiación, a saber, la hipótesis de crecimiento nominal </w:t>
      </w:r>
      <w:r w:rsidR="00FF704F" w:rsidRPr="002927A1">
        <w:rPr>
          <w:lang w:val="es-ES_tradnl"/>
        </w:rPr>
        <w:t>nulo</w:t>
      </w:r>
      <w:r w:rsidRPr="002927A1">
        <w:rPr>
          <w:lang w:val="es-ES_tradnl"/>
        </w:rPr>
        <w:t xml:space="preserve"> y la hipótesis de la Secretaria Ejecutiva, que explicó los principios fundamentales, los supuestos y la estrategia programática en </w:t>
      </w:r>
      <w:r w:rsidR="008834F4" w:rsidRPr="002927A1">
        <w:rPr>
          <w:lang w:val="es-ES_tradnl"/>
        </w:rPr>
        <w:t xml:space="preserve">la </w:t>
      </w:r>
      <w:r w:rsidRPr="002927A1">
        <w:rPr>
          <w:lang w:val="es-ES_tradnl"/>
        </w:rPr>
        <w:t xml:space="preserve">que se basaba el presupuesto (UNEP/MC/COP.3/20). De conformidad con la decisión MC-2/12, la Secretaría también había preparado notas sobre las fichas de datos de las actividades presupuestarias (UNEP/MC/COP.3/INF/9); información sobre cuestiones financieras, incluida la situación de las contribuciones a los tres fondos fiduciarios del Convenio (UNEP/MC/COP.3/INF/10); y proyectos de presupuestos operacionales para las dos hipótesis de financiación (UNEP/MC/COP.3/INF/11 y </w:t>
      </w:r>
      <w:r w:rsidRPr="002927A1">
        <w:rPr>
          <w:rStyle w:val="DeltaViewInsertion"/>
          <w:color w:val="auto"/>
          <w:szCs w:val="28"/>
          <w:u w:val="none"/>
          <w:lang w:val="es-ES_tradnl"/>
        </w:rPr>
        <w:lastRenderedPageBreak/>
        <w:t>UNEP/MC/COP.3/INF/11/Add.1</w:t>
      </w:r>
      <w:bookmarkStart w:id="64" w:name="_DV_M305"/>
      <w:bookmarkEnd w:id="64"/>
      <w:r w:rsidRPr="002927A1">
        <w:rPr>
          <w:szCs w:val="28"/>
          <w:lang w:val="es-ES_tradnl"/>
        </w:rPr>
        <w:t>),</w:t>
      </w:r>
      <w:r w:rsidRPr="002927A1">
        <w:rPr>
          <w:lang w:val="es-ES_tradnl"/>
        </w:rPr>
        <w:t xml:space="preserve"> incluido un cuadro sobre la escala indicativa de cuotas para el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w:t>
      </w:r>
      <w:r w:rsidR="004A7DFE" w:rsidRPr="002927A1">
        <w:rPr>
          <w:lang w:val="es-ES_tradnl"/>
        </w:rPr>
        <w:t>g</w:t>
      </w:r>
      <w:r w:rsidRPr="002927A1">
        <w:rPr>
          <w:lang w:val="es-ES_tradnl"/>
        </w:rPr>
        <w:t>eneral para ambas hipótesis de presupuestos operacionales sobre la base de la escala de cuotas de las Naciones Unidas (UNEP/MC/COP.3/INF/11, anexo I</w:t>
      </w:r>
      <w:r w:rsidR="004E75E0">
        <w:rPr>
          <w:lang w:val="es-ES_tradnl"/>
        </w:rPr>
        <w:t>I</w:t>
      </w:r>
      <w:r w:rsidRPr="002927A1">
        <w:rPr>
          <w:lang w:val="es-ES_tradnl"/>
        </w:rPr>
        <w:t>).</w:t>
      </w:r>
    </w:p>
    <w:p w14:paraId="2FDABB8A" w14:textId="6F2A28B9"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En respuesta a la solicitud de uno de los asistentes, la representante de la Secretaría presentó una sinopsis de la situación de las contribuciones a los fondos fiduciarios del Convenio a 18 de noviembre de 2019. Con relación al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w:t>
      </w:r>
      <w:r w:rsidR="004A7DFE" w:rsidRPr="002927A1">
        <w:rPr>
          <w:lang w:val="es-ES_tradnl"/>
        </w:rPr>
        <w:t>g</w:t>
      </w:r>
      <w:r w:rsidRPr="002927A1">
        <w:rPr>
          <w:lang w:val="es-ES_tradnl"/>
        </w:rPr>
        <w:t>eneral, a 18 de noviembre de 2019 se habían recibido 3,4 millones de dólares de los 3,5 millones aprobados para 2018 y se habían recibido 2,9 millones de dólares de los 3,3 millones aprobados para 2019. En cuanto al </w:t>
      </w:r>
      <w:r w:rsidR="004A7DFE" w:rsidRPr="002927A1">
        <w:rPr>
          <w:lang w:val="es-ES_tradnl"/>
        </w:rPr>
        <w:t>f</w:t>
      </w:r>
      <w:r w:rsidRPr="002927A1">
        <w:rPr>
          <w:lang w:val="es-ES_tradnl"/>
        </w:rPr>
        <w:t>ondo </w:t>
      </w:r>
      <w:r w:rsidR="004A7DFE" w:rsidRPr="002927A1">
        <w:rPr>
          <w:lang w:val="es-ES_tradnl"/>
        </w:rPr>
        <w:t>f</w:t>
      </w:r>
      <w:r w:rsidRPr="002927A1">
        <w:rPr>
          <w:lang w:val="es-ES_tradnl"/>
        </w:rPr>
        <w:t xml:space="preserve">iduciario </w:t>
      </w:r>
      <w:r w:rsidR="004A7DFE" w:rsidRPr="002927A1">
        <w:rPr>
          <w:lang w:val="es-ES_tradnl"/>
        </w:rPr>
        <w:t>e</w:t>
      </w:r>
      <w:r w:rsidRPr="002927A1">
        <w:rPr>
          <w:lang w:val="es-ES_tradnl"/>
        </w:rPr>
        <w:t>special, a 18 de noviembre de 2019, de los 3,2 millones de dólares aprobados para</w:t>
      </w:r>
      <w:r w:rsidR="00C32A38" w:rsidRPr="002927A1">
        <w:rPr>
          <w:lang w:val="es-ES_tradnl"/>
        </w:rPr>
        <w:t> </w:t>
      </w:r>
      <w:r w:rsidRPr="002927A1">
        <w:rPr>
          <w:lang w:val="es-ES_tradnl"/>
        </w:rPr>
        <w:t xml:space="preserve">2018 se habían recibido 1,3 millones y se habían prometido o </w:t>
      </w:r>
      <w:r w:rsidR="0028495B" w:rsidRPr="002927A1">
        <w:rPr>
          <w:lang w:val="es-ES_tradnl"/>
        </w:rPr>
        <w:t>recibido</w:t>
      </w:r>
      <w:r w:rsidRPr="002927A1">
        <w:rPr>
          <w:lang w:val="es-ES_tradnl"/>
        </w:rPr>
        <w:t xml:space="preserve"> 1,8 millones de dólares de los 4 millones aprobados para 2019.</w:t>
      </w:r>
    </w:p>
    <w:p w14:paraId="75595CE5" w14:textId="04A72837"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En el debate que tuvo lugar a continuación, muchos representantes agradecieron a la Secretaría la elaboración de los documentos presentados en relación con el tema 7 del programa, incluidas las dos hipótesis de financiación y las fichas de datos de las actividades presupuestarias, y expresaron su apoyo a un programa de trabajo y presupuesto que permitiera a la Secretaría cumplir sus tareas, al tiempo que hicieron hincapié en la necesidad de hacer el mejor uso posible de los recursos limitados mediante una gestión racional y transparente. Un representante, que habló en nombre de un grupo de países, expresó su apoyo a un aumento del presupuesto para el Convenio que no implicase un aumento de las contribuciones de las Partes. Otro representante, que también habló en nombre de un grupo de países, exhortó al sector privado que contribuyese de manera significativa a la aplicación del Convenio de Minamata, y destacó que los niveles actuales de financiación eran clar</w:t>
      </w:r>
      <w:r w:rsidR="00DD2BC1" w:rsidRPr="002927A1">
        <w:rPr>
          <w:lang w:val="es-ES_tradnl"/>
        </w:rPr>
        <w:t>amente insuficientes y que los G</w:t>
      </w:r>
      <w:r w:rsidRPr="002927A1">
        <w:rPr>
          <w:lang w:val="es-ES_tradnl"/>
        </w:rPr>
        <w:t>obiernos por sí solos no podían financiar el Convenio.</w:t>
      </w:r>
    </w:p>
    <w:p w14:paraId="004DAD23" w14:textId="7D8BF49E"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Un representante dijo que la hipótesis de financiación propuesta por la Secretaria Ejecutiva entrañaba un aumento significativo de las contribuciones de las distintas Partes al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w:t>
      </w:r>
      <w:r w:rsidR="004A7DFE" w:rsidRPr="002927A1">
        <w:rPr>
          <w:lang w:val="es-ES_tradnl"/>
        </w:rPr>
        <w:t>g</w:t>
      </w:r>
      <w:r w:rsidRPr="002927A1">
        <w:rPr>
          <w:lang w:val="es-ES_tradnl"/>
        </w:rPr>
        <w:t xml:space="preserve">eneral, pero recalcó que el presupuesto también se repartiría entre un mayor número de contribuyentes, dado que el número total de Partes en el Convenio seguía aumentando. Otro representante propuso que el punto de partida para los debates en un grupo de contacto </w:t>
      </w:r>
      <w:r w:rsidR="00FF704F" w:rsidRPr="002927A1">
        <w:rPr>
          <w:lang w:val="es-ES_tradnl"/>
        </w:rPr>
        <w:t>fuese</w:t>
      </w:r>
      <w:r w:rsidRPr="002927A1">
        <w:rPr>
          <w:lang w:val="es-ES_tradnl"/>
        </w:rPr>
        <w:t xml:space="preserve"> la hipótesis de crecimiento nominal </w:t>
      </w:r>
      <w:r w:rsidR="00FF704F" w:rsidRPr="002927A1">
        <w:rPr>
          <w:lang w:val="es-ES_tradnl"/>
        </w:rPr>
        <w:t>nulo</w:t>
      </w:r>
      <w:r w:rsidRPr="002927A1">
        <w:rPr>
          <w:lang w:val="es-ES_tradnl"/>
        </w:rPr>
        <w:t xml:space="preserve">. </w:t>
      </w:r>
    </w:p>
    <w:p w14:paraId="3EF7D994" w14:textId="143BAE44"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Una representante, que habló en nombre de un grupo de países, dijo que el programa de trabajo debería especificar claramente qué actividades se financiarían con cargo al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w:t>
      </w:r>
      <w:r w:rsidR="004A7DFE" w:rsidRPr="002927A1">
        <w:rPr>
          <w:lang w:val="es-ES_tradnl"/>
        </w:rPr>
        <w:t>g</w:t>
      </w:r>
      <w:r w:rsidRPr="002927A1">
        <w:rPr>
          <w:lang w:val="es-ES_tradnl"/>
        </w:rPr>
        <w:t xml:space="preserve">eneral y cuáles mediante contribuciones voluntarias por conducto del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w:t>
      </w:r>
      <w:r w:rsidR="004A7DFE" w:rsidRPr="002927A1">
        <w:rPr>
          <w:lang w:val="es-ES_tradnl"/>
        </w:rPr>
        <w:t>e</w:t>
      </w:r>
      <w:r w:rsidRPr="002927A1">
        <w:rPr>
          <w:lang w:val="es-ES_tradnl"/>
        </w:rPr>
        <w:t xml:space="preserve">special. La oradora también propuso que se estableciese una clara distinción entre los tres fondos fiduciarios del Convenio y que las cuestiones relacionadas con el personal se abordasen en la decisión sobre el programa de trabajo y el presupuesto, y no en una decisión </w:t>
      </w:r>
      <w:r w:rsidR="008A3F62" w:rsidRPr="002927A1">
        <w:rPr>
          <w:lang w:val="es-ES_tradnl"/>
        </w:rPr>
        <w:t>por separado</w:t>
      </w:r>
      <w:r w:rsidRPr="002927A1">
        <w:rPr>
          <w:lang w:val="es-ES_tradnl"/>
        </w:rPr>
        <w:t xml:space="preserve">. A continuación, solicitó a la Secretaría que proporcionara información actualizada y más detallada sobre </w:t>
      </w:r>
      <w:r w:rsidR="008A3F62" w:rsidRPr="002927A1">
        <w:rPr>
          <w:lang w:val="es-ES_tradnl"/>
        </w:rPr>
        <w:t>sus</w:t>
      </w:r>
      <w:r w:rsidRPr="002927A1">
        <w:rPr>
          <w:lang w:val="es-ES_tradnl"/>
        </w:rPr>
        <w:t xml:space="preserve"> ingresos, gastos y superávits disponibles, </w:t>
      </w:r>
      <w:r w:rsidR="008A3F62" w:rsidRPr="002927A1">
        <w:rPr>
          <w:lang w:val="es-ES_tradnl"/>
        </w:rPr>
        <w:t>así como sobre</w:t>
      </w:r>
      <w:r w:rsidRPr="002927A1">
        <w:rPr>
          <w:lang w:val="es-ES_tradnl"/>
        </w:rPr>
        <w:t xml:space="preserve"> las tarea</w:t>
      </w:r>
      <w:r w:rsidR="008A3F62" w:rsidRPr="002927A1">
        <w:rPr>
          <w:lang w:val="es-ES_tradnl"/>
        </w:rPr>
        <w:t>s del personal de la Secretaría</w:t>
      </w:r>
      <w:r w:rsidRPr="002927A1">
        <w:rPr>
          <w:lang w:val="es-ES_tradnl"/>
        </w:rPr>
        <w:t xml:space="preserve"> en relación con los nuevos puestos de plantilla propuestos, para su examen por las Partes en un grupo de contacto. </w:t>
      </w:r>
    </w:p>
    <w:p w14:paraId="4562CFA5" w14:textId="4E02275F"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Otro representante dijo que la labor de evaluación de la eficacia debería incluirse en el programa de trabajo y el presupuesto y financiarse con cargo al </w:t>
      </w:r>
      <w:r w:rsidR="004A7DFE" w:rsidRPr="002927A1">
        <w:rPr>
          <w:lang w:val="es-ES_tradnl"/>
        </w:rPr>
        <w:t>fondo f</w:t>
      </w:r>
      <w:r w:rsidRPr="002927A1">
        <w:rPr>
          <w:lang w:val="es-ES_tradnl"/>
        </w:rPr>
        <w:t xml:space="preserve">iduciario </w:t>
      </w:r>
      <w:r w:rsidR="004A7DFE" w:rsidRPr="002927A1">
        <w:rPr>
          <w:lang w:val="es-ES_tradnl"/>
        </w:rPr>
        <w:t>g</w:t>
      </w:r>
      <w:r w:rsidRPr="002927A1">
        <w:rPr>
          <w:lang w:val="es-ES_tradnl"/>
        </w:rPr>
        <w:t>eneral.</w:t>
      </w:r>
    </w:p>
    <w:p w14:paraId="7AC4BCBD" w14:textId="509914C9" w:rsidR="00513A0C"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El representante de un observador expresó preocupación por el hecho de que las actividades previstas en los proyectos de programa de trabajo y presupuesto no satisficiesen las necesidades </w:t>
      </w:r>
      <w:r w:rsidR="008A3F62" w:rsidRPr="002927A1">
        <w:rPr>
          <w:lang w:val="es-ES_tradnl"/>
        </w:rPr>
        <w:t xml:space="preserve">en materia </w:t>
      </w:r>
      <w:r w:rsidRPr="002927A1">
        <w:rPr>
          <w:lang w:val="es-ES_tradnl"/>
        </w:rPr>
        <w:t>de educación y capacitación de las Partes que son países en desarrollo para cumplir las obligaciones dimanantes del Convenio en 2020 y 2021, y destacó que el liderazgo de la Secretaría era fundamental para satisfacer esas necesidades.</w:t>
      </w:r>
    </w:p>
    <w:p w14:paraId="315EFFD1" w14:textId="7F0602E0" w:rsidR="009F2E94" w:rsidRPr="002927A1" w:rsidRDefault="00513A0C" w:rsidP="00A524DB">
      <w:pPr>
        <w:pStyle w:val="Normalnumber"/>
        <w:numPr>
          <w:ilvl w:val="0"/>
          <w:numId w:val="44"/>
        </w:numPr>
        <w:tabs>
          <w:tab w:val="clear" w:pos="624"/>
          <w:tab w:val="clear" w:pos="1134"/>
          <w:tab w:val="clear" w:pos="1247"/>
        </w:tabs>
        <w:rPr>
          <w:lang w:val="es-ES_tradnl"/>
        </w:rPr>
      </w:pPr>
      <w:r w:rsidRPr="002927A1">
        <w:rPr>
          <w:lang w:val="es-ES_tradnl"/>
        </w:rPr>
        <w:t xml:space="preserve">Tras el debate, la Conferencia de las Partes acordó establecer un grupo de contacto sobre el programa de trabajo y el presupuesto, copresidido por </w:t>
      </w:r>
      <w:r w:rsidR="008A3F62" w:rsidRPr="002927A1">
        <w:rPr>
          <w:lang w:val="es-ES_tradnl"/>
        </w:rPr>
        <w:t xml:space="preserve">el Sr. </w:t>
      </w:r>
      <w:r w:rsidRPr="002927A1">
        <w:rPr>
          <w:lang w:val="es-ES_tradnl"/>
        </w:rPr>
        <w:t xml:space="preserve">Yun </w:t>
      </w:r>
      <w:r w:rsidR="004E75E0">
        <w:rPr>
          <w:lang w:val="es-ES_tradnl"/>
        </w:rPr>
        <w:t>Insiani</w:t>
      </w:r>
      <w:r w:rsidRPr="002927A1">
        <w:rPr>
          <w:lang w:val="es-ES_tradnl"/>
        </w:rPr>
        <w:t xml:space="preserve"> (Indonesia) y </w:t>
      </w:r>
      <w:r w:rsidR="008A3F62" w:rsidRPr="002927A1">
        <w:rPr>
          <w:lang w:val="es-ES_tradnl"/>
        </w:rPr>
        <w:t xml:space="preserve">el Sr. </w:t>
      </w:r>
      <w:r w:rsidRPr="002927A1">
        <w:rPr>
          <w:lang w:val="es-ES_tradnl"/>
        </w:rPr>
        <w:t>Reginald Hernans (Países Bajos), y solicitó al grupo de contacto que examinara las dos hipótesis relativas al programa de trabajo y el presupuesto, así como el proyecto de decisión que figura</w:t>
      </w:r>
      <w:r w:rsidR="0028495B" w:rsidRPr="002927A1">
        <w:rPr>
          <w:lang w:val="es-ES_tradnl"/>
        </w:rPr>
        <w:t>ba</w:t>
      </w:r>
      <w:r w:rsidRPr="002927A1">
        <w:rPr>
          <w:lang w:val="es-ES_tradnl"/>
        </w:rPr>
        <w:t xml:space="preserve"> en el anexo </w:t>
      </w:r>
      <w:r w:rsidR="004E75E0">
        <w:rPr>
          <w:lang w:val="es-ES_tradnl"/>
        </w:rPr>
        <w:t xml:space="preserve">I </w:t>
      </w:r>
      <w:r w:rsidRPr="002927A1">
        <w:rPr>
          <w:lang w:val="es-ES_tradnl"/>
        </w:rPr>
        <w:t>del documento UNEP/MC/COP.3/20, y que preparara un proyecto de decisión revisado</w:t>
      </w:r>
      <w:r w:rsidR="009F2E94" w:rsidRPr="002927A1">
        <w:rPr>
          <w:lang w:val="es-ES_tradnl"/>
        </w:rPr>
        <w:t>.</w:t>
      </w:r>
    </w:p>
    <w:p w14:paraId="1AE25401" w14:textId="160A818E" w:rsidR="00623D70" w:rsidRPr="002927A1" w:rsidRDefault="00A378D3" w:rsidP="00A524DB">
      <w:pPr>
        <w:pStyle w:val="Normalnumber"/>
        <w:numPr>
          <w:ilvl w:val="0"/>
          <w:numId w:val="44"/>
        </w:numPr>
        <w:tabs>
          <w:tab w:val="clear" w:pos="624"/>
          <w:tab w:val="clear" w:pos="1134"/>
          <w:tab w:val="clear" w:pos="1247"/>
        </w:tabs>
        <w:rPr>
          <w:lang w:val="es-ES_tradnl"/>
        </w:rPr>
      </w:pPr>
      <w:r w:rsidRPr="002927A1">
        <w:rPr>
          <w:lang w:val="es-ES_tradnl"/>
        </w:rPr>
        <w:t xml:space="preserve">Una vez concluida la labor del grupo de contacto sobre el programa de trabajo y presupuesto, la </w:t>
      </w:r>
      <w:r w:rsidR="000D07BE" w:rsidRPr="002927A1">
        <w:rPr>
          <w:lang w:val="es-ES_tradnl"/>
        </w:rPr>
        <w:t>Conferenc</w:t>
      </w:r>
      <w:r w:rsidRPr="002927A1">
        <w:rPr>
          <w:lang w:val="es-ES_tradnl"/>
        </w:rPr>
        <w:t xml:space="preserve">ia de las </w:t>
      </w:r>
      <w:r w:rsidR="00B56FE3" w:rsidRPr="002927A1">
        <w:rPr>
          <w:lang w:val="es-ES_tradnl"/>
        </w:rPr>
        <w:t xml:space="preserve">Partes </w:t>
      </w:r>
      <w:r w:rsidRPr="002927A1">
        <w:rPr>
          <w:lang w:val="es-ES_tradnl"/>
        </w:rPr>
        <w:t xml:space="preserve">solicitó a la Secretaría que ajustase la asignación para las actividades de evaluación de la eficacia con arreglo a la decisión </w:t>
      </w:r>
      <w:r w:rsidR="000D07BE" w:rsidRPr="002927A1">
        <w:rPr>
          <w:lang w:val="es-ES_tradnl"/>
        </w:rPr>
        <w:t>MC-3/10</w:t>
      </w:r>
      <w:r w:rsidR="00B56FE3" w:rsidRPr="002927A1">
        <w:rPr>
          <w:lang w:val="es-ES_tradnl"/>
        </w:rPr>
        <w:t xml:space="preserve">, </w:t>
      </w:r>
      <w:r w:rsidRPr="002927A1">
        <w:rPr>
          <w:lang w:val="es-ES_tradnl"/>
        </w:rPr>
        <w:t>la cual había sido ya adoptada</w:t>
      </w:r>
      <w:r w:rsidR="000D07BE" w:rsidRPr="002927A1">
        <w:rPr>
          <w:lang w:val="es-ES_tradnl"/>
        </w:rPr>
        <w:t xml:space="preserve">, </w:t>
      </w:r>
      <w:r w:rsidRPr="002927A1">
        <w:rPr>
          <w:lang w:val="es-ES_tradnl"/>
        </w:rPr>
        <w:t>y para reflejar el ajuste en las contribuciones del fondo fiduciario general</w:t>
      </w:r>
      <w:r w:rsidR="00B56FE3" w:rsidRPr="002927A1">
        <w:rPr>
          <w:lang w:val="es-ES_tradnl"/>
        </w:rPr>
        <w:t>.</w:t>
      </w:r>
      <w:r w:rsidR="000D07BE" w:rsidRPr="002927A1">
        <w:rPr>
          <w:lang w:val="es-ES_tradnl"/>
        </w:rPr>
        <w:t xml:space="preserve"> </w:t>
      </w:r>
      <w:r w:rsidRPr="002927A1">
        <w:rPr>
          <w:lang w:val="es-ES_tradnl"/>
        </w:rPr>
        <w:t xml:space="preserve">Posteriormente, la </w:t>
      </w:r>
      <w:r w:rsidR="00623D70" w:rsidRPr="002927A1">
        <w:rPr>
          <w:lang w:val="es-ES_tradnl"/>
        </w:rPr>
        <w:t>Conferenc</w:t>
      </w:r>
      <w:r w:rsidRPr="002927A1">
        <w:rPr>
          <w:lang w:val="es-ES_tradnl"/>
        </w:rPr>
        <w:t>ia de</w:t>
      </w:r>
      <w:r w:rsidR="00D33010" w:rsidRPr="002927A1">
        <w:rPr>
          <w:lang w:val="es-ES_tradnl"/>
        </w:rPr>
        <w:t> </w:t>
      </w:r>
      <w:r w:rsidRPr="002927A1">
        <w:rPr>
          <w:lang w:val="es-ES_tradnl"/>
        </w:rPr>
        <w:t xml:space="preserve">las </w:t>
      </w:r>
      <w:r w:rsidR="00623D70" w:rsidRPr="002927A1">
        <w:rPr>
          <w:lang w:val="es-ES_tradnl"/>
        </w:rPr>
        <w:t>Partes adopt</w:t>
      </w:r>
      <w:r w:rsidRPr="002927A1">
        <w:rPr>
          <w:lang w:val="es-ES_tradnl"/>
        </w:rPr>
        <w:t xml:space="preserve">ó la decisión </w:t>
      </w:r>
      <w:r w:rsidR="00623D70" w:rsidRPr="002927A1">
        <w:rPr>
          <w:lang w:val="es-ES_tradnl"/>
        </w:rPr>
        <w:t>MC-3/</w:t>
      </w:r>
      <w:r w:rsidR="00617FDE" w:rsidRPr="002927A1">
        <w:rPr>
          <w:lang w:val="es-ES_tradnl"/>
        </w:rPr>
        <w:t>1</w:t>
      </w:r>
      <w:r w:rsidR="00EE6A6E" w:rsidRPr="002927A1">
        <w:rPr>
          <w:lang w:val="es-ES_tradnl"/>
        </w:rPr>
        <w:t>2</w:t>
      </w:r>
      <w:r w:rsidR="003A2652" w:rsidRPr="002927A1">
        <w:rPr>
          <w:lang w:val="es-ES_tradnl"/>
        </w:rPr>
        <w:t>,</w:t>
      </w:r>
      <w:r w:rsidR="00623D70" w:rsidRPr="002927A1">
        <w:rPr>
          <w:lang w:val="es-ES_tradnl"/>
        </w:rPr>
        <w:t xml:space="preserve"> </w:t>
      </w:r>
      <w:r w:rsidRPr="002927A1">
        <w:rPr>
          <w:lang w:val="es-ES_tradnl"/>
        </w:rPr>
        <w:t>sobre el programa de trabajo y presupuesto para el bienio</w:t>
      </w:r>
      <w:r w:rsidR="00D33010" w:rsidRPr="002927A1">
        <w:rPr>
          <w:lang w:val="es-ES_tradnl"/>
        </w:rPr>
        <w:t> </w:t>
      </w:r>
      <w:r w:rsidR="00617FDE" w:rsidRPr="002927A1">
        <w:rPr>
          <w:lang w:val="es-ES_tradnl"/>
        </w:rPr>
        <w:t>2020</w:t>
      </w:r>
      <w:r w:rsidR="00D33010" w:rsidRPr="002927A1">
        <w:rPr>
          <w:lang w:val="es-ES_tradnl"/>
        </w:rPr>
        <w:noBreakHyphen/>
      </w:r>
      <w:r w:rsidR="00617FDE" w:rsidRPr="002927A1">
        <w:rPr>
          <w:lang w:val="es-ES_tradnl"/>
        </w:rPr>
        <w:t>2021</w:t>
      </w:r>
      <w:r w:rsidR="00623D70" w:rsidRPr="002927A1">
        <w:rPr>
          <w:lang w:val="es-ES_tradnl"/>
        </w:rPr>
        <w:t>,</w:t>
      </w:r>
      <w:r w:rsidRPr="002927A1">
        <w:rPr>
          <w:lang w:val="es-ES_tradnl"/>
        </w:rPr>
        <w:t xml:space="preserve"> </w:t>
      </w:r>
      <w:r w:rsidR="008A3F62" w:rsidRPr="002927A1">
        <w:rPr>
          <w:lang w:val="es-ES_tradnl"/>
        </w:rPr>
        <w:t xml:space="preserve">la cual </w:t>
      </w:r>
      <w:r w:rsidRPr="002927A1">
        <w:rPr>
          <w:lang w:val="es-ES_tradnl"/>
        </w:rPr>
        <w:t>figura en el anexo del presente informe</w:t>
      </w:r>
      <w:r w:rsidR="00623D70" w:rsidRPr="002927A1">
        <w:rPr>
          <w:lang w:val="es-ES_tradnl"/>
        </w:rPr>
        <w:t xml:space="preserve">. </w:t>
      </w:r>
    </w:p>
    <w:p w14:paraId="50F1FDD6" w14:textId="66F82CC7" w:rsidR="00077945" w:rsidRPr="002927A1" w:rsidRDefault="00EC6C6F" w:rsidP="00A7033C">
      <w:pPr>
        <w:pStyle w:val="CH2"/>
        <w:rPr>
          <w:sz w:val="28"/>
          <w:szCs w:val="28"/>
          <w:lang w:val="es-ES_tradnl"/>
        </w:rPr>
      </w:pPr>
      <w:bookmarkStart w:id="65" w:name="_Toc27124737"/>
      <w:r w:rsidRPr="002927A1">
        <w:rPr>
          <w:sz w:val="28"/>
          <w:szCs w:val="28"/>
          <w:lang w:val="es-ES_tradnl"/>
        </w:rPr>
        <w:lastRenderedPageBreak/>
        <w:tab/>
      </w:r>
      <w:r w:rsidR="00A7033C" w:rsidRPr="002927A1">
        <w:rPr>
          <w:sz w:val="28"/>
          <w:szCs w:val="28"/>
          <w:lang w:val="es-ES_tradnl"/>
        </w:rPr>
        <w:t>VIII.</w:t>
      </w:r>
      <w:r w:rsidR="00A7033C" w:rsidRPr="002927A1">
        <w:rPr>
          <w:sz w:val="28"/>
          <w:szCs w:val="28"/>
          <w:lang w:val="es-ES_tradnl"/>
        </w:rPr>
        <w:tab/>
      </w:r>
      <w:bookmarkEnd w:id="65"/>
      <w:r w:rsidR="004A7F48" w:rsidRPr="002927A1">
        <w:rPr>
          <w:bCs/>
          <w:sz w:val="28"/>
          <w:szCs w:val="28"/>
          <w:lang w:val="es-ES_tradnl"/>
        </w:rPr>
        <w:t>Lugar y fecha de celebración de la cuarta reunión de la Conferencia de las Partes</w:t>
      </w:r>
    </w:p>
    <w:p w14:paraId="523AD23F" w14:textId="169A8447" w:rsidR="004A7F48" w:rsidRPr="002927A1" w:rsidRDefault="004A7F48" w:rsidP="00A524DB">
      <w:pPr>
        <w:pStyle w:val="Normalnumber"/>
        <w:numPr>
          <w:ilvl w:val="0"/>
          <w:numId w:val="44"/>
        </w:numPr>
        <w:tabs>
          <w:tab w:val="clear" w:pos="624"/>
          <w:tab w:val="clear" w:pos="1134"/>
          <w:tab w:val="clear" w:pos="1247"/>
        </w:tabs>
        <w:rPr>
          <w:lang w:val="es-ES_tradnl"/>
        </w:rPr>
      </w:pPr>
      <w:r w:rsidRPr="002927A1">
        <w:rPr>
          <w:lang w:val="es-ES_tradnl"/>
        </w:rPr>
        <w:t>Al presentar el tema, la Secretaria Ejecutiva señaló a la atención de los presentes la nota de</w:t>
      </w:r>
      <w:r w:rsidR="00287F3E" w:rsidRPr="002927A1">
        <w:rPr>
          <w:lang w:val="es-ES_tradnl"/>
        </w:rPr>
        <w:t> </w:t>
      </w:r>
      <w:r w:rsidRPr="002927A1">
        <w:rPr>
          <w:lang w:val="es-ES_tradnl"/>
        </w:rPr>
        <w:t>la Secretaría sobre el lugar y la fecha de celebración de la cuarta reunión de la Conferencia de las</w:t>
      </w:r>
      <w:r w:rsidR="00287F3E" w:rsidRPr="002927A1">
        <w:rPr>
          <w:lang w:val="es-ES_tradnl"/>
        </w:rPr>
        <w:t> </w:t>
      </w:r>
      <w:r w:rsidRPr="002927A1">
        <w:rPr>
          <w:lang w:val="es-ES_tradnl"/>
        </w:rPr>
        <w:t>Partes (UNEP/MC/COP.3/22 y su adición). La oradora dijo que, de conformidad con la decisión</w:t>
      </w:r>
      <w:r w:rsidR="00287F3E" w:rsidRPr="002927A1">
        <w:rPr>
          <w:lang w:val="es-ES_tradnl"/>
        </w:rPr>
        <w:t> </w:t>
      </w:r>
      <w:r w:rsidRPr="002927A1">
        <w:rPr>
          <w:lang w:val="es-ES_tradnl"/>
        </w:rPr>
        <w:t>MC</w:t>
      </w:r>
      <w:r w:rsidRPr="002927A1">
        <w:rPr>
          <w:lang w:val="es-ES_tradnl"/>
        </w:rPr>
        <w:noBreakHyphen/>
        <w:t>2/5, la Secretaría había escrito a las Partes para solicitarles ofrecimientos de acogida de la cuarta reunión de la Conferencia de las Partes en 2021. Posteriormente, se recibieron ofrecimientos de Colombia e Indonesia. En consecuencia, la Secretaría había preparado los documentos UNEP/MC/COP.3/INF/20</w:t>
      </w:r>
      <w:r w:rsidR="004E75E0">
        <w:rPr>
          <w:lang w:val="es-ES_tradnl"/>
        </w:rPr>
        <w:t>/Rev.1</w:t>
      </w:r>
      <w:r w:rsidRPr="002927A1">
        <w:rPr>
          <w:lang w:val="es-ES_tradnl"/>
        </w:rPr>
        <w:t xml:space="preserve"> y UNEP/MC/COP.3/INF/22 con detalles sobre esos ofrecimientos, conjuntamente con el documento UNEP/MC/COP.3/INF/23</w:t>
      </w:r>
      <w:r w:rsidR="004E75E0">
        <w:rPr>
          <w:lang w:val="es-ES_tradnl"/>
        </w:rPr>
        <w:t>/Rev.1</w:t>
      </w:r>
      <w:r w:rsidRPr="002927A1">
        <w:rPr>
          <w:lang w:val="es-ES_tradnl"/>
        </w:rPr>
        <w:t xml:space="preserve">, donde se facilitaba información adicional sobre las consideraciones relativas a los costos. La oradora recordó que en los artículos 3 y 4 del Reglamento se establecían disposiciones relacionadas con el lugar, las fechas y la duración de las reuniones de la Conferencia de las Partes. </w:t>
      </w:r>
    </w:p>
    <w:p w14:paraId="35A08EBC" w14:textId="6A7C813C" w:rsidR="004A7F48" w:rsidRPr="002927A1" w:rsidRDefault="004A7F48"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representante de Indonesia presentó una propuesta del Gobierno de Indonesia de acoger la cuarta reunión de la Conferencia de las Partes en el Centro de Convenciones Nusa Dua, en Bali, del 1 al 6 de noviembre de 2021. La representante de Colombia dijo que, tras amplias conversaciones con Indonesia, el Gobierno de Colombia había acordado retirar su ofrecimiento de acogida de la reunión, a fin de propiciar que se celebrase en Indonesia debido a que, en observancia de la rotación de la presidencia acordada en la segunda reunión de la Conferencia de las Partes, la región de Asia y el Pacífico sería la encargada de proponer el nombramiento de la persona que presidiría la cuarta reunión de la Conferencia de las Partes. El Gobierno de Colombia </w:t>
      </w:r>
      <w:r w:rsidR="0028495B" w:rsidRPr="002927A1">
        <w:rPr>
          <w:lang w:val="es-ES_tradnl"/>
        </w:rPr>
        <w:t xml:space="preserve">había </w:t>
      </w:r>
      <w:r w:rsidRPr="002927A1">
        <w:rPr>
          <w:lang w:val="es-ES_tradnl"/>
        </w:rPr>
        <w:t>ofreci</w:t>
      </w:r>
      <w:r w:rsidR="0028495B" w:rsidRPr="002927A1">
        <w:rPr>
          <w:lang w:val="es-ES_tradnl"/>
        </w:rPr>
        <w:t>do</w:t>
      </w:r>
      <w:r w:rsidRPr="002927A1">
        <w:rPr>
          <w:lang w:val="es-ES_tradnl"/>
        </w:rPr>
        <w:t xml:space="preserve"> su asistencia y apoyo al Gobierno de Indonesia en los preparativos de la reunión, y manifest</w:t>
      </w:r>
      <w:r w:rsidR="0028495B" w:rsidRPr="002927A1">
        <w:rPr>
          <w:lang w:val="es-ES_tradnl"/>
        </w:rPr>
        <w:t>ado</w:t>
      </w:r>
      <w:r w:rsidRPr="002927A1">
        <w:rPr>
          <w:lang w:val="es-ES_tradnl"/>
        </w:rPr>
        <w:t xml:space="preserve"> también su disposición de acoger la reunión preparatoria regional de la cuarta reunión de la Conferencia de las Partes para la región de América Latina y el Caribe. La representante de Indonesia dio las gracias al Gobierno de Colombia por haber dado a Indonesia la oportunidad de acoger la reunión y dijo que el Gobierno de Indonesia aguardaba con interés la ampliación de su historial de colaboración con el Gobierno de Colombia en los preparativos para la reunión. </w:t>
      </w:r>
    </w:p>
    <w:p w14:paraId="3FB76E0D" w14:textId="7483641C" w:rsidR="00174D64" w:rsidRPr="002927A1" w:rsidRDefault="004A7F48"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Conferencia de las Partes acordó que la cuarta reunión de la Conferencia de las Partes se celebraría en Bali (Indonesia) del </w:t>
      </w:r>
      <w:r w:rsidR="004E75E0">
        <w:rPr>
          <w:lang w:val="es-ES_tradnl"/>
        </w:rPr>
        <w:t xml:space="preserve">1 </w:t>
      </w:r>
      <w:r w:rsidRPr="002927A1">
        <w:rPr>
          <w:lang w:val="es-ES_tradnl"/>
        </w:rPr>
        <w:t>al 5 de noviembre de 2021</w:t>
      </w:r>
      <w:r w:rsidR="00174D64" w:rsidRPr="002927A1">
        <w:rPr>
          <w:lang w:val="es-ES_tradnl"/>
        </w:rPr>
        <w:t xml:space="preserve">. </w:t>
      </w:r>
    </w:p>
    <w:p w14:paraId="6EA3CDC3" w14:textId="234F72CB" w:rsidR="00077945" w:rsidRPr="002927A1" w:rsidRDefault="00EC6C6F" w:rsidP="00A7033C">
      <w:pPr>
        <w:pStyle w:val="CH2"/>
        <w:rPr>
          <w:sz w:val="28"/>
          <w:szCs w:val="28"/>
          <w:lang w:val="es-ES_tradnl"/>
        </w:rPr>
      </w:pPr>
      <w:bookmarkStart w:id="66" w:name="_Toc27124738"/>
      <w:r w:rsidRPr="002927A1">
        <w:rPr>
          <w:sz w:val="28"/>
          <w:szCs w:val="28"/>
          <w:lang w:val="es-ES_tradnl"/>
        </w:rPr>
        <w:tab/>
      </w:r>
      <w:r w:rsidR="00A7033C" w:rsidRPr="002927A1">
        <w:rPr>
          <w:sz w:val="28"/>
          <w:szCs w:val="28"/>
          <w:lang w:val="es-ES_tradnl"/>
        </w:rPr>
        <w:t>IX.</w:t>
      </w:r>
      <w:r w:rsidR="00A7033C" w:rsidRPr="002927A1">
        <w:rPr>
          <w:sz w:val="28"/>
          <w:szCs w:val="28"/>
          <w:lang w:val="es-ES_tradnl"/>
        </w:rPr>
        <w:tab/>
      </w:r>
      <w:bookmarkEnd w:id="66"/>
      <w:r w:rsidR="004A7F48" w:rsidRPr="002927A1">
        <w:rPr>
          <w:bCs/>
          <w:sz w:val="28"/>
          <w:szCs w:val="28"/>
          <w:lang w:val="es-ES_tradnl"/>
        </w:rPr>
        <w:t>Otras cuestiones</w:t>
      </w:r>
    </w:p>
    <w:p w14:paraId="2A24C139" w14:textId="716B2DC0" w:rsidR="003655AC" w:rsidRPr="002927A1" w:rsidRDefault="00511EA8" w:rsidP="0012067A">
      <w:pPr>
        <w:pStyle w:val="Normalnumber"/>
        <w:ind w:left="1247"/>
        <w:rPr>
          <w:lang w:val="es-ES_tradnl"/>
        </w:rPr>
      </w:pPr>
      <w:r w:rsidRPr="002927A1">
        <w:rPr>
          <w:b/>
          <w:lang w:val="es-ES_tradnl"/>
        </w:rPr>
        <w:t>Orientación relativa a la finalización del formato para la presentación de informes nacionales</w:t>
      </w:r>
    </w:p>
    <w:p w14:paraId="2528AD2E" w14:textId="0D20FFBA" w:rsidR="00511EA8" w:rsidRPr="002927A1" w:rsidRDefault="00511EA8" w:rsidP="00A524DB">
      <w:pPr>
        <w:pStyle w:val="Normalnumber"/>
        <w:numPr>
          <w:ilvl w:val="0"/>
          <w:numId w:val="44"/>
        </w:numPr>
        <w:tabs>
          <w:tab w:val="clear" w:pos="624"/>
          <w:tab w:val="clear" w:pos="1134"/>
          <w:tab w:val="clear" w:pos="1247"/>
        </w:tabs>
        <w:rPr>
          <w:lang w:val="es-ES_tradnl"/>
        </w:rPr>
      </w:pPr>
      <w:r w:rsidRPr="002927A1">
        <w:rPr>
          <w:lang w:val="es-ES_tradnl"/>
        </w:rPr>
        <w:t>La representante de la Secretaría recordó que, en su decisión MC-1/8, sobre las fechas y el formato de presentación de informes por las Partes, la Conferencia de las Partes había adoptado un formato para la presentación de informes y había decidido que cada Parte rindiese informes cada cuatro años utilizando para ello el formato completo</w:t>
      </w:r>
      <w:r w:rsidR="008834F4" w:rsidRPr="002927A1">
        <w:rPr>
          <w:lang w:val="es-ES_tradnl"/>
        </w:rPr>
        <w:t>,</w:t>
      </w:r>
      <w:r w:rsidRPr="002927A1">
        <w:rPr>
          <w:lang w:val="es-ES_tradnl"/>
        </w:rPr>
        <w:t xml:space="preserve"> y cada dos años sobre las cuatro preguntas marcadas con un asterisco en ese </w:t>
      </w:r>
      <w:r w:rsidR="00DD2BC1" w:rsidRPr="002927A1">
        <w:rPr>
          <w:lang w:val="es-ES_tradnl"/>
        </w:rPr>
        <w:t>formato. A fin de ayudar a las P</w:t>
      </w:r>
      <w:r w:rsidRPr="002927A1">
        <w:rPr>
          <w:lang w:val="es-ES_tradnl"/>
        </w:rPr>
        <w:t xml:space="preserve">artes en la preparación </w:t>
      </w:r>
      <w:r w:rsidR="008834F4" w:rsidRPr="002927A1">
        <w:rPr>
          <w:lang w:val="es-ES_tradnl"/>
        </w:rPr>
        <w:t xml:space="preserve">y presentación </w:t>
      </w:r>
      <w:r w:rsidRPr="002927A1">
        <w:rPr>
          <w:lang w:val="es-ES_tradnl"/>
        </w:rPr>
        <w:t xml:space="preserve">de la información para el primer breve informe bienal, la Secretaría había </w:t>
      </w:r>
      <w:r w:rsidR="008834F4" w:rsidRPr="002927A1">
        <w:rPr>
          <w:lang w:val="es-ES_tradnl"/>
        </w:rPr>
        <w:t>desarrolla</w:t>
      </w:r>
      <w:r w:rsidR="00ED42B5" w:rsidRPr="002927A1">
        <w:rPr>
          <w:lang w:val="es-ES_tradnl"/>
        </w:rPr>
        <w:t>do</w:t>
      </w:r>
      <w:r w:rsidR="008834F4" w:rsidRPr="002927A1">
        <w:rPr>
          <w:lang w:val="es-ES_tradnl"/>
        </w:rPr>
        <w:t xml:space="preserve"> una herramienta </w:t>
      </w:r>
      <w:r w:rsidRPr="002927A1">
        <w:rPr>
          <w:lang w:val="es-ES_tradnl"/>
        </w:rPr>
        <w:t>de presentación de informes</w:t>
      </w:r>
      <w:r w:rsidR="008834F4" w:rsidRPr="002927A1">
        <w:rPr>
          <w:lang w:val="es-ES_tradnl"/>
        </w:rPr>
        <w:t xml:space="preserve"> por medios electrónicos</w:t>
      </w:r>
      <w:r w:rsidRPr="002927A1">
        <w:rPr>
          <w:lang w:val="es-ES_tradnl"/>
        </w:rPr>
        <w:t>, junto con un documento en el que figuraban las respuestas a las preguntas más frecuentes (UNEP/MC/COP.3/INF/26). L</w:t>
      </w:r>
      <w:r w:rsidR="008834F4" w:rsidRPr="002927A1">
        <w:rPr>
          <w:lang w:val="es-ES_tradnl"/>
        </w:rPr>
        <w:t>as consultas</w:t>
      </w:r>
      <w:r w:rsidRPr="002927A1">
        <w:rPr>
          <w:lang w:val="es-ES_tradnl"/>
        </w:rPr>
        <w:t xml:space="preserve"> sobre la presentación de informes, que se mantuvieron en paralelo a la</w:t>
      </w:r>
      <w:r w:rsidR="00C72EA6" w:rsidRPr="002927A1">
        <w:rPr>
          <w:lang w:val="es-ES_tradnl"/>
        </w:rPr>
        <w:t>s</w:t>
      </w:r>
      <w:r w:rsidRPr="002927A1">
        <w:rPr>
          <w:lang w:val="es-ES_tradnl"/>
        </w:rPr>
        <w:t xml:space="preserve"> reuni</w:t>
      </w:r>
      <w:r w:rsidR="00C72EA6" w:rsidRPr="002927A1">
        <w:rPr>
          <w:lang w:val="es-ES_tradnl"/>
        </w:rPr>
        <w:t>ones</w:t>
      </w:r>
      <w:r w:rsidRPr="002927A1">
        <w:rPr>
          <w:lang w:val="es-ES_tradnl"/>
        </w:rPr>
        <w:t xml:space="preserve">, fueron otra fuente de apoyo para las Partes. Habida cuenta de que los informes serían presentados por los coordinadores nacionales, que recibirían un enlace específico a la herramienta electrónica para que pudiesen hacerlo, la representante de la Secretaría hizo hincapié en la necesidad de que las Partes verificasen que la Secretaría tenía los datos de contacto correctos de cada coordinador nacional. </w:t>
      </w:r>
    </w:p>
    <w:p w14:paraId="29EB65A0" w14:textId="4096DBCF" w:rsidR="000E74B4" w:rsidRPr="002927A1" w:rsidRDefault="00511EA8" w:rsidP="00A524DB">
      <w:pPr>
        <w:pStyle w:val="Normalnumber"/>
        <w:numPr>
          <w:ilvl w:val="0"/>
          <w:numId w:val="44"/>
        </w:numPr>
        <w:tabs>
          <w:tab w:val="clear" w:pos="624"/>
          <w:tab w:val="clear" w:pos="1134"/>
          <w:tab w:val="clear" w:pos="1247"/>
        </w:tabs>
        <w:rPr>
          <w:lang w:val="es-ES_tradnl"/>
        </w:rPr>
      </w:pPr>
      <w:r w:rsidRPr="002927A1">
        <w:rPr>
          <w:lang w:val="es-ES_tradnl"/>
        </w:rPr>
        <w:t>Dos representantes destacaron las dificultades relacionadas con el seguimiento del comercio de mercurio y con el uso de los formularios concebidos para ese fin. Uno de ellos propuso que se incluyese la cuestión del comercio de mercurio en el programa de la cuarta reunión</w:t>
      </w:r>
      <w:r w:rsidR="00C72EA6" w:rsidRPr="002927A1">
        <w:rPr>
          <w:lang w:val="es-ES_tradnl"/>
        </w:rPr>
        <w:t xml:space="preserve"> de la Conferencia de las Partes</w:t>
      </w:r>
      <w:r w:rsidRPr="002927A1">
        <w:rPr>
          <w:lang w:val="es-ES_tradnl"/>
        </w:rPr>
        <w:t>. La representante de la Secretaría recordó que</w:t>
      </w:r>
      <w:r w:rsidR="008834F4" w:rsidRPr="002927A1">
        <w:rPr>
          <w:lang w:val="es-ES_tradnl"/>
        </w:rPr>
        <w:t xml:space="preserve"> en su primera reunión</w:t>
      </w:r>
      <w:r w:rsidRPr="002927A1">
        <w:rPr>
          <w:lang w:val="es-ES_tradnl"/>
        </w:rPr>
        <w:t xml:space="preserve"> la Conferencia de las Partes había aprobado orientaciones para la cumplimentación de los formularios requeridos en virtud del artículo 3 sobre el comercio de mercurio</w:t>
      </w:r>
      <w:r w:rsidR="000E74B4" w:rsidRPr="002927A1">
        <w:rPr>
          <w:lang w:val="es-ES_tradnl"/>
        </w:rPr>
        <w:t>.</w:t>
      </w:r>
    </w:p>
    <w:p w14:paraId="46A66292" w14:textId="09C21E28" w:rsidR="000E74B4" w:rsidRPr="002927A1" w:rsidRDefault="00C72EA6" w:rsidP="00A524DB">
      <w:pPr>
        <w:pStyle w:val="Normalnumber"/>
        <w:numPr>
          <w:ilvl w:val="0"/>
          <w:numId w:val="44"/>
        </w:numPr>
        <w:tabs>
          <w:tab w:val="clear" w:pos="624"/>
          <w:tab w:val="clear" w:pos="1134"/>
          <w:tab w:val="clear" w:pos="1247"/>
        </w:tabs>
        <w:rPr>
          <w:lang w:val="es-ES_tradnl"/>
        </w:rPr>
      </w:pPr>
      <w:r w:rsidRPr="002927A1">
        <w:rPr>
          <w:lang w:val="es-ES_tradnl"/>
        </w:rPr>
        <w:t xml:space="preserve">La representante del Canadá presentó un documento de sesión preparado conjuntamente con la Unión Europea y sus Estados Miembros, Noruega y Suiza, en el que figuraba un proyecto de decisión en </w:t>
      </w:r>
      <w:r w:rsidR="008834F4" w:rsidRPr="002927A1">
        <w:rPr>
          <w:lang w:val="es-ES_tradnl"/>
        </w:rPr>
        <w:t xml:space="preserve">el </w:t>
      </w:r>
      <w:r w:rsidRPr="002927A1">
        <w:rPr>
          <w:lang w:val="es-ES_tradnl"/>
        </w:rPr>
        <w:t xml:space="preserve">que se </w:t>
      </w:r>
      <w:r w:rsidR="008834F4" w:rsidRPr="002927A1">
        <w:rPr>
          <w:lang w:val="es-ES_tradnl"/>
        </w:rPr>
        <w:t>solicitaba</w:t>
      </w:r>
      <w:r w:rsidRPr="002927A1">
        <w:rPr>
          <w:lang w:val="es-ES_tradnl"/>
        </w:rPr>
        <w:t xml:space="preserve"> a la Secretaría que preparase un proyecto de orientaciones para la </w:t>
      </w:r>
      <w:r w:rsidR="00DC4F9B" w:rsidRPr="002927A1">
        <w:rPr>
          <w:lang w:val="es-ES_tradnl"/>
        </w:rPr>
        <w:t>finalización</w:t>
      </w:r>
      <w:r w:rsidRPr="002927A1">
        <w:rPr>
          <w:lang w:val="es-ES_tradnl"/>
        </w:rPr>
        <w:t xml:space="preserve"> del primer informe completo, a más tardar el 31 de diciembre de 2021. Se proponía que esa orientación se preparase durante el período entre sesiones, que las Partes y otros interesados contribuyesen al proceso con sus observaciones a fin de que la Secretaría pudiese revisar las </w:t>
      </w:r>
      <w:r w:rsidRPr="002927A1">
        <w:rPr>
          <w:lang w:val="es-ES_tradnl"/>
        </w:rPr>
        <w:lastRenderedPageBreak/>
        <w:t>orientaciones, que el proyecto de orientaciones se utilizase provisionalmente por las Partes y que se examinase con miras a su posible aprobación por la Conferencia de las Partes en su cuarta reunión</w:t>
      </w:r>
      <w:r w:rsidR="000E74B4" w:rsidRPr="002927A1">
        <w:rPr>
          <w:lang w:val="es-ES_tradnl"/>
        </w:rPr>
        <w:t>.</w:t>
      </w:r>
    </w:p>
    <w:p w14:paraId="62ECB18B" w14:textId="7F20E480" w:rsidR="003655AC" w:rsidRPr="002927A1" w:rsidRDefault="00A378D3" w:rsidP="00A524DB">
      <w:pPr>
        <w:pStyle w:val="Normalnumber"/>
        <w:numPr>
          <w:ilvl w:val="0"/>
          <w:numId w:val="44"/>
        </w:numPr>
        <w:tabs>
          <w:tab w:val="clear" w:pos="624"/>
          <w:tab w:val="clear" w:pos="1134"/>
          <w:tab w:val="clear" w:pos="1247"/>
        </w:tabs>
        <w:rPr>
          <w:lang w:val="es-ES_tradnl"/>
        </w:rPr>
      </w:pPr>
      <w:r w:rsidRPr="002927A1">
        <w:rPr>
          <w:lang w:val="es-ES_tradnl"/>
        </w:rPr>
        <w:t>A continuación, tras la celebración de nuevas consultas con los patrocinadores del proyecto</w:t>
      </w:r>
      <w:r w:rsidR="00432AA6" w:rsidRPr="002927A1">
        <w:rPr>
          <w:lang w:val="es-ES_tradnl"/>
        </w:rPr>
        <w:t xml:space="preserve"> de decisión </w:t>
      </w:r>
      <w:r w:rsidRPr="002927A1">
        <w:rPr>
          <w:lang w:val="es-ES_tradnl"/>
        </w:rPr>
        <w:t>y otras Partes interesadas, el representante del Canadá inform</w:t>
      </w:r>
      <w:r w:rsidR="00432AA6" w:rsidRPr="002927A1">
        <w:rPr>
          <w:lang w:val="es-ES_tradnl"/>
        </w:rPr>
        <w:t>ó</w:t>
      </w:r>
      <w:r w:rsidRPr="002927A1">
        <w:rPr>
          <w:lang w:val="es-ES_tradnl"/>
        </w:rPr>
        <w:t xml:space="preserve"> de que </w:t>
      </w:r>
      <w:r w:rsidR="00432AA6" w:rsidRPr="002927A1">
        <w:rPr>
          <w:lang w:val="es-ES_tradnl"/>
        </w:rPr>
        <w:t xml:space="preserve">se había mostrado amplio apoyo al proyecto de decisión, el cual estaba motivado por la complejidad del proceso de preparación de los informes nacionales. En el debate que tuvo lugar a continuación, todos los representantes que hicieron uso de la palabra expresaron su apoyo a la iniciativa, la cual, dijeron, era muy útil, reduciría la carga sobre los coordinadores nacionales en cuanto a identificar qué habría que incluir en los informes y beneficiaría el proceso de evaluación de la eficacia. Un representante hizo notar, en </w:t>
      </w:r>
      <w:r w:rsidR="003655AC" w:rsidRPr="002927A1">
        <w:rPr>
          <w:lang w:val="es-ES_tradnl"/>
        </w:rPr>
        <w:t xml:space="preserve">particular, </w:t>
      </w:r>
      <w:r w:rsidR="00432AA6" w:rsidRPr="002927A1">
        <w:rPr>
          <w:lang w:val="es-ES_tradnl"/>
        </w:rPr>
        <w:t xml:space="preserve">su </w:t>
      </w:r>
      <w:r w:rsidR="003655AC" w:rsidRPr="002927A1">
        <w:rPr>
          <w:lang w:val="es-ES_tradnl"/>
        </w:rPr>
        <w:t>importanc</w:t>
      </w:r>
      <w:r w:rsidR="00432AA6" w:rsidRPr="002927A1">
        <w:rPr>
          <w:lang w:val="es-ES_tradnl"/>
        </w:rPr>
        <w:t>ia para la</w:t>
      </w:r>
      <w:r w:rsidR="007D594C" w:rsidRPr="002927A1">
        <w:rPr>
          <w:lang w:val="es-ES_tradnl"/>
        </w:rPr>
        <w:t>s</w:t>
      </w:r>
      <w:r w:rsidR="00432AA6" w:rsidRPr="002927A1">
        <w:rPr>
          <w:lang w:val="es-ES_tradnl"/>
        </w:rPr>
        <w:t xml:space="preserve"> Partes que eran pequeños Estados insulares en desarrollo</w:t>
      </w:r>
      <w:r w:rsidR="0093456E" w:rsidRPr="002927A1">
        <w:rPr>
          <w:lang w:val="es-ES_tradnl"/>
        </w:rPr>
        <w:t xml:space="preserve">; </w:t>
      </w:r>
      <w:r w:rsidR="00432AA6" w:rsidRPr="002927A1">
        <w:rPr>
          <w:lang w:val="es-ES_tradnl"/>
        </w:rPr>
        <w:t>mientras que otra aseguró la disposición de su país a ayudar en la preparación de la orientación</w:t>
      </w:r>
      <w:r w:rsidR="003655AC" w:rsidRPr="002927A1">
        <w:rPr>
          <w:lang w:val="es-ES_tradnl"/>
        </w:rPr>
        <w:t xml:space="preserve">; </w:t>
      </w:r>
      <w:r w:rsidR="00432AA6" w:rsidRPr="002927A1">
        <w:rPr>
          <w:lang w:val="es-ES_tradnl"/>
        </w:rPr>
        <w:t xml:space="preserve">y un tercero sugirió que se hiciesen pequeñas mejoras al texto, lo cual fue aceptado por la </w:t>
      </w:r>
      <w:r w:rsidR="003655AC" w:rsidRPr="002927A1">
        <w:rPr>
          <w:lang w:val="es-ES_tradnl"/>
        </w:rPr>
        <w:t>Conferenc</w:t>
      </w:r>
      <w:r w:rsidR="00432AA6" w:rsidRPr="002927A1">
        <w:rPr>
          <w:lang w:val="es-ES_tradnl"/>
        </w:rPr>
        <w:t xml:space="preserve">ia de las </w:t>
      </w:r>
      <w:r w:rsidR="003655AC" w:rsidRPr="002927A1">
        <w:rPr>
          <w:lang w:val="es-ES_tradnl"/>
        </w:rPr>
        <w:t xml:space="preserve">Partes. </w:t>
      </w:r>
    </w:p>
    <w:p w14:paraId="7062FBC4" w14:textId="733DB4D7" w:rsidR="003655AC" w:rsidRPr="002927A1" w:rsidRDefault="00276554" w:rsidP="00A524DB">
      <w:pPr>
        <w:pStyle w:val="Normalnumber"/>
        <w:numPr>
          <w:ilvl w:val="0"/>
          <w:numId w:val="44"/>
        </w:numPr>
        <w:tabs>
          <w:tab w:val="clear" w:pos="624"/>
          <w:tab w:val="clear" w:pos="1134"/>
          <w:tab w:val="clear" w:pos="1247"/>
        </w:tabs>
        <w:rPr>
          <w:lang w:val="es-ES_tradnl"/>
        </w:rPr>
      </w:pPr>
      <w:r w:rsidRPr="002927A1">
        <w:rPr>
          <w:lang w:val="es-ES_tradnl"/>
        </w:rPr>
        <w:t>Un representante a la vez que alabó el proyecto de decisión hizo notar el impulso que había dado lugar a su preparación, observ</w:t>
      </w:r>
      <w:r w:rsidR="007D594C" w:rsidRPr="002927A1">
        <w:rPr>
          <w:lang w:val="es-ES_tradnl"/>
        </w:rPr>
        <w:t>ó</w:t>
      </w:r>
      <w:r w:rsidRPr="002927A1">
        <w:rPr>
          <w:lang w:val="es-ES_tradnl"/>
        </w:rPr>
        <w:t xml:space="preserve"> que se había logrado un frágil equilibrio a la hora de acordar los elementos de la decisión y subrayó que, en la labor de preparación de la orientación, se debería mantener ese mismo equilibrio y preservar las soluciones de avenencia logradas. </w:t>
      </w:r>
    </w:p>
    <w:p w14:paraId="28B9E1F4" w14:textId="49305854" w:rsidR="00CC6D5F" w:rsidRPr="002927A1" w:rsidRDefault="00276554" w:rsidP="00A524DB">
      <w:pPr>
        <w:pStyle w:val="Normalnumber"/>
        <w:numPr>
          <w:ilvl w:val="0"/>
          <w:numId w:val="44"/>
        </w:numPr>
        <w:tabs>
          <w:tab w:val="clear" w:pos="624"/>
          <w:tab w:val="clear" w:pos="1134"/>
          <w:tab w:val="clear" w:pos="1247"/>
        </w:tabs>
        <w:rPr>
          <w:lang w:val="es-ES_tradnl"/>
        </w:rPr>
      </w:pPr>
      <w:r w:rsidRPr="002927A1">
        <w:rPr>
          <w:lang w:val="es-ES_tradnl"/>
        </w:rPr>
        <w:t xml:space="preserve">A continuación, la </w:t>
      </w:r>
      <w:r w:rsidR="00CC6D5F" w:rsidRPr="002927A1">
        <w:rPr>
          <w:lang w:val="es-ES_tradnl"/>
        </w:rPr>
        <w:t>Conferenc</w:t>
      </w:r>
      <w:r w:rsidRPr="002927A1">
        <w:rPr>
          <w:lang w:val="es-ES_tradnl"/>
        </w:rPr>
        <w:t xml:space="preserve">ia de las </w:t>
      </w:r>
      <w:r w:rsidR="00CC6D5F" w:rsidRPr="002927A1">
        <w:rPr>
          <w:lang w:val="es-ES_tradnl"/>
        </w:rPr>
        <w:t>Partes adopt</w:t>
      </w:r>
      <w:r w:rsidRPr="002927A1">
        <w:rPr>
          <w:lang w:val="es-ES_tradnl"/>
        </w:rPr>
        <w:t xml:space="preserve">ó la </w:t>
      </w:r>
      <w:r w:rsidR="00CC6D5F" w:rsidRPr="002927A1">
        <w:rPr>
          <w:lang w:val="es-ES_tradnl"/>
        </w:rPr>
        <w:t>decisi</w:t>
      </w:r>
      <w:r w:rsidRPr="002927A1">
        <w:rPr>
          <w:lang w:val="es-ES_tradnl"/>
        </w:rPr>
        <w:t>ó</w:t>
      </w:r>
      <w:r w:rsidR="00CC6D5F" w:rsidRPr="002927A1">
        <w:rPr>
          <w:lang w:val="es-ES_tradnl"/>
        </w:rPr>
        <w:t>n MC-3/</w:t>
      </w:r>
      <w:r w:rsidR="00617FDE" w:rsidRPr="002927A1">
        <w:rPr>
          <w:lang w:val="es-ES_tradnl"/>
        </w:rPr>
        <w:t>1</w:t>
      </w:r>
      <w:r w:rsidR="008D01BD" w:rsidRPr="002927A1">
        <w:rPr>
          <w:lang w:val="es-ES_tradnl"/>
        </w:rPr>
        <w:t>3</w:t>
      </w:r>
      <w:r w:rsidR="003A2652" w:rsidRPr="002927A1">
        <w:rPr>
          <w:lang w:val="es-ES_tradnl"/>
        </w:rPr>
        <w:t>,</w:t>
      </w:r>
      <w:r w:rsidR="00CC6D5F" w:rsidRPr="002927A1">
        <w:rPr>
          <w:lang w:val="es-ES_tradnl"/>
        </w:rPr>
        <w:t xml:space="preserve"> </w:t>
      </w:r>
      <w:r w:rsidRPr="002927A1">
        <w:rPr>
          <w:lang w:val="es-ES_tradnl"/>
        </w:rPr>
        <w:t>sobre la orientación relativa a la finalización del formato para la presentación de informes</w:t>
      </w:r>
      <w:r w:rsidR="00FA6A30" w:rsidRPr="002927A1">
        <w:rPr>
          <w:lang w:val="es-ES_tradnl"/>
        </w:rPr>
        <w:t xml:space="preserve"> </w:t>
      </w:r>
      <w:r w:rsidRPr="002927A1">
        <w:rPr>
          <w:lang w:val="es-ES_tradnl"/>
        </w:rPr>
        <w:t>nacionales, que se reproduce en el anexo del presente informe.</w:t>
      </w:r>
      <w:r w:rsidR="00CC6D5F" w:rsidRPr="002927A1">
        <w:rPr>
          <w:lang w:val="es-ES_tradnl"/>
        </w:rPr>
        <w:t xml:space="preserve"> </w:t>
      </w:r>
    </w:p>
    <w:p w14:paraId="1D199592" w14:textId="15D3B465" w:rsidR="00077945" w:rsidRPr="002927A1" w:rsidRDefault="00EC6C6F" w:rsidP="00A7033C">
      <w:pPr>
        <w:pStyle w:val="CH2"/>
        <w:rPr>
          <w:sz w:val="28"/>
          <w:szCs w:val="28"/>
          <w:lang w:val="es-ES_tradnl"/>
        </w:rPr>
      </w:pPr>
      <w:bookmarkStart w:id="67" w:name="_Toc27124739"/>
      <w:r w:rsidRPr="002927A1">
        <w:rPr>
          <w:sz w:val="28"/>
          <w:szCs w:val="28"/>
          <w:lang w:val="es-ES_tradnl"/>
        </w:rPr>
        <w:tab/>
      </w:r>
      <w:r w:rsidR="00A7033C" w:rsidRPr="002927A1">
        <w:rPr>
          <w:sz w:val="28"/>
          <w:szCs w:val="28"/>
          <w:lang w:val="es-ES_tradnl"/>
        </w:rPr>
        <w:t>X.</w:t>
      </w:r>
      <w:r w:rsidR="00A7033C" w:rsidRPr="002927A1">
        <w:rPr>
          <w:sz w:val="28"/>
          <w:szCs w:val="28"/>
          <w:lang w:val="es-ES_tradnl"/>
        </w:rPr>
        <w:tab/>
      </w:r>
      <w:bookmarkEnd w:id="67"/>
      <w:r w:rsidR="004A7F48" w:rsidRPr="002927A1">
        <w:rPr>
          <w:bCs/>
          <w:sz w:val="28"/>
          <w:szCs w:val="28"/>
          <w:lang w:val="es-ES_tradnl"/>
        </w:rPr>
        <w:t>Aprobación del informe</w:t>
      </w:r>
    </w:p>
    <w:p w14:paraId="2BE5EB3E" w14:textId="3AE4DDD3" w:rsidR="00A7033C" w:rsidRPr="002927A1" w:rsidRDefault="008469D8" w:rsidP="00A524DB">
      <w:pPr>
        <w:pStyle w:val="Normalnumber"/>
        <w:numPr>
          <w:ilvl w:val="0"/>
          <w:numId w:val="44"/>
        </w:numPr>
        <w:tabs>
          <w:tab w:val="clear" w:pos="624"/>
          <w:tab w:val="clear" w:pos="1134"/>
          <w:tab w:val="clear" w:pos="1247"/>
        </w:tabs>
        <w:rPr>
          <w:lang w:val="es-ES_tradnl"/>
        </w:rPr>
      </w:pPr>
      <w:r w:rsidRPr="002927A1">
        <w:rPr>
          <w:lang w:val="es-ES_tradnl"/>
        </w:rPr>
        <w:t>La</w:t>
      </w:r>
      <w:r w:rsidR="00CC6D5F" w:rsidRPr="002927A1">
        <w:rPr>
          <w:lang w:val="es-ES_tradnl"/>
        </w:rPr>
        <w:t xml:space="preserve"> Conferenc</w:t>
      </w:r>
      <w:r w:rsidRPr="002927A1">
        <w:rPr>
          <w:lang w:val="es-ES_tradnl"/>
        </w:rPr>
        <w:t xml:space="preserve">ia de las </w:t>
      </w:r>
      <w:r w:rsidR="00CC6D5F" w:rsidRPr="002927A1">
        <w:rPr>
          <w:lang w:val="es-ES_tradnl"/>
        </w:rPr>
        <w:t>Partes a</w:t>
      </w:r>
      <w:r w:rsidRPr="002927A1">
        <w:rPr>
          <w:lang w:val="es-ES_tradnl"/>
        </w:rPr>
        <w:t xml:space="preserve">probó el </w:t>
      </w:r>
      <w:r w:rsidR="00C87D9C" w:rsidRPr="002927A1">
        <w:rPr>
          <w:lang w:val="es-ES_tradnl"/>
        </w:rPr>
        <w:t>present</w:t>
      </w:r>
      <w:r w:rsidRPr="002927A1">
        <w:rPr>
          <w:lang w:val="es-ES_tradnl"/>
        </w:rPr>
        <w:t>e informe sobre la base del proyecto de informe que se había distribuido, en el entendimiento de que se encargaría a la Relatoría su finalización, en consulta con la Secretaría.</w:t>
      </w:r>
    </w:p>
    <w:p w14:paraId="798BD2E2" w14:textId="2113BCB8" w:rsidR="00077945" w:rsidRPr="002927A1" w:rsidRDefault="00EC6C6F" w:rsidP="00A7033C">
      <w:pPr>
        <w:pStyle w:val="CH2"/>
        <w:rPr>
          <w:sz w:val="28"/>
          <w:szCs w:val="28"/>
          <w:lang w:val="es-ES_tradnl"/>
        </w:rPr>
      </w:pPr>
      <w:bookmarkStart w:id="68" w:name="_Toc27124740"/>
      <w:r w:rsidRPr="002927A1">
        <w:rPr>
          <w:sz w:val="28"/>
          <w:szCs w:val="28"/>
          <w:lang w:val="es-ES_tradnl"/>
        </w:rPr>
        <w:tab/>
      </w:r>
      <w:r w:rsidR="00A7033C" w:rsidRPr="002927A1">
        <w:rPr>
          <w:sz w:val="28"/>
          <w:szCs w:val="28"/>
          <w:lang w:val="es-ES_tradnl"/>
        </w:rPr>
        <w:t>XI.</w:t>
      </w:r>
      <w:r w:rsidR="00A7033C" w:rsidRPr="002927A1">
        <w:rPr>
          <w:sz w:val="28"/>
          <w:szCs w:val="28"/>
          <w:lang w:val="es-ES_tradnl"/>
        </w:rPr>
        <w:tab/>
      </w:r>
      <w:bookmarkEnd w:id="68"/>
      <w:r w:rsidR="004A7F48" w:rsidRPr="002927A1">
        <w:rPr>
          <w:bCs/>
          <w:sz w:val="28"/>
          <w:szCs w:val="28"/>
          <w:lang w:val="es-ES_tradnl"/>
        </w:rPr>
        <w:t>Clausura de la reunión</w:t>
      </w:r>
    </w:p>
    <w:p w14:paraId="5C3ACF07" w14:textId="4DEEB4D7" w:rsidR="00A7033C" w:rsidRPr="002927A1" w:rsidRDefault="00400B98" w:rsidP="00A524DB">
      <w:pPr>
        <w:pStyle w:val="Normalnumber"/>
        <w:numPr>
          <w:ilvl w:val="0"/>
          <w:numId w:val="44"/>
        </w:numPr>
        <w:tabs>
          <w:tab w:val="clear" w:pos="624"/>
          <w:tab w:val="clear" w:pos="1134"/>
          <w:tab w:val="clear" w:pos="1247"/>
        </w:tabs>
        <w:rPr>
          <w:lang w:val="es-ES_tradnl"/>
        </w:rPr>
      </w:pPr>
      <w:r w:rsidRPr="002927A1">
        <w:rPr>
          <w:color w:val="000000" w:themeColor="text1"/>
          <w:lang w:val="es-ES_tradnl"/>
        </w:rPr>
        <w:t xml:space="preserve">Tras el habitual </w:t>
      </w:r>
      <w:r w:rsidRPr="002927A1">
        <w:rPr>
          <w:lang w:val="es-ES_tradnl"/>
        </w:rPr>
        <w:t>intercambio</w:t>
      </w:r>
      <w:r w:rsidRPr="002927A1">
        <w:rPr>
          <w:color w:val="000000" w:themeColor="text1"/>
          <w:lang w:val="es-ES_tradnl"/>
        </w:rPr>
        <w:t xml:space="preserve"> de cortesías, se </w:t>
      </w:r>
      <w:r w:rsidRPr="002927A1">
        <w:rPr>
          <w:lang w:val="es-ES_tradnl"/>
        </w:rPr>
        <w:t>declaró</w:t>
      </w:r>
      <w:r w:rsidRPr="002927A1">
        <w:rPr>
          <w:color w:val="000000" w:themeColor="text1"/>
          <w:lang w:val="es-ES_tradnl"/>
        </w:rPr>
        <w:t xml:space="preserve"> clausurada la </w:t>
      </w:r>
      <w:r w:rsidR="00A60CBD" w:rsidRPr="002927A1">
        <w:rPr>
          <w:color w:val="000000" w:themeColor="text1"/>
          <w:lang w:val="es-ES_tradnl"/>
        </w:rPr>
        <w:t>reunión</w:t>
      </w:r>
      <w:r w:rsidRPr="002927A1">
        <w:rPr>
          <w:color w:val="000000" w:themeColor="text1"/>
          <w:lang w:val="es-ES_tradnl"/>
        </w:rPr>
        <w:t xml:space="preserve"> a las 0</w:t>
      </w:r>
      <w:r w:rsidR="00CC6D5F" w:rsidRPr="002927A1">
        <w:rPr>
          <w:color w:val="000000" w:themeColor="text1"/>
          <w:lang w:val="es-ES_tradnl"/>
        </w:rPr>
        <w:t xml:space="preserve">2.30 </w:t>
      </w:r>
      <w:r w:rsidRPr="002927A1">
        <w:rPr>
          <w:color w:val="000000" w:themeColor="text1"/>
          <w:lang w:val="es-ES_tradnl"/>
        </w:rPr>
        <w:t>horas del sábado</w:t>
      </w:r>
      <w:r w:rsidR="00CC6D5F" w:rsidRPr="002927A1">
        <w:rPr>
          <w:color w:val="000000" w:themeColor="text1"/>
          <w:lang w:val="es-ES_tradnl"/>
        </w:rPr>
        <w:t xml:space="preserve"> 30 </w:t>
      </w:r>
      <w:r w:rsidRPr="002927A1">
        <w:rPr>
          <w:color w:val="000000" w:themeColor="text1"/>
          <w:lang w:val="es-ES_tradnl"/>
        </w:rPr>
        <w:t>de noviembre de</w:t>
      </w:r>
      <w:r w:rsidR="00CC6D5F" w:rsidRPr="002927A1">
        <w:rPr>
          <w:color w:val="000000" w:themeColor="text1"/>
          <w:lang w:val="es-ES_tradnl"/>
        </w:rPr>
        <w:t xml:space="preserve"> 2019.</w:t>
      </w:r>
    </w:p>
    <w:p w14:paraId="6B7F1F36" w14:textId="48806483" w:rsidR="009E64B0" w:rsidRPr="002927A1" w:rsidRDefault="009E64B0" w:rsidP="003F4DA7">
      <w:pPr>
        <w:pStyle w:val="Normal-pool"/>
        <w:rPr>
          <w:lang w:val="es-ES_tradnl"/>
        </w:rPr>
      </w:pPr>
    </w:p>
    <w:p w14:paraId="24E2CD0C" w14:textId="77777777" w:rsidR="003F4DA7" w:rsidRPr="002927A1" w:rsidRDefault="003F4DA7" w:rsidP="003F4DA7">
      <w:pPr>
        <w:pStyle w:val="Normal-pool"/>
        <w:rPr>
          <w:lang w:val="es-ES_tradnl"/>
        </w:rPr>
        <w:sectPr w:rsidR="003F4DA7" w:rsidRPr="002927A1" w:rsidSect="00C95B7D">
          <w:headerReference w:type="even" r:id="rId13"/>
          <w:headerReference w:type="default" r:id="rId14"/>
          <w:footerReference w:type="even" r:id="rId15"/>
          <w:footerReference w:type="default" r:id="rId16"/>
          <w:footerReference w:type="first" r:id="rId17"/>
          <w:footnotePr>
            <w:numRestart w:val="eachSect"/>
          </w:footnotePr>
          <w:type w:val="continuous"/>
          <w:pgSz w:w="11900" w:h="16840" w:code="9"/>
          <w:pgMar w:top="907" w:right="992" w:bottom="1418" w:left="1418" w:header="539" w:footer="975" w:gutter="0"/>
          <w:cols w:space="708"/>
          <w:titlePg/>
          <w:docGrid w:linePitch="360"/>
        </w:sectPr>
      </w:pPr>
    </w:p>
    <w:p w14:paraId="009CDAF9" w14:textId="4459BE72" w:rsidR="003F4DA7" w:rsidRPr="002927A1" w:rsidRDefault="003F4DA7" w:rsidP="003F4DA7">
      <w:pPr>
        <w:pStyle w:val="ZZAnxheader"/>
        <w:rPr>
          <w:lang w:val="es-ES_tradnl"/>
        </w:rPr>
      </w:pPr>
      <w:r w:rsidRPr="002927A1">
        <w:rPr>
          <w:lang w:val="es-ES_tradnl"/>
        </w:rPr>
        <w:lastRenderedPageBreak/>
        <w:t>Anex</w:t>
      </w:r>
      <w:r w:rsidR="00A24DB9" w:rsidRPr="002927A1">
        <w:rPr>
          <w:lang w:val="es-ES_tradnl"/>
        </w:rPr>
        <w:t>o</w:t>
      </w:r>
    </w:p>
    <w:p w14:paraId="1EC093C8" w14:textId="69BB0330" w:rsidR="00CB2628" w:rsidRPr="002927A1" w:rsidRDefault="00CB2628" w:rsidP="00417FE2">
      <w:pPr>
        <w:pStyle w:val="ZZAnxtitle"/>
        <w:rPr>
          <w:lang w:val="es-ES_tradnl" w:eastAsia="en-GB"/>
        </w:rPr>
      </w:pPr>
      <w:r w:rsidRPr="002927A1">
        <w:rPr>
          <w:lang w:val="es-ES_tradnl" w:eastAsia="en-GB"/>
        </w:rPr>
        <w:t>Decision</w:t>
      </w:r>
      <w:r w:rsidR="00A24DB9" w:rsidRPr="002927A1">
        <w:rPr>
          <w:lang w:val="es-ES_tradnl" w:eastAsia="en-GB"/>
        </w:rPr>
        <w:t>e</w:t>
      </w:r>
      <w:r w:rsidRPr="002927A1">
        <w:rPr>
          <w:lang w:val="es-ES_tradnl" w:eastAsia="en-GB"/>
        </w:rPr>
        <w:t>s adopt</w:t>
      </w:r>
      <w:r w:rsidR="00A24DB9" w:rsidRPr="002927A1">
        <w:rPr>
          <w:lang w:val="es-ES_tradnl" w:eastAsia="en-GB"/>
        </w:rPr>
        <w:t>a</w:t>
      </w:r>
      <w:r w:rsidRPr="002927A1">
        <w:rPr>
          <w:lang w:val="es-ES_tradnl" w:eastAsia="en-GB"/>
        </w:rPr>
        <w:t>d</w:t>
      </w:r>
      <w:r w:rsidR="00A24DB9" w:rsidRPr="002927A1">
        <w:rPr>
          <w:lang w:val="es-ES_tradnl" w:eastAsia="en-GB"/>
        </w:rPr>
        <w:t xml:space="preserve">as por la </w:t>
      </w:r>
      <w:r w:rsidRPr="002927A1">
        <w:rPr>
          <w:lang w:val="es-ES_tradnl" w:eastAsia="en-GB"/>
        </w:rPr>
        <w:t>Conferenc</w:t>
      </w:r>
      <w:r w:rsidR="00A24DB9" w:rsidRPr="002927A1">
        <w:rPr>
          <w:lang w:val="es-ES_tradnl" w:eastAsia="en-GB"/>
        </w:rPr>
        <w:t xml:space="preserve">ia de las </w:t>
      </w:r>
      <w:r w:rsidRPr="002927A1">
        <w:rPr>
          <w:lang w:val="es-ES_tradnl" w:eastAsia="en-GB"/>
        </w:rPr>
        <w:t xml:space="preserve">Partes </w:t>
      </w:r>
      <w:r w:rsidR="00A24DB9" w:rsidRPr="002927A1">
        <w:rPr>
          <w:lang w:val="es-ES_tradnl" w:eastAsia="en-GB"/>
        </w:rPr>
        <w:t xml:space="preserve">en el Convenio de </w:t>
      </w:r>
      <w:r w:rsidRPr="002927A1">
        <w:rPr>
          <w:lang w:val="es-ES_tradnl" w:eastAsia="en-GB"/>
        </w:rPr>
        <w:t xml:space="preserve">Minamata </w:t>
      </w:r>
      <w:r w:rsidR="00A24DB9" w:rsidRPr="002927A1">
        <w:rPr>
          <w:lang w:val="es-ES_tradnl" w:eastAsia="en-GB"/>
        </w:rPr>
        <w:t xml:space="preserve">sobre el </w:t>
      </w:r>
      <w:r w:rsidRPr="002927A1">
        <w:rPr>
          <w:lang w:val="es-ES_tradnl" w:eastAsia="en-GB"/>
        </w:rPr>
        <w:t>Mercur</w:t>
      </w:r>
      <w:r w:rsidR="00A24DB9" w:rsidRPr="002927A1">
        <w:rPr>
          <w:lang w:val="es-ES_tradnl" w:eastAsia="en-GB"/>
        </w:rPr>
        <w:t xml:space="preserve">io en su </w:t>
      </w:r>
      <w:r w:rsidR="004E75E0">
        <w:rPr>
          <w:lang w:val="es-ES_tradnl" w:eastAsia="en-GB"/>
        </w:rPr>
        <w:t>tercera</w:t>
      </w:r>
      <w:r w:rsidR="00A24DB9" w:rsidRPr="002927A1">
        <w:rPr>
          <w:lang w:val="es-ES_tradnl" w:eastAsia="en-GB"/>
        </w:rPr>
        <w:t xml:space="preserve"> reunión</w:t>
      </w:r>
    </w:p>
    <w:p w14:paraId="57825D83" w14:textId="541B1959" w:rsidR="00C54FDE" w:rsidRPr="002927A1" w:rsidRDefault="00C54FDE" w:rsidP="00C54FDE">
      <w:pPr>
        <w:pStyle w:val="TOC1"/>
        <w:tabs>
          <w:tab w:val="clear" w:pos="1814"/>
          <w:tab w:val="left" w:pos="2268"/>
        </w:tabs>
        <w:ind w:left="2268" w:hanging="1021"/>
        <w:rPr>
          <w:noProof/>
          <w:lang w:val="es-ES_tradnl"/>
        </w:rPr>
      </w:pPr>
      <w:r w:rsidRPr="002927A1">
        <w:rPr>
          <w:lang w:val="es-ES_tradnl"/>
        </w:rPr>
        <w:fldChar w:fldCharType="begin"/>
      </w:r>
      <w:r w:rsidRPr="002927A1">
        <w:rPr>
          <w:lang w:val="es-ES_tradnl"/>
        </w:rPr>
        <w:instrText xml:space="preserve"> TOC \h \z \t "CH2,1" </w:instrText>
      </w:r>
      <w:r w:rsidRPr="002927A1">
        <w:rPr>
          <w:lang w:val="es-ES_tradnl"/>
        </w:rPr>
        <w:fldChar w:fldCharType="separate"/>
      </w:r>
      <w:hyperlink w:anchor="_Toc27124741" w:history="1">
        <w:r w:rsidRPr="002927A1">
          <w:rPr>
            <w:noProof/>
            <w:lang w:val="es-ES_tradnl"/>
          </w:rPr>
          <w:t>MC-3/1:</w:t>
        </w:r>
        <w:r w:rsidRPr="002927A1">
          <w:rPr>
            <w:noProof/>
            <w:lang w:val="es-ES_tradnl"/>
          </w:rPr>
          <w:tab/>
        </w:r>
        <w:r w:rsidR="00A24DB9" w:rsidRPr="002927A1">
          <w:rPr>
            <w:noProof/>
            <w:lang w:val="es-ES_tradnl"/>
          </w:rPr>
          <w:t>Examen de los anexos</w:t>
        </w:r>
        <w:r w:rsidRPr="002927A1">
          <w:rPr>
            <w:noProof/>
            <w:lang w:val="es-ES_tradnl"/>
          </w:rPr>
          <w:t xml:space="preserve"> A </w:t>
        </w:r>
        <w:r w:rsidR="00A24DB9" w:rsidRPr="002927A1">
          <w:rPr>
            <w:noProof/>
            <w:lang w:val="es-ES_tradnl"/>
          </w:rPr>
          <w:t>y</w:t>
        </w:r>
        <w:r w:rsidRPr="002927A1">
          <w:rPr>
            <w:noProof/>
            <w:lang w:val="es-ES_tradnl"/>
          </w:rPr>
          <w:t xml:space="preserve"> B</w:t>
        </w:r>
        <w:r w:rsidRPr="002927A1">
          <w:rPr>
            <w:noProof/>
            <w:webHidden/>
            <w:lang w:val="es-ES_tradnl"/>
          </w:rPr>
          <w:tab/>
        </w:r>
        <w:r w:rsidRPr="002927A1">
          <w:rPr>
            <w:noProof/>
            <w:webHidden/>
            <w:lang w:val="es-ES_tradnl"/>
          </w:rPr>
          <w:fldChar w:fldCharType="begin"/>
        </w:r>
        <w:r w:rsidRPr="002927A1">
          <w:rPr>
            <w:noProof/>
            <w:webHidden/>
            <w:lang w:val="es-ES_tradnl"/>
          </w:rPr>
          <w:instrText xml:space="preserve"> PAGEREF _Toc27124741 \h </w:instrText>
        </w:r>
        <w:r w:rsidRPr="002927A1">
          <w:rPr>
            <w:noProof/>
            <w:webHidden/>
            <w:lang w:val="es-ES_tradnl"/>
          </w:rPr>
        </w:r>
        <w:r w:rsidRPr="002927A1">
          <w:rPr>
            <w:noProof/>
            <w:webHidden/>
            <w:lang w:val="es-ES_tradnl"/>
          </w:rPr>
          <w:fldChar w:fldCharType="separate"/>
        </w:r>
        <w:r w:rsidR="00753D17">
          <w:rPr>
            <w:noProof/>
            <w:webHidden/>
            <w:lang w:val="es-ES_tradnl"/>
          </w:rPr>
          <w:t>35</w:t>
        </w:r>
        <w:r w:rsidRPr="002927A1">
          <w:rPr>
            <w:noProof/>
            <w:webHidden/>
            <w:lang w:val="es-ES_tradnl"/>
          </w:rPr>
          <w:fldChar w:fldCharType="end"/>
        </w:r>
      </w:hyperlink>
    </w:p>
    <w:p w14:paraId="3F4A4BFF" w14:textId="1D49E1C3" w:rsidR="00C54FDE" w:rsidRPr="002927A1" w:rsidRDefault="00495181" w:rsidP="00C54FDE">
      <w:pPr>
        <w:pStyle w:val="TOC1"/>
        <w:tabs>
          <w:tab w:val="clear" w:pos="1814"/>
          <w:tab w:val="left" w:pos="2268"/>
          <w:tab w:val="left" w:pos="2381"/>
        </w:tabs>
        <w:ind w:left="2268" w:hanging="1021"/>
        <w:rPr>
          <w:noProof/>
          <w:lang w:val="es-ES_tradnl"/>
        </w:rPr>
      </w:pPr>
      <w:hyperlink w:anchor="_Toc27124742" w:history="1">
        <w:r w:rsidR="00C54FDE" w:rsidRPr="002927A1">
          <w:rPr>
            <w:noProof/>
            <w:lang w:val="es-ES_tradnl"/>
          </w:rPr>
          <w:t xml:space="preserve">MC-3/2: </w:t>
        </w:r>
        <w:r w:rsidR="00C54FDE" w:rsidRPr="002927A1">
          <w:rPr>
            <w:noProof/>
            <w:lang w:val="es-ES_tradnl"/>
          </w:rPr>
          <w:tab/>
        </w:r>
        <w:r w:rsidR="00A24DB9" w:rsidRPr="002927A1">
          <w:rPr>
            <w:noProof/>
            <w:lang w:val="es-ES_tradnl"/>
          </w:rPr>
          <w:t>Amalgama d</w:t>
        </w:r>
        <w:r w:rsidR="00C54FDE" w:rsidRPr="002927A1">
          <w:rPr>
            <w:noProof/>
            <w:lang w:val="es-ES_tradnl"/>
          </w:rPr>
          <w:t>ental</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_Toc27124742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36</w:t>
        </w:r>
        <w:r w:rsidR="00C54FDE" w:rsidRPr="002927A1">
          <w:rPr>
            <w:noProof/>
            <w:webHidden/>
            <w:lang w:val="es-ES_tradnl"/>
          </w:rPr>
          <w:fldChar w:fldCharType="end"/>
        </w:r>
      </w:hyperlink>
    </w:p>
    <w:p w14:paraId="20525493" w14:textId="511C6C27" w:rsidR="00C54FDE" w:rsidRPr="002927A1" w:rsidRDefault="00495181" w:rsidP="00C54FDE">
      <w:pPr>
        <w:pStyle w:val="TOC1"/>
        <w:tabs>
          <w:tab w:val="clear" w:pos="1814"/>
          <w:tab w:val="left" w:pos="2268"/>
        </w:tabs>
        <w:ind w:left="2268" w:hanging="1021"/>
        <w:rPr>
          <w:noProof/>
          <w:lang w:val="es-ES_tradnl"/>
        </w:rPr>
      </w:pPr>
      <w:hyperlink w:anchor="_Toc27124743" w:history="1">
        <w:r w:rsidR="00C54FDE" w:rsidRPr="002927A1">
          <w:rPr>
            <w:noProof/>
            <w:lang w:val="es-ES_tradnl"/>
          </w:rPr>
          <w:t>MC-3/3:</w:t>
        </w:r>
        <w:r w:rsidR="00C54FDE" w:rsidRPr="002927A1">
          <w:rPr>
            <w:noProof/>
            <w:lang w:val="es-ES_tradnl"/>
          </w:rPr>
          <w:tab/>
        </w:r>
        <w:r w:rsidR="00EC0BE4" w:rsidRPr="002927A1">
          <w:rPr>
            <w:noProof/>
            <w:lang w:val="es-ES_tradnl"/>
          </w:rPr>
          <w:t>Códigos del Sistema Armonizado</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_Toc27124743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39</w:t>
        </w:r>
        <w:r w:rsidR="00C54FDE" w:rsidRPr="002927A1">
          <w:rPr>
            <w:noProof/>
            <w:webHidden/>
            <w:lang w:val="es-ES_tradnl"/>
          </w:rPr>
          <w:fldChar w:fldCharType="end"/>
        </w:r>
      </w:hyperlink>
    </w:p>
    <w:p w14:paraId="11834433" w14:textId="0441E1C4" w:rsidR="00C54FDE" w:rsidRPr="002927A1" w:rsidRDefault="00495181" w:rsidP="00C54FDE">
      <w:pPr>
        <w:pStyle w:val="TOC1"/>
        <w:tabs>
          <w:tab w:val="clear" w:pos="1814"/>
          <w:tab w:val="left" w:pos="2268"/>
          <w:tab w:val="left" w:pos="2381"/>
        </w:tabs>
        <w:ind w:left="2268" w:hanging="1021"/>
        <w:rPr>
          <w:noProof/>
          <w:lang w:val="es-ES_tradnl"/>
        </w:rPr>
      </w:pPr>
      <w:hyperlink w:anchor="_Toc27124744" w:history="1">
        <w:r w:rsidR="00C54FDE" w:rsidRPr="002927A1">
          <w:rPr>
            <w:noProof/>
            <w:lang w:val="es-ES_tradnl"/>
          </w:rPr>
          <w:t xml:space="preserve">MC-3/4: </w:t>
        </w:r>
        <w:r w:rsidR="00C54FDE" w:rsidRPr="002927A1">
          <w:rPr>
            <w:noProof/>
            <w:lang w:val="es-ES_tradnl"/>
          </w:rPr>
          <w:tab/>
        </w:r>
        <w:r w:rsidR="00EC0BE4" w:rsidRPr="002927A1">
          <w:rPr>
            <w:noProof/>
            <w:lang w:val="es-ES_tradnl"/>
          </w:rPr>
          <w:t xml:space="preserve">Liberaciones de </w:t>
        </w:r>
        <w:r w:rsidR="00C54FDE" w:rsidRPr="002927A1">
          <w:rPr>
            <w:noProof/>
            <w:lang w:val="es-ES_tradnl"/>
          </w:rPr>
          <w:t>mercur</w:t>
        </w:r>
        <w:r w:rsidR="00EC0BE4" w:rsidRPr="002927A1">
          <w:rPr>
            <w:noProof/>
            <w:lang w:val="es-ES_tradnl"/>
          </w:rPr>
          <w:t>io</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_Toc27124744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40</w:t>
        </w:r>
        <w:r w:rsidR="00C54FDE" w:rsidRPr="002927A1">
          <w:rPr>
            <w:noProof/>
            <w:webHidden/>
            <w:lang w:val="es-ES_tradnl"/>
          </w:rPr>
          <w:fldChar w:fldCharType="end"/>
        </w:r>
      </w:hyperlink>
    </w:p>
    <w:p w14:paraId="5FB366C5" w14:textId="03E37FE6" w:rsidR="00C54FDE" w:rsidRPr="002927A1" w:rsidRDefault="00495181" w:rsidP="00C54FDE">
      <w:pPr>
        <w:pStyle w:val="TOC1"/>
        <w:tabs>
          <w:tab w:val="clear" w:pos="1814"/>
          <w:tab w:val="left" w:pos="2268"/>
          <w:tab w:val="left" w:pos="2381"/>
        </w:tabs>
        <w:ind w:left="2268" w:hanging="1021"/>
        <w:rPr>
          <w:noProof/>
          <w:lang w:val="es-ES_tradnl"/>
        </w:rPr>
      </w:pPr>
      <w:hyperlink w:anchor="_Toc27124746" w:history="1">
        <w:r w:rsidR="00C54FDE" w:rsidRPr="002927A1">
          <w:rPr>
            <w:noProof/>
            <w:lang w:val="es-ES_tradnl"/>
          </w:rPr>
          <w:t xml:space="preserve">MC-3/5: </w:t>
        </w:r>
        <w:r w:rsidR="00C54FDE" w:rsidRPr="002927A1">
          <w:rPr>
            <w:noProof/>
            <w:lang w:val="es-ES_tradnl"/>
          </w:rPr>
          <w:tab/>
        </w:r>
        <w:r w:rsidR="00EC0BE4" w:rsidRPr="002927A1">
          <w:rPr>
            <w:noProof/>
            <w:lang w:val="es-ES_tradnl"/>
          </w:rPr>
          <w:t>Umbrales para los desechos de m</w:t>
        </w:r>
        <w:r w:rsidR="00C54FDE" w:rsidRPr="002927A1">
          <w:rPr>
            <w:noProof/>
            <w:lang w:val="es-ES_tradnl"/>
          </w:rPr>
          <w:t>ercur</w:t>
        </w:r>
        <w:r w:rsidR="00EC0BE4" w:rsidRPr="002927A1">
          <w:rPr>
            <w:noProof/>
            <w:lang w:val="es-ES_tradnl"/>
          </w:rPr>
          <w:t>io</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_Toc27124746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41</w:t>
        </w:r>
        <w:r w:rsidR="00C54FDE" w:rsidRPr="002927A1">
          <w:rPr>
            <w:noProof/>
            <w:webHidden/>
            <w:lang w:val="es-ES_tradnl"/>
          </w:rPr>
          <w:fldChar w:fldCharType="end"/>
        </w:r>
      </w:hyperlink>
    </w:p>
    <w:p w14:paraId="007A7C65" w14:textId="49AE488F" w:rsidR="00C54FDE" w:rsidRPr="002927A1" w:rsidRDefault="00495181" w:rsidP="00C54FDE">
      <w:pPr>
        <w:pStyle w:val="TOC1"/>
        <w:tabs>
          <w:tab w:val="clear" w:pos="1814"/>
          <w:tab w:val="left" w:pos="2268"/>
        </w:tabs>
        <w:ind w:left="2268" w:hanging="1021"/>
        <w:rPr>
          <w:noProof/>
          <w:lang w:val="es-ES_tradnl"/>
        </w:rPr>
      </w:pPr>
      <w:hyperlink w:anchor="_Toc27124747" w:history="1">
        <w:r w:rsidR="00EC0BE4" w:rsidRPr="002927A1">
          <w:rPr>
            <w:noProof/>
            <w:lang w:val="es-ES_tradnl"/>
          </w:rPr>
          <w:t>MC-3/6:</w:t>
        </w:r>
        <w:r w:rsidR="00EC0BE4" w:rsidRPr="002927A1">
          <w:rPr>
            <w:noProof/>
            <w:lang w:val="es-ES_tradnl"/>
          </w:rPr>
          <w:tab/>
          <w:t>Orientaciones sobre la gestión de sitios contaminados</w:t>
        </w:r>
        <w:r w:rsidR="00C54FDE" w:rsidRPr="002927A1">
          <w:rPr>
            <w:noProof/>
            <w:webHidden/>
            <w:lang w:val="es-ES_tradnl"/>
          </w:rPr>
          <w:tab/>
        </w:r>
        <w:r w:rsidR="00CA7E77" w:rsidRPr="002927A1">
          <w:rPr>
            <w:noProof/>
            <w:webHidden/>
            <w:lang w:val="es-ES_tradnl"/>
          </w:rPr>
          <w:t>44</w:t>
        </w:r>
      </w:hyperlink>
    </w:p>
    <w:p w14:paraId="7602E696" w14:textId="336022F5" w:rsidR="00C54FDE" w:rsidRPr="002927A1" w:rsidRDefault="00495181" w:rsidP="00C54FDE">
      <w:pPr>
        <w:pStyle w:val="TOC1"/>
        <w:tabs>
          <w:tab w:val="clear" w:pos="1814"/>
          <w:tab w:val="left" w:pos="2268"/>
        </w:tabs>
        <w:ind w:left="2268" w:hanging="1021"/>
        <w:rPr>
          <w:noProof/>
          <w:lang w:val="es-ES_tradnl"/>
        </w:rPr>
      </w:pPr>
      <w:hyperlink w:anchor="_Toc27124748" w:history="1">
        <w:r w:rsidR="00C54FDE" w:rsidRPr="002927A1">
          <w:rPr>
            <w:noProof/>
            <w:lang w:val="es-ES_tradnl"/>
          </w:rPr>
          <w:t>MC-3/7:</w:t>
        </w:r>
        <w:r w:rsidR="00C54FDE" w:rsidRPr="002927A1">
          <w:rPr>
            <w:noProof/>
            <w:lang w:val="es-ES_tradnl"/>
          </w:rPr>
          <w:tab/>
        </w:r>
        <w:r w:rsidR="00EC0BE4" w:rsidRPr="002927A1">
          <w:rPr>
            <w:noProof/>
            <w:lang w:val="es-ES_tradnl"/>
          </w:rPr>
          <w:t>Primer examen del mecanismo financiero</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_Toc27124748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47</w:t>
        </w:r>
        <w:r w:rsidR="00C54FDE" w:rsidRPr="002927A1">
          <w:rPr>
            <w:noProof/>
            <w:webHidden/>
            <w:lang w:val="es-ES_tradnl"/>
          </w:rPr>
          <w:fldChar w:fldCharType="end"/>
        </w:r>
      </w:hyperlink>
    </w:p>
    <w:p w14:paraId="6854F5A9" w14:textId="4E7C5BC0" w:rsidR="00C54FDE" w:rsidRPr="002927A1" w:rsidRDefault="00495181" w:rsidP="00C54FDE">
      <w:pPr>
        <w:pStyle w:val="TOC1"/>
        <w:tabs>
          <w:tab w:val="clear" w:pos="1814"/>
          <w:tab w:val="left" w:pos="2268"/>
        </w:tabs>
        <w:ind w:left="2268" w:hanging="1021"/>
        <w:rPr>
          <w:noProof/>
          <w:lang w:val="es-ES_tradnl"/>
        </w:rPr>
      </w:pPr>
      <w:hyperlink w:anchor="_Toc27124749" w:history="1">
        <w:r w:rsidR="00C54FDE" w:rsidRPr="002927A1">
          <w:rPr>
            <w:noProof/>
            <w:lang w:val="es-ES_tradnl"/>
          </w:rPr>
          <w:t>MC-3/8:</w:t>
        </w:r>
        <w:r w:rsidR="00C54FDE" w:rsidRPr="002927A1">
          <w:rPr>
            <w:noProof/>
            <w:lang w:val="es-ES_tradnl"/>
          </w:rPr>
          <w:tab/>
          <w:t>Art</w:t>
        </w:r>
        <w:r w:rsidR="00EC0BE4" w:rsidRPr="002927A1">
          <w:rPr>
            <w:noProof/>
            <w:lang w:val="es-ES_tradnl"/>
          </w:rPr>
          <w:t xml:space="preserve">ículo </w:t>
        </w:r>
        <w:r w:rsidR="00C54FDE" w:rsidRPr="002927A1">
          <w:rPr>
            <w:noProof/>
            <w:lang w:val="es-ES_tradnl"/>
          </w:rPr>
          <w:t>14: C</w:t>
        </w:r>
        <w:r w:rsidR="00EC0BE4" w:rsidRPr="002927A1">
          <w:rPr>
            <w:noProof/>
            <w:lang w:val="es-ES_tradnl"/>
          </w:rPr>
          <w:t>reación de capacidad, asistencia técnica y</w:t>
        </w:r>
        <w:r w:rsidR="00445C01" w:rsidRPr="002927A1">
          <w:rPr>
            <w:noProof/>
          </w:rPr>
          <w:br/>
        </w:r>
        <w:r w:rsidR="00EC0BE4" w:rsidRPr="002927A1">
          <w:rPr>
            <w:noProof/>
            <w:lang w:val="es-ES_tradnl"/>
          </w:rPr>
          <w:t>transferencia de tecnología</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_Toc27124749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48</w:t>
        </w:r>
        <w:r w:rsidR="00C54FDE" w:rsidRPr="002927A1">
          <w:rPr>
            <w:noProof/>
            <w:webHidden/>
            <w:lang w:val="es-ES_tradnl"/>
          </w:rPr>
          <w:fldChar w:fldCharType="end"/>
        </w:r>
      </w:hyperlink>
    </w:p>
    <w:p w14:paraId="1E6152CD" w14:textId="16F1AC18" w:rsidR="00C54FDE" w:rsidRPr="002927A1" w:rsidRDefault="00495181" w:rsidP="00C54FDE">
      <w:pPr>
        <w:pStyle w:val="TOC1"/>
        <w:tabs>
          <w:tab w:val="clear" w:pos="1814"/>
          <w:tab w:val="left" w:pos="2268"/>
        </w:tabs>
        <w:ind w:left="2268" w:hanging="1021"/>
        <w:rPr>
          <w:noProof/>
          <w:lang w:val="es-ES_tradnl"/>
        </w:rPr>
      </w:pPr>
      <w:hyperlink w:anchor="_Toc27124750" w:history="1">
        <w:r w:rsidR="00C54FDE" w:rsidRPr="002927A1">
          <w:rPr>
            <w:noProof/>
            <w:lang w:val="es-ES_tradnl"/>
          </w:rPr>
          <w:t>MC-3/9:</w:t>
        </w:r>
        <w:r w:rsidR="00C54FDE" w:rsidRPr="002927A1">
          <w:rPr>
            <w:noProof/>
            <w:lang w:val="es-ES_tradnl"/>
          </w:rPr>
          <w:tab/>
        </w:r>
        <w:r w:rsidR="00027B01" w:rsidRPr="002927A1">
          <w:rPr>
            <w:noProof/>
            <w:lang w:val="es-ES_tradnl"/>
          </w:rPr>
          <w:t>Comité de Aplicación y Cumplimiento: mandato y plantilla para las</w:t>
        </w:r>
        <w:r w:rsidR="00445C01" w:rsidRPr="002927A1">
          <w:rPr>
            <w:noProof/>
          </w:rPr>
          <w:br/>
        </w:r>
        <w:r w:rsidR="00027B01" w:rsidRPr="002927A1">
          <w:rPr>
            <w:noProof/>
            <w:lang w:val="es-ES_tradnl"/>
          </w:rPr>
          <w:t>comunicaciones por escrito por las Partes con respecto a su propio cumplimiento</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_Toc27124750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49</w:t>
        </w:r>
        <w:r w:rsidR="00C54FDE" w:rsidRPr="002927A1">
          <w:rPr>
            <w:noProof/>
            <w:webHidden/>
            <w:lang w:val="es-ES_tradnl"/>
          </w:rPr>
          <w:fldChar w:fldCharType="end"/>
        </w:r>
      </w:hyperlink>
    </w:p>
    <w:p w14:paraId="16B2465C" w14:textId="5C952872" w:rsidR="00C54FDE" w:rsidRPr="002927A1" w:rsidRDefault="00495181" w:rsidP="00C54FDE">
      <w:pPr>
        <w:pStyle w:val="TOC1"/>
        <w:tabs>
          <w:tab w:val="clear" w:pos="1814"/>
          <w:tab w:val="left" w:pos="2268"/>
        </w:tabs>
        <w:ind w:left="2268" w:hanging="1021"/>
        <w:rPr>
          <w:noProof/>
          <w:lang w:val="es-ES_tradnl"/>
        </w:rPr>
      </w:pPr>
      <w:hyperlink w:anchor="_Toc27124751" w:history="1">
        <w:r w:rsidR="00C54FDE" w:rsidRPr="002927A1">
          <w:rPr>
            <w:noProof/>
            <w:lang w:val="es-ES_tradnl"/>
          </w:rPr>
          <w:t>MC-3/10:</w:t>
        </w:r>
        <w:r w:rsidR="00C54FDE" w:rsidRPr="002927A1">
          <w:rPr>
            <w:noProof/>
            <w:lang w:val="es-ES_tradnl"/>
          </w:rPr>
          <w:tab/>
        </w:r>
        <w:r w:rsidR="00CD600D" w:rsidRPr="002927A1">
          <w:rPr>
            <w:noProof/>
            <w:lang w:val="es-ES_tradnl"/>
          </w:rPr>
          <w:t xml:space="preserve">Arreglos para la primera evaluación de la eficacia del Convenio de </w:t>
        </w:r>
        <w:r w:rsidR="00C54FDE" w:rsidRPr="002927A1">
          <w:rPr>
            <w:noProof/>
            <w:lang w:val="es-ES_tradnl"/>
          </w:rPr>
          <w:t>Minamata</w:t>
        </w:r>
        <w:r w:rsidR="00445C01" w:rsidRPr="002927A1">
          <w:rPr>
            <w:noProof/>
          </w:rPr>
          <w:br/>
        </w:r>
        <w:r w:rsidR="00CD600D" w:rsidRPr="002927A1">
          <w:rPr>
            <w:noProof/>
            <w:lang w:val="es-ES_tradnl"/>
          </w:rPr>
          <w:t>sobre el</w:t>
        </w:r>
        <w:r w:rsidR="00F410E2" w:rsidRPr="002927A1">
          <w:rPr>
            <w:noProof/>
            <w:lang w:val="es-ES_tradnl"/>
          </w:rPr>
          <w:t xml:space="preserve"> </w:t>
        </w:r>
        <w:r w:rsidR="00C54FDE" w:rsidRPr="002927A1">
          <w:rPr>
            <w:noProof/>
            <w:lang w:val="es-ES_tradnl"/>
          </w:rPr>
          <w:t>Mercur</w:t>
        </w:r>
        <w:r w:rsidR="00CD600D" w:rsidRPr="002927A1">
          <w:rPr>
            <w:noProof/>
            <w:lang w:val="es-ES_tradnl"/>
          </w:rPr>
          <w:t>io</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_Toc27124751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55</w:t>
        </w:r>
        <w:r w:rsidR="00C54FDE" w:rsidRPr="002927A1">
          <w:rPr>
            <w:noProof/>
            <w:webHidden/>
            <w:lang w:val="es-ES_tradnl"/>
          </w:rPr>
          <w:fldChar w:fldCharType="end"/>
        </w:r>
      </w:hyperlink>
    </w:p>
    <w:p w14:paraId="504200A0" w14:textId="613D7F1E" w:rsidR="00C54FDE" w:rsidRPr="002927A1" w:rsidRDefault="00495181" w:rsidP="00C54FDE">
      <w:pPr>
        <w:pStyle w:val="TOC1"/>
        <w:tabs>
          <w:tab w:val="clear" w:pos="1814"/>
          <w:tab w:val="left" w:pos="2268"/>
        </w:tabs>
        <w:ind w:left="2268" w:hanging="1021"/>
        <w:rPr>
          <w:noProof/>
          <w:lang w:val="es-ES_tradnl"/>
        </w:rPr>
      </w:pPr>
      <w:hyperlink w:anchor="_Toc27124752" w:history="1">
        <w:r w:rsidR="00C54FDE" w:rsidRPr="002927A1">
          <w:rPr>
            <w:noProof/>
            <w:lang w:val="es-ES_tradnl"/>
          </w:rPr>
          <w:t>MC-3/11:</w:t>
        </w:r>
        <w:r w:rsidR="00C54FDE" w:rsidRPr="002927A1">
          <w:rPr>
            <w:noProof/>
            <w:lang w:val="es-ES_tradnl"/>
          </w:rPr>
          <w:tab/>
        </w:r>
        <w:r w:rsidR="00CD600D" w:rsidRPr="002927A1">
          <w:rPr>
            <w:noProof/>
            <w:lang w:val="es-ES_tradnl"/>
          </w:rPr>
          <w:t>Aumento de la cooperación entre la Secretaría del Convenio de Minamata</w:t>
        </w:r>
        <w:r w:rsidR="00445C01" w:rsidRPr="002927A1">
          <w:rPr>
            <w:noProof/>
            <w:lang w:val="es-ES_tradnl"/>
          </w:rPr>
          <w:br/>
        </w:r>
        <w:r w:rsidR="00CD600D" w:rsidRPr="002927A1">
          <w:rPr>
            <w:noProof/>
            <w:lang w:val="es-ES_tradnl"/>
          </w:rPr>
          <w:t>y la Secretaría de los Convenios de Basilea, Estocolmo y Rotterdam</w:t>
        </w:r>
        <w:r w:rsidR="00C54FDE" w:rsidRPr="002927A1">
          <w:rPr>
            <w:noProof/>
            <w:webHidden/>
            <w:lang w:val="es-ES_tradnl"/>
          </w:rPr>
          <w:tab/>
        </w:r>
        <w:r w:rsidR="00947C17" w:rsidRPr="002927A1">
          <w:rPr>
            <w:noProof/>
            <w:webHidden/>
            <w:lang w:val="es-ES_tradnl"/>
          </w:rPr>
          <w:t>64</w:t>
        </w:r>
      </w:hyperlink>
    </w:p>
    <w:p w14:paraId="46942E27" w14:textId="726B3D28" w:rsidR="00DC4F9B" w:rsidRPr="002927A1" w:rsidRDefault="00495181" w:rsidP="00FE7E26">
      <w:pPr>
        <w:pStyle w:val="TOC1"/>
        <w:tabs>
          <w:tab w:val="clear" w:pos="1814"/>
          <w:tab w:val="left" w:pos="2268"/>
        </w:tabs>
        <w:ind w:left="2268" w:hanging="1021"/>
        <w:rPr>
          <w:noProof/>
          <w:lang w:val="es-ES_tradnl"/>
        </w:rPr>
      </w:pPr>
      <w:hyperlink w:anchor="_Toc27124753" w:history="1">
        <w:r w:rsidR="00C54FDE" w:rsidRPr="002927A1">
          <w:rPr>
            <w:noProof/>
            <w:lang w:val="es-ES_tradnl"/>
          </w:rPr>
          <w:t>MC-3/12:</w:t>
        </w:r>
        <w:r w:rsidR="00C54FDE" w:rsidRPr="002927A1">
          <w:rPr>
            <w:noProof/>
            <w:lang w:val="es-ES_tradnl"/>
          </w:rPr>
          <w:tab/>
          <w:t>Progra</w:t>
        </w:r>
        <w:r w:rsidR="00CD600D" w:rsidRPr="002927A1">
          <w:rPr>
            <w:noProof/>
            <w:lang w:val="es-ES_tradnl"/>
          </w:rPr>
          <w:t>ma de trabajo y presupuesto para el bienio</w:t>
        </w:r>
        <w:r w:rsidR="00C54FDE" w:rsidRPr="002927A1">
          <w:rPr>
            <w:noProof/>
            <w:lang w:val="es-ES_tradnl"/>
          </w:rPr>
          <w:t xml:space="preserve"> 2020</w:t>
        </w:r>
        <w:r w:rsidR="0060754C" w:rsidRPr="002927A1">
          <w:rPr>
            <w:noProof/>
            <w:lang w:val="es-ES_tradnl"/>
          </w:rPr>
          <w:noBreakHyphen/>
        </w:r>
        <w:r w:rsidR="00C54FDE" w:rsidRPr="002927A1">
          <w:rPr>
            <w:noProof/>
            <w:lang w:val="es-ES_tradnl"/>
          </w:rPr>
          <w:t>2021</w:t>
        </w:r>
        <w:r w:rsidR="00C54FDE" w:rsidRPr="002927A1">
          <w:rPr>
            <w:noProof/>
            <w:webHidden/>
            <w:lang w:val="es-ES_tradnl"/>
          </w:rPr>
          <w:tab/>
        </w:r>
        <w:r w:rsidR="00C54FDE" w:rsidRPr="002927A1">
          <w:rPr>
            <w:noProof/>
            <w:webHidden/>
            <w:lang w:val="es-ES_tradnl"/>
          </w:rPr>
          <w:fldChar w:fldCharType="begin"/>
        </w:r>
        <w:r w:rsidR="00C54FDE" w:rsidRPr="002927A1">
          <w:rPr>
            <w:noProof/>
            <w:webHidden/>
            <w:lang w:val="es-ES_tradnl"/>
          </w:rPr>
          <w:instrText xml:space="preserve"> PAGEREF _Toc27124753 \h </w:instrText>
        </w:r>
        <w:r w:rsidR="00C54FDE" w:rsidRPr="002927A1">
          <w:rPr>
            <w:noProof/>
            <w:webHidden/>
            <w:lang w:val="es-ES_tradnl"/>
          </w:rPr>
        </w:r>
        <w:r w:rsidR="00C54FDE" w:rsidRPr="002927A1">
          <w:rPr>
            <w:noProof/>
            <w:webHidden/>
            <w:lang w:val="es-ES_tradnl"/>
          </w:rPr>
          <w:fldChar w:fldCharType="separate"/>
        </w:r>
        <w:r w:rsidR="00753D17">
          <w:rPr>
            <w:noProof/>
            <w:webHidden/>
            <w:lang w:val="es-ES_tradnl"/>
          </w:rPr>
          <w:t>67</w:t>
        </w:r>
        <w:r w:rsidR="00C54FDE" w:rsidRPr="002927A1">
          <w:rPr>
            <w:noProof/>
            <w:webHidden/>
            <w:lang w:val="es-ES_tradnl"/>
          </w:rPr>
          <w:fldChar w:fldCharType="end"/>
        </w:r>
      </w:hyperlink>
    </w:p>
    <w:p w14:paraId="2F5FBDC1" w14:textId="58004DCF" w:rsidR="00C54FDE" w:rsidRPr="002927A1" w:rsidRDefault="00495181" w:rsidP="0006490E">
      <w:pPr>
        <w:pStyle w:val="TOC1"/>
        <w:tabs>
          <w:tab w:val="clear" w:pos="1814"/>
          <w:tab w:val="left" w:pos="2268"/>
        </w:tabs>
        <w:ind w:left="2268" w:hanging="1021"/>
        <w:rPr>
          <w:rFonts w:eastAsiaTheme="minorEastAsia"/>
          <w:bCs w:val="0"/>
          <w:noProof/>
          <w:lang w:val="es-ES_tradnl" w:eastAsia="en-GB"/>
        </w:rPr>
      </w:pPr>
      <w:hyperlink w:anchor="_Toc27124754" w:history="1">
        <w:r w:rsidR="00C54FDE" w:rsidRPr="002927A1">
          <w:rPr>
            <w:bCs w:val="0"/>
            <w:noProof/>
            <w:lang w:val="es-ES_tradnl"/>
          </w:rPr>
          <w:t>MC-3/13:</w:t>
        </w:r>
        <w:r w:rsidR="00270A6E" w:rsidRPr="002927A1">
          <w:rPr>
            <w:bCs w:val="0"/>
            <w:noProof/>
            <w:lang w:val="es-ES_tradnl"/>
          </w:rPr>
          <w:t xml:space="preserve"> </w:t>
        </w:r>
        <w:r w:rsidR="0022739A" w:rsidRPr="002927A1">
          <w:rPr>
            <w:bCs w:val="0"/>
            <w:noProof/>
          </w:rPr>
          <w:tab/>
        </w:r>
        <w:r w:rsidR="00DC4F9B" w:rsidRPr="002927A1">
          <w:rPr>
            <w:noProof/>
            <w:lang w:val="es-ES_tradnl"/>
          </w:rPr>
          <w:t>Orientación</w:t>
        </w:r>
        <w:r w:rsidR="00DC4F9B" w:rsidRPr="002927A1">
          <w:rPr>
            <w:bCs w:val="0"/>
            <w:noProof/>
            <w:lang w:val="es-ES_tradnl"/>
          </w:rPr>
          <w:t xml:space="preserve"> relativa a la finalización del formato para la presentación</w:t>
        </w:r>
        <w:r w:rsidR="00DD0D3E" w:rsidRPr="002927A1">
          <w:rPr>
            <w:bCs w:val="0"/>
            <w:noProof/>
            <w:lang w:val="es-ES_tradnl"/>
          </w:rPr>
          <w:t xml:space="preserve"> </w:t>
        </w:r>
        <w:r w:rsidR="00DC4F9B" w:rsidRPr="002927A1">
          <w:rPr>
            <w:bCs w:val="0"/>
            <w:noProof/>
            <w:lang w:val="es-ES_tradnl"/>
          </w:rPr>
          <w:t>de informes</w:t>
        </w:r>
        <w:r w:rsidR="00FA6A30" w:rsidRPr="002927A1">
          <w:rPr>
            <w:bCs w:val="0"/>
            <w:noProof/>
            <w:lang w:val="es-ES_tradnl"/>
          </w:rPr>
          <w:t xml:space="preserve"> </w:t>
        </w:r>
        <w:r w:rsidR="00DC4F9B" w:rsidRPr="002927A1">
          <w:rPr>
            <w:bCs w:val="0"/>
            <w:noProof/>
            <w:lang w:val="es-ES_tradnl"/>
          </w:rPr>
          <w:t>nacionales</w:t>
        </w:r>
        <w:r w:rsidR="00DC4F9B" w:rsidRPr="002927A1">
          <w:rPr>
            <w:noProof/>
            <w:lang w:val="es-ES_tradnl"/>
          </w:rPr>
          <w:t>…………………………………………</w:t>
        </w:r>
        <w:r w:rsidR="0006490E" w:rsidRPr="002927A1">
          <w:rPr>
            <w:bCs w:val="0"/>
            <w:noProof/>
            <w:lang w:val="es-ES_tradnl"/>
          </w:rPr>
          <w:tab/>
        </w:r>
        <w:r w:rsidR="00DC4F9B" w:rsidRPr="002927A1">
          <w:rPr>
            <w:bCs w:val="0"/>
            <w:noProof/>
            <w:lang w:val="es-ES_tradnl"/>
          </w:rPr>
          <w:t>…………………………….</w:t>
        </w:r>
        <w:r w:rsidR="00C54FDE" w:rsidRPr="002927A1">
          <w:rPr>
            <w:bCs w:val="0"/>
            <w:noProof/>
            <w:webHidden/>
            <w:lang w:val="es-ES_tradnl"/>
          </w:rPr>
          <w:fldChar w:fldCharType="begin"/>
        </w:r>
        <w:r w:rsidR="00C54FDE" w:rsidRPr="002927A1">
          <w:rPr>
            <w:bCs w:val="0"/>
            <w:noProof/>
            <w:webHidden/>
            <w:lang w:val="es-ES_tradnl"/>
          </w:rPr>
          <w:instrText xml:space="preserve"> PAGEREF _Toc27124754 \h </w:instrText>
        </w:r>
        <w:r w:rsidR="00C54FDE" w:rsidRPr="002927A1">
          <w:rPr>
            <w:bCs w:val="0"/>
            <w:noProof/>
            <w:webHidden/>
            <w:lang w:val="es-ES_tradnl"/>
          </w:rPr>
        </w:r>
        <w:r w:rsidR="00C54FDE" w:rsidRPr="002927A1">
          <w:rPr>
            <w:bCs w:val="0"/>
            <w:noProof/>
            <w:webHidden/>
            <w:lang w:val="es-ES_tradnl"/>
          </w:rPr>
          <w:fldChar w:fldCharType="separate"/>
        </w:r>
        <w:r w:rsidR="00753D17">
          <w:rPr>
            <w:bCs w:val="0"/>
            <w:noProof/>
            <w:webHidden/>
            <w:lang w:val="es-ES_tradnl"/>
          </w:rPr>
          <w:t>76</w:t>
        </w:r>
        <w:r w:rsidR="00C54FDE" w:rsidRPr="002927A1">
          <w:rPr>
            <w:bCs w:val="0"/>
            <w:noProof/>
            <w:webHidden/>
            <w:lang w:val="es-ES_tradnl"/>
          </w:rPr>
          <w:fldChar w:fldCharType="end"/>
        </w:r>
      </w:hyperlink>
    </w:p>
    <w:p w14:paraId="55AA1BF3" w14:textId="1E91C9AB" w:rsidR="00CB2628" w:rsidRPr="002927A1" w:rsidRDefault="00C54FDE" w:rsidP="00C54FDE">
      <w:pPr>
        <w:pStyle w:val="Normal-pool"/>
        <w:rPr>
          <w:lang w:val="es-ES_tradnl"/>
        </w:rPr>
      </w:pPr>
      <w:r w:rsidRPr="002927A1">
        <w:rPr>
          <w:lang w:val="es-ES_tradnl"/>
        </w:rPr>
        <w:fldChar w:fldCharType="end"/>
      </w:r>
      <w:r w:rsidR="00CB2628" w:rsidRPr="002927A1">
        <w:rPr>
          <w:lang w:val="es-ES_tradnl"/>
        </w:rPr>
        <w:br w:type="page"/>
      </w:r>
    </w:p>
    <w:p w14:paraId="4843C3FC" w14:textId="729D16CD" w:rsidR="003F4DA7" w:rsidRPr="00E263E1" w:rsidRDefault="001B5537" w:rsidP="001B5537">
      <w:pPr>
        <w:pStyle w:val="CH2"/>
        <w:rPr>
          <w:sz w:val="28"/>
          <w:szCs w:val="28"/>
          <w:lang w:val="es-ES_tradnl"/>
        </w:rPr>
      </w:pPr>
      <w:bookmarkStart w:id="69" w:name="_Toc27124741"/>
      <w:r w:rsidRPr="002927A1">
        <w:rPr>
          <w:bCs/>
          <w:lang w:val="es-ES_tradnl"/>
        </w:rPr>
        <w:lastRenderedPageBreak/>
        <w:tab/>
      </w:r>
      <w:r w:rsidR="00723EE5" w:rsidRPr="002927A1">
        <w:rPr>
          <w:bCs/>
          <w:lang w:val="es-ES_tradnl"/>
        </w:rPr>
        <w:tab/>
      </w:r>
      <w:r w:rsidR="003F4DA7" w:rsidRPr="00E263E1">
        <w:rPr>
          <w:bCs/>
          <w:sz w:val="28"/>
          <w:szCs w:val="28"/>
          <w:lang w:val="es-ES_tradnl"/>
        </w:rPr>
        <w:t>MC-3/1</w:t>
      </w:r>
      <w:r w:rsidR="003F4DA7" w:rsidRPr="00E263E1">
        <w:rPr>
          <w:sz w:val="28"/>
          <w:szCs w:val="28"/>
          <w:lang w:val="es-ES_tradnl"/>
        </w:rPr>
        <w:t xml:space="preserve">: </w:t>
      </w:r>
      <w:r w:rsidR="009D28CB" w:rsidRPr="00E263E1">
        <w:rPr>
          <w:sz w:val="28"/>
          <w:szCs w:val="28"/>
          <w:lang w:val="es-ES_tradnl"/>
        </w:rPr>
        <w:t xml:space="preserve">Examen de los anexos </w:t>
      </w:r>
      <w:r w:rsidR="003F4DA7" w:rsidRPr="00E263E1">
        <w:rPr>
          <w:sz w:val="28"/>
          <w:szCs w:val="28"/>
          <w:lang w:val="es-ES_tradnl"/>
        </w:rPr>
        <w:t xml:space="preserve">A </w:t>
      </w:r>
      <w:r w:rsidR="009D28CB" w:rsidRPr="00E263E1">
        <w:rPr>
          <w:sz w:val="28"/>
          <w:szCs w:val="28"/>
          <w:lang w:val="es-ES_tradnl"/>
        </w:rPr>
        <w:t>y</w:t>
      </w:r>
      <w:r w:rsidR="003F4DA7" w:rsidRPr="00E263E1">
        <w:rPr>
          <w:sz w:val="28"/>
          <w:szCs w:val="28"/>
          <w:lang w:val="es-ES_tradnl"/>
        </w:rPr>
        <w:t xml:space="preserve"> B</w:t>
      </w:r>
      <w:bookmarkEnd w:id="69"/>
    </w:p>
    <w:p w14:paraId="49BA95E0" w14:textId="05EE1D57" w:rsidR="009D28CB" w:rsidRPr="002927A1" w:rsidRDefault="009D28CB" w:rsidP="001B5537">
      <w:pPr>
        <w:pStyle w:val="Heading4"/>
        <w:ind w:firstLine="624"/>
        <w:rPr>
          <w:b w:val="0"/>
          <w:i/>
        </w:rPr>
      </w:pPr>
      <w:bookmarkStart w:id="70" w:name="_Hlk15061071"/>
      <w:r w:rsidRPr="002927A1">
        <w:rPr>
          <w:b w:val="0"/>
          <w:i/>
        </w:rPr>
        <w:t>La Conferencia de las Partes</w:t>
      </w:r>
    </w:p>
    <w:p w14:paraId="1614937C" w14:textId="77777777" w:rsidR="009D28CB" w:rsidRPr="002927A1" w:rsidRDefault="009D28CB" w:rsidP="00A524DB">
      <w:pPr>
        <w:numPr>
          <w:ilvl w:val="0"/>
          <w:numId w:val="47"/>
        </w:numPr>
        <w:tabs>
          <w:tab w:val="clear" w:pos="1247"/>
          <w:tab w:val="clear" w:pos="1814"/>
          <w:tab w:val="clear" w:pos="2381"/>
          <w:tab w:val="clear" w:pos="2948"/>
          <w:tab w:val="clear" w:pos="3515"/>
        </w:tabs>
        <w:spacing w:after="120"/>
        <w:ind w:left="1247" w:firstLine="624"/>
      </w:pPr>
      <w:r w:rsidRPr="002927A1">
        <w:rPr>
          <w:i/>
          <w:iCs/>
        </w:rPr>
        <w:t>Decide</w:t>
      </w:r>
      <w:r w:rsidRPr="002927A1">
        <w:t xml:space="preserve"> </w:t>
      </w:r>
      <w:r w:rsidRPr="002927A1">
        <w:rPr>
          <w:iCs/>
        </w:rPr>
        <w:t>establecer</w:t>
      </w:r>
      <w:r w:rsidRPr="002927A1">
        <w:t xml:space="preserve"> un grupo especial de expertos con el mandato que figura en el anexo de la presente decisión;</w:t>
      </w:r>
    </w:p>
    <w:p w14:paraId="2E6ABF1C" w14:textId="7777777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 Secretaría que pida a las Partes que presenten comunicaciones antes del 31 de marzo de 2020, que incluyan:</w:t>
      </w:r>
    </w:p>
    <w:p w14:paraId="50325E73" w14:textId="77777777" w:rsidR="009D28CB" w:rsidRPr="002927A1" w:rsidRDefault="009D28CB" w:rsidP="00A524DB">
      <w:pPr>
        <w:numPr>
          <w:ilvl w:val="1"/>
          <w:numId w:val="48"/>
        </w:numPr>
        <w:tabs>
          <w:tab w:val="clear" w:pos="1247"/>
          <w:tab w:val="clear" w:pos="1814"/>
          <w:tab w:val="clear" w:pos="2381"/>
          <w:tab w:val="clear" w:pos="2948"/>
          <w:tab w:val="clear" w:pos="3515"/>
          <w:tab w:val="left" w:pos="624"/>
        </w:tabs>
        <w:spacing w:after="120"/>
        <w:ind w:left="1247" w:firstLine="624"/>
      </w:pPr>
      <w:r w:rsidRPr="002927A1">
        <w:t>Información sobre los productos con mercurio añadido y sobre la disponibilidad, la viabilidad técnica y económica, así como sobre los riesgos y beneficios para la salud y el medio ambiente de las alternativas sin mercurio a los productos con mercurio añadido, de conformidad con el párrafo 4 del artículo 4 del Convenio;</w:t>
      </w:r>
    </w:p>
    <w:p w14:paraId="375E5458" w14:textId="77777777" w:rsidR="009D28CB" w:rsidRPr="002927A1" w:rsidRDefault="009D28CB" w:rsidP="00A524DB">
      <w:pPr>
        <w:numPr>
          <w:ilvl w:val="1"/>
          <w:numId w:val="48"/>
        </w:numPr>
        <w:tabs>
          <w:tab w:val="clear" w:pos="1247"/>
          <w:tab w:val="clear" w:pos="1814"/>
          <w:tab w:val="clear" w:pos="2381"/>
          <w:tab w:val="clear" w:pos="2948"/>
          <w:tab w:val="clear" w:pos="3515"/>
          <w:tab w:val="left" w:pos="624"/>
        </w:tabs>
        <w:spacing w:after="120"/>
        <w:ind w:left="1247" w:firstLine="624"/>
        <w:rPr>
          <w:i/>
          <w:iCs/>
        </w:rPr>
      </w:pPr>
      <w:r w:rsidRPr="002927A1">
        <w:t>Información sobre los procesos en los que se utiliza mercurio o compuestos de mercurio y sobre la disponibilidad, la viabilidad técnica y económica, así como sobre los riesgos y beneficios para la salud y el medio ambiente de las alternativas sin mercurio a los procesos de fabricación en los que se utiliza mercurio o compuestos de mercurio, de conformidad con el párrafo 4 del artículo 5;</w:t>
      </w:r>
    </w:p>
    <w:p w14:paraId="38D68365" w14:textId="7777777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w:t>
      </w:r>
      <w:r w:rsidRPr="002927A1">
        <w:rPr>
          <w:i/>
          <w:iCs/>
        </w:rPr>
        <w:t>también</w:t>
      </w:r>
      <w:r w:rsidRPr="002927A1">
        <w:t xml:space="preserve"> a la Secretaría que ponga a disposición del público las comunicaciones recibidas e invite a entidades que no son Partes y a otros interesados a aportar, antes del 30 de abril de 2020, más información sobre los usos del mercurio y las alternativas sin mercurio a que se haga referencia en las comunicaciones de las Partes;</w:t>
      </w:r>
    </w:p>
    <w:p w14:paraId="187B81DA" w14:textId="4E333711"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 además</w:t>
      </w:r>
      <w:r w:rsidRPr="002927A1">
        <w:t xml:space="preserve"> a la Secretaría que facilite al grupo especial de expertos una recopilación de las comunicaciones y de la información recibida con arreglo a los párrafos 2 y 3 de la</w:t>
      </w:r>
      <w:r w:rsidR="007735B2">
        <w:t> </w:t>
      </w:r>
      <w:r w:rsidRPr="002927A1">
        <w:t xml:space="preserve">presente decisión, y que convoque a una reunión del grupo, a más tardar el </w:t>
      </w:r>
      <w:r w:rsidR="004E75E0">
        <w:t>30</w:t>
      </w:r>
      <w:r w:rsidRPr="002927A1">
        <w:t xml:space="preserve"> de junio de 2020. El</w:t>
      </w:r>
      <w:r w:rsidR="007735B2">
        <w:t> </w:t>
      </w:r>
      <w:r w:rsidRPr="002927A1">
        <w:t xml:space="preserve">grupo especial de expertos deberá preparar un documento en el que se ampliará y organizará la información recibida en relación con los distintos usos comprendidos en las comunicaciones de las Partes, teniendo en cuenta la información complementaria que posean los expertos y en el que se especificarán claramente las fuentes de la información en él contenida; </w:t>
      </w:r>
    </w:p>
    <w:p w14:paraId="55313899" w14:textId="7FF29D61"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rPr>
          <w:bCs/>
        </w:rPr>
      </w:pPr>
      <w:r w:rsidRPr="002927A1">
        <w:rPr>
          <w:i/>
          <w:iCs/>
        </w:rPr>
        <w:t>Solicita</w:t>
      </w:r>
      <w:r w:rsidRPr="002927A1">
        <w:t xml:space="preserve"> a la Secretaría que, antes del </w:t>
      </w:r>
      <w:r w:rsidR="004E75E0">
        <w:t>3</w:t>
      </w:r>
      <w:r w:rsidRPr="002927A1">
        <w:t>1 de agosto de 2020, ponga a disposición de las Partes que hayan presentado información con arreglo al párrafo 2 de la presente decisión la</w:t>
      </w:r>
      <w:r w:rsidR="00FA6A30" w:rsidRPr="002927A1">
        <w:t xml:space="preserve"> </w:t>
      </w:r>
      <w:r w:rsidRPr="002927A1">
        <w:t>información que se reciba de conformidad con el párrafo 4 de la presente decisión;</w:t>
      </w:r>
    </w:p>
    <w:p w14:paraId="5C552C75" w14:textId="7D23A5E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rPr>
          <w:bCs/>
        </w:rPr>
      </w:pPr>
      <w:r w:rsidRPr="002927A1">
        <w:rPr>
          <w:i/>
          <w:iCs/>
        </w:rPr>
        <w:t>Solicita también</w:t>
      </w:r>
      <w:r w:rsidRPr="002927A1">
        <w:rPr>
          <w:i/>
        </w:rPr>
        <w:t xml:space="preserve"> a la</w:t>
      </w:r>
      <w:r w:rsidRPr="002927A1">
        <w:t xml:space="preserve"> Secretaría que invite a esas Partes a presentar toda información modificada antes del </w:t>
      </w:r>
      <w:r w:rsidR="004E75E0">
        <w:t>30</w:t>
      </w:r>
      <w:r w:rsidRPr="002927A1">
        <w:t xml:space="preserve"> de noviembre de 2020;</w:t>
      </w:r>
    </w:p>
    <w:p w14:paraId="4A976D67" w14:textId="5BA095DD"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 además</w:t>
      </w:r>
      <w:r w:rsidRPr="002927A1">
        <w:t xml:space="preserve"> a la Secretaría que publique la información presentada por las Partes de </w:t>
      </w:r>
      <w:r w:rsidRPr="002927A1">
        <w:rPr>
          <w:iCs/>
        </w:rPr>
        <w:t>conformidad</w:t>
      </w:r>
      <w:r w:rsidRPr="002927A1">
        <w:t xml:space="preserve"> con el párrafo 6 de la presente decisión antes del </w:t>
      </w:r>
      <w:r w:rsidR="004E75E0">
        <w:t>3</w:t>
      </w:r>
      <w:r w:rsidRPr="002927A1">
        <w:t>1 de diciembre de 2020, de conformidad con el párrafo 4 del artículo 4 y del párrafo 4 del artículo 5 del Convenio;</w:t>
      </w:r>
    </w:p>
    <w:p w14:paraId="2E4CEDA6" w14:textId="7777777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 xml:space="preserve">Solicita </w:t>
      </w:r>
      <w:r w:rsidRPr="002927A1">
        <w:t xml:space="preserve">a </w:t>
      </w:r>
      <w:r w:rsidRPr="002927A1">
        <w:rPr>
          <w:i/>
          <w:iCs/>
        </w:rPr>
        <w:t>l</w:t>
      </w:r>
      <w:r w:rsidRPr="002927A1">
        <w:t xml:space="preserve">a </w:t>
      </w:r>
      <w:r w:rsidRPr="002927A1">
        <w:rPr>
          <w:iCs/>
        </w:rPr>
        <w:t>Secretaría</w:t>
      </w:r>
      <w:r w:rsidRPr="002927A1">
        <w:t xml:space="preserve"> que prepare, antes del 30 de abril de 2021, un informe sobre la labor del grupo especial de expertos en el que se reflejen sus actividades, incluida toda la información reunida por el grupo, las Partes y otros interesados, para su presentación en la cuarta reunión de la Conferencia de las Partes; </w:t>
      </w:r>
    </w:p>
    <w:p w14:paraId="5845BBFD" w14:textId="0509FD98"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las </w:t>
      </w:r>
      <w:r w:rsidRPr="002927A1">
        <w:rPr>
          <w:iCs/>
        </w:rPr>
        <w:t>Partes</w:t>
      </w:r>
      <w:r w:rsidRPr="002927A1">
        <w:t xml:space="preserve"> que hayan notificado a la Secretaría en el momento de su ratificación del Convenio que aplicarían medidas o estrategias diferentes en relación con los productos incluidos en la parte I del anexo A del Convenio, que rindan informe, a más tardar el 30 de junio de</w:t>
      </w:r>
      <w:r w:rsidR="00FF4EA5" w:rsidRPr="002927A1">
        <w:t> </w:t>
      </w:r>
      <w:r w:rsidRPr="002927A1">
        <w:t>2020, sobre las medidas o estrategias que hayan puesto en práctica, incluida la cuantificación de las reducciones alcanzadas;</w:t>
      </w:r>
    </w:p>
    <w:p w14:paraId="0649CC14" w14:textId="6A29DAF1"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rPr>
        <w:t>Solicita</w:t>
      </w:r>
      <w:r w:rsidRPr="002927A1">
        <w:t xml:space="preserve"> a la Secretaría que recopile las comunicaciones </w:t>
      </w:r>
      <w:r w:rsidR="005C73EE" w:rsidRPr="002927A1">
        <w:t xml:space="preserve">presentadas por </w:t>
      </w:r>
      <w:r w:rsidRPr="002927A1">
        <w:t>las Partes de conformidad con el párrafo 9 de la presente decisión para su examen durante la evaluación de la eficacia en relación con el artículo 4 del Convenio;</w:t>
      </w:r>
    </w:p>
    <w:p w14:paraId="5D5EA902" w14:textId="1D60C385" w:rsidR="00D70ED7" w:rsidRPr="00753D17" w:rsidRDefault="009D28CB" w:rsidP="00A170B2">
      <w:pPr>
        <w:numPr>
          <w:ilvl w:val="0"/>
          <w:numId w:val="13"/>
        </w:numPr>
        <w:tabs>
          <w:tab w:val="clear" w:pos="1247"/>
          <w:tab w:val="clear" w:pos="1814"/>
          <w:tab w:val="clear" w:pos="2381"/>
          <w:tab w:val="clear" w:pos="2948"/>
          <w:tab w:val="clear" w:pos="3515"/>
          <w:tab w:val="left" w:pos="624"/>
        </w:tabs>
        <w:spacing w:after="120"/>
        <w:ind w:left="1247" w:firstLine="624"/>
        <w:rPr>
          <w:bCs/>
        </w:rPr>
      </w:pPr>
      <w:r w:rsidRPr="00753D17">
        <w:rPr>
          <w:i/>
        </w:rPr>
        <w:t>Solicita también</w:t>
      </w:r>
      <w:r w:rsidRPr="002927A1">
        <w:t xml:space="preserve"> a la Secretaría que presente esa recopilación de comunicaciones finales con arreglo a los párrafos 7 y 9 de la presente decisión a la Conferencia de las Partes en su cuarta reunión para </w:t>
      </w:r>
      <w:r w:rsidR="005C73EE" w:rsidRPr="002927A1">
        <w:t>que esta la examine</w:t>
      </w:r>
      <w:r w:rsidR="003F4DA7" w:rsidRPr="002927A1">
        <w:t>.</w:t>
      </w:r>
      <w:bookmarkStart w:id="71" w:name="_Toc27124742"/>
      <w:bookmarkEnd w:id="70"/>
    </w:p>
    <w:p w14:paraId="5D06E630" w14:textId="3B9AB7C0" w:rsidR="00726554" w:rsidRPr="00157E17" w:rsidRDefault="009B5782" w:rsidP="00726554">
      <w:pPr>
        <w:pStyle w:val="CH1"/>
        <w:rPr>
          <w:lang w:val="es-ES"/>
        </w:rPr>
      </w:pPr>
      <w:r>
        <w:rPr>
          <w:bCs/>
          <w:lang w:val="es-ES"/>
        </w:rPr>
        <w:lastRenderedPageBreak/>
        <w:tab/>
      </w:r>
      <w:r>
        <w:rPr>
          <w:bCs/>
          <w:lang w:val="es-ES"/>
        </w:rPr>
        <w:tab/>
      </w:r>
      <w:r w:rsidR="00726554" w:rsidRPr="00157E17">
        <w:rPr>
          <w:bCs/>
          <w:lang w:val="es-ES"/>
        </w:rPr>
        <w:t>Anexo de la decisión MC-3/1</w:t>
      </w:r>
    </w:p>
    <w:p w14:paraId="6CB99680" w14:textId="77777777" w:rsidR="00726554" w:rsidRPr="00157E17" w:rsidRDefault="00726554" w:rsidP="00726554">
      <w:pPr>
        <w:pStyle w:val="CH1"/>
        <w:spacing w:before="200"/>
        <w:rPr>
          <w:lang w:val="es-ES"/>
        </w:rPr>
      </w:pPr>
      <w:r w:rsidRPr="00157E17">
        <w:rPr>
          <w:lang w:val="es-ES"/>
        </w:rPr>
        <w:tab/>
      </w:r>
      <w:r w:rsidRPr="00157E17">
        <w:rPr>
          <w:lang w:val="es-ES"/>
        </w:rPr>
        <w:tab/>
      </w:r>
      <w:r w:rsidRPr="00157E17">
        <w:rPr>
          <w:bCs/>
          <w:lang w:val="es-ES"/>
        </w:rPr>
        <w:t>Mandato del grupo especial de expertos</w:t>
      </w:r>
    </w:p>
    <w:p w14:paraId="26CFAF40" w14:textId="6D7268A4" w:rsidR="00726554" w:rsidRPr="00157E17" w:rsidRDefault="009B5782" w:rsidP="00726554">
      <w:pPr>
        <w:pStyle w:val="CH1"/>
        <w:spacing w:before="200"/>
      </w:pPr>
      <w:r w:rsidRPr="00157E17">
        <w:rPr>
          <w:lang w:val="es-ES"/>
        </w:rPr>
        <w:tab/>
      </w:r>
      <w:r w:rsidR="00726554" w:rsidRPr="00157E17">
        <w:rPr>
          <w:lang w:val="es-ES"/>
        </w:rPr>
        <w:t>I.</w:t>
      </w:r>
      <w:r w:rsidR="00726554" w:rsidRPr="00157E17">
        <w:rPr>
          <w:lang w:val="es-ES"/>
        </w:rPr>
        <w:tab/>
      </w:r>
      <w:r w:rsidR="00726554" w:rsidRPr="00157E17">
        <w:rPr>
          <w:bCs/>
          <w:lang w:val="es-ES"/>
        </w:rPr>
        <w:t>Mandato</w:t>
      </w:r>
    </w:p>
    <w:p w14:paraId="088302BE" w14:textId="7F517A76" w:rsidR="00726554" w:rsidRPr="00157E17" w:rsidRDefault="00726554" w:rsidP="009B5782">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 xml:space="preserve">En su tercera reunión la Conferencia de las Partes en el Convenio de Minamata sobre el Mercurio estableció, en virtud de la decisión MC-3/1, un grupo especial de expertos a fin de preparar un documento en el que se enriqueciera y organizara la información recibida respecto de cada uso que las Partes hubieran comunicado de conformidad con la decisión MC-3/1, teniendo en cuenta la información adicional puesta a disposición de los expertos. En ese documento se </w:t>
      </w:r>
      <w:r w:rsidR="000A7DD5" w:rsidRPr="00157E17">
        <w:rPr>
          <w:lang w:val="es-ES"/>
        </w:rPr>
        <w:t>deberán indicar</w:t>
      </w:r>
      <w:r w:rsidRPr="00157E17">
        <w:rPr>
          <w:lang w:val="es-ES"/>
        </w:rPr>
        <w:t xml:space="preserve"> claramente las fuentes de la información que en él figure.</w:t>
      </w:r>
    </w:p>
    <w:p w14:paraId="250CFA5B" w14:textId="3555FBC6" w:rsidR="00726554" w:rsidRPr="00157E17" w:rsidRDefault="009B5782" w:rsidP="00726554">
      <w:pPr>
        <w:pStyle w:val="CH1"/>
        <w:spacing w:before="200"/>
      </w:pPr>
      <w:r w:rsidRPr="00157E17">
        <w:rPr>
          <w:lang w:val="es-ES"/>
        </w:rPr>
        <w:tab/>
      </w:r>
      <w:r w:rsidR="00726554" w:rsidRPr="00157E17">
        <w:rPr>
          <w:lang w:val="es-ES"/>
        </w:rPr>
        <w:t>II.</w:t>
      </w:r>
      <w:r w:rsidR="00726554" w:rsidRPr="00157E17">
        <w:rPr>
          <w:lang w:val="es-ES"/>
        </w:rPr>
        <w:tab/>
      </w:r>
      <w:r w:rsidR="00726554" w:rsidRPr="00157E17">
        <w:rPr>
          <w:bCs/>
          <w:lang w:val="es-ES"/>
        </w:rPr>
        <w:t>Composición</w:t>
      </w:r>
    </w:p>
    <w:p w14:paraId="7DED4BE6" w14:textId="324928DE" w:rsidR="00726554" w:rsidRPr="00157E17" w:rsidRDefault="00726554" w:rsidP="009B5782">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El grupo especial de expertos, que en su primera reunión elegirá a dos copresidentes, estará</w:t>
      </w:r>
      <w:r w:rsidR="005F58FE" w:rsidRPr="00157E17">
        <w:rPr>
          <w:lang w:val="es-ES"/>
        </w:rPr>
        <w:t> </w:t>
      </w:r>
      <w:r w:rsidRPr="00157E17">
        <w:rPr>
          <w:lang w:val="es-ES"/>
        </w:rPr>
        <w:t>integrado por expertos designados por Partes pertenecientes a las cinco regiones de las Naciones</w:t>
      </w:r>
      <w:r w:rsidR="005F58FE" w:rsidRPr="00157E17">
        <w:rPr>
          <w:lang w:val="es-ES"/>
        </w:rPr>
        <w:t> </w:t>
      </w:r>
      <w:r w:rsidRPr="00157E17">
        <w:rPr>
          <w:lang w:val="es-ES"/>
        </w:rPr>
        <w:t>Unidas de la siguiente forma: cuatro expertos de los Estados de África, cuatro expertos de los Estados de América Latina y el Caribe, cuatro de los Estados de Asia y el Pacífico, cuatro de los Estados de Europa Occidental y cuatro de los Estados de Europa Oriental. Antes de celebrar su primera reunión, el grupo invitará a participar en calidad de observadores a diez expertos de los Estados que no son Partes y otros interesados, incluidas las organizaciones pertinentes, que posean conocimientos técnicos especializados sobre las cualificaciones recomendadas que se describen en la</w:t>
      </w:r>
      <w:r w:rsidR="00454804" w:rsidRPr="00157E17">
        <w:rPr>
          <w:lang w:val="es-ES"/>
        </w:rPr>
        <w:t> </w:t>
      </w:r>
      <w:r w:rsidRPr="00157E17">
        <w:rPr>
          <w:lang w:val="es-ES"/>
        </w:rPr>
        <w:t>sección III del presente mandato. El grupo podrá también invitar a Gobiernos, organizaciones intergubernamentales, la industria y organizaciones de la sociedad civil a que le ayuden en su labor, cuando proceda.</w:t>
      </w:r>
    </w:p>
    <w:p w14:paraId="1385A467" w14:textId="1AEAC39E" w:rsidR="00726554" w:rsidRPr="00157E17" w:rsidRDefault="005F58FE" w:rsidP="00726554">
      <w:pPr>
        <w:pStyle w:val="CH1"/>
        <w:spacing w:before="200"/>
        <w:rPr>
          <w:lang w:val="es-ES"/>
        </w:rPr>
      </w:pPr>
      <w:r w:rsidRPr="00157E17">
        <w:rPr>
          <w:lang w:val="es-ES"/>
        </w:rPr>
        <w:tab/>
      </w:r>
      <w:r w:rsidR="00726554" w:rsidRPr="00157E17">
        <w:rPr>
          <w:lang w:val="es-ES"/>
        </w:rPr>
        <w:t>III.</w:t>
      </w:r>
      <w:r w:rsidR="00726554" w:rsidRPr="00157E17">
        <w:rPr>
          <w:lang w:val="es-ES"/>
        </w:rPr>
        <w:tab/>
      </w:r>
      <w:r w:rsidR="00726554" w:rsidRPr="00157E17">
        <w:rPr>
          <w:bCs/>
          <w:lang w:val="es-ES"/>
        </w:rPr>
        <w:t>Cualificaciones que deben reunir los miembros y observadores</w:t>
      </w:r>
    </w:p>
    <w:p w14:paraId="0900C1FD" w14:textId="77777777" w:rsidR="00726554" w:rsidRPr="00157E17" w:rsidRDefault="00726554" w:rsidP="00E11F5D">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Los miembros y observadores del grupo especial de expertos deberán contar con conocimientos especializados en al menos uno de los siguientes ámbitos:</w:t>
      </w:r>
    </w:p>
    <w:p w14:paraId="7D1EADB8" w14:textId="77777777" w:rsidR="00726554" w:rsidRPr="00157E17" w:rsidRDefault="00726554" w:rsidP="006E4315">
      <w:pPr>
        <w:pStyle w:val="Normal-pool"/>
        <w:numPr>
          <w:ilvl w:val="0"/>
          <w:numId w:val="68"/>
        </w:numPr>
        <w:tabs>
          <w:tab w:val="clear" w:pos="1247"/>
          <w:tab w:val="clear" w:pos="1814"/>
          <w:tab w:val="clear" w:pos="2381"/>
          <w:tab w:val="clear" w:pos="2948"/>
          <w:tab w:val="clear" w:pos="3515"/>
          <w:tab w:val="clear" w:pos="4082"/>
        </w:tabs>
        <w:spacing w:after="120"/>
        <w:ind w:left="1247" w:firstLine="624"/>
      </w:pPr>
      <w:r w:rsidRPr="00157E17">
        <w:rPr>
          <w:lang w:val="es-ES"/>
        </w:rPr>
        <w:t xml:space="preserve">Productos con mercurio añadido; </w:t>
      </w:r>
    </w:p>
    <w:p w14:paraId="1CFB6F7F" w14:textId="77777777"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 xml:space="preserve">Procesos de producción en los que se utilizan mercurio o compuestos de mercurio; </w:t>
      </w:r>
    </w:p>
    <w:p w14:paraId="74F11427" w14:textId="60BDB72D"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Disponibilidad y viabilidad técnica y económica de las alternativas a los productos con mercurio añadido o procesos de fabricación en los que se utiliza</w:t>
      </w:r>
      <w:r w:rsidR="00F61D30" w:rsidRPr="00157E17">
        <w:rPr>
          <w:lang w:val="es-ES"/>
        </w:rPr>
        <w:t>n</w:t>
      </w:r>
      <w:r w:rsidRPr="00157E17">
        <w:rPr>
          <w:lang w:val="es-ES"/>
        </w:rPr>
        <w:t xml:space="preserve"> mercurio o compuestos de mercurio;</w:t>
      </w:r>
    </w:p>
    <w:p w14:paraId="5F9F2523" w14:textId="692922EB"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Riesgos y beneficios para la salud y el medio ambiente de las alternativas a los productos con mercurio añadido o procesos de fabricación en los que se utiliza</w:t>
      </w:r>
      <w:r w:rsidR="00F61D30" w:rsidRPr="00157E17">
        <w:rPr>
          <w:lang w:val="es-ES"/>
        </w:rPr>
        <w:t>n</w:t>
      </w:r>
      <w:r w:rsidRPr="00157E17">
        <w:rPr>
          <w:lang w:val="es-ES"/>
        </w:rPr>
        <w:t xml:space="preserve"> mercurio o compuestos de mercurio;</w:t>
      </w:r>
    </w:p>
    <w:p w14:paraId="77608B0D" w14:textId="77777777"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Política normativa dirigida a abordar los riesgos del mercurio para la salud humana y el medio ambiente.</w:t>
      </w:r>
    </w:p>
    <w:p w14:paraId="4DC35BAC" w14:textId="4580BF7F" w:rsidR="00726554" w:rsidRPr="00157E17" w:rsidRDefault="006E4315" w:rsidP="00726554">
      <w:pPr>
        <w:pStyle w:val="CH1"/>
        <w:spacing w:before="200"/>
      </w:pPr>
      <w:r w:rsidRPr="00157E17">
        <w:rPr>
          <w:lang w:val="es-ES"/>
        </w:rPr>
        <w:tab/>
      </w:r>
      <w:r w:rsidR="00726554" w:rsidRPr="00157E17">
        <w:rPr>
          <w:lang w:val="es-ES"/>
        </w:rPr>
        <w:t>IV.</w:t>
      </w:r>
      <w:r w:rsidR="00726554" w:rsidRPr="00157E17">
        <w:rPr>
          <w:lang w:val="es-ES"/>
        </w:rPr>
        <w:tab/>
      </w:r>
      <w:r w:rsidR="00726554" w:rsidRPr="00157E17">
        <w:rPr>
          <w:bCs/>
          <w:lang w:val="es-ES"/>
        </w:rPr>
        <w:t>Miembros de la Mesa</w:t>
      </w:r>
    </w:p>
    <w:p w14:paraId="5AA0A954" w14:textId="77777777" w:rsidR="00726554" w:rsidRPr="00157E17" w:rsidRDefault="00726554" w:rsidP="006E4315">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El grupo especial de expertos elegirá dos copresidentes para facilitar las reuniones.</w:t>
      </w:r>
    </w:p>
    <w:p w14:paraId="608CDF2B" w14:textId="773F323E" w:rsidR="00726554" w:rsidRPr="00157E17" w:rsidRDefault="006E4315" w:rsidP="00726554">
      <w:pPr>
        <w:pStyle w:val="CH1"/>
        <w:spacing w:before="200"/>
      </w:pPr>
      <w:r w:rsidRPr="00157E17">
        <w:rPr>
          <w:lang w:val="es-ES"/>
        </w:rPr>
        <w:tab/>
      </w:r>
      <w:r w:rsidR="00726554" w:rsidRPr="00157E17">
        <w:rPr>
          <w:lang w:val="es-ES"/>
        </w:rPr>
        <w:t>V.</w:t>
      </w:r>
      <w:r w:rsidR="00726554" w:rsidRPr="00157E17">
        <w:rPr>
          <w:lang w:val="es-ES"/>
        </w:rPr>
        <w:tab/>
      </w:r>
      <w:r w:rsidR="00726554" w:rsidRPr="00157E17">
        <w:rPr>
          <w:bCs/>
          <w:lang w:val="es-ES"/>
        </w:rPr>
        <w:t>Secretaría</w:t>
      </w:r>
    </w:p>
    <w:p w14:paraId="175A64CB" w14:textId="77777777" w:rsidR="00726554" w:rsidRPr="00157E17" w:rsidRDefault="00726554" w:rsidP="006E4315">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La Secretaría del Convenio de Minamata prestará apoyo al grupo de expertos.</w:t>
      </w:r>
    </w:p>
    <w:p w14:paraId="01D97001" w14:textId="11E2ED55" w:rsidR="00726554" w:rsidRPr="00157E17" w:rsidRDefault="0027479D" w:rsidP="00726554">
      <w:pPr>
        <w:pStyle w:val="CH1"/>
        <w:spacing w:before="200"/>
        <w:rPr>
          <w:lang w:val="es-ES"/>
        </w:rPr>
      </w:pPr>
      <w:r w:rsidRPr="00157E17">
        <w:rPr>
          <w:lang w:val="es-ES"/>
        </w:rPr>
        <w:tab/>
      </w:r>
      <w:r w:rsidR="00726554" w:rsidRPr="00157E17">
        <w:rPr>
          <w:lang w:val="es-ES"/>
        </w:rPr>
        <w:t>VI.</w:t>
      </w:r>
      <w:r w:rsidR="00726554" w:rsidRPr="00157E17">
        <w:rPr>
          <w:lang w:val="es-ES"/>
        </w:rPr>
        <w:tab/>
      </w:r>
      <w:r w:rsidR="00726554" w:rsidRPr="00157E17">
        <w:rPr>
          <w:bCs/>
          <w:lang w:val="es-ES"/>
        </w:rPr>
        <w:t>Cuestiones administrativas y de procedimiento</w:t>
      </w:r>
    </w:p>
    <w:p w14:paraId="0DAA88F1" w14:textId="77777777" w:rsidR="00726554" w:rsidRPr="00157E17" w:rsidRDefault="00726554" w:rsidP="0062767B">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 xml:space="preserve">El reglamento de la Conferencia de las Partes se aplicará </w:t>
      </w:r>
      <w:r w:rsidRPr="00157E17">
        <w:rPr>
          <w:i/>
          <w:iCs/>
          <w:lang w:val="es-ES"/>
        </w:rPr>
        <w:t>mutatis mutandis</w:t>
      </w:r>
      <w:r w:rsidRPr="00157E17">
        <w:rPr>
          <w:lang w:val="es-ES"/>
        </w:rPr>
        <w:t xml:space="preserve"> al grupo.</w:t>
      </w:r>
    </w:p>
    <w:p w14:paraId="62545054" w14:textId="77777777" w:rsidR="00726554" w:rsidRPr="00157E17" w:rsidRDefault="00726554" w:rsidP="0062767B">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La labor del grupo especial de expertos se organizará de tal manera que permita que todos los expertos participen en todas las actividades del grupo.</w:t>
      </w:r>
    </w:p>
    <w:p w14:paraId="579AA1FF" w14:textId="49B7A30E" w:rsidR="00726554" w:rsidRPr="00157E17" w:rsidRDefault="0027479D" w:rsidP="00726554">
      <w:pPr>
        <w:pStyle w:val="CH1"/>
        <w:keepNext w:val="0"/>
        <w:keepLines w:val="0"/>
        <w:spacing w:before="200"/>
      </w:pPr>
      <w:r w:rsidRPr="00157E17">
        <w:rPr>
          <w:lang w:val="es-ES"/>
        </w:rPr>
        <w:tab/>
      </w:r>
      <w:r w:rsidR="00726554" w:rsidRPr="00157E17">
        <w:rPr>
          <w:lang w:val="es-ES"/>
        </w:rPr>
        <w:t>VII.</w:t>
      </w:r>
      <w:r w:rsidR="00726554" w:rsidRPr="00157E17">
        <w:rPr>
          <w:lang w:val="es-ES"/>
        </w:rPr>
        <w:tab/>
      </w:r>
      <w:r w:rsidR="00726554" w:rsidRPr="00157E17">
        <w:rPr>
          <w:bCs/>
          <w:lang w:val="es-ES"/>
        </w:rPr>
        <w:t>Reuniones</w:t>
      </w:r>
    </w:p>
    <w:p w14:paraId="62459AA9" w14:textId="77777777" w:rsidR="00726554" w:rsidRPr="00157E17" w:rsidRDefault="00726554" w:rsidP="0027479D">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El grupo especial de expertos celebrará reuniones presenciales en el período entre reuniones que preceda a la cuarta reunión de la Conferencia de las Partes en el Convenio de Minamata, con sujeción a la disponibilidad de fondos, y también trabajará por medios electrónicos.</w:t>
      </w:r>
    </w:p>
    <w:p w14:paraId="234B3C3C" w14:textId="3DEC9C62" w:rsidR="00726554" w:rsidRPr="00157E17" w:rsidRDefault="0088262D" w:rsidP="00726554">
      <w:pPr>
        <w:pStyle w:val="CH1"/>
        <w:keepNext w:val="0"/>
        <w:keepLines w:val="0"/>
        <w:spacing w:before="200"/>
      </w:pPr>
      <w:r w:rsidRPr="00157E17">
        <w:rPr>
          <w:lang w:val="es-ES"/>
        </w:rPr>
        <w:lastRenderedPageBreak/>
        <w:tab/>
      </w:r>
      <w:r w:rsidR="00726554" w:rsidRPr="00157E17">
        <w:rPr>
          <w:lang w:val="es-ES"/>
        </w:rPr>
        <w:t>VIII.</w:t>
      </w:r>
      <w:r w:rsidR="00726554" w:rsidRPr="00157E17">
        <w:rPr>
          <w:lang w:val="es-ES"/>
        </w:rPr>
        <w:tab/>
      </w:r>
      <w:r w:rsidR="00726554" w:rsidRPr="00157E17">
        <w:rPr>
          <w:bCs/>
          <w:lang w:val="es-ES"/>
        </w:rPr>
        <w:t>Idioma</w:t>
      </w:r>
    </w:p>
    <w:p w14:paraId="1852806C" w14:textId="73EECE8B" w:rsidR="00726554" w:rsidRPr="00157E17" w:rsidRDefault="00726554" w:rsidP="0088262D">
      <w:pPr>
        <w:pStyle w:val="Normal-pool"/>
        <w:numPr>
          <w:ilvl w:val="0"/>
          <w:numId w:val="70"/>
        </w:numPr>
        <w:tabs>
          <w:tab w:val="clear" w:pos="1247"/>
          <w:tab w:val="clear" w:pos="1814"/>
          <w:tab w:val="clear" w:pos="2381"/>
          <w:tab w:val="clear" w:pos="2948"/>
          <w:tab w:val="clear" w:pos="3515"/>
          <w:tab w:val="clear" w:pos="4082"/>
        </w:tabs>
        <w:spacing w:after="120"/>
        <w:ind w:left="1247" w:firstLine="0"/>
        <w:rPr>
          <w:sz w:val="24"/>
          <w:lang w:val="es-ES"/>
        </w:rPr>
      </w:pPr>
      <w:r w:rsidRPr="00157E17">
        <w:rPr>
          <w:lang w:val="es-ES"/>
        </w:rPr>
        <w:t>El idioma de trabajo del grupo será el inglés.</w:t>
      </w:r>
    </w:p>
    <w:p w14:paraId="71443D84" w14:textId="4BC05D6E" w:rsidR="00160397" w:rsidRPr="002927A1" w:rsidRDefault="00160397" w:rsidP="00D70ED7">
      <w:pPr>
        <w:tabs>
          <w:tab w:val="clear" w:pos="1247"/>
          <w:tab w:val="clear" w:pos="1814"/>
          <w:tab w:val="clear" w:pos="2381"/>
          <w:tab w:val="clear" w:pos="2948"/>
          <w:tab w:val="clear" w:pos="3515"/>
        </w:tabs>
        <w:ind w:left="1247"/>
        <w:rPr>
          <w:b/>
          <w:bCs/>
          <w:sz w:val="24"/>
          <w:szCs w:val="24"/>
        </w:rPr>
      </w:pPr>
      <w:r w:rsidRPr="002927A1">
        <w:rPr>
          <w:bCs/>
        </w:rPr>
        <w:br w:type="page"/>
      </w:r>
    </w:p>
    <w:p w14:paraId="6FF85D80" w14:textId="3E40F82C" w:rsidR="003F4DA7" w:rsidRPr="00E263E1" w:rsidRDefault="00723EE5" w:rsidP="00546E2E">
      <w:pPr>
        <w:pStyle w:val="CH2"/>
        <w:rPr>
          <w:b w:val="0"/>
          <w:sz w:val="28"/>
          <w:szCs w:val="28"/>
          <w:lang w:val="es-ES_tradnl"/>
        </w:rPr>
      </w:pPr>
      <w:r w:rsidRPr="002927A1">
        <w:rPr>
          <w:bCs/>
          <w:lang w:val="es-ES_tradnl"/>
        </w:rPr>
        <w:lastRenderedPageBreak/>
        <w:tab/>
      </w:r>
      <w:r w:rsidRPr="002927A1">
        <w:rPr>
          <w:bCs/>
          <w:lang w:val="es-ES_tradnl"/>
        </w:rPr>
        <w:tab/>
      </w:r>
      <w:r w:rsidR="003F4DA7" w:rsidRPr="00E263E1">
        <w:rPr>
          <w:bCs/>
          <w:sz w:val="28"/>
          <w:szCs w:val="28"/>
          <w:lang w:val="es-ES_tradnl"/>
        </w:rPr>
        <w:t xml:space="preserve">MC-3/2: </w:t>
      </w:r>
      <w:r w:rsidR="00127873" w:rsidRPr="00E263E1">
        <w:rPr>
          <w:bCs/>
          <w:sz w:val="28"/>
          <w:szCs w:val="28"/>
          <w:lang w:val="es-ES_tradnl"/>
        </w:rPr>
        <w:t>Amalgama d</w:t>
      </w:r>
      <w:r w:rsidR="003F4DA7" w:rsidRPr="00E263E1">
        <w:rPr>
          <w:bCs/>
          <w:sz w:val="28"/>
          <w:szCs w:val="28"/>
          <w:lang w:val="es-ES_tradnl"/>
        </w:rPr>
        <w:t>ental</w:t>
      </w:r>
      <w:bookmarkEnd w:id="71"/>
    </w:p>
    <w:p w14:paraId="2627F382" w14:textId="679302F6" w:rsidR="003F4DA7" w:rsidRPr="002927A1" w:rsidRDefault="00127873" w:rsidP="001B5537">
      <w:pPr>
        <w:pStyle w:val="Heading4"/>
        <w:ind w:firstLine="624"/>
        <w:rPr>
          <w:b w:val="0"/>
          <w:i/>
        </w:rPr>
      </w:pPr>
      <w:r w:rsidRPr="002927A1">
        <w:rPr>
          <w:b w:val="0"/>
          <w:i/>
        </w:rPr>
        <w:t xml:space="preserve">La Conferencia de las </w:t>
      </w:r>
      <w:r w:rsidR="003F4DA7" w:rsidRPr="002927A1">
        <w:rPr>
          <w:b w:val="0"/>
          <w:i/>
        </w:rPr>
        <w:t>Partes</w:t>
      </w:r>
    </w:p>
    <w:p w14:paraId="65B58D61" w14:textId="6CADBAE6" w:rsidR="003F4DA7" w:rsidRPr="002927A1" w:rsidRDefault="00127873" w:rsidP="00A524DB">
      <w:pPr>
        <w:keepNext/>
        <w:keepLines/>
        <w:numPr>
          <w:ilvl w:val="0"/>
          <w:numId w:val="17"/>
        </w:numPr>
        <w:tabs>
          <w:tab w:val="clear" w:pos="1247"/>
          <w:tab w:val="clear" w:pos="1814"/>
          <w:tab w:val="clear" w:pos="2381"/>
          <w:tab w:val="clear" w:pos="2948"/>
          <w:tab w:val="clear" w:pos="3515"/>
          <w:tab w:val="left" w:pos="624"/>
        </w:tabs>
        <w:spacing w:after="120"/>
        <w:ind w:left="1247" w:firstLine="624"/>
      </w:pPr>
      <w:r w:rsidRPr="002927A1">
        <w:rPr>
          <w:i/>
        </w:rPr>
        <w:t>Alienta</w:t>
      </w:r>
      <w:r w:rsidR="00FA6A30" w:rsidRPr="002927A1">
        <w:rPr>
          <w:i/>
        </w:rPr>
        <w:t xml:space="preserve"> </w:t>
      </w:r>
      <w:r w:rsidRPr="002927A1">
        <w:t xml:space="preserve">a las </w:t>
      </w:r>
      <w:r w:rsidR="003F4DA7" w:rsidRPr="002927A1">
        <w:t xml:space="preserve">Partes </w:t>
      </w:r>
      <w:r w:rsidRPr="002927A1">
        <w:t>a tomar otras medidas</w:t>
      </w:r>
      <w:r w:rsidR="00211FF1" w:rsidRPr="002927A1">
        <w:t>,</w:t>
      </w:r>
      <w:r w:rsidRPr="002927A1">
        <w:t xml:space="preserve"> además de las dos estipuladas de conformidad con el anexo A de la </w:t>
      </w:r>
      <w:r w:rsidR="00275DD0" w:rsidRPr="002927A1">
        <w:t>p</w:t>
      </w:r>
      <w:r w:rsidR="003F4DA7" w:rsidRPr="002927A1">
        <w:t>art</w:t>
      </w:r>
      <w:r w:rsidRPr="002927A1">
        <w:t>e</w:t>
      </w:r>
      <w:r w:rsidR="003F4DA7" w:rsidRPr="002927A1">
        <w:t xml:space="preserve"> I</w:t>
      </w:r>
      <w:r w:rsidR="00726DAA" w:rsidRPr="002927A1">
        <w:t xml:space="preserve">I </w:t>
      </w:r>
      <w:r w:rsidRPr="002927A1">
        <w:t>del Convenio</w:t>
      </w:r>
      <w:r w:rsidR="00211FF1" w:rsidRPr="002927A1">
        <w:t>,</w:t>
      </w:r>
      <w:r w:rsidRPr="002927A1">
        <w:t xml:space="preserve"> para eliminar el uso de la amalgama</w:t>
      </w:r>
      <w:r w:rsidR="003F4DA7" w:rsidRPr="002927A1">
        <w:t xml:space="preserve"> dental;</w:t>
      </w:r>
    </w:p>
    <w:p w14:paraId="00FDA333" w14:textId="69AE842B" w:rsidR="003F4DA7" w:rsidRPr="002927A1" w:rsidRDefault="00127873" w:rsidP="00A524DB">
      <w:pPr>
        <w:keepNext/>
        <w:keepLines/>
        <w:numPr>
          <w:ilvl w:val="0"/>
          <w:numId w:val="17"/>
        </w:numPr>
        <w:tabs>
          <w:tab w:val="clear" w:pos="1247"/>
          <w:tab w:val="clear" w:pos="1814"/>
          <w:tab w:val="clear" w:pos="2381"/>
          <w:tab w:val="clear" w:pos="2948"/>
          <w:tab w:val="clear" w:pos="3515"/>
          <w:tab w:val="left" w:pos="624"/>
        </w:tabs>
        <w:spacing w:after="120"/>
        <w:ind w:left="1247" w:firstLine="624"/>
      </w:pPr>
      <w:r w:rsidRPr="002927A1">
        <w:rPr>
          <w:i/>
        </w:rPr>
        <w:t xml:space="preserve">Solicita </w:t>
      </w:r>
      <w:r w:rsidRPr="002927A1">
        <w:t>a la S</w:t>
      </w:r>
      <w:r w:rsidR="00851014" w:rsidRPr="002927A1">
        <w:t>ecretar</w:t>
      </w:r>
      <w:r w:rsidR="00723EE5" w:rsidRPr="002927A1">
        <w:t>ía</w:t>
      </w:r>
      <w:r w:rsidR="003F4DA7" w:rsidRPr="002927A1">
        <w:t xml:space="preserve"> </w:t>
      </w:r>
      <w:r w:rsidRPr="002927A1">
        <w:t xml:space="preserve">que recabe información de las Partes sobre la implementación de esas medidas adicionales adoptadas por las Partes con arreglo al </w:t>
      </w:r>
      <w:r w:rsidR="00275DD0" w:rsidRPr="002927A1">
        <w:t>a</w:t>
      </w:r>
      <w:r w:rsidR="003F4DA7" w:rsidRPr="002927A1">
        <w:t>nex</w:t>
      </w:r>
      <w:r w:rsidRPr="002927A1">
        <w:t>o</w:t>
      </w:r>
      <w:r w:rsidR="003F4DA7" w:rsidRPr="002927A1">
        <w:t xml:space="preserve"> A, part</w:t>
      </w:r>
      <w:r w:rsidRPr="002927A1">
        <w:t>e</w:t>
      </w:r>
      <w:r w:rsidR="003F4DA7" w:rsidRPr="002927A1">
        <w:t xml:space="preserve"> II</w:t>
      </w:r>
      <w:r w:rsidRPr="002927A1">
        <w:t xml:space="preserve"> del </w:t>
      </w:r>
      <w:r w:rsidR="003F4DA7" w:rsidRPr="002927A1">
        <w:t>Conven</w:t>
      </w:r>
      <w:r w:rsidRPr="002927A1">
        <w:t>io</w:t>
      </w:r>
      <w:r w:rsidR="003F4DA7" w:rsidRPr="002927A1">
        <w:t xml:space="preserve">; </w:t>
      </w:r>
    </w:p>
    <w:p w14:paraId="1D6A90A7" w14:textId="28DD291E" w:rsidR="003F4DA7" w:rsidRPr="002927A1" w:rsidRDefault="00127873" w:rsidP="00A524DB">
      <w:pPr>
        <w:keepNext/>
        <w:keepLines/>
        <w:numPr>
          <w:ilvl w:val="0"/>
          <w:numId w:val="17"/>
        </w:numPr>
        <w:tabs>
          <w:tab w:val="clear" w:pos="1247"/>
          <w:tab w:val="clear" w:pos="1814"/>
          <w:tab w:val="clear" w:pos="2381"/>
          <w:tab w:val="clear" w:pos="2948"/>
          <w:tab w:val="clear" w:pos="3515"/>
          <w:tab w:val="left" w:pos="624"/>
        </w:tabs>
        <w:spacing w:after="120"/>
        <w:ind w:left="1247" w:firstLine="624"/>
      </w:pPr>
      <w:r w:rsidRPr="002927A1">
        <w:rPr>
          <w:i/>
        </w:rPr>
        <w:t xml:space="preserve">Solicita también </w:t>
      </w:r>
      <w:r w:rsidRPr="002927A1">
        <w:t>a la Se</w:t>
      </w:r>
      <w:r w:rsidR="003F4DA7" w:rsidRPr="002927A1">
        <w:t>cretar</w:t>
      </w:r>
      <w:r w:rsidRPr="002927A1">
        <w:t xml:space="preserve">ía que recabe información de las Partes y otros de conformidad con el párrafo </w:t>
      </w:r>
      <w:r w:rsidR="003F4DA7" w:rsidRPr="002927A1">
        <w:t xml:space="preserve">7 </w:t>
      </w:r>
      <w:r w:rsidRPr="002927A1">
        <w:t>del artículo</w:t>
      </w:r>
      <w:r w:rsidR="003F4DA7" w:rsidRPr="002927A1">
        <w:t xml:space="preserve"> 4</w:t>
      </w:r>
      <w:r w:rsidRPr="002927A1">
        <w:t xml:space="preserve"> del </w:t>
      </w:r>
      <w:r w:rsidR="00275DD0" w:rsidRPr="002927A1">
        <w:t>Conven</w:t>
      </w:r>
      <w:r w:rsidRPr="002927A1">
        <w:t xml:space="preserve">io a más tardar el </w:t>
      </w:r>
      <w:r w:rsidR="003F4DA7" w:rsidRPr="002927A1">
        <w:t xml:space="preserve">1 </w:t>
      </w:r>
      <w:r w:rsidRPr="002927A1">
        <w:t>de julio de</w:t>
      </w:r>
      <w:r w:rsidR="003F4DA7" w:rsidRPr="002927A1">
        <w:t xml:space="preserve"> 2020;</w:t>
      </w:r>
    </w:p>
    <w:p w14:paraId="1C3C2832" w14:textId="0D9A4F20" w:rsidR="003F4DA7" w:rsidRPr="002927A1" w:rsidRDefault="00127873" w:rsidP="00A524DB">
      <w:pPr>
        <w:keepNext/>
        <w:keepLines/>
        <w:numPr>
          <w:ilvl w:val="0"/>
          <w:numId w:val="17"/>
        </w:numPr>
        <w:tabs>
          <w:tab w:val="clear" w:pos="1247"/>
          <w:tab w:val="clear" w:pos="1814"/>
          <w:tab w:val="clear" w:pos="2381"/>
          <w:tab w:val="clear" w:pos="2948"/>
          <w:tab w:val="clear" w:pos="3515"/>
          <w:tab w:val="left" w:pos="624"/>
        </w:tabs>
        <w:spacing w:after="120"/>
        <w:ind w:left="1247" w:firstLine="624"/>
      </w:pPr>
      <w:r w:rsidRPr="002927A1">
        <w:rPr>
          <w:i/>
        </w:rPr>
        <w:t xml:space="preserve">Solicita además </w:t>
      </w:r>
      <w:r w:rsidRPr="002927A1">
        <w:t>a la S</w:t>
      </w:r>
      <w:r w:rsidR="00851014" w:rsidRPr="002927A1">
        <w:t>ecretar</w:t>
      </w:r>
      <w:r w:rsidRPr="002927A1">
        <w:t>ía</w:t>
      </w:r>
      <w:r w:rsidR="003F4DA7" w:rsidRPr="002927A1">
        <w:t xml:space="preserve"> </w:t>
      </w:r>
      <w:r w:rsidRPr="002927A1">
        <w:t xml:space="preserve">que </w:t>
      </w:r>
      <w:r w:rsidR="003F4DA7" w:rsidRPr="002927A1">
        <w:t xml:space="preserve">compile </w:t>
      </w:r>
      <w:r w:rsidRPr="002927A1">
        <w:t xml:space="preserve">la información recibida conforme a lo dispuesto en el párrafo </w:t>
      </w:r>
      <w:r w:rsidR="003F4DA7" w:rsidRPr="002927A1">
        <w:t xml:space="preserve">3, </w:t>
      </w:r>
      <w:r w:rsidR="00554713" w:rsidRPr="002927A1">
        <w:t xml:space="preserve">identifique claramente las fuentes de las cuales procede la información y presente la información a las Partes a más tardar el </w:t>
      </w:r>
      <w:r w:rsidR="003F4DA7" w:rsidRPr="002927A1">
        <w:t xml:space="preserve">1 </w:t>
      </w:r>
      <w:r w:rsidR="00554713" w:rsidRPr="002927A1">
        <w:t xml:space="preserve">de diciembre de </w:t>
      </w:r>
      <w:r w:rsidR="003F4DA7" w:rsidRPr="002927A1">
        <w:t xml:space="preserve">2020; </w:t>
      </w:r>
    </w:p>
    <w:p w14:paraId="4ADEB6C1" w14:textId="278FC867" w:rsidR="003F4DA7" w:rsidRPr="002927A1" w:rsidRDefault="00741C50" w:rsidP="00A524DB">
      <w:pPr>
        <w:keepNext/>
        <w:keepLines/>
        <w:numPr>
          <w:ilvl w:val="0"/>
          <w:numId w:val="17"/>
        </w:numPr>
        <w:tabs>
          <w:tab w:val="clear" w:pos="1247"/>
          <w:tab w:val="clear" w:pos="1814"/>
          <w:tab w:val="clear" w:pos="2381"/>
          <w:tab w:val="clear" w:pos="2948"/>
          <w:tab w:val="clear" w:pos="3515"/>
          <w:tab w:val="left" w:pos="624"/>
        </w:tabs>
        <w:spacing w:after="120"/>
        <w:ind w:left="1247" w:firstLine="624"/>
      </w:pPr>
      <w:r w:rsidRPr="002927A1">
        <w:rPr>
          <w:i/>
        </w:rPr>
        <w:t>Solicita</w:t>
      </w:r>
      <w:r w:rsidR="003F4DA7" w:rsidRPr="002927A1">
        <w:t xml:space="preserve"> </w:t>
      </w:r>
      <w:r w:rsidRPr="002927A1">
        <w:t>a la S</w:t>
      </w:r>
      <w:r w:rsidR="00851014" w:rsidRPr="002927A1">
        <w:t>ecretar</w:t>
      </w:r>
      <w:r w:rsidRPr="002927A1">
        <w:t xml:space="preserve">ía que </w:t>
      </w:r>
      <w:r w:rsidR="003F4DA7" w:rsidRPr="002927A1">
        <w:t>prepare</w:t>
      </w:r>
      <w:r w:rsidR="00275DD0" w:rsidRPr="002927A1">
        <w:t>,</w:t>
      </w:r>
      <w:r w:rsidR="003F4DA7" w:rsidRPr="002927A1">
        <w:t xml:space="preserve"> </w:t>
      </w:r>
      <w:r w:rsidRPr="002927A1">
        <w:t xml:space="preserve">a más tardar el </w:t>
      </w:r>
      <w:r w:rsidR="003F4DA7" w:rsidRPr="002927A1">
        <w:t xml:space="preserve">30 </w:t>
      </w:r>
      <w:r w:rsidRPr="002927A1">
        <w:t xml:space="preserve">de abril de </w:t>
      </w:r>
      <w:r w:rsidR="003F4DA7" w:rsidRPr="002927A1">
        <w:t>2021</w:t>
      </w:r>
      <w:r w:rsidR="00275DD0" w:rsidRPr="002927A1">
        <w:t>,</w:t>
      </w:r>
      <w:r w:rsidR="003F4DA7" w:rsidRPr="002927A1">
        <w:t xml:space="preserve"> </w:t>
      </w:r>
      <w:r w:rsidRPr="002927A1">
        <w:t>un</w:t>
      </w:r>
      <w:r w:rsidR="003F4DA7" w:rsidRPr="002927A1">
        <w:t xml:space="preserve"> </w:t>
      </w:r>
      <w:r w:rsidRPr="002927A1">
        <w:t>documento en el que figure la información recibida de las P</w:t>
      </w:r>
      <w:r w:rsidR="003F4DA7" w:rsidRPr="002927A1">
        <w:t xml:space="preserve">artes </w:t>
      </w:r>
      <w:r w:rsidRPr="002927A1">
        <w:t>de conformidad con el párrafo</w:t>
      </w:r>
      <w:r w:rsidR="003F4DA7" w:rsidRPr="002927A1">
        <w:t xml:space="preserve"> 2</w:t>
      </w:r>
      <w:r w:rsidR="00F22967" w:rsidRPr="002927A1">
        <w:t xml:space="preserve"> </w:t>
      </w:r>
      <w:r w:rsidRPr="002927A1">
        <w:t xml:space="preserve">de la </w:t>
      </w:r>
      <w:r w:rsidR="00F22967" w:rsidRPr="002927A1">
        <w:t>present</w:t>
      </w:r>
      <w:r w:rsidRPr="002927A1">
        <w:t>e</w:t>
      </w:r>
      <w:r w:rsidR="00F22967" w:rsidRPr="002927A1">
        <w:t xml:space="preserve"> decisi</w:t>
      </w:r>
      <w:r w:rsidRPr="002927A1">
        <w:t>ó</w:t>
      </w:r>
      <w:r w:rsidR="00F22967" w:rsidRPr="002927A1">
        <w:t>n</w:t>
      </w:r>
      <w:r w:rsidR="003F4DA7" w:rsidRPr="002927A1">
        <w:t xml:space="preserve"> </w:t>
      </w:r>
      <w:r w:rsidRPr="002927A1">
        <w:t xml:space="preserve">y la compilación de información con arreglo al párrafo </w:t>
      </w:r>
      <w:r w:rsidR="003F4DA7" w:rsidRPr="002927A1">
        <w:t>4</w:t>
      </w:r>
      <w:r w:rsidR="00F22967" w:rsidRPr="002927A1">
        <w:t xml:space="preserve"> </w:t>
      </w:r>
      <w:r w:rsidRPr="002927A1">
        <w:t xml:space="preserve">de la </w:t>
      </w:r>
      <w:r w:rsidR="00F22967" w:rsidRPr="002927A1">
        <w:t>present</w:t>
      </w:r>
      <w:r w:rsidRPr="002927A1">
        <w:t>e</w:t>
      </w:r>
      <w:r w:rsidR="00F22967" w:rsidRPr="002927A1">
        <w:t xml:space="preserve"> decisi</w:t>
      </w:r>
      <w:r w:rsidRPr="002927A1">
        <w:t>ó</w:t>
      </w:r>
      <w:r w:rsidR="00F22967" w:rsidRPr="002927A1">
        <w:t>n</w:t>
      </w:r>
      <w:r w:rsidR="003F4DA7" w:rsidRPr="002927A1">
        <w:t>, respectiv</w:t>
      </w:r>
      <w:r w:rsidRPr="002927A1">
        <w:t>amente</w:t>
      </w:r>
      <w:r w:rsidR="00F22967" w:rsidRPr="002927A1">
        <w:t xml:space="preserve">, </w:t>
      </w:r>
      <w:r w:rsidRPr="002927A1">
        <w:t xml:space="preserve">para su examen por la </w:t>
      </w:r>
      <w:r w:rsidR="00F22967" w:rsidRPr="002927A1">
        <w:t>Conferenc</w:t>
      </w:r>
      <w:r w:rsidRPr="002927A1">
        <w:t>ia</w:t>
      </w:r>
      <w:r w:rsidR="00F22967" w:rsidRPr="002927A1">
        <w:t xml:space="preserve"> </w:t>
      </w:r>
      <w:r w:rsidRPr="002927A1">
        <w:t xml:space="preserve">de las </w:t>
      </w:r>
      <w:r w:rsidR="00F22967" w:rsidRPr="002927A1">
        <w:t xml:space="preserve">Partes </w:t>
      </w:r>
      <w:r w:rsidRPr="002927A1">
        <w:t>en su cuarta reunión</w:t>
      </w:r>
      <w:r w:rsidR="003F4DA7" w:rsidRPr="002927A1">
        <w:t xml:space="preserve">. </w:t>
      </w:r>
    </w:p>
    <w:p w14:paraId="62B48C83" w14:textId="77777777" w:rsidR="00A35F55" w:rsidRPr="002927A1" w:rsidRDefault="00A35F55" w:rsidP="00417FE2">
      <w:pPr>
        <w:pStyle w:val="Normal-pool"/>
        <w:rPr>
          <w:lang w:val="es-ES_tradnl"/>
        </w:rPr>
      </w:pPr>
      <w:bookmarkStart w:id="72" w:name="_Toc27124743"/>
      <w:r w:rsidRPr="002927A1">
        <w:rPr>
          <w:lang w:val="es-ES_tradnl"/>
        </w:rPr>
        <w:br w:type="page"/>
      </w:r>
    </w:p>
    <w:p w14:paraId="5D15EF3A" w14:textId="5DBE54BF" w:rsidR="003F4DA7" w:rsidRPr="007435A7" w:rsidRDefault="00723EE5" w:rsidP="00546E2E">
      <w:pPr>
        <w:pStyle w:val="CH2"/>
        <w:rPr>
          <w:b w:val="0"/>
          <w:sz w:val="28"/>
          <w:szCs w:val="28"/>
          <w:lang w:val="es-ES_tradnl"/>
        </w:rPr>
      </w:pPr>
      <w:r w:rsidRPr="002927A1">
        <w:rPr>
          <w:bCs/>
          <w:lang w:val="es-ES_tradnl"/>
        </w:rPr>
        <w:lastRenderedPageBreak/>
        <w:tab/>
      </w:r>
      <w:r w:rsidRPr="007435A7">
        <w:rPr>
          <w:bCs/>
          <w:sz w:val="28"/>
          <w:szCs w:val="28"/>
          <w:lang w:val="es-ES_tradnl"/>
        </w:rPr>
        <w:tab/>
      </w:r>
      <w:r w:rsidR="003F4DA7" w:rsidRPr="007435A7">
        <w:rPr>
          <w:bCs/>
          <w:sz w:val="28"/>
          <w:szCs w:val="28"/>
          <w:lang w:val="es-ES_tradnl"/>
        </w:rPr>
        <w:t xml:space="preserve">MC-3/3: </w:t>
      </w:r>
      <w:r w:rsidR="00D21475" w:rsidRPr="007435A7">
        <w:rPr>
          <w:bCs/>
          <w:sz w:val="28"/>
          <w:szCs w:val="28"/>
          <w:lang w:val="es-ES_tradnl"/>
        </w:rPr>
        <w:t>Códigos del Sistema Armonizado</w:t>
      </w:r>
      <w:bookmarkEnd w:id="72"/>
    </w:p>
    <w:p w14:paraId="5F0E6E4B" w14:textId="695D639B" w:rsidR="00D21475" w:rsidRPr="002927A1" w:rsidRDefault="00D21475" w:rsidP="001B5537">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2927A1">
        <w:rPr>
          <w:i/>
          <w:iCs/>
          <w:lang w:val="es-ES_tradnl"/>
        </w:rPr>
        <w:t>La Conferencia de las Partes</w:t>
      </w:r>
    </w:p>
    <w:p w14:paraId="47AA0C1C" w14:textId="77777777" w:rsidR="00D21475" w:rsidRPr="002927A1" w:rsidRDefault="00D21475" w:rsidP="00A524DB">
      <w:pPr>
        <w:pStyle w:val="Normal-pool"/>
        <w:numPr>
          <w:ilvl w:val="0"/>
          <w:numId w:val="12"/>
        </w:numPr>
        <w:tabs>
          <w:tab w:val="clear" w:pos="1247"/>
          <w:tab w:val="clear" w:pos="1814"/>
          <w:tab w:val="clear" w:pos="2381"/>
          <w:tab w:val="clear" w:pos="2948"/>
          <w:tab w:val="clear" w:pos="3515"/>
          <w:tab w:val="clear" w:pos="4082"/>
        </w:tabs>
        <w:spacing w:after="120"/>
        <w:ind w:left="1247" w:firstLine="624"/>
        <w:rPr>
          <w:lang w:val="es-ES_tradnl"/>
        </w:rPr>
      </w:pPr>
      <w:r w:rsidRPr="002927A1">
        <w:rPr>
          <w:i/>
          <w:iCs/>
          <w:lang w:val="es-ES_tradnl"/>
        </w:rPr>
        <w:t>Solicita</w:t>
      </w:r>
      <w:r w:rsidRPr="002927A1">
        <w:rPr>
          <w:lang w:val="es-ES_tradnl"/>
        </w:rPr>
        <w:t xml:space="preserve"> a la Secretaría que, en colaboración con </w:t>
      </w:r>
      <w:bookmarkStart w:id="73" w:name="_Hlk25903650"/>
      <w:r w:rsidRPr="002927A1">
        <w:rPr>
          <w:lang w:val="es-ES_tradnl"/>
        </w:rPr>
        <w:t>la esfera relativa a las asociaciones sobre el contenido de mercurio en productos</w:t>
      </w:r>
      <w:bookmarkEnd w:id="73"/>
      <w:r w:rsidRPr="002927A1">
        <w:rPr>
          <w:lang w:val="es-ES_tradnl"/>
        </w:rPr>
        <w:t xml:space="preserve"> de la Asociación Mundial sobre el Mercurio del Programa de las Naciones Unidas para el Medio Ambiente (en adelante “Asociación sobre Productos”) y expertos en la materia: </w:t>
      </w:r>
    </w:p>
    <w:p w14:paraId="619F7858" w14:textId="21DEF535" w:rsidR="00D21475" w:rsidRPr="002927A1" w:rsidRDefault="00D21475" w:rsidP="00A524DB">
      <w:pPr>
        <w:pStyle w:val="Normal-pool"/>
        <w:numPr>
          <w:ilvl w:val="0"/>
          <w:numId w:val="49"/>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Prepare un proyecto de documento de orientación que incluya:</w:t>
      </w:r>
    </w:p>
    <w:p w14:paraId="3DD8B092" w14:textId="77777777" w:rsidR="00D21475" w:rsidRPr="002927A1" w:rsidRDefault="00D21475" w:rsidP="008B56B5">
      <w:pPr>
        <w:pStyle w:val="Normal-pool"/>
        <w:tabs>
          <w:tab w:val="clear" w:pos="1247"/>
          <w:tab w:val="clear" w:pos="1814"/>
          <w:tab w:val="clear" w:pos="2381"/>
          <w:tab w:val="clear" w:pos="2948"/>
          <w:tab w:val="clear" w:pos="3515"/>
          <w:tab w:val="clear" w:pos="4082"/>
        </w:tabs>
        <w:spacing w:after="120"/>
        <w:ind w:left="3119" w:hanging="624"/>
        <w:rPr>
          <w:rFonts w:eastAsia="Calibri"/>
          <w:lang w:val="es-ES_tradnl"/>
        </w:rPr>
      </w:pPr>
      <w:r w:rsidRPr="002927A1">
        <w:rPr>
          <w:lang w:val="es-ES_tradnl"/>
        </w:rPr>
        <w:t>i)</w:t>
      </w:r>
      <w:r w:rsidRPr="002927A1">
        <w:rPr>
          <w:lang w:val="es-ES_tradnl"/>
        </w:rPr>
        <w:tab/>
        <w:t>En relación con los productos con mercurio añadido incluidos en el anexo A del Convenio, una lista de posibles códigos de nomenclatura aduanera de más de seis dígitos que pudiesen usar las Partes;</w:t>
      </w:r>
    </w:p>
    <w:p w14:paraId="3CFA9A65" w14:textId="73D40543" w:rsidR="00D21475" w:rsidRPr="002927A1" w:rsidRDefault="00D21475" w:rsidP="00D21475">
      <w:pPr>
        <w:pStyle w:val="Normal-pool"/>
        <w:tabs>
          <w:tab w:val="clear" w:pos="1247"/>
          <w:tab w:val="clear" w:pos="1814"/>
          <w:tab w:val="clear" w:pos="2381"/>
          <w:tab w:val="clear" w:pos="2948"/>
          <w:tab w:val="clear" w:pos="3515"/>
          <w:tab w:val="clear" w:pos="4082"/>
        </w:tabs>
        <w:spacing w:after="120"/>
        <w:ind w:left="3119" w:hanging="624"/>
        <w:rPr>
          <w:rFonts w:eastAsia="Calibri"/>
          <w:lang w:val="es-ES_tradnl"/>
        </w:rPr>
      </w:pPr>
      <w:bookmarkStart w:id="74" w:name="_Hlk25816095"/>
      <w:r w:rsidRPr="002927A1">
        <w:rPr>
          <w:lang w:val="es-ES_tradnl"/>
        </w:rPr>
        <w:t>ii)</w:t>
      </w:r>
      <w:r w:rsidRPr="002927A1">
        <w:rPr>
          <w:lang w:val="es-ES_tradnl"/>
        </w:rPr>
        <w:tab/>
        <w:t xml:space="preserve">En relación con los productos con mercurio añadido no incluidos en el anexo A del Convenio, una recopilación de los ejemplos ofrecidos por expertos nacionales de códigos de nomenclatura aduanera de más de seis dígitos que utilicen actualmente las Partes; </w:t>
      </w:r>
      <w:bookmarkEnd w:id="74"/>
    </w:p>
    <w:p w14:paraId="7501E7DC" w14:textId="77777777" w:rsidR="00D21475" w:rsidRPr="002927A1" w:rsidRDefault="00D21475" w:rsidP="00D21475">
      <w:pPr>
        <w:pStyle w:val="Normal-pool"/>
        <w:tabs>
          <w:tab w:val="clear" w:pos="1247"/>
          <w:tab w:val="clear" w:pos="1814"/>
          <w:tab w:val="clear" w:pos="2381"/>
          <w:tab w:val="clear" w:pos="2948"/>
          <w:tab w:val="clear" w:pos="3515"/>
          <w:tab w:val="clear" w:pos="4082"/>
        </w:tabs>
        <w:spacing w:after="120"/>
        <w:ind w:left="3119" w:hanging="624"/>
        <w:rPr>
          <w:rFonts w:eastAsia="Calibri"/>
          <w:lang w:val="es-ES_tradnl"/>
        </w:rPr>
      </w:pPr>
      <w:r w:rsidRPr="002927A1">
        <w:rPr>
          <w:lang w:val="es-ES_tradnl"/>
        </w:rPr>
        <w:t>iii)</w:t>
      </w:r>
      <w:r w:rsidRPr="002927A1">
        <w:rPr>
          <w:lang w:val="es-ES_tradnl"/>
        </w:rPr>
        <w:tab/>
        <w:t xml:space="preserve">Ejemplos de buenas prácticas en los que el uso de códigos de nomenclatura </w:t>
      </w:r>
      <w:r w:rsidRPr="002927A1">
        <w:rPr>
          <w:lang w:val="es-ES_tradnl"/>
        </w:rPr>
        <w:tab/>
        <w:t xml:space="preserve">aduanera en el plano nacional se haya complementado con el uso de otros </w:t>
      </w:r>
      <w:r w:rsidRPr="002927A1">
        <w:rPr>
          <w:lang w:val="es-ES_tradnl"/>
        </w:rPr>
        <w:tab/>
        <w:t>instrumentos de control a los efectos de la aplicación de disposiciones relativas al comercio las enunciadas en el artículo 4 del Convenio;</w:t>
      </w:r>
    </w:p>
    <w:p w14:paraId="6528D496" w14:textId="54E854F8" w:rsidR="00D21475" w:rsidRPr="002927A1" w:rsidRDefault="00D21475" w:rsidP="00A524DB">
      <w:pPr>
        <w:pStyle w:val="Normal-pool"/>
        <w:numPr>
          <w:ilvl w:val="0"/>
          <w:numId w:val="49"/>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Evalúe si la formulación posterior de códigos armonizados de seis dígitos códigos sería</w:t>
      </w:r>
      <w:r w:rsidR="003F0843" w:rsidRPr="002927A1">
        <w:rPr>
          <w:lang w:val="es-ES_tradnl"/>
        </w:rPr>
        <w:t> </w:t>
      </w:r>
      <w:r w:rsidRPr="002927A1">
        <w:rPr>
          <w:lang w:val="es-ES_tradnl"/>
        </w:rPr>
        <w:t xml:space="preserve">un complemento útil de los resultados de la labor realizada con arreglo al apartado 1 a) i) de la presente decisión en el caso de los productos con mercurio añadido incluidos en el anexo A o con arreglo al </w:t>
      </w:r>
      <w:r w:rsidR="00136A5F">
        <w:rPr>
          <w:lang w:val="es-ES_tradnl"/>
        </w:rPr>
        <w:t>apartado 1</w:t>
      </w:r>
      <w:r w:rsidRPr="002927A1">
        <w:rPr>
          <w:lang w:val="es-ES_tradnl"/>
        </w:rPr>
        <w:t xml:space="preserve"> a) ii) en el caso de los productos con mercurio añadido no incluidos en el anexo</w:t>
      </w:r>
      <w:r w:rsidR="003F0843" w:rsidRPr="002927A1">
        <w:rPr>
          <w:lang w:val="es-ES_tradnl"/>
        </w:rPr>
        <w:t> </w:t>
      </w:r>
      <w:r w:rsidRPr="002927A1">
        <w:rPr>
          <w:lang w:val="es-ES_tradnl"/>
        </w:rPr>
        <w:t>A. En la medida de lo posible, la evaluación incluirá varios ejemplos del uso de esos códigos en</w:t>
      </w:r>
      <w:r w:rsidR="008B56B5">
        <w:rPr>
          <w:lang w:val="es-ES_tradnl"/>
        </w:rPr>
        <w:t> </w:t>
      </w:r>
      <w:r w:rsidRPr="002927A1">
        <w:rPr>
          <w:lang w:val="es-ES_tradnl"/>
        </w:rPr>
        <w:t>relación con productos con mercurio añadido incluidos y no incluidos en el anexo A, teniendo en cuenta la experiencia de otros convenios internacionales sobre el medio ambiente en relación con esos</w:t>
      </w:r>
      <w:r w:rsidR="008B56B5">
        <w:rPr>
          <w:lang w:val="es-ES_tradnl"/>
        </w:rPr>
        <w:t> </w:t>
      </w:r>
      <w:r w:rsidRPr="002927A1">
        <w:rPr>
          <w:lang w:val="es-ES_tradnl"/>
        </w:rPr>
        <w:t>códigos;</w:t>
      </w:r>
    </w:p>
    <w:p w14:paraId="6A706D75" w14:textId="77777777" w:rsidR="00D21475" w:rsidRPr="002927A1" w:rsidRDefault="00D21475" w:rsidP="00A524DB">
      <w:pPr>
        <w:pStyle w:val="Normal-pool"/>
        <w:numPr>
          <w:ilvl w:val="0"/>
          <w:numId w:val="12"/>
        </w:numPr>
        <w:tabs>
          <w:tab w:val="clear" w:pos="1247"/>
          <w:tab w:val="clear" w:pos="1814"/>
          <w:tab w:val="clear" w:pos="2381"/>
          <w:tab w:val="clear" w:pos="2948"/>
          <w:tab w:val="clear" w:pos="3515"/>
          <w:tab w:val="clear" w:pos="4082"/>
        </w:tabs>
        <w:spacing w:after="120"/>
        <w:ind w:left="1247" w:firstLine="624"/>
        <w:rPr>
          <w:lang w:val="es-ES_tradnl"/>
        </w:rPr>
      </w:pPr>
      <w:r w:rsidRPr="002927A1">
        <w:rPr>
          <w:i/>
          <w:iCs/>
          <w:lang w:val="es-ES_tradnl"/>
        </w:rPr>
        <w:t>Solicita también</w:t>
      </w:r>
      <w:r w:rsidRPr="002927A1">
        <w:rPr>
          <w:lang w:val="es-ES_tradnl"/>
        </w:rPr>
        <w:t xml:space="preserve"> a la Secretaría que: </w:t>
      </w:r>
    </w:p>
    <w:p w14:paraId="76242214" w14:textId="4E5EBE07" w:rsidR="00D21475" w:rsidRPr="002927A1" w:rsidRDefault="00D21475" w:rsidP="00A524DB">
      <w:pPr>
        <w:pStyle w:val="Normal-pool"/>
        <w:numPr>
          <w:ilvl w:val="0"/>
          <w:numId w:val="50"/>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 xml:space="preserve">Distribuya entre todas las Partes, Estados que no son Partes y otros interesados, en especial las organizaciones pertinentes, una convocatoria abierta para la designación </w:t>
      </w:r>
      <w:r w:rsidR="00FA1708" w:rsidRPr="002927A1">
        <w:rPr>
          <w:lang w:val="es-ES_tradnl"/>
        </w:rPr>
        <w:t xml:space="preserve">de expertos familiarizados con </w:t>
      </w:r>
      <w:r w:rsidRPr="002927A1">
        <w:rPr>
          <w:lang w:val="es-ES_tradnl"/>
        </w:rPr>
        <w:t>el uso de códigos aduaneros nacionales para que participen en el proceso abierto;</w:t>
      </w:r>
    </w:p>
    <w:p w14:paraId="633C4DC7" w14:textId="24F2B26A" w:rsidR="00D21475" w:rsidRPr="002927A1" w:rsidRDefault="004027EE" w:rsidP="00A524DB">
      <w:pPr>
        <w:pStyle w:val="Normal-pool"/>
        <w:numPr>
          <w:ilvl w:val="0"/>
          <w:numId w:val="50"/>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Pida</w:t>
      </w:r>
      <w:r w:rsidR="00D21475" w:rsidRPr="002927A1">
        <w:rPr>
          <w:lang w:val="es-ES_tradnl"/>
        </w:rPr>
        <w:t xml:space="preserve"> a esos expertos que presenten sus comunicaciones antes del 31 de marzo de</w:t>
      </w:r>
      <w:r w:rsidR="001B5537" w:rsidRPr="002927A1">
        <w:rPr>
          <w:lang w:val="es-ES_tradnl"/>
        </w:rPr>
        <w:t> </w:t>
      </w:r>
      <w:r w:rsidR="00D21475" w:rsidRPr="002927A1">
        <w:rPr>
          <w:lang w:val="es-ES_tradnl"/>
        </w:rPr>
        <w:t>2020; esas comunicaciones deberían incluir información pertinente para la labor relativa a</w:t>
      </w:r>
      <w:r w:rsidR="00FA6A30" w:rsidRPr="002927A1">
        <w:rPr>
          <w:lang w:val="es-ES_tradnl"/>
        </w:rPr>
        <w:t xml:space="preserve"> </w:t>
      </w:r>
      <w:r w:rsidR="00D21475" w:rsidRPr="002927A1">
        <w:rPr>
          <w:lang w:val="es-ES_tradnl"/>
        </w:rPr>
        <w:t>los párrafos</w:t>
      </w:r>
      <w:r w:rsidR="001B5537" w:rsidRPr="002927A1">
        <w:rPr>
          <w:lang w:val="es-ES_tradnl"/>
        </w:rPr>
        <w:t> </w:t>
      </w:r>
      <w:r w:rsidR="00D21475" w:rsidRPr="002927A1">
        <w:rPr>
          <w:lang w:val="es-ES_tradnl"/>
        </w:rPr>
        <w:t>1 a) i) a iii) de la presente decisión;</w:t>
      </w:r>
    </w:p>
    <w:p w14:paraId="1B80B685" w14:textId="77777777" w:rsidR="00D21475" w:rsidRPr="002927A1" w:rsidRDefault="00D21475" w:rsidP="00A524DB">
      <w:pPr>
        <w:pStyle w:val="Normal-pool"/>
        <w:numPr>
          <w:ilvl w:val="0"/>
          <w:numId w:val="50"/>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 xml:space="preserve">Prepare, en colaboración con la Asociación sobre Productos, un proyecto de informe sobre los tres elementos mencionados en el párrafo 1 a) de la presente decisión; </w:t>
      </w:r>
    </w:p>
    <w:p w14:paraId="33E6BD05" w14:textId="77777777" w:rsidR="00D21475" w:rsidRPr="002927A1" w:rsidRDefault="00D21475" w:rsidP="00A524DB">
      <w:pPr>
        <w:pStyle w:val="Normal-pool"/>
        <w:numPr>
          <w:ilvl w:val="0"/>
          <w:numId w:val="50"/>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Publique el proyecto de informe en el sitio web del Convenio, e invite a las Partes y otros interesados a formular observaciones antes del 30 de enero de 2021;</w:t>
      </w:r>
    </w:p>
    <w:p w14:paraId="4ABC96F9" w14:textId="68823F44" w:rsidR="00D21475" w:rsidRPr="002927A1" w:rsidRDefault="00D21475" w:rsidP="00A524DB">
      <w:pPr>
        <w:pStyle w:val="Normal-pool"/>
        <w:numPr>
          <w:ilvl w:val="0"/>
          <w:numId w:val="50"/>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Revise, en colaboración con la Asociación, el proyecto de informe, teniendo debidamente en cuenta las aportaciones de las Partes y otros interesados;</w:t>
      </w:r>
    </w:p>
    <w:p w14:paraId="38FB3908" w14:textId="3FF89F88" w:rsidR="003F4DA7" w:rsidRPr="002927A1" w:rsidRDefault="00D21475" w:rsidP="00A524DB">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Presente la versión definitiva del informe a la Conferencia de las Partes en su cuarta reunión para su examen</w:t>
      </w:r>
      <w:r w:rsidR="003F4DA7" w:rsidRPr="002927A1">
        <w:rPr>
          <w:lang w:val="es-ES_tradnl"/>
        </w:rPr>
        <w:t>.</w:t>
      </w:r>
    </w:p>
    <w:p w14:paraId="3AA6BEB9" w14:textId="77777777" w:rsidR="00A35F55" w:rsidRPr="002927A1" w:rsidRDefault="00A35F55">
      <w:pPr>
        <w:tabs>
          <w:tab w:val="clear" w:pos="1247"/>
          <w:tab w:val="clear" w:pos="1814"/>
          <w:tab w:val="clear" w:pos="2381"/>
          <w:tab w:val="clear" w:pos="2948"/>
          <w:tab w:val="clear" w:pos="3515"/>
        </w:tabs>
        <w:rPr>
          <w:b/>
          <w:bCs/>
          <w:sz w:val="24"/>
          <w:szCs w:val="24"/>
        </w:rPr>
      </w:pPr>
      <w:bookmarkStart w:id="75" w:name="_Toc27124744"/>
      <w:r w:rsidRPr="002927A1">
        <w:rPr>
          <w:bCs/>
        </w:rPr>
        <w:br w:type="page"/>
      </w:r>
    </w:p>
    <w:p w14:paraId="4329C502" w14:textId="01B1B1D9" w:rsidR="003F4DA7" w:rsidRPr="007435A7" w:rsidRDefault="00723EE5" w:rsidP="00CE502E">
      <w:pPr>
        <w:pStyle w:val="CH2"/>
        <w:rPr>
          <w:sz w:val="28"/>
          <w:szCs w:val="28"/>
          <w:lang w:val="es-ES_tradnl"/>
        </w:rPr>
      </w:pPr>
      <w:r w:rsidRPr="002927A1">
        <w:rPr>
          <w:bCs/>
          <w:lang w:val="es-ES_tradnl"/>
        </w:rPr>
        <w:lastRenderedPageBreak/>
        <w:tab/>
      </w:r>
      <w:r w:rsidRPr="007435A7">
        <w:rPr>
          <w:bCs/>
          <w:sz w:val="28"/>
          <w:szCs w:val="28"/>
          <w:lang w:val="es-ES_tradnl"/>
        </w:rPr>
        <w:tab/>
      </w:r>
      <w:r w:rsidR="003F4DA7" w:rsidRPr="007435A7">
        <w:rPr>
          <w:bCs/>
          <w:sz w:val="28"/>
          <w:szCs w:val="28"/>
          <w:lang w:val="es-ES_tradnl"/>
        </w:rPr>
        <w:t xml:space="preserve">MC-3/4: </w:t>
      </w:r>
      <w:r w:rsidR="000B180C" w:rsidRPr="007435A7">
        <w:rPr>
          <w:bCs/>
          <w:sz w:val="28"/>
          <w:szCs w:val="28"/>
          <w:lang w:val="es-ES_tradnl"/>
        </w:rPr>
        <w:t>Liberaciones de mercurio</w:t>
      </w:r>
      <w:bookmarkEnd w:id="75"/>
    </w:p>
    <w:p w14:paraId="3304BEDA" w14:textId="1FFF57FA" w:rsidR="000B180C" w:rsidRPr="002927A1" w:rsidRDefault="000B180C" w:rsidP="000B180C">
      <w:pPr>
        <w:pStyle w:val="Normal-pool"/>
        <w:tabs>
          <w:tab w:val="left" w:pos="624"/>
        </w:tabs>
        <w:spacing w:after="120"/>
        <w:ind w:left="1247" w:firstLine="624"/>
        <w:rPr>
          <w:bCs/>
          <w:i/>
          <w:iCs/>
          <w:lang w:val="es-ES_tradnl"/>
        </w:rPr>
      </w:pPr>
      <w:r w:rsidRPr="002927A1">
        <w:rPr>
          <w:i/>
          <w:iCs/>
          <w:lang w:val="es-ES_tradnl"/>
        </w:rPr>
        <w:t>La Conferencia de las Partes,</w:t>
      </w:r>
    </w:p>
    <w:p w14:paraId="0C014385" w14:textId="77777777" w:rsidR="000B180C" w:rsidRPr="002927A1" w:rsidRDefault="000B180C" w:rsidP="0088695B">
      <w:pPr>
        <w:keepNext/>
        <w:keepLines/>
        <w:tabs>
          <w:tab w:val="clear" w:pos="1247"/>
          <w:tab w:val="clear" w:pos="1814"/>
          <w:tab w:val="clear" w:pos="2381"/>
          <w:tab w:val="clear" w:pos="2948"/>
          <w:tab w:val="clear" w:pos="3515"/>
          <w:tab w:val="left" w:pos="624"/>
        </w:tabs>
        <w:spacing w:after="120"/>
        <w:ind w:left="1247" w:firstLine="624"/>
        <w:rPr>
          <w:bCs/>
        </w:rPr>
      </w:pPr>
      <w:r w:rsidRPr="002927A1">
        <w:rPr>
          <w:i/>
        </w:rPr>
        <w:t>Acogiendo</w:t>
      </w:r>
      <w:r w:rsidRPr="002927A1">
        <w:rPr>
          <w:i/>
          <w:iCs/>
        </w:rPr>
        <w:t xml:space="preserve"> con beneplácito</w:t>
      </w:r>
      <w:r w:rsidRPr="002927A1">
        <w:t xml:space="preserve"> el informe del grupo de expertos técnicos sobre las directrices relativas a las liberaciones de mercurio redactado en virtud de la decisión MC</w:t>
      </w:r>
      <w:r w:rsidRPr="002927A1">
        <w:noBreakHyphen/>
        <w:t>2/3,</w:t>
      </w:r>
    </w:p>
    <w:p w14:paraId="09B83877" w14:textId="39ECA43F" w:rsidR="003F4DA7" w:rsidRPr="002927A1" w:rsidRDefault="000B180C" w:rsidP="0088695B">
      <w:pPr>
        <w:keepNext/>
        <w:keepLines/>
        <w:tabs>
          <w:tab w:val="clear" w:pos="1247"/>
          <w:tab w:val="clear" w:pos="1814"/>
          <w:tab w:val="clear" w:pos="2381"/>
          <w:tab w:val="clear" w:pos="2948"/>
          <w:tab w:val="clear" w:pos="3515"/>
          <w:tab w:val="left" w:pos="624"/>
        </w:tabs>
        <w:spacing w:after="120"/>
        <w:ind w:left="1247" w:firstLine="624"/>
        <w:rPr>
          <w:bCs/>
        </w:rPr>
      </w:pPr>
      <w:r w:rsidRPr="002927A1">
        <w:rPr>
          <w:i/>
          <w:iCs/>
        </w:rPr>
        <w:t xml:space="preserve">Reconociendo </w:t>
      </w:r>
      <w:r w:rsidRPr="002927A1">
        <w:rPr>
          <w:i/>
        </w:rPr>
        <w:t>que</w:t>
      </w:r>
      <w:r w:rsidRPr="002927A1">
        <w:t xml:space="preserve"> en la decisión MC</w:t>
      </w:r>
      <w:r w:rsidRPr="002927A1">
        <w:noBreakHyphen/>
        <w:t>2/3 se había solicitado al grupo que elaborara un proyecto de directrices sobre las metodologías normalizadas y conocidas para la preparación de inventarios de las fuentes puntuales pertinentes detectadas, con miras a su posible aprobación por la Conferencia de las Partes en su cuarta reunión</w:t>
      </w:r>
      <w:r w:rsidR="003F4DA7" w:rsidRPr="002927A1">
        <w:rPr>
          <w:bCs/>
        </w:rPr>
        <w:t>,</w:t>
      </w:r>
    </w:p>
    <w:p w14:paraId="7B5AE25A" w14:textId="5E9D2137" w:rsidR="003F4DA7" w:rsidRPr="002927A1" w:rsidRDefault="000B180C" w:rsidP="0088695B">
      <w:pPr>
        <w:keepNext/>
        <w:keepLines/>
        <w:tabs>
          <w:tab w:val="clear" w:pos="1247"/>
          <w:tab w:val="clear" w:pos="1814"/>
          <w:tab w:val="clear" w:pos="2381"/>
          <w:tab w:val="clear" w:pos="2948"/>
          <w:tab w:val="clear" w:pos="3515"/>
          <w:tab w:val="left" w:pos="624"/>
        </w:tabs>
        <w:spacing w:after="120"/>
        <w:ind w:left="1247" w:firstLine="624"/>
        <w:rPr>
          <w:bCs/>
        </w:rPr>
      </w:pPr>
      <w:r w:rsidRPr="002927A1">
        <w:rPr>
          <w:i/>
        </w:rPr>
        <w:t>Reconociendo</w:t>
      </w:r>
      <w:r w:rsidRPr="002927A1">
        <w:rPr>
          <w:i/>
          <w:iCs/>
        </w:rPr>
        <w:t xml:space="preserve"> también</w:t>
      </w:r>
      <w:r w:rsidRPr="002927A1">
        <w:t xml:space="preserve"> que en la decisión MC</w:t>
      </w:r>
      <w:r w:rsidRPr="002927A1">
        <w:noBreakHyphen/>
        <w:t>2/3 la Conferencia de las Partes había decidido que en su tercera reunión examinaría de nuevo la composición del grupo de expertos y la necesidad de que las reuniones del grupo de expertos fueran presenciales</w:t>
      </w:r>
      <w:r w:rsidR="003F4DA7" w:rsidRPr="002927A1">
        <w:rPr>
          <w:bCs/>
        </w:rPr>
        <w:t>,</w:t>
      </w:r>
    </w:p>
    <w:p w14:paraId="68AA8E94" w14:textId="5B171716" w:rsidR="003F4DA7" w:rsidRPr="002927A1" w:rsidRDefault="000B180C" w:rsidP="00A524DB">
      <w:pPr>
        <w:keepNext/>
        <w:keepLines/>
        <w:numPr>
          <w:ilvl w:val="0"/>
          <w:numId w:val="19"/>
        </w:numPr>
        <w:tabs>
          <w:tab w:val="clear" w:pos="1247"/>
          <w:tab w:val="clear" w:pos="1814"/>
          <w:tab w:val="clear" w:pos="2381"/>
          <w:tab w:val="clear" w:pos="2948"/>
          <w:tab w:val="clear" w:pos="3515"/>
          <w:tab w:val="left" w:pos="624"/>
        </w:tabs>
        <w:spacing w:after="120"/>
        <w:ind w:left="1247" w:firstLine="624"/>
        <w:rPr>
          <w:bCs/>
        </w:rPr>
      </w:pPr>
      <w:r w:rsidRPr="002927A1">
        <w:rPr>
          <w:i/>
          <w:iCs/>
        </w:rPr>
        <w:t xml:space="preserve">Invita </w:t>
      </w:r>
      <w:r w:rsidRPr="002927A1">
        <w:t>a las Partes a que confirmen a los miembros actuales del grupo y, según proceda, nombren a nuevos miembros o sustituyan a los existentes por conducto de los miembros de</w:t>
      </w:r>
      <w:r w:rsidR="001B5537" w:rsidRPr="002927A1">
        <w:t> </w:t>
      </w:r>
      <w:r w:rsidRPr="002927A1">
        <w:t>la</w:t>
      </w:r>
      <w:r w:rsidR="001B5537" w:rsidRPr="002927A1">
        <w:t> </w:t>
      </w:r>
      <w:r w:rsidRPr="002927A1">
        <w:t>Mesa</w:t>
      </w:r>
      <w:r w:rsidR="003F4DA7" w:rsidRPr="002927A1">
        <w:rPr>
          <w:bCs/>
        </w:rPr>
        <w:t>;</w:t>
      </w:r>
    </w:p>
    <w:p w14:paraId="722CB594" w14:textId="5955ADB6" w:rsidR="003F4DA7" w:rsidRPr="002927A1" w:rsidRDefault="005723B2" w:rsidP="00D12327">
      <w:pPr>
        <w:keepNext/>
        <w:keepLines/>
        <w:numPr>
          <w:ilvl w:val="0"/>
          <w:numId w:val="19"/>
        </w:numPr>
        <w:tabs>
          <w:tab w:val="clear" w:pos="1247"/>
          <w:tab w:val="clear" w:pos="1814"/>
          <w:tab w:val="clear" w:pos="2381"/>
          <w:tab w:val="clear" w:pos="2948"/>
          <w:tab w:val="clear" w:pos="3515"/>
          <w:tab w:val="left" w:pos="624"/>
        </w:tabs>
        <w:spacing w:after="120"/>
        <w:ind w:left="1247" w:firstLine="624"/>
        <w:rPr>
          <w:bCs/>
        </w:rPr>
      </w:pPr>
      <w:r w:rsidRPr="002927A1">
        <w:rPr>
          <w:i/>
          <w:iCs/>
        </w:rPr>
        <w:t xml:space="preserve">Solicita </w:t>
      </w:r>
      <w:r w:rsidRPr="002927A1">
        <w:t xml:space="preserve">al grupo que continúe su labor por medios electrónicos, con la posibilidad de celebrar una reunión presencial, si fuese necesario y con sujeción a la disponibilidad de recursos, de conformidad con la hoja de ruta que figura en </w:t>
      </w:r>
      <w:r w:rsidR="005E0266" w:rsidRPr="002927A1">
        <w:t xml:space="preserve">el </w:t>
      </w:r>
      <w:r w:rsidR="00B61D76" w:rsidRPr="002927A1">
        <w:t>informe sobre la elaboración de directrices sobre las metodologías para la creación de inventarios de liberaciones de mercurio al suelo y al agua en virtud del artículo 9 del Convenio</w:t>
      </w:r>
      <w:r w:rsidR="00DA0885" w:rsidRPr="002927A1">
        <w:rPr>
          <w:rStyle w:val="FootnoteReference"/>
        </w:rPr>
        <w:footnoteReference w:id="2"/>
      </w:r>
      <w:r w:rsidRPr="002927A1">
        <w:t>,</w:t>
      </w:r>
      <w:r w:rsidR="00FA6A30" w:rsidRPr="002927A1">
        <w:t xml:space="preserve"> </w:t>
      </w:r>
      <w:r w:rsidRPr="002927A1">
        <w:t>para redactar un informe que incluya un proyecto de directrices sobre la metodología para la preparación de inventarios de liberaciones, las categorías propuestas para las fuentes puntuales de liberaciones y una hoja de ruta para la elaboración de directrices sobre las mejores técnicas disponibles y las mejores prácticas ambientales</w:t>
      </w:r>
      <w:r w:rsidR="003F4DA7" w:rsidRPr="002927A1">
        <w:rPr>
          <w:bCs/>
        </w:rPr>
        <w:t>;</w:t>
      </w:r>
    </w:p>
    <w:p w14:paraId="383EEB99" w14:textId="151F20CC" w:rsidR="003F4DA7" w:rsidRPr="002927A1" w:rsidRDefault="00B61D76" w:rsidP="00A524DB">
      <w:pPr>
        <w:keepNext/>
        <w:keepLines/>
        <w:numPr>
          <w:ilvl w:val="0"/>
          <w:numId w:val="19"/>
        </w:numPr>
        <w:tabs>
          <w:tab w:val="clear" w:pos="1247"/>
          <w:tab w:val="clear" w:pos="1814"/>
          <w:tab w:val="clear" w:pos="2381"/>
          <w:tab w:val="clear" w:pos="2948"/>
          <w:tab w:val="clear" w:pos="3515"/>
          <w:tab w:val="left" w:pos="624"/>
        </w:tabs>
        <w:spacing w:after="120"/>
        <w:ind w:left="1247" w:firstLine="624"/>
        <w:rPr>
          <w:i/>
          <w:iCs/>
        </w:rPr>
      </w:pPr>
      <w:r w:rsidRPr="002927A1">
        <w:rPr>
          <w:i/>
          <w:iCs/>
        </w:rPr>
        <w:t>Solicita también</w:t>
      </w:r>
      <w:r w:rsidR="003F4DA7" w:rsidRPr="002927A1">
        <w:rPr>
          <w:i/>
          <w:iCs/>
        </w:rPr>
        <w:t xml:space="preserve"> </w:t>
      </w:r>
      <w:r w:rsidRPr="002927A1">
        <w:t>al grupo que base su labor en las consideraciones siguientes</w:t>
      </w:r>
      <w:r w:rsidR="003F4DA7" w:rsidRPr="002927A1">
        <w:t>:</w:t>
      </w:r>
    </w:p>
    <w:p w14:paraId="60E117BC" w14:textId="5582A184" w:rsidR="003F4DA7" w:rsidRPr="002927A1" w:rsidRDefault="00B61D76" w:rsidP="00D12327">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 xml:space="preserve">Las categorías propuestas no deberían incluir fuentes puntuales pertinentes potencialmente significativas cuyas liberaciones ya se abordan en otras disposiciones del Convenio de </w:t>
      </w:r>
      <w:r w:rsidR="003F4DA7" w:rsidRPr="002927A1">
        <w:t>Minamata</w:t>
      </w:r>
      <w:r w:rsidRPr="002927A1">
        <w:t>, independientemente de si esas disposiciones contemplan o no la obligación de realizar inventarios</w:t>
      </w:r>
      <w:r w:rsidR="003F4DA7" w:rsidRPr="002927A1">
        <w:t>;</w:t>
      </w:r>
    </w:p>
    <w:p w14:paraId="36586841" w14:textId="66279306" w:rsidR="003F4DA7" w:rsidRPr="002927A1" w:rsidRDefault="000F3CE2" w:rsidP="00D12327">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 xml:space="preserve">Habida cuenta de que el artículo 9 del </w:t>
      </w:r>
      <w:r w:rsidR="003F4DA7" w:rsidRPr="002927A1">
        <w:t>Conven</w:t>
      </w:r>
      <w:r w:rsidRPr="002927A1">
        <w:t xml:space="preserve">io aborda </w:t>
      </w:r>
      <w:r w:rsidR="00160E34" w:rsidRPr="002927A1">
        <w:t xml:space="preserve">las </w:t>
      </w:r>
      <w:r w:rsidRPr="002927A1">
        <w:t xml:space="preserve">fuentes puntuales pertinentes, </w:t>
      </w:r>
      <w:r w:rsidR="00160E34" w:rsidRPr="002927A1">
        <w:t>las fuentes difusas no deberían incluirse en las categorías propuestas</w:t>
      </w:r>
      <w:r w:rsidR="003F4DA7" w:rsidRPr="002927A1">
        <w:t xml:space="preserve">. </w:t>
      </w:r>
      <w:r w:rsidR="00160E34" w:rsidRPr="002927A1">
        <w:t>Las categorías identificadas en las directrices también deberían limitarse a las categorías de fuentes respecto de las cuales se han documentado liberaciones de mercurio</w:t>
      </w:r>
      <w:r w:rsidR="003F4DA7" w:rsidRPr="002927A1">
        <w:t>;</w:t>
      </w:r>
    </w:p>
    <w:p w14:paraId="78A46119" w14:textId="6B09B678" w:rsidR="003F4DA7" w:rsidRPr="002927A1" w:rsidRDefault="00160E34" w:rsidP="00D12327">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La obligación de velar por que la gestión ambientalmente racional de los desechos, recogida en el Convenio, incluya las liberaciones al suelo y el agua</w:t>
      </w:r>
      <w:r w:rsidR="003F4DA7" w:rsidRPr="002927A1">
        <w:t xml:space="preserve">; </w:t>
      </w:r>
    </w:p>
    <w:p w14:paraId="552DF3F7" w14:textId="7732C6CE" w:rsidR="003F4DA7" w:rsidRPr="002927A1" w:rsidRDefault="003621FA" w:rsidP="00D12327">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Si bien las aguas residual</w:t>
      </w:r>
      <w:r w:rsidR="00723EE5" w:rsidRPr="002927A1">
        <w:t>e</w:t>
      </w:r>
      <w:r w:rsidRPr="002927A1">
        <w:t>s se abordan bajo el artículo 9, las Partes tal vez deseen controlar adicionalmente las aguas residuales con arreglo al artículo 11 del Convenio</w:t>
      </w:r>
      <w:r w:rsidR="003F4DA7" w:rsidRPr="002927A1">
        <w:t>;</w:t>
      </w:r>
    </w:p>
    <w:p w14:paraId="5EF53C8C" w14:textId="43D1CDA4" w:rsidR="003F4DA7" w:rsidRPr="002927A1" w:rsidRDefault="003621FA" w:rsidP="00D12327">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En espera de finalizar la labor antes mencionada, y con vistas a ayudar a las Partes que deseen ampliar el alcance del inventario a que se hace referencia en el párrafo 6 del</w:t>
      </w:r>
      <w:r w:rsidR="00D5089E" w:rsidRPr="002927A1">
        <w:t> </w:t>
      </w:r>
      <w:r w:rsidRPr="002927A1">
        <w:t>artículo 9 para incluir nuevas fuentes puntuales diferentes de las que se abordan en el artículo 9, las directrices sobre la metodología para la elaboración de inventarios de liberaciones debería</w:t>
      </w:r>
      <w:r w:rsidR="00672F57" w:rsidRPr="002927A1">
        <w:t>n</w:t>
      </w:r>
      <w:r w:rsidRPr="002927A1">
        <w:t xml:space="preserve"> proporcionar información sobre fuentes puntuales significativas de liberaciones que abarcan otras disposiciones del Convenio</w:t>
      </w:r>
      <w:r w:rsidR="005A3F3E">
        <w:t>;</w:t>
      </w:r>
    </w:p>
    <w:p w14:paraId="01209D55" w14:textId="5651ECC4" w:rsidR="003F4DA7" w:rsidRPr="002927A1" w:rsidRDefault="00027A66" w:rsidP="00A524DB">
      <w:pPr>
        <w:keepNext/>
        <w:keepLines/>
        <w:numPr>
          <w:ilvl w:val="0"/>
          <w:numId w:val="19"/>
        </w:numPr>
        <w:tabs>
          <w:tab w:val="clear" w:pos="1247"/>
          <w:tab w:val="clear" w:pos="1814"/>
          <w:tab w:val="clear" w:pos="2381"/>
          <w:tab w:val="clear" w:pos="2948"/>
          <w:tab w:val="clear" w:pos="3515"/>
          <w:tab w:val="left" w:pos="624"/>
        </w:tabs>
        <w:spacing w:after="120"/>
        <w:ind w:left="1247" w:firstLine="624"/>
      </w:pPr>
      <w:r w:rsidRPr="002927A1">
        <w:rPr>
          <w:i/>
          <w:iCs/>
        </w:rPr>
        <w:t xml:space="preserve">Solicita </w:t>
      </w:r>
      <w:r w:rsidRPr="002927A1">
        <w:t>a la Secretaría que respalde la labor del grupo</w:t>
      </w:r>
      <w:r w:rsidR="003F4DA7" w:rsidRPr="002927A1">
        <w:t>.</w:t>
      </w:r>
    </w:p>
    <w:p w14:paraId="31B1F3C9" w14:textId="77777777" w:rsidR="00DA0885" w:rsidRPr="002927A1" w:rsidRDefault="00DA0885" w:rsidP="00B45922">
      <w:pPr>
        <w:pStyle w:val="ZZAnxtitle"/>
        <w:spacing w:before="300"/>
        <w:rPr>
          <w:bCs w:val="0"/>
          <w:lang w:val="es-ES_tradnl"/>
        </w:rPr>
      </w:pPr>
      <w:bookmarkStart w:id="76" w:name="_Toc27124746"/>
      <w:r w:rsidRPr="002927A1">
        <w:rPr>
          <w:bCs w:val="0"/>
          <w:lang w:val="es-ES_tradnl"/>
        </w:rPr>
        <w:br w:type="page"/>
      </w:r>
    </w:p>
    <w:p w14:paraId="5B406A84" w14:textId="5B810455" w:rsidR="003F4DA7" w:rsidRPr="002927A1" w:rsidRDefault="003F4DA7" w:rsidP="00B45922">
      <w:pPr>
        <w:pStyle w:val="ZZAnxtitle"/>
        <w:spacing w:before="300"/>
        <w:rPr>
          <w:b w:val="0"/>
          <w:lang w:val="es-ES_tradnl"/>
        </w:rPr>
      </w:pPr>
      <w:r w:rsidRPr="002927A1">
        <w:rPr>
          <w:bCs w:val="0"/>
          <w:lang w:val="es-ES_tradnl"/>
        </w:rPr>
        <w:lastRenderedPageBreak/>
        <w:t xml:space="preserve">MC-3/5: </w:t>
      </w:r>
      <w:bookmarkEnd w:id="76"/>
      <w:r w:rsidR="00B45922" w:rsidRPr="002927A1">
        <w:rPr>
          <w:lang w:val="es-ES_tradnl"/>
        </w:rPr>
        <w:t xml:space="preserve">Umbrales para los desechos de mercurio </w:t>
      </w:r>
    </w:p>
    <w:p w14:paraId="7B026B42" w14:textId="77777777" w:rsidR="00B45922" w:rsidRPr="002927A1" w:rsidRDefault="00B45922" w:rsidP="0088695B">
      <w:pPr>
        <w:keepNext/>
        <w:keepLines/>
        <w:tabs>
          <w:tab w:val="clear" w:pos="1247"/>
          <w:tab w:val="clear" w:pos="1814"/>
          <w:tab w:val="clear" w:pos="2381"/>
          <w:tab w:val="clear" w:pos="2948"/>
          <w:tab w:val="clear" w:pos="3515"/>
          <w:tab w:val="left" w:pos="624"/>
        </w:tabs>
        <w:spacing w:after="120"/>
        <w:ind w:left="1247" w:firstLine="624"/>
        <w:rPr>
          <w:i/>
        </w:rPr>
      </w:pPr>
      <w:r w:rsidRPr="002927A1">
        <w:rPr>
          <w:i/>
        </w:rPr>
        <w:t>La Conferencia de las Partes,</w:t>
      </w:r>
    </w:p>
    <w:p w14:paraId="1C7B2970" w14:textId="26D9CB59" w:rsidR="003F4DA7" w:rsidRPr="002927A1" w:rsidRDefault="00B45922" w:rsidP="0088695B">
      <w:pPr>
        <w:keepNext/>
        <w:keepLines/>
        <w:tabs>
          <w:tab w:val="clear" w:pos="1247"/>
          <w:tab w:val="clear" w:pos="1814"/>
          <w:tab w:val="clear" w:pos="2381"/>
          <w:tab w:val="clear" w:pos="2948"/>
          <w:tab w:val="clear" w:pos="3515"/>
          <w:tab w:val="left" w:pos="624"/>
        </w:tabs>
        <w:spacing w:after="120"/>
        <w:ind w:left="1247" w:firstLine="624"/>
      </w:pPr>
      <w:r w:rsidRPr="002927A1">
        <w:rPr>
          <w:i/>
          <w:iCs/>
        </w:rPr>
        <w:t>Acogiendo con be</w:t>
      </w:r>
      <w:r w:rsidRPr="002927A1">
        <w:rPr>
          <w:i/>
        </w:rPr>
        <w:t>n</w:t>
      </w:r>
      <w:r w:rsidRPr="002927A1">
        <w:rPr>
          <w:i/>
          <w:iCs/>
        </w:rPr>
        <w:t>eplácito</w:t>
      </w:r>
      <w:r w:rsidRPr="002927A1">
        <w:t xml:space="preserve"> los resultados de la labor del grupo de expertos técnicos sobre los umbrales para los desechos de mercurio</w:t>
      </w:r>
      <w:r w:rsidR="003F4DA7" w:rsidRPr="002927A1">
        <w:t>,</w:t>
      </w:r>
    </w:p>
    <w:p w14:paraId="3BF17672" w14:textId="47124890" w:rsidR="003F4DA7" w:rsidRPr="002927A1" w:rsidRDefault="00B45922" w:rsidP="0088695B">
      <w:pPr>
        <w:keepNext/>
        <w:keepLines/>
        <w:tabs>
          <w:tab w:val="clear" w:pos="1247"/>
          <w:tab w:val="clear" w:pos="1814"/>
          <w:tab w:val="clear" w:pos="2381"/>
          <w:tab w:val="clear" w:pos="2948"/>
          <w:tab w:val="clear" w:pos="3515"/>
          <w:tab w:val="left" w:pos="624"/>
        </w:tabs>
        <w:spacing w:after="120"/>
        <w:ind w:left="1247" w:firstLine="624"/>
      </w:pPr>
      <w:r w:rsidRPr="005D2C10">
        <w:rPr>
          <w:i/>
          <w:iCs/>
        </w:rPr>
        <w:t xml:space="preserve">Tomando </w:t>
      </w:r>
      <w:r w:rsidRPr="005D2C10">
        <w:rPr>
          <w:i/>
        </w:rPr>
        <w:t>nota</w:t>
      </w:r>
      <w:r w:rsidRPr="005D2C10">
        <w:t xml:space="preserve"> de la decisión BC-14/8</w:t>
      </w:r>
      <w:r w:rsidR="00F61D30" w:rsidRPr="005D2C10">
        <w:t xml:space="preserve">, relativa a directrices técnicas para la gestión ambientalmente racional de desechos consistentes en mercurio o compuestos de mercurio, que los contengan o estén contaminados con ellos, </w:t>
      </w:r>
      <w:r w:rsidRPr="005D2C10">
        <w:t>aproba</w:t>
      </w:r>
      <w:r w:rsidRPr="002927A1">
        <w:t>da por la Conferencia de las Partes en el Convenio de Basilea sobre el Control de los Movimientos Transfronterizos de los Desechos Peligrosos y su Eliminación en su 14ª reunión</w:t>
      </w:r>
      <w:r w:rsidR="003F4DA7" w:rsidRPr="002927A1">
        <w:t>,</w:t>
      </w:r>
    </w:p>
    <w:p w14:paraId="3959B534" w14:textId="73AF4740" w:rsidR="003F4DA7" w:rsidRPr="002927A1" w:rsidRDefault="00B45922"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Decide </w:t>
      </w:r>
      <w:r w:rsidRPr="002927A1">
        <w:t>que no es necesario establecer ningún umbral para los desechos de mercurio contemplados en el apartado a) del párrafo 2 del artículo 11, y que los desechos incluidos en el cuadro 1 del anexo de la presente decisión se considerarán desechos de mercurio de ese tipo</w:t>
      </w:r>
      <w:r w:rsidR="003F4DA7" w:rsidRPr="002927A1">
        <w:rPr>
          <w:rFonts w:eastAsia="MS PGothic"/>
        </w:rPr>
        <w:t>;</w:t>
      </w:r>
    </w:p>
    <w:p w14:paraId="418951CD" w14:textId="33EC4D19" w:rsidR="003F4DA7" w:rsidRPr="002927A1" w:rsidRDefault="00B45922"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Decide también </w:t>
      </w:r>
      <w:r w:rsidRPr="002927A1">
        <w:t xml:space="preserve">que no es necesario establecer ningún umbral para los desechos de mercurio contemplados en el apartado b) del párrafo 2 del artículo 11, y que los productos con mercurio añadido </w:t>
      </w:r>
      <w:r w:rsidR="00336482" w:rsidRPr="002927A1">
        <w:rPr>
          <w:rFonts w:cs="Myriad Pro"/>
          <w:color w:val="000000"/>
        </w:rPr>
        <w:t>a cuya eliminación se procede, se propone proceder o se está obligado a proceder</w:t>
      </w:r>
      <w:r w:rsidRPr="002927A1">
        <w:t>, inclu</w:t>
      </w:r>
      <w:r w:rsidR="00336482" w:rsidRPr="002927A1">
        <w:t>idos</w:t>
      </w:r>
      <w:r w:rsidRPr="002927A1">
        <w:t xml:space="preserve"> los que figuran en el cuadro 2 del anexo de la presente decisión, se considerarán desechos de mercurio de ese tipo</w:t>
      </w:r>
      <w:r w:rsidR="003F4DA7" w:rsidRPr="002927A1">
        <w:rPr>
          <w:rFonts w:eastAsia="MS PGothic"/>
        </w:rPr>
        <w:t>;</w:t>
      </w:r>
    </w:p>
    <w:p w14:paraId="4C13EB01" w14:textId="3564A1C6" w:rsidR="003F4DA7" w:rsidRPr="002927A1" w:rsidRDefault="00B45922"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 xml:space="preserve">Solicita </w:t>
      </w:r>
      <w:r w:rsidRPr="002927A1">
        <w:rPr>
          <w:rFonts w:eastAsia="MS PGothic"/>
        </w:rPr>
        <w:t xml:space="preserve">al </w:t>
      </w:r>
      <w:r w:rsidRPr="002927A1">
        <w:rPr>
          <w:iCs/>
        </w:rPr>
        <w:t>grupo</w:t>
      </w:r>
      <w:r w:rsidRPr="002927A1">
        <w:rPr>
          <w:rFonts w:eastAsia="MS PGothic"/>
          <w:iCs/>
        </w:rPr>
        <w:t xml:space="preserve"> de expertos técnicos que siga </w:t>
      </w:r>
      <w:r w:rsidR="00C02299" w:rsidRPr="002927A1">
        <w:rPr>
          <w:rFonts w:eastAsia="MS PGothic"/>
          <w:iCs/>
        </w:rPr>
        <w:t xml:space="preserve">fundamentando su </w:t>
      </w:r>
      <w:r w:rsidRPr="002927A1">
        <w:rPr>
          <w:rFonts w:eastAsia="MS PGothic"/>
          <w:iCs/>
        </w:rPr>
        <w:t xml:space="preserve">recomendación </w:t>
      </w:r>
      <w:r w:rsidR="004C535B" w:rsidRPr="002927A1">
        <w:rPr>
          <w:rFonts w:eastAsia="MS PGothic"/>
          <w:iCs/>
        </w:rPr>
        <w:t>de que podría resultar pertinente</w:t>
      </w:r>
      <w:r w:rsidR="004C535B" w:rsidRPr="002927A1">
        <w:rPr>
          <w:rFonts w:eastAsia="MS PGothic"/>
        </w:rPr>
        <w:t xml:space="preserve"> definir </w:t>
      </w:r>
      <w:r w:rsidR="004C535B" w:rsidRPr="002927A1">
        <w:rPr>
          <w:color w:val="212529"/>
          <w:shd w:val="clear" w:color="auto" w:fill="F8F7F7"/>
        </w:rPr>
        <w:t xml:space="preserve">umbrales para la concentración total de desechos de mercurio recogidos en el </w:t>
      </w:r>
      <w:r w:rsidR="00FB7E46" w:rsidRPr="002927A1">
        <w:rPr>
          <w:color w:val="212529"/>
          <w:shd w:val="clear" w:color="auto" w:fill="F8F7F7"/>
        </w:rPr>
        <w:t>apartado</w:t>
      </w:r>
      <w:r w:rsidR="004C535B" w:rsidRPr="002927A1">
        <w:rPr>
          <w:color w:val="212529"/>
          <w:shd w:val="clear" w:color="auto" w:fill="F8F7F7"/>
        </w:rPr>
        <w:t xml:space="preserve"> </w:t>
      </w:r>
      <w:r w:rsidR="003F4DA7" w:rsidRPr="002927A1">
        <w:rPr>
          <w:rFonts w:eastAsia="MS PGothic"/>
        </w:rPr>
        <w:t xml:space="preserve">2 c) </w:t>
      </w:r>
      <w:r w:rsidR="004C535B" w:rsidRPr="002927A1">
        <w:rPr>
          <w:rFonts w:eastAsia="MS PGothic"/>
        </w:rPr>
        <w:t>del artículo</w:t>
      </w:r>
      <w:r w:rsidR="004027EE" w:rsidRPr="002927A1">
        <w:rPr>
          <w:rFonts w:eastAsia="MS PGothic"/>
        </w:rPr>
        <w:t xml:space="preserve"> 11</w:t>
      </w:r>
      <w:r w:rsidR="003F4DA7" w:rsidRPr="002927A1">
        <w:rPr>
          <w:rFonts w:eastAsia="MS PGothic"/>
        </w:rPr>
        <w:t>, inclu</w:t>
      </w:r>
      <w:r w:rsidR="004C535B" w:rsidRPr="002927A1">
        <w:rPr>
          <w:rFonts w:eastAsia="MS PGothic"/>
        </w:rPr>
        <w:t>ido un análisis técnico de opciones y el examen de las posibles repercusiones</w:t>
      </w:r>
      <w:r w:rsidR="003F4DA7" w:rsidRPr="002927A1">
        <w:rPr>
          <w:rFonts w:eastAsia="MS PGothic"/>
        </w:rPr>
        <w:t>;</w:t>
      </w:r>
    </w:p>
    <w:p w14:paraId="332B74C8" w14:textId="5617BF31" w:rsidR="003F4DA7" w:rsidRPr="002927A1" w:rsidRDefault="004C535B"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Solicita</w:t>
      </w:r>
      <w:r w:rsidRPr="002927A1">
        <w:rPr>
          <w:rFonts w:eastAsia="MS PGothic"/>
        </w:rPr>
        <w:t xml:space="preserve"> a la S</w:t>
      </w:r>
      <w:r w:rsidR="003F4DA7" w:rsidRPr="002927A1">
        <w:rPr>
          <w:rFonts w:eastAsia="MS PGothic"/>
        </w:rPr>
        <w:t>e</w:t>
      </w:r>
      <w:r w:rsidR="003F4DA7" w:rsidRPr="002927A1">
        <w:rPr>
          <w:i/>
        </w:rPr>
        <w:t>c</w:t>
      </w:r>
      <w:r w:rsidR="003F4DA7" w:rsidRPr="002927A1">
        <w:rPr>
          <w:rFonts w:eastAsia="MS PGothic"/>
        </w:rPr>
        <w:t>retar</w:t>
      </w:r>
      <w:r w:rsidRPr="002927A1">
        <w:rPr>
          <w:rFonts w:eastAsia="MS PGothic"/>
        </w:rPr>
        <w:t>í</w:t>
      </w:r>
      <w:r w:rsidR="003F4DA7" w:rsidRPr="002927A1">
        <w:rPr>
          <w:rFonts w:eastAsia="MS PGothic"/>
        </w:rPr>
        <w:t>a</w:t>
      </w:r>
      <w:r w:rsidRPr="002927A1">
        <w:rPr>
          <w:rFonts w:eastAsia="MS PGothic"/>
        </w:rPr>
        <w:t xml:space="preserve"> que, en </w:t>
      </w:r>
      <w:r w:rsidR="003F4DA7" w:rsidRPr="002927A1">
        <w:rPr>
          <w:rFonts w:eastAsia="MS PGothic"/>
        </w:rPr>
        <w:t>coopera</w:t>
      </w:r>
      <w:r w:rsidRPr="002927A1">
        <w:rPr>
          <w:rFonts w:eastAsia="MS PGothic"/>
        </w:rPr>
        <w:t>ción con la esfera de asociación de la extracción de oro artesanal y en p</w:t>
      </w:r>
      <w:r w:rsidR="00047E04" w:rsidRPr="002927A1">
        <w:rPr>
          <w:rFonts w:eastAsia="MS PGothic"/>
        </w:rPr>
        <w:t xml:space="preserve">equeña escala, trate de </w:t>
      </w:r>
      <w:r w:rsidR="00B7051C" w:rsidRPr="002927A1">
        <w:rPr>
          <w:rFonts w:eastAsia="MS PGothic"/>
        </w:rPr>
        <w:t>obtener</w:t>
      </w:r>
      <w:r w:rsidR="00047E04" w:rsidRPr="002927A1">
        <w:rPr>
          <w:rFonts w:eastAsia="MS PGothic"/>
        </w:rPr>
        <w:t xml:space="preserve"> de </w:t>
      </w:r>
      <w:r w:rsidRPr="002927A1">
        <w:rPr>
          <w:rFonts w:eastAsia="MS PGothic"/>
        </w:rPr>
        <w:t>las Partes</w:t>
      </w:r>
      <w:r w:rsidR="00047E04" w:rsidRPr="002927A1">
        <w:rPr>
          <w:rFonts w:eastAsia="MS PGothic"/>
        </w:rPr>
        <w:t xml:space="preserve"> y otros interesados observaciones para mejorar las orientaciones sobre la preparación de planes nacionales de acción sobre la extracción de oro artesanal y en pequeña escala relativ</w:t>
      </w:r>
      <w:r w:rsidR="00A60CBD" w:rsidRPr="002927A1">
        <w:rPr>
          <w:rFonts w:eastAsia="MS PGothic"/>
        </w:rPr>
        <w:t xml:space="preserve">os </w:t>
      </w:r>
      <w:r w:rsidR="00047E04" w:rsidRPr="002927A1">
        <w:rPr>
          <w:rFonts w:eastAsia="MS PGothic"/>
        </w:rPr>
        <w:t>a la gestión de los residuos de esa extracción, con miras a presentar una versión revisada de las orientaciones para su examen y posible aprobación por la Conferencia de las Partes en su cuarta reunión</w:t>
      </w:r>
      <w:r w:rsidR="003F4DA7" w:rsidRPr="002927A1">
        <w:rPr>
          <w:rFonts w:eastAsia="MS PGothic"/>
        </w:rPr>
        <w:t>;</w:t>
      </w:r>
    </w:p>
    <w:p w14:paraId="252BFA52" w14:textId="244F818D" w:rsidR="003F4DA7" w:rsidRPr="002927A1" w:rsidRDefault="00047E04"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iCs/>
        </w:rPr>
      </w:pPr>
      <w:r w:rsidRPr="002927A1">
        <w:rPr>
          <w:i/>
          <w:iCs/>
        </w:rPr>
        <w:t xml:space="preserve">Decide </w:t>
      </w:r>
      <w:r w:rsidRPr="002927A1">
        <w:t xml:space="preserve">que, actualmente, no es necesario establecer umbrales para la roca de recubrimiento y de desecho de la minería, salvo en la extracción primaria de mercurio, y que los umbrales para los residuos de la extracción minera distintos de la extracción primaria de mercurio deberían establecerse con arreglo a un enfoque a dos niveles utilizando un umbral </w:t>
      </w:r>
      <w:r w:rsidR="00E730CF" w:rsidRPr="002927A1">
        <w:t>para la</w:t>
      </w:r>
      <w:r w:rsidRPr="002927A1">
        <w:t xml:space="preserve"> concentración total como parámetro</w:t>
      </w:r>
      <w:r w:rsidR="00E730CF" w:rsidRPr="002927A1">
        <w:t xml:space="preserve"> inicial y un umbral </w:t>
      </w:r>
      <w:r w:rsidR="00077333" w:rsidRPr="002927A1">
        <w:t>para la</w:t>
      </w:r>
      <w:r w:rsidR="00E730CF" w:rsidRPr="002927A1">
        <w:t xml:space="preserve"> lixiviación</w:t>
      </w:r>
      <w:r w:rsidRPr="002927A1">
        <w:t xml:space="preserve"> </w:t>
      </w:r>
      <w:r w:rsidR="00077333" w:rsidRPr="002927A1">
        <w:t>en</w:t>
      </w:r>
      <w:r w:rsidRPr="002927A1">
        <w:t xml:space="preserve"> el segundo nivel, y </w:t>
      </w:r>
      <w:r w:rsidR="00E730CF" w:rsidRPr="002927A1">
        <w:t xml:space="preserve">solicita </w:t>
      </w:r>
      <w:r w:rsidRPr="002927A1">
        <w:t>al grupo de expertos técnicos que conti</w:t>
      </w:r>
      <w:r w:rsidR="00E730CF" w:rsidRPr="002927A1">
        <w:t xml:space="preserve">núe trabajando para establecer </w:t>
      </w:r>
      <w:r w:rsidRPr="002927A1">
        <w:t>l</w:t>
      </w:r>
      <w:r w:rsidR="00E730CF" w:rsidRPr="002927A1">
        <w:t>os</w:t>
      </w:r>
      <w:r w:rsidRPr="002927A1">
        <w:t xml:space="preserve"> umbral</w:t>
      </w:r>
      <w:r w:rsidR="00E730CF" w:rsidRPr="002927A1">
        <w:t>es</w:t>
      </w:r>
      <w:r w:rsidR="003F4DA7" w:rsidRPr="002927A1">
        <w:rPr>
          <w:rFonts w:eastAsia="MS PGothic"/>
        </w:rPr>
        <w:t>;</w:t>
      </w:r>
    </w:p>
    <w:p w14:paraId="232ED137" w14:textId="511EA194" w:rsidR="003F4DA7" w:rsidRPr="002927A1" w:rsidRDefault="00E730CF"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Decide también </w:t>
      </w:r>
      <w:r w:rsidRPr="002927A1">
        <w:t>prorrogar el mandato del grupo de expertos técnicos hasta la cuarta reunión de la Conferencia de las Partes, y exhorta a la Secretaría a cooperar con la Secretaría de los Convenios de Basilea, Estocolmo y Rotterdam para facilitar la cooperación entre los miembros de</w:t>
      </w:r>
      <w:r w:rsidR="00F61D30">
        <w:t>l</w:t>
      </w:r>
      <w:r w:rsidRPr="002927A1">
        <w:t xml:space="preserve"> grupo de expertos técnicos y el pequeño grupo de trabajo entre reuniones establecido en virtud del Convenio de Basilea para actualizar las directrices técnicas sobre el manejo ambientalmente racional de desechos consistentes en mercurio o compuestos de mercurio, que los contengan o estén contaminados con ellos</w:t>
      </w:r>
      <w:r w:rsidR="003F4DA7" w:rsidRPr="002927A1">
        <w:rPr>
          <w:rFonts w:eastAsia="MS PGothic"/>
          <w:szCs w:val="18"/>
          <w:vertAlign w:val="superscript"/>
        </w:rPr>
        <w:footnoteReference w:id="3"/>
      </w:r>
      <w:r w:rsidRPr="002927A1">
        <w:t>;</w:t>
      </w:r>
    </w:p>
    <w:p w14:paraId="561CF203" w14:textId="0F74D277" w:rsidR="003F4DA7" w:rsidRPr="002927A1" w:rsidRDefault="00E730CF"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i/>
        </w:rPr>
      </w:pPr>
      <w:r w:rsidRPr="002927A1">
        <w:rPr>
          <w:rFonts w:eastAsia="MS PGothic"/>
          <w:i/>
        </w:rPr>
        <w:t>Decide además</w:t>
      </w:r>
      <w:r w:rsidR="003F4DA7" w:rsidRPr="002927A1">
        <w:rPr>
          <w:rFonts w:eastAsia="MS PGothic"/>
          <w:i/>
        </w:rPr>
        <w:t xml:space="preserve"> </w:t>
      </w:r>
      <w:r w:rsidRPr="002927A1">
        <w:t>prorrogar</w:t>
      </w:r>
      <w:r w:rsidRPr="002927A1">
        <w:rPr>
          <w:rFonts w:eastAsia="MS PGothic"/>
        </w:rPr>
        <w:t xml:space="preserve"> el mandato del grupo de expertos técnicos a fin de que este</w:t>
      </w:r>
      <w:r w:rsidR="00936F3F">
        <w:rPr>
          <w:rFonts w:eastAsia="MS PGothic"/>
        </w:rPr>
        <w:t> </w:t>
      </w:r>
      <w:r w:rsidRPr="002927A1">
        <w:rPr>
          <w:rFonts w:eastAsia="MS PGothic"/>
        </w:rPr>
        <w:t>pueda:</w:t>
      </w:r>
      <w:r w:rsidR="003F4DA7" w:rsidRPr="002927A1">
        <w:rPr>
          <w:rFonts w:eastAsia="MS PGothic"/>
        </w:rPr>
        <w:t xml:space="preserve"> </w:t>
      </w:r>
    </w:p>
    <w:p w14:paraId="2F7D3E6C" w14:textId="65C97D14" w:rsidR="003F4DA7" w:rsidRPr="002927A1" w:rsidRDefault="00E730CF" w:rsidP="00A524DB">
      <w:pPr>
        <w:numPr>
          <w:ilvl w:val="0"/>
          <w:numId w:val="16"/>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Llevar a cabo un análisis técnico de las opciones de umbrales, tomando en consideración las consecuencias de aplicar las opciones propuestas, y formular recomendaciones</w:t>
      </w:r>
      <w:r w:rsidR="003F4DA7" w:rsidRPr="002927A1">
        <w:rPr>
          <w:rFonts w:eastAsia="MS PGothic"/>
        </w:rPr>
        <w:t>;</w:t>
      </w:r>
    </w:p>
    <w:p w14:paraId="72D08D33" w14:textId="092CF106" w:rsidR="003F4DA7" w:rsidRPr="002927A1" w:rsidRDefault="00E730CF" w:rsidP="00A524DB">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 xml:space="preserve">Definir umbrales para los desechos de mercurio </w:t>
      </w:r>
      <w:r w:rsidR="00AE196C" w:rsidRPr="002927A1">
        <w:rPr>
          <w:rFonts w:eastAsia="MS PGothic"/>
        </w:rPr>
        <w:t>que se abordan en el</w:t>
      </w:r>
      <w:r w:rsidR="00AE196C" w:rsidRPr="00936F3F">
        <w:rPr>
          <w:rFonts w:eastAsia="MS PGothic"/>
        </w:rPr>
        <w:t xml:space="preserve"> </w:t>
      </w:r>
      <w:r w:rsidR="00136A5F" w:rsidRPr="00936F3F">
        <w:rPr>
          <w:rFonts w:eastAsia="MS PGothic"/>
        </w:rPr>
        <w:t>párrafo</w:t>
      </w:r>
      <w:r w:rsidR="00AE196C" w:rsidRPr="002927A1">
        <w:rPr>
          <w:rFonts w:eastAsia="MS PGothic"/>
        </w:rPr>
        <w:t xml:space="preserve"> </w:t>
      </w:r>
      <w:r w:rsidR="003F4DA7" w:rsidRPr="002927A1">
        <w:rPr>
          <w:rFonts w:eastAsia="MS PGothic"/>
        </w:rPr>
        <w:t xml:space="preserve">2 c) </w:t>
      </w:r>
      <w:r w:rsidR="00AE196C" w:rsidRPr="002927A1">
        <w:rPr>
          <w:rFonts w:eastAsia="MS PGothic"/>
        </w:rPr>
        <w:t>del artículo</w:t>
      </w:r>
      <w:r w:rsidR="003F4DA7" w:rsidRPr="002927A1">
        <w:rPr>
          <w:rFonts w:eastAsia="MS PGothic"/>
        </w:rPr>
        <w:t xml:space="preserve"> 11;</w:t>
      </w:r>
    </w:p>
    <w:p w14:paraId="45C5C0CF" w14:textId="195E7EDB" w:rsidR="003F4DA7" w:rsidRPr="002927A1" w:rsidRDefault="00AE196C" w:rsidP="00A524DB">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Realizar un análisis para determinar si habría que definir un umbral para los residuos de la extracción de oro artesanal y en pequeña escala, tomando en cuenta la relación entre los artículos</w:t>
      </w:r>
      <w:r w:rsidR="00111824" w:rsidRPr="002927A1">
        <w:rPr>
          <w:rFonts w:eastAsia="MS PGothic"/>
        </w:rPr>
        <w:t> </w:t>
      </w:r>
      <w:r w:rsidR="003F4DA7" w:rsidRPr="002927A1">
        <w:rPr>
          <w:rFonts w:eastAsia="MS PGothic"/>
        </w:rPr>
        <w:t xml:space="preserve">11 </w:t>
      </w:r>
      <w:r w:rsidRPr="002927A1">
        <w:rPr>
          <w:rFonts w:eastAsia="MS PGothic"/>
        </w:rPr>
        <w:t>y</w:t>
      </w:r>
      <w:r w:rsidR="003F4DA7" w:rsidRPr="002927A1">
        <w:rPr>
          <w:rFonts w:eastAsia="MS PGothic"/>
        </w:rPr>
        <w:t xml:space="preserve"> 7;</w:t>
      </w:r>
      <w:r w:rsidR="00F410E2" w:rsidRPr="002927A1">
        <w:rPr>
          <w:rFonts w:eastAsia="MS PGothic"/>
        </w:rPr>
        <w:t xml:space="preserve"> </w:t>
      </w:r>
    </w:p>
    <w:p w14:paraId="4E829299" w14:textId="0A45689C" w:rsidR="003F4DA7" w:rsidRPr="002927A1" w:rsidRDefault="003F4DA7" w:rsidP="00A524DB">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Recomend</w:t>
      </w:r>
      <w:r w:rsidR="00AE196C" w:rsidRPr="002927A1">
        <w:rPr>
          <w:rFonts w:eastAsia="MS PGothic"/>
        </w:rPr>
        <w:t>ar umbrales para los residuos de la minería de metales no ferrosos a escala industrial distinta de la extracción primaria de mercurio</w:t>
      </w:r>
      <w:r w:rsidRPr="002927A1">
        <w:rPr>
          <w:rFonts w:eastAsia="MS PGothic"/>
        </w:rPr>
        <w:t>;</w:t>
      </w:r>
    </w:p>
    <w:p w14:paraId="023EE9C7" w14:textId="6F1EAC53" w:rsidR="003F4DA7" w:rsidRPr="002927A1" w:rsidRDefault="00AE196C" w:rsidP="00A524DB">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lastRenderedPageBreak/>
        <w:t xml:space="preserve">Con sujeción a la realización de las actividades referidas en los </w:t>
      </w:r>
      <w:r w:rsidR="00FB7E46" w:rsidRPr="002927A1">
        <w:rPr>
          <w:rFonts w:eastAsia="MS PGothic"/>
        </w:rPr>
        <w:t>apartado</w:t>
      </w:r>
      <w:r w:rsidRPr="002927A1">
        <w:rPr>
          <w:rFonts w:eastAsia="MS PGothic"/>
        </w:rPr>
        <w:t xml:space="preserve">s </w:t>
      </w:r>
      <w:r w:rsidR="003F4DA7" w:rsidRPr="002927A1">
        <w:rPr>
          <w:rFonts w:eastAsia="MS PGothic"/>
        </w:rPr>
        <w:t xml:space="preserve">a) </w:t>
      </w:r>
      <w:r w:rsidRPr="002927A1">
        <w:rPr>
          <w:rFonts w:eastAsia="MS PGothic"/>
        </w:rPr>
        <w:t xml:space="preserve">a </w:t>
      </w:r>
      <w:r w:rsidR="003F4DA7" w:rsidRPr="002927A1">
        <w:rPr>
          <w:rFonts w:eastAsia="MS PGothic"/>
        </w:rPr>
        <w:t>d) a</w:t>
      </w:r>
      <w:r w:rsidRPr="002927A1">
        <w:rPr>
          <w:rFonts w:eastAsia="MS PGothic"/>
        </w:rPr>
        <w:t>nteriores</w:t>
      </w:r>
      <w:r w:rsidR="003F4DA7" w:rsidRPr="002927A1">
        <w:rPr>
          <w:rFonts w:eastAsia="MS PGothic"/>
        </w:rPr>
        <w:t>, revi</w:t>
      </w:r>
      <w:r w:rsidRPr="002927A1">
        <w:rPr>
          <w:rFonts w:eastAsia="MS PGothic"/>
        </w:rPr>
        <w:t xml:space="preserve">sar las listas de desechos de mercurio recogidos en los </w:t>
      </w:r>
      <w:r w:rsidR="00FB7E46" w:rsidRPr="002927A1">
        <w:rPr>
          <w:rFonts w:eastAsia="MS PGothic"/>
        </w:rPr>
        <w:t>apartado</w:t>
      </w:r>
      <w:r w:rsidRPr="002927A1">
        <w:rPr>
          <w:rFonts w:eastAsia="MS PGothic"/>
        </w:rPr>
        <w:t xml:space="preserve">s </w:t>
      </w:r>
      <w:r w:rsidR="003F4DA7" w:rsidRPr="002927A1">
        <w:rPr>
          <w:rFonts w:eastAsia="MS PGothic"/>
        </w:rPr>
        <w:t xml:space="preserve">2 a) </w:t>
      </w:r>
      <w:r w:rsidRPr="002927A1">
        <w:rPr>
          <w:rFonts w:eastAsia="MS PGothic"/>
        </w:rPr>
        <w:t>a</w:t>
      </w:r>
      <w:r w:rsidR="003F4DA7" w:rsidRPr="002927A1">
        <w:rPr>
          <w:rFonts w:eastAsia="MS PGothic"/>
        </w:rPr>
        <w:t xml:space="preserve"> c) </w:t>
      </w:r>
      <w:r w:rsidRPr="002927A1">
        <w:rPr>
          <w:rFonts w:eastAsia="MS PGothic"/>
        </w:rPr>
        <w:t>del artículo</w:t>
      </w:r>
      <w:r w:rsidR="00111824" w:rsidRPr="002927A1">
        <w:rPr>
          <w:rFonts w:eastAsia="MS PGothic"/>
        </w:rPr>
        <w:t> </w:t>
      </w:r>
      <w:r w:rsidR="003F4DA7" w:rsidRPr="002927A1">
        <w:rPr>
          <w:rFonts w:eastAsia="MS PGothic"/>
        </w:rPr>
        <w:t xml:space="preserve">11, </w:t>
      </w:r>
      <w:r w:rsidRPr="002927A1">
        <w:rPr>
          <w:rFonts w:eastAsia="MS PGothic"/>
        </w:rPr>
        <w:t>que figuran en los cuadros</w:t>
      </w:r>
      <w:r w:rsidR="008C1FBD" w:rsidRPr="002927A1">
        <w:rPr>
          <w:rFonts w:eastAsia="MS PGothic"/>
        </w:rPr>
        <w:t xml:space="preserve"> 1,</w:t>
      </w:r>
      <w:r w:rsidR="00CE25B9" w:rsidRPr="002927A1">
        <w:rPr>
          <w:rFonts w:eastAsia="MS PGothic"/>
        </w:rPr>
        <w:t xml:space="preserve"> </w:t>
      </w:r>
      <w:r w:rsidR="008C1FBD" w:rsidRPr="002927A1">
        <w:rPr>
          <w:rFonts w:eastAsia="MS PGothic"/>
        </w:rPr>
        <w:t xml:space="preserve">2 </w:t>
      </w:r>
      <w:r w:rsidRPr="002927A1">
        <w:rPr>
          <w:rFonts w:eastAsia="MS PGothic"/>
        </w:rPr>
        <w:t>y</w:t>
      </w:r>
      <w:r w:rsidR="008C1FBD" w:rsidRPr="002927A1">
        <w:rPr>
          <w:rFonts w:eastAsia="MS PGothic"/>
        </w:rPr>
        <w:t xml:space="preserve"> 3 </w:t>
      </w:r>
      <w:r w:rsidRPr="002927A1">
        <w:rPr>
          <w:rFonts w:eastAsia="MS PGothic"/>
        </w:rPr>
        <w:t xml:space="preserve">del anexo de la presente decisión, o recomendar una posible </w:t>
      </w:r>
      <w:r w:rsidR="00A60CBD" w:rsidRPr="002927A1">
        <w:rPr>
          <w:rFonts w:eastAsia="MS PGothic"/>
        </w:rPr>
        <w:t>revisión</w:t>
      </w:r>
      <w:r w:rsidRPr="002927A1">
        <w:rPr>
          <w:rFonts w:eastAsia="MS PGothic"/>
        </w:rPr>
        <w:t xml:space="preserve"> de estas, según proceda</w:t>
      </w:r>
      <w:r w:rsidR="003F4DA7" w:rsidRPr="002927A1">
        <w:rPr>
          <w:rFonts w:eastAsia="MS PGothic"/>
        </w:rPr>
        <w:t>;</w:t>
      </w:r>
    </w:p>
    <w:p w14:paraId="429B23E0" w14:textId="5864D841" w:rsidR="003F4DA7" w:rsidRPr="002927A1" w:rsidRDefault="003F4DA7"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Invit</w:t>
      </w:r>
      <w:r w:rsidR="00534B53" w:rsidRPr="002927A1">
        <w:rPr>
          <w:rFonts w:eastAsia="MS PGothic"/>
          <w:i/>
        </w:rPr>
        <w:t>a</w:t>
      </w:r>
      <w:r w:rsidRPr="002927A1">
        <w:rPr>
          <w:rFonts w:eastAsia="MS PGothic"/>
        </w:rPr>
        <w:t xml:space="preserve"> </w:t>
      </w:r>
      <w:r w:rsidR="00534B53" w:rsidRPr="002927A1">
        <w:rPr>
          <w:rFonts w:eastAsia="MS PGothic"/>
        </w:rPr>
        <w:t xml:space="preserve">a las Partes a </w:t>
      </w:r>
      <w:r w:rsidR="00A60CBD" w:rsidRPr="002927A1">
        <w:rPr>
          <w:rFonts w:eastAsia="MS PGothic"/>
        </w:rPr>
        <w:t>confirmar</w:t>
      </w:r>
      <w:r w:rsidR="00534B53" w:rsidRPr="002927A1">
        <w:rPr>
          <w:rFonts w:eastAsia="MS PGothic"/>
        </w:rPr>
        <w:t xml:space="preserve"> a los miembros actual</w:t>
      </w:r>
      <w:r w:rsidR="00D258D4" w:rsidRPr="002927A1">
        <w:rPr>
          <w:rFonts w:eastAsia="MS PGothic"/>
        </w:rPr>
        <w:t>e</w:t>
      </w:r>
      <w:r w:rsidR="00534B53" w:rsidRPr="002927A1">
        <w:rPr>
          <w:rFonts w:eastAsia="MS PGothic"/>
        </w:rPr>
        <w:t>s del grupo de expertos técnicos, designar nuevos miembros, o sustituir miembros, según proceda</w:t>
      </w:r>
      <w:r w:rsidR="00D258D4" w:rsidRPr="002927A1">
        <w:rPr>
          <w:rFonts w:eastAsia="MS PGothic"/>
        </w:rPr>
        <w:t>, con arreglo a las regiones que representan los miembros de la Mesa</w:t>
      </w:r>
      <w:r w:rsidRPr="002927A1">
        <w:rPr>
          <w:rFonts w:eastAsia="MS PGothic"/>
        </w:rPr>
        <w:t>, t</w:t>
      </w:r>
      <w:r w:rsidR="00D258D4" w:rsidRPr="002927A1">
        <w:rPr>
          <w:rFonts w:eastAsia="MS PGothic"/>
        </w:rPr>
        <w:t>omando en cuenta la necesidad de contar con conocimientos especializados en esferas que abarca el mandato del grupo</w:t>
      </w:r>
      <w:r w:rsidRPr="002927A1">
        <w:rPr>
          <w:rFonts w:eastAsia="MS PGothic"/>
        </w:rPr>
        <w:t>;</w:t>
      </w:r>
    </w:p>
    <w:p w14:paraId="54BC2523" w14:textId="7FF1B5D7" w:rsidR="003F4DA7" w:rsidRPr="002927A1" w:rsidRDefault="003F4DA7"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Decide</w:t>
      </w:r>
      <w:r w:rsidRPr="002927A1">
        <w:rPr>
          <w:rFonts w:eastAsia="MS PGothic"/>
        </w:rPr>
        <w:t xml:space="preserve"> </w:t>
      </w:r>
      <w:r w:rsidR="004505A1" w:rsidRPr="002927A1">
        <w:rPr>
          <w:rFonts w:eastAsia="MS PGothic"/>
        </w:rPr>
        <w:t>que el grupo de expertos técnicos realizará su labor por medios electrónicos y</w:t>
      </w:r>
      <w:r w:rsidR="00111824" w:rsidRPr="002927A1">
        <w:rPr>
          <w:rFonts w:eastAsia="MS PGothic"/>
        </w:rPr>
        <w:t> </w:t>
      </w:r>
      <w:r w:rsidR="004505A1" w:rsidRPr="002927A1">
        <w:rPr>
          <w:rFonts w:eastAsia="MS PGothic"/>
        </w:rPr>
        <w:t xml:space="preserve">celebrará una reunión presencial para </w:t>
      </w:r>
      <w:r w:rsidR="004505A1" w:rsidRPr="002927A1">
        <w:t>debatir</w:t>
      </w:r>
      <w:r w:rsidR="004505A1" w:rsidRPr="002927A1">
        <w:rPr>
          <w:rFonts w:eastAsia="MS PGothic"/>
        </w:rPr>
        <w:t xml:space="preserve"> las cuestiones mencionadas en los párrafos anteriores de la </w:t>
      </w:r>
      <w:r w:rsidRPr="002927A1">
        <w:rPr>
          <w:rFonts w:eastAsia="MS PGothic"/>
        </w:rPr>
        <w:t>present</w:t>
      </w:r>
      <w:r w:rsidR="004505A1" w:rsidRPr="002927A1">
        <w:rPr>
          <w:rFonts w:eastAsia="MS PGothic"/>
        </w:rPr>
        <w:t>e</w:t>
      </w:r>
      <w:r w:rsidRPr="002927A1">
        <w:rPr>
          <w:rFonts w:eastAsia="MS PGothic"/>
        </w:rPr>
        <w:t xml:space="preserve"> decisi</w:t>
      </w:r>
      <w:r w:rsidR="004505A1" w:rsidRPr="002927A1">
        <w:rPr>
          <w:rFonts w:eastAsia="MS PGothic"/>
        </w:rPr>
        <w:t>ó</w:t>
      </w:r>
      <w:r w:rsidRPr="002927A1">
        <w:rPr>
          <w:rFonts w:eastAsia="MS PGothic"/>
        </w:rPr>
        <w:t xml:space="preserve">n, </w:t>
      </w:r>
      <w:r w:rsidR="004505A1" w:rsidRPr="002927A1">
        <w:rPr>
          <w:rFonts w:eastAsia="MS PGothic"/>
        </w:rPr>
        <w:t xml:space="preserve">hará las actualizaciones necesarias a las listas de los cuadros </w:t>
      </w:r>
      <w:r w:rsidR="008C1FBD" w:rsidRPr="002927A1">
        <w:rPr>
          <w:rFonts w:eastAsia="MS PGothic"/>
        </w:rPr>
        <w:t>1,</w:t>
      </w:r>
      <w:r w:rsidR="00CE25B9" w:rsidRPr="002927A1">
        <w:rPr>
          <w:rFonts w:eastAsia="MS PGothic"/>
        </w:rPr>
        <w:t xml:space="preserve"> </w:t>
      </w:r>
      <w:r w:rsidR="008C1FBD" w:rsidRPr="002927A1">
        <w:rPr>
          <w:rFonts w:eastAsia="MS PGothic"/>
        </w:rPr>
        <w:t xml:space="preserve">2 </w:t>
      </w:r>
      <w:r w:rsidR="004505A1" w:rsidRPr="002927A1">
        <w:rPr>
          <w:rFonts w:eastAsia="MS PGothic"/>
        </w:rPr>
        <w:t>y</w:t>
      </w:r>
      <w:r w:rsidR="008C1FBD" w:rsidRPr="002927A1">
        <w:rPr>
          <w:rFonts w:eastAsia="MS PGothic"/>
        </w:rPr>
        <w:t xml:space="preserve"> 3 </w:t>
      </w:r>
      <w:r w:rsidR="004505A1" w:rsidRPr="002927A1">
        <w:rPr>
          <w:rFonts w:eastAsia="MS PGothic"/>
        </w:rPr>
        <w:t>del</w:t>
      </w:r>
      <w:r w:rsidRPr="002927A1">
        <w:rPr>
          <w:rFonts w:eastAsia="MS PGothic"/>
        </w:rPr>
        <w:t xml:space="preserve"> anex</w:t>
      </w:r>
      <w:r w:rsidR="004505A1" w:rsidRPr="002927A1">
        <w:rPr>
          <w:rFonts w:eastAsia="MS PGothic"/>
        </w:rPr>
        <w:t>o</w:t>
      </w:r>
      <w:r w:rsidR="00111824" w:rsidRPr="002927A1">
        <w:rPr>
          <w:rFonts w:eastAsia="MS PGothic"/>
        </w:rPr>
        <w:t> </w:t>
      </w:r>
      <w:r w:rsidR="004505A1" w:rsidRPr="002927A1">
        <w:rPr>
          <w:rFonts w:eastAsia="MS PGothic"/>
        </w:rPr>
        <w:t xml:space="preserve">de la </w:t>
      </w:r>
      <w:r w:rsidRPr="002927A1">
        <w:rPr>
          <w:rFonts w:eastAsia="MS PGothic"/>
        </w:rPr>
        <w:t>present</w:t>
      </w:r>
      <w:r w:rsidR="004505A1" w:rsidRPr="002927A1">
        <w:rPr>
          <w:rFonts w:eastAsia="MS PGothic"/>
        </w:rPr>
        <w:t>e</w:t>
      </w:r>
      <w:r w:rsidRPr="002927A1">
        <w:rPr>
          <w:rFonts w:eastAsia="MS PGothic"/>
        </w:rPr>
        <w:t xml:space="preserve"> decisi</w:t>
      </w:r>
      <w:r w:rsidR="004505A1" w:rsidRPr="002927A1">
        <w:rPr>
          <w:rFonts w:eastAsia="MS PGothic"/>
        </w:rPr>
        <w:t>ó</w:t>
      </w:r>
      <w:r w:rsidRPr="002927A1">
        <w:rPr>
          <w:rFonts w:eastAsia="MS PGothic"/>
        </w:rPr>
        <w:t>n,</w:t>
      </w:r>
      <w:r w:rsidR="004505A1" w:rsidRPr="002927A1">
        <w:rPr>
          <w:rFonts w:eastAsia="MS PGothic"/>
        </w:rPr>
        <w:t xml:space="preserve"> y rendirá informe sobre su labor a la Conf</w:t>
      </w:r>
      <w:r w:rsidRPr="002927A1">
        <w:rPr>
          <w:rFonts w:eastAsia="MS PGothic"/>
        </w:rPr>
        <w:t>erenc</w:t>
      </w:r>
      <w:r w:rsidR="004505A1" w:rsidRPr="002927A1">
        <w:rPr>
          <w:rFonts w:eastAsia="MS PGothic"/>
        </w:rPr>
        <w:t xml:space="preserve">ia de las </w:t>
      </w:r>
      <w:r w:rsidRPr="002927A1">
        <w:rPr>
          <w:rFonts w:eastAsia="MS PGothic"/>
        </w:rPr>
        <w:t xml:space="preserve">Partes </w:t>
      </w:r>
      <w:r w:rsidR="004505A1" w:rsidRPr="002927A1">
        <w:rPr>
          <w:rFonts w:eastAsia="MS PGothic"/>
        </w:rPr>
        <w:t>en su cuarta reunión</w:t>
      </w:r>
      <w:r w:rsidRPr="002927A1">
        <w:rPr>
          <w:rFonts w:eastAsia="MS PGothic"/>
          <w:iCs/>
        </w:rPr>
        <w:t>;</w:t>
      </w:r>
    </w:p>
    <w:p w14:paraId="50E99B9C" w14:textId="7876E816" w:rsidR="003F4DA7" w:rsidRPr="002927A1" w:rsidRDefault="00090C01" w:rsidP="00A524DB">
      <w:pPr>
        <w:keepNext/>
        <w:keepLines/>
        <w:numPr>
          <w:ilvl w:val="0"/>
          <w:numId w:val="15"/>
        </w:numPr>
        <w:tabs>
          <w:tab w:val="clear" w:pos="1247"/>
          <w:tab w:val="clear" w:pos="1814"/>
          <w:tab w:val="clear" w:pos="2381"/>
          <w:tab w:val="clear" w:pos="2948"/>
          <w:tab w:val="clear" w:pos="3515"/>
        </w:tabs>
        <w:spacing w:after="120"/>
        <w:ind w:left="1247" w:firstLine="624"/>
        <w:rPr>
          <w:rFonts w:eastAsia="MS PGothic"/>
          <w:i/>
        </w:rPr>
      </w:pPr>
      <w:r w:rsidRPr="002927A1">
        <w:rPr>
          <w:rFonts w:eastAsia="MS PGothic"/>
          <w:i/>
        </w:rPr>
        <w:t xml:space="preserve">Solicita </w:t>
      </w:r>
      <w:r w:rsidRPr="002927A1">
        <w:rPr>
          <w:rFonts w:eastAsia="MS PGothic"/>
        </w:rPr>
        <w:t xml:space="preserve">que se </w:t>
      </w:r>
      <w:r w:rsidRPr="002927A1">
        <w:t>pongan</w:t>
      </w:r>
      <w:r w:rsidRPr="002927A1">
        <w:rPr>
          <w:rFonts w:eastAsia="MS PGothic"/>
        </w:rPr>
        <w:t xml:space="preserve"> en práctica las disposiciones de procedimiento adicionales siguientes para orientar la labor del grupo</w:t>
      </w:r>
      <w:r w:rsidR="003F4DA7" w:rsidRPr="002927A1">
        <w:rPr>
          <w:rFonts w:eastAsia="MS PGothic"/>
          <w:iCs/>
        </w:rPr>
        <w:t>:</w:t>
      </w:r>
    </w:p>
    <w:p w14:paraId="2D039F17" w14:textId="1F887B41" w:rsidR="003F4DA7" w:rsidRPr="002927A1" w:rsidRDefault="00090C01" w:rsidP="00A524DB">
      <w:pPr>
        <w:pStyle w:val="ListParagraph"/>
        <w:numPr>
          <w:ilvl w:val="0"/>
          <w:numId w:val="65"/>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Todos los expertos designados por las Partes que se encuentren presentes en las reuniones abordarán las cuestiones sujetas al mandato del grupo, evitando tratar por separado las cuestiones técnicas</w:t>
      </w:r>
      <w:r w:rsidR="003F4DA7" w:rsidRPr="002927A1">
        <w:rPr>
          <w:rFonts w:eastAsia="MS PGothic"/>
        </w:rPr>
        <w:t xml:space="preserve">; </w:t>
      </w:r>
    </w:p>
    <w:p w14:paraId="7EFB1303" w14:textId="272F4713" w:rsidR="003F4DA7" w:rsidRPr="002927A1" w:rsidRDefault="00090C01" w:rsidP="00A524DB">
      <w:pPr>
        <w:pStyle w:val="ListParagraph"/>
        <w:numPr>
          <w:ilvl w:val="0"/>
          <w:numId w:val="65"/>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 xml:space="preserve">Todas las </w:t>
      </w:r>
      <w:r w:rsidR="003F4DA7" w:rsidRPr="002927A1">
        <w:rPr>
          <w:rFonts w:eastAsia="MS PGothic"/>
        </w:rPr>
        <w:t>decision</w:t>
      </w:r>
      <w:r w:rsidRPr="002927A1">
        <w:rPr>
          <w:rFonts w:eastAsia="MS PGothic"/>
        </w:rPr>
        <w:t>e</w:t>
      </w:r>
      <w:r w:rsidR="003F4DA7" w:rsidRPr="002927A1">
        <w:rPr>
          <w:rFonts w:eastAsia="MS PGothic"/>
        </w:rPr>
        <w:t xml:space="preserve">s </w:t>
      </w:r>
      <w:r w:rsidRPr="002927A1">
        <w:rPr>
          <w:rFonts w:eastAsia="MS PGothic"/>
        </w:rPr>
        <w:t xml:space="preserve">del </w:t>
      </w:r>
      <w:r w:rsidR="003F4DA7" w:rsidRPr="002927A1">
        <w:rPr>
          <w:rFonts w:eastAsia="MS PGothic"/>
        </w:rPr>
        <w:t>grup</w:t>
      </w:r>
      <w:r w:rsidRPr="002927A1">
        <w:rPr>
          <w:rFonts w:eastAsia="MS PGothic"/>
        </w:rPr>
        <w:t>o de expertos técnicos deberán acordarse por consenso. En caso de que no sea posible lograr consenso, la Secretaría debería tomar nota de la falta de consenso, dejar constancia del debate y de las diferentes posiciones y tomar conocimiento del nivel de respaldo a cada una de las alternativas planteadas</w:t>
      </w:r>
      <w:r w:rsidR="003F4DA7" w:rsidRPr="002927A1">
        <w:rPr>
          <w:rFonts w:eastAsia="MS PGothic"/>
        </w:rPr>
        <w:t>;</w:t>
      </w:r>
    </w:p>
    <w:p w14:paraId="41772493" w14:textId="531AFF38" w:rsidR="00B7051C" w:rsidRPr="002927A1" w:rsidRDefault="00090C01" w:rsidP="00A524DB">
      <w:pPr>
        <w:pStyle w:val="ListParagraph"/>
        <w:numPr>
          <w:ilvl w:val="0"/>
          <w:numId w:val="65"/>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 xml:space="preserve">Con antelación a la reunión, la Secretaría y la presidencia del grupo de expertos técnicos </w:t>
      </w:r>
      <w:r w:rsidR="007C4730" w:rsidRPr="002927A1">
        <w:rPr>
          <w:rFonts w:eastAsia="MS PGothic"/>
        </w:rPr>
        <w:t>distribuirán a las Partes un programa provisional y una nota informativa en preparación de la reunión</w:t>
      </w:r>
      <w:r w:rsidR="003F4DA7" w:rsidRPr="002927A1">
        <w:rPr>
          <w:rFonts w:eastAsia="MS PGothic"/>
        </w:rPr>
        <w:t>;</w:t>
      </w:r>
    </w:p>
    <w:p w14:paraId="2B807DA2" w14:textId="2FC91D64" w:rsidR="003F4DA7" w:rsidRPr="002927A1" w:rsidRDefault="007C4730"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Alienta</w:t>
      </w:r>
      <w:r w:rsidR="003F4DA7" w:rsidRPr="002927A1">
        <w:rPr>
          <w:rFonts w:eastAsia="MS PGothic"/>
          <w:i/>
        </w:rPr>
        <w:t xml:space="preserve"> </w:t>
      </w:r>
      <w:r w:rsidRPr="002927A1">
        <w:rPr>
          <w:rFonts w:eastAsia="MS PGothic"/>
        </w:rPr>
        <w:t>a las P</w:t>
      </w:r>
      <w:r w:rsidR="003F4DA7" w:rsidRPr="002927A1">
        <w:rPr>
          <w:rFonts w:eastAsia="MS PGothic"/>
          <w:iCs/>
        </w:rPr>
        <w:t>artes</w:t>
      </w:r>
      <w:r w:rsidR="003F4DA7" w:rsidRPr="002927A1">
        <w:rPr>
          <w:rFonts w:eastAsia="MS PGothic"/>
        </w:rPr>
        <w:t xml:space="preserve"> </w:t>
      </w:r>
      <w:r w:rsidRPr="002927A1">
        <w:rPr>
          <w:rFonts w:eastAsia="MS PGothic"/>
        </w:rPr>
        <w:t xml:space="preserve">y otros interesados a hacer aportaciones al proceso de actualización de las directrices técnicas sobre la </w:t>
      </w:r>
      <w:r w:rsidRPr="002927A1">
        <w:t>gestión</w:t>
      </w:r>
      <w:r w:rsidRPr="002927A1">
        <w:rPr>
          <w:rFonts w:eastAsia="MS PGothic"/>
        </w:rPr>
        <w:t xml:space="preserve"> ambientalmente racional de los desechos</w:t>
      </w:r>
      <w:r w:rsidRPr="002927A1">
        <w:rPr>
          <w:color w:val="212529"/>
          <w:shd w:val="clear" w:color="auto" w:fill="F8F7F7"/>
        </w:rPr>
        <w:t xml:space="preserve"> consistentes en mercurio o compuestos de mercurio, que los contengan o estén contaminados con ellos dando a conocer sus opiniones acerca del proyecto de directrices actualizadas cuando se les invite a hacerlo</w:t>
      </w:r>
      <w:r w:rsidR="003F4DA7" w:rsidRPr="002927A1">
        <w:rPr>
          <w:rFonts w:eastAsia="MS PGothic"/>
        </w:rPr>
        <w:t>;</w:t>
      </w:r>
    </w:p>
    <w:p w14:paraId="7B6071C9" w14:textId="3EDBC6A9" w:rsidR="003F4DA7" w:rsidRPr="002927A1" w:rsidRDefault="007C4730"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Invita </w:t>
      </w:r>
      <w:r w:rsidRPr="002927A1">
        <w:t>a los órganos competentes del Convenio de Basilea a que tengan en cuenta la presente decisión al actualizar las directrices técnicas sobre el manejo ambientalmente racional de desechos consistentes en mercurio o compuestos de mercurio, que los contengan o estén contaminados con ellos</w:t>
      </w:r>
      <w:r w:rsidR="003F4DA7" w:rsidRPr="002927A1">
        <w:rPr>
          <w:rFonts w:eastAsia="MS PGothic"/>
        </w:rPr>
        <w:t xml:space="preserve">; </w:t>
      </w:r>
    </w:p>
    <w:p w14:paraId="4707CCC5" w14:textId="65F23C7C" w:rsidR="00723EE5" w:rsidRPr="002927A1" w:rsidRDefault="007C4730" w:rsidP="00A524D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Solicita </w:t>
      </w:r>
      <w:r w:rsidRPr="002927A1">
        <w:t>a la Secretaría que siga apoyando la labor del grupo de expertos técnicos</w:t>
      </w:r>
      <w:bookmarkStart w:id="77" w:name="_Toc27124747"/>
      <w:r w:rsidR="006C4A66" w:rsidRPr="002927A1">
        <w:t>.</w:t>
      </w:r>
    </w:p>
    <w:p w14:paraId="6534EB9B" w14:textId="3D6AEC76" w:rsidR="008B1DF7" w:rsidRPr="002927A1" w:rsidRDefault="00FA1708" w:rsidP="00723EE5">
      <w:pPr>
        <w:keepNext/>
        <w:keepLines/>
        <w:tabs>
          <w:tab w:val="clear" w:pos="1247"/>
          <w:tab w:val="clear" w:pos="1814"/>
          <w:tab w:val="clear" w:pos="2381"/>
          <w:tab w:val="clear" w:pos="2948"/>
          <w:tab w:val="clear" w:pos="3515"/>
          <w:tab w:val="left" w:pos="624"/>
        </w:tabs>
        <w:spacing w:after="120"/>
        <w:rPr>
          <w:rFonts w:eastAsia="MS PGothic"/>
          <w:sz w:val="28"/>
          <w:szCs w:val="28"/>
        </w:rPr>
      </w:pPr>
      <w:r w:rsidRPr="002927A1">
        <w:rPr>
          <w:b/>
          <w:bCs/>
          <w:sz w:val="28"/>
          <w:szCs w:val="28"/>
        </w:rPr>
        <w:tab/>
      </w:r>
      <w:r w:rsidRPr="002927A1">
        <w:rPr>
          <w:b/>
          <w:bCs/>
          <w:sz w:val="28"/>
          <w:szCs w:val="28"/>
        </w:rPr>
        <w:tab/>
      </w:r>
      <w:r w:rsidR="008B1DF7" w:rsidRPr="002927A1">
        <w:rPr>
          <w:b/>
          <w:bCs/>
          <w:sz w:val="28"/>
          <w:szCs w:val="28"/>
        </w:rPr>
        <w:t>Anex</w:t>
      </w:r>
      <w:r w:rsidR="007C4730" w:rsidRPr="002927A1">
        <w:rPr>
          <w:b/>
          <w:bCs/>
          <w:sz w:val="28"/>
          <w:szCs w:val="28"/>
        </w:rPr>
        <w:t xml:space="preserve">o de la </w:t>
      </w:r>
      <w:r w:rsidR="00CE25B9" w:rsidRPr="002927A1">
        <w:rPr>
          <w:b/>
          <w:bCs/>
          <w:sz w:val="28"/>
          <w:szCs w:val="28"/>
        </w:rPr>
        <w:t>decisi</w:t>
      </w:r>
      <w:r w:rsidR="007C4730" w:rsidRPr="002927A1">
        <w:rPr>
          <w:b/>
          <w:bCs/>
          <w:sz w:val="28"/>
          <w:szCs w:val="28"/>
        </w:rPr>
        <w:t>ó</w:t>
      </w:r>
      <w:r w:rsidR="00CE25B9" w:rsidRPr="002927A1">
        <w:rPr>
          <w:b/>
          <w:bCs/>
          <w:sz w:val="28"/>
          <w:szCs w:val="28"/>
        </w:rPr>
        <w:t>n MC-3/5</w:t>
      </w:r>
    </w:p>
    <w:p w14:paraId="3A3F90F8" w14:textId="4B73D97D" w:rsidR="008B1DF7" w:rsidRPr="002927A1" w:rsidRDefault="00B7051C" w:rsidP="00F65CA1">
      <w:pPr>
        <w:pStyle w:val="CH2"/>
        <w:rPr>
          <w:lang w:val="es-ES_tradnl"/>
        </w:rPr>
      </w:pPr>
      <w:r w:rsidRPr="002927A1">
        <w:rPr>
          <w:rFonts w:eastAsia="MS PGothic"/>
          <w:w w:val="0"/>
          <w:lang w:val="es-ES_tradnl"/>
        </w:rPr>
        <w:tab/>
      </w:r>
      <w:r w:rsidRPr="002927A1">
        <w:rPr>
          <w:rFonts w:eastAsia="MS PGothic"/>
          <w:w w:val="0"/>
          <w:lang w:val="es-ES_tradnl"/>
        </w:rPr>
        <w:tab/>
      </w:r>
      <w:r w:rsidR="00077333" w:rsidRPr="002927A1">
        <w:rPr>
          <w:rFonts w:eastAsia="MS PGothic"/>
          <w:w w:val="0"/>
          <w:lang w:val="es-ES_tradnl"/>
        </w:rPr>
        <w:t>Listas</w:t>
      </w:r>
      <w:r w:rsidR="00077333" w:rsidRPr="002927A1">
        <w:rPr>
          <w:bCs/>
          <w:lang w:val="es-ES_tradnl"/>
        </w:rPr>
        <w:t xml:space="preserve"> de desechos de mercurio </w:t>
      </w:r>
      <w:r w:rsidR="00E4503F" w:rsidRPr="002927A1">
        <w:rPr>
          <w:bCs/>
          <w:lang w:val="es-ES_tradnl"/>
        </w:rPr>
        <w:t xml:space="preserve">recogidos </w:t>
      </w:r>
      <w:r w:rsidR="00077333" w:rsidRPr="002927A1">
        <w:rPr>
          <w:bCs/>
          <w:lang w:val="es-ES_tradnl"/>
        </w:rPr>
        <w:t>en el apartado 2 del artículo 11</w:t>
      </w:r>
    </w:p>
    <w:p w14:paraId="33A95702" w14:textId="7A030500" w:rsidR="008B1DF7" w:rsidRPr="002927A1" w:rsidRDefault="00077333" w:rsidP="008B1DF7">
      <w:pPr>
        <w:pStyle w:val="Titletable"/>
        <w:rPr>
          <w:lang w:val="es-ES_tradnl"/>
        </w:rPr>
      </w:pPr>
      <w:bookmarkStart w:id="78" w:name="_gjdgxs"/>
      <w:bookmarkEnd w:id="78"/>
      <w:r w:rsidRPr="002927A1">
        <w:rPr>
          <w:b w:val="0"/>
          <w:lang w:val="es-ES_tradnl"/>
        </w:rPr>
        <w:t>Cuadro</w:t>
      </w:r>
      <w:r w:rsidR="008B1DF7" w:rsidRPr="002927A1">
        <w:rPr>
          <w:b w:val="0"/>
          <w:lang w:val="es-ES_tradnl"/>
        </w:rPr>
        <w:t xml:space="preserve"> 1 </w:t>
      </w:r>
      <w:r w:rsidR="008B1DF7" w:rsidRPr="002927A1">
        <w:rPr>
          <w:b w:val="0"/>
          <w:lang w:val="es-ES_tradnl"/>
        </w:rPr>
        <w:br/>
      </w:r>
      <w:r w:rsidRPr="002927A1">
        <w:rPr>
          <w:lang w:val="es-ES_tradnl"/>
        </w:rPr>
        <w:t xml:space="preserve">Lista de los desechos de mercurio que constan de mercurio o compuestos de </w:t>
      </w:r>
      <w:r w:rsidR="00A60CBD" w:rsidRPr="002927A1">
        <w:rPr>
          <w:lang w:val="es-ES_tradnl"/>
        </w:rPr>
        <w:t>mercurio</w:t>
      </w:r>
      <w:r w:rsidRPr="002927A1">
        <w:rPr>
          <w:lang w:val="es-ES_tradnl"/>
        </w:rPr>
        <w:t xml:space="preserve"> (apartado</w:t>
      </w:r>
      <w:r w:rsidR="00D76371" w:rsidRPr="002927A1">
        <w:rPr>
          <w:lang w:val="es-ES_tradnl"/>
        </w:rPr>
        <w:t> </w:t>
      </w:r>
      <w:r w:rsidRPr="002927A1">
        <w:rPr>
          <w:lang w:val="es-ES_tradnl"/>
        </w:rPr>
        <w:t>a) del párrafo 2 del artículo 11)</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687"/>
        <w:gridCol w:w="5620"/>
      </w:tblGrid>
      <w:tr w:rsidR="00077333" w:rsidRPr="005D2C10" w14:paraId="0B446F96" w14:textId="77777777" w:rsidTr="00E87E47">
        <w:trPr>
          <w:trHeight w:val="57"/>
          <w:tblHeader/>
          <w:jc w:val="right"/>
        </w:trPr>
        <w:tc>
          <w:tcPr>
            <w:tcW w:w="2687" w:type="dxa"/>
            <w:tcBorders>
              <w:top w:val="single" w:sz="4" w:space="0" w:color="auto"/>
              <w:bottom w:val="single" w:sz="12" w:space="0" w:color="auto"/>
            </w:tcBorders>
          </w:tcPr>
          <w:p w14:paraId="027BA433" w14:textId="0298C40E" w:rsidR="00077333" w:rsidRPr="005D2C10" w:rsidRDefault="00077333" w:rsidP="00077333">
            <w:pPr>
              <w:pStyle w:val="Normal-pool"/>
              <w:spacing w:before="40" w:after="40"/>
              <w:rPr>
                <w:i/>
                <w:sz w:val="18"/>
                <w:szCs w:val="18"/>
                <w:lang w:val="es-ES_tradnl"/>
              </w:rPr>
            </w:pPr>
            <w:r w:rsidRPr="005D2C10">
              <w:rPr>
                <w:i/>
                <w:iCs/>
                <w:sz w:val="18"/>
                <w:szCs w:val="18"/>
                <w:lang w:val="es-ES_tradnl"/>
              </w:rPr>
              <w:t>Tipo de desechos</w:t>
            </w:r>
          </w:p>
        </w:tc>
        <w:tc>
          <w:tcPr>
            <w:tcW w:w="5620" w:type="dxa"/>
            <w:tcBorders>
              <w:top w:val="single" w:sz="4" w:space="0" w:color="auto"/>
              <w:bottom w:val="single" w:sz="12" w:space="0" w:color="auto"/>
            </w:tcBorders>
          </w:tcPr>
          <w:p w14:paraId="5C56DC0B" w14:textId="2D5CC96C" w:rsidR="00077333" w:rsidRPr="005D2C10" w:rsidRDefault="00077333" w:rsidP="00077333">
            <w:pPr>
              <w:pStyle w:val="Normal-pool"/>
              <w:spacing w:before="40" w:after="40"/>
              <w:rPr>
                <w:i/>
                <w:sz w:val="18"/>
                <w:szCs w:val="18"/>
                <w:lang w:val="es-ES_tradnl"/>
              </w:rPr>
            </w:pPr>
            <w:r w:rsidRPr="005D2C10">
              <w:rPr>
                <w:i/>
                <w:iCs/>
                <w:sz w:val="18"/>
                <w:szCs w:val="18"/>
                <w:lang w:val="es-ES_tradnl"/>
              </w:rPr>
              <w:t>Fuente de los desechos</w:t>
            </w:r>
            <w:r w:rsidRPr="005D2C10">
              <w:rPr>
                <w:i/>
                <w:iCs/>
                <w:sz w:val="18"/>
                <w:szCs w:val="18"/>
                <w:vertAlign w:val="superscript"/>
                <w:lang w:val="es-ES_tradnl"/>
              </w:rPr>
              <w:t>b</w:t>
            </w:r>
          </w:p>
        </w:tc>
      </w:tr>
      <w:tr w:rsidR="00077333" w:rsidRPr="005D2C10" w14:paraId="47627987" w14:textId="77777777" w:rsidTr="00E87E47">
        <w:trPr>
          <w:trHeight w:val="57"/>
          <w:jc w:val="right"/>
        </w:trPr>
        <w:tc>
          <w:tcPr>
            <w:tcW w:w="2687" w:type="dxa"/>
            <w:tcBorders>
              <w:top w:val="single" w:sz="12" w:space="0" w:color="auto"/>
            </w:tcBorders>
          </w:tcPr>
          <w:p w14:paraId="5B7992F3" w14:textId="59505F26" w:rsidR="00077333" w:rsidRPr="005D2C10" w:rsidRDefault="00077333" w:rsidP="00077333">
            <w:pPr>
              <w:pStyle w:val="Normal-pool"/>
              <w:spacing w:before="40" w:after="40"/>
              <w:rPr>
                <w:sz w:val="18"/>
                <w:szCs w:val="18"/>
                <w:lang w:val="es-ES_tradnl"/>
              </w:rPr>
            </w:pPr>
            <w:r w:rsidRPr="005D2C10">
              <w:rPr>
                <w:sz w:val="18"/>
                <w:szCs w:val="18"/>
                <w:lang w:val="es-ES_tradnl"/>
              </w:rPr>
              <w:t>Mercurio elemental recuperado</w:t>
            </w:r>
            <w:r w:rsidRPr="005D2C10">
              <w:rPr>
                <w:sz w:val="18"/>
                <w:szCs w:val="18"/>
                <w:vertAlign w:val="superscript"/>
                <w:lang w:val="es-ES_tradnl"/>
              </w:rPr>
              <w:t>c</w:t>
            </w:r>
          </w:p>
        </w:tc>
        <w:tc>
          <w:tcPr>
            <w:tcW w:w="5620" w:type="dxa"/>
            <w:tcBorders>
              <w:top w:val="single" w:sz="12" w:space="0" w:color="auto"/>
            </w:tcBorders>
          </w:tcPr>
          <w:p w14:paraId="0D64CC35" w14:textId="77777777" w:rsidR="00077333" w:rsidRPr="005D2C10" w:rsidRDefault="00077333" w:rsidP="00077333">
            <w:pPr>
              <w:pStyle w:val="Normal-pool"/>
              <w:rPr>
                <w:sz w:val="18"/>
                <w:szCs w:val="18"/>
                <w:lang w:val="es-ES_tradnl"/>
              </w:rPr>
            </w:pPr>
            <w:r w:rsidRPr="005D2C10">
              <w:rPr>
                <w:sz w:val="18"/>
                <w:szCs w:val="18"/>
                <w:lang w:val="es-ES_tradnl"/>
              </w:rPr>
              <w:t>Actividad minera:</w:t>
            </w:r>
          </w:p>
          <w:p w14:paraId="6EFAB257" w14:textId="77777777" w:rsidR="00077333" w:rsidRPr="005D2C10" w:rsidRDefault="00077333" w:rsidP="00A524DB">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Residuos de la extracción de oro artesanal y en pequeña escala</w:t>
            </w:r>
          </w:p>
          <w:p w14:paraId="2298B070" w14:textId="77777777" w:rsidR="00077333" w:rsidRPr="005D2C10" w:rsidRDefault="00077333" w:rsidP="00077333">
            <w:pPr>
              <w:pStyle w:val="Normal-pool"/>
              <w:rPr>
                <w:sz w:val="18"/>
                <w:szCs w:val="18"/>
                <w:lang w:val="es-ES_tradnl"/>
              </w:rPr>
            </w:pPr>
            <w:r w:rsidRPr="005D2C10">
              <w:rPr>
                <w:sz w:val="18"/>
                <w:szCs w:val="18"/>
                <w:lang w:val="es-ES_tradnl"/>
              </w:rPr>
              <w:t>Mercurio capturado de:</w:t>
            </w:r>
          </w:p>
          <w:p w14:paraId="2ABAC710" w14:textId="77777777" w:rsidR="00077333" w:rsidRPr="005D2C10" w:rsidRDefault="00077333" w:rsidP="00A524DB">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Procesos de calcinación y fundición de metales no ferrosos</w:t>
            </w:r>
          </w:p>
          <w:p w14:paraId="0C8FB011" w14:textId="5A738B2D" w:rsidR="00077333" w:rsidRPr="005D2C10" w:rsidRDefault="00077333" w:rsidP="00A524DB">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Procesamiento de petróleo crudo y gas natural</w:t>
            </w:r>
          </w:p>
          <w:p w14:paraId="7F62314C" w14:textId="77777777" w:rsidR="00077333" w:rsidRPr="005D2C10" w:rsidRDefault="00077333" w:rsidP="00077333">
            <w:pPr>
              <w:pStyle w:val="Normal-pool"/>
              <w:rPr>
                <w:sz w:val="18"/>
                <w:szCs w:val="18"/>
                <w:lang w:val="es-ES_tradnl"/>
              </w:rPr>
            </w:pPr>
            <w:r w:rsidRPr="005D2C10">
              <w:rPr>
                <w:sz w:val="18"/>
                <w:szCs w:val="18"/>
                <w:lang w:val="es-ES_tradnl"/>
              </w:rPr>
              <w:t>Tratamiento de:</w:t>
            </w:r>
          </w:p>
          <w:p w14:paraId="750A287E" w14:textId="5509E222" w:rsidR="00077333" w:rsidRPr="005D2C10" w:rsidRDefault="00812254" w:rsidP="00A524DB">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Productos con mercurio añadido cuando</w:t>
            </w:r>
            <w:r w:rsidR="00077333" w:rsidRPr="005D2C10">
              <w:rPr>
                <w:sz w:val="18"/>
                <w:szCs w:val="18"/>
                <w:lang w:val="es-ES_tradnl"/>
              </w:rPr>
              <w:t xml:space="preserve"> se convierten en desechos</w:t>
            </w:r>
          </w:p>
          <w:p w14:paraId="21C05B97" w14:textId="77777777" w:rsidR="00077333" w:rsidRPr="005D2C10" w:rsidRDefault="00077333" w:rsidP="00A524DB">
            <w:pPr>
              <w:pStyle w:val="Normal-pool"/>
              <w:numPr>
                <w:ilvl w:val="0"/>
                <w:numId w:val="37"/>
              </w:numPr>
              <w:tabs>
                <w:tab w:val="left" w:pos="675"/>
              </w:tabs>
              <w:spacing w:before="40" w:after="40"/>
              <w:ind w:left="710" w:right="284" w:hanging="395"/>
              <w:rPr>
                <w:sz w:val="18"/>
                <w:szCs w:val="18"/>
                <w:lang w:val="es-ES_tradnl"/>
              </w:rPr>
            </w:pPr>
            <w:r w:rsidRPr="005D2C10">
              <w:rPr>
                <w:sz w:val="18"/>
                <w:szCs w:val="18"/>
                <w:lang w:val="es-ES_tradnl"/>
              </w:rPr>
              <w:t>Desechos contaminados con mercurio o compuestos de mercurio</w:t>
            </w:r>
          </w:p>
          <w:p w14:paraId="6B868665" w14:textId="77777777" w:rsidR="00077333" w:rsidRPr="005D2C10" w:rsidRDefault="00077333" w:rsidP="005D2C10">
            <w:pPr>
              <w:pStyle w:val="Normal-pool"/>
              <w:numPr>
                <w:ilvl w:val="0"/>
                <w:numId w:val="37"/>
              </w:numPr>
              <w:pBdr>
                <w:top w:val="nil"/>
                <w:left w:val="nil"/>
                <w:bottom w:val="nil"/>
                <w:right w:val="nil"/>
                <w:between w:val="nil"/>
              </w:pBdr>
              <w:tabs>
                <w:tab w:val="left" w:pos="675"/>
              </w:tabs>
              <w:spacing w:before="40" w:after="480"/>
              <w:ind w:left="715" w:right="284" w:hanging="397"/>
              <w:rPr>
                <w:sz w:val="18"/>
                <w:szCs w:val="18"/>
                <w:lang w:val="es-ES_tradnl"/>
              </w:rPr>
            </w:pPr>
            <w:r w:rsidRPr="005D2C10">
              <w:rPr>
                <w:sz w:val="18"/>
                <w:szCs w:val="18"/>
                <w:lang w:val="es-ES_tradnl"/>
              </w:rPr>
              <w:t>Medios ambientales contaminados</w:t>
            </w:r>
          </w:p>
          <w:p w14:paraId="22DEC907" w14:textId="77777777" w:rsidR="00077333" w:rsidRPr="005D2C10" w:rsidRDefault="00077333" w:rsidP="00077333">
            <w:pPr>
              <w:pStyle w:val="Normal-pool"/>
              <w:rPr>
                <w:sz w:val="18"/>
                <w:szCs w:val="18"/>
                <w:lang w:val="es-ES_tradnl"/>
              </w:rPr>
            </w:pPr>
            <w:r w:rsidRPr="005D2C10">
              <w:rPr>
                <w:sz w:val="18"/>
                <w:szCs w:val="18"/>
                <w:lang w:val="es-ES_tradnl"/>
              </w:rPr>
              <w:lastRenderedPageBreak/>
              <w:t>Tratamiento de los desechos de:</w:t>
            </w:r>
          </w:p>
          <w:p w14:paraId="57D2E097" w14:textId="77777777" w:rsidR="00077333" w:rsidRPr="005D2C10" w:rsidRDefault="00077333" w:rsidP="00A524DB">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Producción de cloro álcali</w:t>
            </w:r>
            <w:r w:rsidRPr="005D2C10">
              <w:rPr>
                <w:sz w:val="18"/>
                <w:szCs w:val="18"/>
                <w:vertAlign w:val="superscript"/>
                <w:lang w:val="es-ES_tradnl"/>
              </w:rPr>
              <w:t>d</w:t>
            </w:r>
            <w:r w:rsidRPr="005D2C10">
              <w:rPr>
                <w:sz w:val="18"/>
                <w:szCs w:val="18"/>
                <w:lang w:val="es-ES_tradnl"/>
              </w:rPr>
              <w:t>, alcoholatos (por ejemplo, metilato o etilato sódico o potásico), hidrosulfito y solución de hidróxido de potasio ultrapura con tecnología que usa mercurio, incluidas las instalaciones de desmantelamiento</w:t>
            </w:r>
          </w:p>
          <w:p w14:paraId="456178C2" w14:textId="4FFEF2E5" w:rsidR="00077333" w:rsidRPr="005D2C10" w:rsidRDefault="00077333" w:rsidP="00A524DB">
            <w:pPr>
              <w:pStyle w:val="Normal-pool"/>
              <w:numPr>
                <w:ilvl w:val="0"/>
                <w:numId w:val="37"/>
              </w:numPr>
              <w:tabs>
                <w:tab w:val="left" w:pos="675"/>
              </w:tabs>
              <w:spacing w:before="40" w:after="40"/>
              <w:ind w:left="710" w:right="284" w:hanging="395"/>
              <w:rPr>
                <w:sz w:val="18"/>
                <w:szCs w:val="18"/>
                <w:lang w:val="es-ES_tradnl"/>
              </w:rPr>
            </w:pPr>
            <w:r w:rsidRPr="005D2C10">
              <w:rPr>
                <w:sz w:val="18"/>
                <w:szCs w:val="18"/>
                <w:lang w:val="es-ES_tradnl"/>
              </w:rPr>
              <w:t>Producción de poliuretano, monómeros de cloruro de vinilo y acetaldehído en la que se utiliza mercurio como catalizador</w:t>
            </w:r>
          </w:p>
        </w:tc>
      </w:tr>
      <w:tr w:rsidR="00077333" w:rsidRPr="005D2C10" w14:paraId="324EFBFC" w14:textId="77777777" w:rsidTr="00077333">
        <w:trPr>
          <w:trHeight w:val="57"/>
          <w:jc w:val="right"/>
        </w:trPr>
        <w:tc>
          <w:tcPr>
            <w:tcW w:w="2687" w:type="dxa"/>
          </w:tcPr>
          <w:p w14:paraId="27DCFBB9" w14:textId="14094752" w:rsidR="00077333" w:rsidRPr="005D2C10" w:rsidRDefault="00077333" w:rsidP="00077333">
            <w:pPr>
              <w:pStyle w:val="Normal-pool"/>
              <w:spacing w:before="40" w:after="40"/>
              <w:rPr>
                <w:sz w:val="18"/>
                <w:szCs w:val="18"/>
                <w:lang w:val="es-ES_tradnl"/>
              </w:rPr>
            </w:pPr>
            <w:r w:rsidRPr="005D2C10">
              <w:rPr>
                <w:sz w:val="18"/>
                <w:szCs w:val="18"/>
                <w:lang w:val="es-ES_tradnl"/>
              </w:rPr>
              <w:lastRenderedPageBreak/>
              <w:t>Mercurio elemental</w:t>
            </w:r>
          </w:p>
        </w:tc>
        <w:tc>
          <w:tcPr>
            <w:tcW w:w="5620" w:type="dxa"/>
          </w:tcPr>
          <w:p w14:paraId="63B1AD37" w14:textId="0B45D5C9" w:rsidR="00077333" w:rsidRPr="005D2C10" w:rsidRDefault="00077333" w:rsidP="00077333">
            <w:pPr>
              <w:pStyle w:val="Normal-pool"/>
              <w:spacing w:before="40" w:after="40"/>
              <w:rPr>
                <w:sz w:val="18"/>
                <w:szCs w:val="18"/>
                <w:lang w:val="es-ES_tradnl"/>
              </w:rPr>
            </w:pPr>
            <w:r w:rsidRPr="005D2C10">
              <w:rPr>
                <w:sz w:val="18"/>
                <w:szCs w:val="18"/>
                <w:lang w:val="es-ES_tradnl"/>
              </w:rPr>
              <w:t xml:space="preserve">Mercurio almacenado (por ejemplo, industrias, laboratorios, consultorios dentales, instituciones educativas y de investigación, instituciones gubernamentales, vertederos, </w:t>
            </w:r>
            <w:r w:rsidR="00FB7E46" w:rsidRPr="005D2C10">
              <w:rPr>
                <w:sz w:val="18"/>
                <w:szCs w:val="18"/>
                <w:lang w:val="es-ES_tradnl"/>
              </w:rPr>
              <w:t xml:space="preserve">basureros, </w:t>
            </w:r>
            <w:r w:rsidRPr="005D2C10">
              <w:rPr>
                <w:sz w:val="18"/>
                <w:szCs w:val="18"/>
                <w:lang w:val="es-ES_tradnl"/>
              </w:rPr>
              <w:t>faros)</w:t>
            </w:r>
          </w:p>
        </w:tc>
      </w:tr>
      <w:tr w:rsidR="00077333" w:rsidRPr="005D2C10" w14:paraId="01F52860" w14:textId="77777777" w:rsidTr="00077333">
        <w:trPr>
          <w:trHeight w:val="57"/>
          <w:jc w:val="right"/>
        </w:trPr>
        <w:tc>
          <w:tcPr>
            <w:tcW w:w="2687" w:type="dxa"/>
          </w:tcPr>
          <w:p w14:paraId="0D8071F4" w14:textId="77777777" w:rsidR="00077333" w:rsidRPr="005D2C10" w:rsidRDefault="00077333" w:rsidP="00077333">
            <w:pPr>
              <w:pStyle w:val="Normal-pool"/>
              <w:rPr>
                <w:sz w:val="18"/>
                <w:szCs w:val="18"/>
                <w:lang w:val="es-ES_tradnl"/>
              </w:rPr>
            </w:pPr>
            <w:r w:rsidRPr="005D2C10">
              <w:rPr>
                <w:sz w:val="18"/>
                <w:szCs w:val="18"/>
                <w:lang w:val="es-ES_tradnl"/>
              </w:rPr>
              <w:t xml:space="preserve">Cloruro de mercurio (I) y </w:t>
            </w:r>
          </w:p>
          <w:p w14:paraId="1B25C6B2" w14:textId="13A0686C" w:rsidR="00077333" w:rsidRPr="005D2C10" w:rsidRDefault="00077333" w:rsidP="00077333">
            <w:pPr>
              <w:pStyle w:val="Normal-pool"/>
              <w:spacing w:before="40" w:after="40"/>
              <w:rPr>
                <w:sz w:val="18"/>
                <w:szCs w:val="18"/>
                <w:lang w:val="es-ES_tradnl"/>
              </w:rPr>
            </w:pPr>
            <w:r w:rsidRPr="005D2C10">
              <w:rPr>
                <w:sz w:val="18"/>
                <w:szCs w:val="18"/>
                <w:lang w:val="es-ES_tradnl"/>
              </w:rPr>
              <w:t xml:space="preserve">cloruro de mercurio (II) </w:t>
            </w:r>
          </w:p>
        </w:tc>
        <w:tc>
          <w:tcPr>
            <w:tcW w:w="5620" w:type="dxa"/>
          </w:tcPr>
          <w:p w14:paraId="2D84076D" w14:textId="5135FC22" w:rsidR="00077333" w:rsidRPr="005D2C10" w:rsidRDefault="00077333" w:rsidP="00FB7E46">
            <w:pPr>
              <w:pStyle w:val="Normal-pool"/>
              <w:spacing w:before="40" w:after="40"/>
              <w:rPr>
                <w:sz w:val="18"/>
                <w:szCs w:val="18"/>
                <w:lang w:val="es-ES_tradnl"/>
              </w:rPr>
            </w:pPr>
            <w:r w:rsidRPr="005D2C10">
              <w:rPr>
                <w:sz w:val="18"/>
                <w:szCs w:val="18"/>
                <w:lang w:val="es-ES_tradnl"/>
              </w:rPr>
              <w:t xml:space="preserve">Procesos de calcinación y fundición de zinc, plomo, cobre y oro </w:t>
            </w:r>
            <w:r w:rsidR="00FB7E46" w:rsidRPr="005D2C10">
              <w:rPr>
                <w:sz w:val="18"/>
                <w:szCs w:val="18"/>
                <w:lang w:val="es-ES_tradnl"/>
              </w:rPr>
              <w:t>primarios</w:t>
            </w:r>
          </w:p>
          <w:p w14:paraId="3D1DB03F" w14:textId="3E837D7F" w:rsidR="00077333" w:rsidRPr="005D2C10" w:rsidRDefault="00FB7E46" w:rsidP="00FB7E46">
            <w:pPr>
              <w:pStyle w:val="Normal-pool"/>
              <w:spacing w:before="40" w:after="40"/>
              <w:rPr>
                <w:sz w:val="18"/>
                <w:szCs w:val="18"/>
                <w:lang w:val="es-ES_tradnl"/>
              </w:rPr>
            </w:pPr>
            <w:r w:rsidRPr="005D2C10">
              <w:rPr>
                <w:sz w:val="18"/>
                <w:szCs w:val="18"/>
                <w:lang w:val="es-ES_tradnl"/>
              </w:rPr>
              <w:t>Reactivo</w:t>
            </w:r>
          </w:p>
          <w:p w14:paraId="36FF3DF3" w14:textId="77777777" w:rsidR="00077333" w:rsidRPr="005D2C10" w:rsidRDefault="00077333" w:rsidP="00FB7E46">
            <w:pPr>
              <w:pStyle w:val="Normal-pool"/>
              <w:spacing w:before="40" w:after="40"/>
              <w:rPr>
                <w:sz w:val="18"/>
                <w:szCs w:val="18"/>
                <w:lang w:val="es-ES_tradnl"/>
              </w:rPr>
            </w:pPr>
            <w:r w:rsidRPr="005D2C10">
              <w:rPr>
                <w:sz w:val="18"/>
                <w:szCs w:val="18"/>
                <w:lang w:val="es-ES_tradnl"/>
              </w:rPr>
              <w:t xml:space="preserve">Electrodo de calomelanos para mediciones electroquímicas </w:t>
            </w:r>
          </w:p>
          <w:p w14:paraId="78F85DAE" w14:textId="77777777" w:rsidR="00077333" w:rsidRPr="005D2C10" w:rsidRDefault="00077333" w:rsidP="00FB7E46">
            <w:pPr>
              <w:pStyle w:val="Normal-pool"/>
              <w:spacing w:before="40" w:after="40"/>
              <w:rPr>
                <w:sz w:val="18"/>
                <w:szCs w:val="18"/>
                <w:lang w:val="es-ES_tradnl"/>
              </w:rPr>
            </w:pPr>
            <w:r w:rsidRPr="005D2C10">
              <w:rPr>
                <w:sz w:val="18"/>
                <w:szCs w:val="18"/>
                <w:lang w:val="es-ES_tradnl"/>
              </w:rPr>
              <w:t>Medicina/fármacos</w:t>
            </w:r>
          </w:p>
          <w:p w14:paraId="6B46807F" w14:textId="5BB4374C" w:rsidR="00077333" w:rsidRPr="005D2C10" w:rsidRDefault="00077333" w:rsidP="00077333">
            <w:pPr>
              <w:pStyle w:val="Normal-pool"/>
              <w:spacing w:before="40" w:after="40"/>
              <w:rPr>
                <w:sz w:val="18"/>
                <w:szCs w:val="18"/>
                <w:lang w:val="es-ES_tradnl"/>
              </w:rPr>
            </w:pPr>
            <w:r w:rsidRPr="005D2C10">
              <w:rPr>
                <w:sz w:val="18"/>
                <w:szCs w:val="18"/>
                <w:lang w:val="es-ES_tradnl"/>
              </w:rPr>
              <w:t>Catalizador para el monómero de cloruro de vinilo - cloruro de mercurio</w:t>
            </w:r>
            <w:r w:rsidR="005D2566" w:rsidRPr="005D2C10">
              <w:rPr>
                <w:sz w:val="18"/>
                <w:szCs w:val="18"/>
                <w:lang w:val="es-ES_tradnl"/>
              </w:rPr>
              <w:t> </w:t>
            </w:r>
            <w:r w:rsidRPr="005D2C10">
              <w:rPr>
                <w:sz w:val="18"/>
                <w:szCs w:val="18"/>
                <w:lang w:val="es-ES_tradnl"/>
              </w:rPr>
              <w:t>(II)</w:t>
            </w:r>
          </w:p>
          <w:p w14:paraId="11DA622E" w14:textId="0ABC8ABE" w:rsidR="00FB7E46" w:rsidRPr="005D2C10" w:rsidRDefault="00FB7E46" w:rsidP="00077333">
            <w:pPr>
              <w:pStyle w:val="Normal-pool"/>
              <w:spacing w:before="40" w:after="40"/>
              <w:rPr>
                <w:sz w:val="18"/>
                <w:szCs w:val="18"/>
                <w:lang w:val="es-ES_tradnl"/>
              </w:rPr>
            </w:pPr>
            <w:r w:rsidRPr="005D2C10">
              <w:rPr>
                <w:sz w:val="18"/>
                <w:szCs w:val="18"/>
                <w:lang w:val="es-ES_tradnl"/>
              </w:rPr>
              <w:t>Existencias</w:t>
            </w:r>
          </w:p>
        </w:tc>
      </w:tr>
      <w:tr w:rsidR="00077333" w:rsidRPr="005D2C10" w14:paraId="5DD7DAD8" w14:textId="77777777" w:rsidTr="00077333">
        <w:trPr>
          <w:trHeight w:val="57"/>
          <w:jc w:val="right"/>
        </w:trPr>
        <w:tc>
          <w:tcPr>
            <w:tcW w:w="2687" w:type="dxa"/>
          </w:tcPr>
          <w:p w14:paraId="7898437D" w14:textId="77777777" w:rsidR="00077333" w:rsidRPr="005D2C10" w:rsidRDefault="00077333" w:rsidP="00077333">
            <w:pPr>
              <w:pStyle w:val="Normal-pool"/>
              <w:rPr>
                <w:sz w:val="18"/>
                <w:szCs w:val="18"/>
                <w:lang w:val="es-ES_tradnl"/>
              </w:rPr>
            </w:pPr>
            <w:r w:rsidRPr="005D2C10">
              <w:rPr>
                <w:sz w:val="18"/>
                <w:szCs w:val="18"/>
                <w:lang w:val="es-ES_tradnl"/>
              </w:rPr>
              <w:t xml:space="preserve">Óxido de mercurio (II) </w:t>
            </w:r>
          </w:p>
          <w:p w14:paraId="351A9E0D" w14:textId="04620820" w:rsidR="00077333" w:rsidRPr="005D2C10" w:rsidRDefault="00077333" w:rsidP="00077333">
            <w:pPr>
              <w:pStyle w:val="Normal-pool"/>
              <w:spacing w:before="40" w:after="40"/>
              <w:rPr>
                <w:sz w:val="18"/>
                <w:szCs w:val="18"/>
                <w:lang w:val="es-ES_tradnl"/>
              </w:rPr>
            </w:pPr>
            <w:r w:rsidRPr="005D2C10">
              <w:rPr>
                <w:sz w:val="18"/>
                <w:szCs w:val="18"/>
                <w:lang w:val="es-ES_tradnl"/>
              </w:rPr>
              <w:t>(óxido mercúrico)</w:t>
            </w:r>
          </w:p>
        </w:tc>
        <w:tc>
          <w:tcPr>
            <w:tcW w:w="5620" w:type="dxa"/>
          </w:tcPr>
          <w:p w14:paraId="44237B24" w14:textId="366B63A8" w:rsidR="00077333" w:rsidRPr="005D2C10" w:rsidRDefault="00E4503F" w:rsidP="00FB7E46">
            <w:pPr>
              <w:pStyle w:val="Normal-pool"/>
              <w:spacing w:before="40" w:after="40"/>
              <w:rPr>
                <w:sz w:val="18"/>
                <w:szCs w:val="18"/>
                <w:lang w:val="es-ES_tradnl"/>
              </w:rPr>
            </w:pPr>
            <w:r w:rsidRPr="005D2C10">
              <w:rPr>
                <w:sz w:val="18"/>
                <w:szCs w:val="18"/>
                <w:lang w:val="es-ES_tradnl"/>
              </w:rPr>
              <w:t>Baterías</w:t>
            </w:r>
            <w:r w:rsidR="00077333" w:rsidRPr="005D2C10">
              <w:rPr>
                <w:sz w:val="18"/>
                <w:szCs w:val="18"/>
                <w:lang w:val="es-ES_tradnl"/>
              </w:rPr>
              <w:t xml:space="preserve"> secas, pigmentos en pinturas y modificadores de vidrio, fungicidas, cosméticos, reactivos </w:t>
            </w:r>
            <w:r w:rsidR="00FB7E46" w:rsidRPr="005D2C10">
              <w:rPr>
                <w:sz w:val="18"/>
                <w:szCs w:val="18"/>
                <w:lang w:val="es-ES_tradnl"/>
              </w:rPr>
              <w:t>de laboratorio</w:t>
            </w:r>
            <w:r w:rsidR="00077333" w:rsidRPr="005D2C10">
              <w:rPr>
                <w:sz w:val="18"/>
                <w:szCs w:val="18"/>
                <w:lang w:val="es-ES_tradnl"/>
              </w:rPr>
              <w:t>, pinturas antiincrustantes</w:t>
            </w:r>
          </w:p>
          <w:p w14:paraId="5CAFC2FA" w14:textId="2037E454" w:rsidR="00FB7E46" w:rsidRPr="005D2C10" w:rsidRDefault="00FB7E46" w:rsidP="00FB7E46">
            <w:pPr>
              <w:pStyle w:val="Normal-pool"/>
              <w:spacing w:before="40" w:after="40"/>
              <w:rPr>
                <w:sz w:val="18"/>
                <w:szCs w:val="18"/>
                <w:lang w:val="es-ES_tradnl"/>
              </w:rPr>
            </w:pPr>
            <w:r w:rsidRPr="005D2C10">
              <w:rPr>
                <w:sz w:val="18"/>
                <w:szCs w:val="18"/>
                <w:lang w:val="es-ES_tradnl"/>
              </w:rPr>
              <w:t>Existencias</w:t>
            </w:r>
          </w:p>
        </w:tc>
      </w:tr>
      <w:tr w:rsidR="00077333" w:rsidRPr="005D2C10" w14:paraId="29607960" w14:textId="77777777" w:rsidTr="00077333">
        <w:trPr>
          <w:trHeight w:val="57"/>
          <w:jc w:val="right"/>
        </w:trPr>
        <w:tc>
          <w:tcPr>
            <w:tcW w:w="2687" w:type="dxa"/>
          </w:tcPr>
          <w:p w14:paraId="6759346A" w14:textId="77777777" w:rsidR="00077333" w:rsidRPr="005D2C10" w:rsidRDefault="00077333" w:rsidP="00077333">
            <w:pPr>
              <w:pStyle w:val="Normal-pool"/>
              <w:rPr>
                <w:sz w:val="18"/>
                <w:szCs w:val="18"/>
                <w:lang w:val="es-ES_tradnl"/>
              </w:rPr>
            </w:pPr>
            <w:r w:rsidRPr="005D2C10">
              <w:rPr>
                <w:sz w:val="18"/>
                <w:szCs w:val="18"/>
                <w:lang w:val="es-ES_tradnl"/>
              </w:rPr>
              <w:t>Sulfato de mercurio (II)</w:t>
            </w:r>
          </w:p>
          <w:p w14:paraId="3CF36B22" w14:textId="643CBCD1" w:rsidR="00077333" w:rsidRPr="005D2C10" w:rsidRDefault="00077333" w:rsidP="00077333">
            <w:pPr>
              <w:pStyle w:val="Normal-pool"/>
              <w:spacing w:before="40" w:after="40"/>
              <w:rPr>
                <w:sz w:val="18"/>
                <w:szCs w:val="18"/>
                <w:lang w:val="es-ES_tradnl"/>
              </w:rPr>
            </w:pPr>
            <w:r w:rsidRPr="005D2C10">
              <w:rPr>
                <w:sz w:val="18"/>
                <w:szCs w:val="18"/>
                <w:lang w:val="es-ES_tradnl"/>
              </w:rPr>
              <w:t>(sulfato de mercurio)</w:t>
            </w:r>
          </w:p>
        </w:tc>
        <w:tc>
          <w:tcPr>
            <w:tcW w:w="5620" w:type="dxa"/>
          </w:tcPr>
          <w:p w14:paraId="1B3F3299" w14:textId="77777777" w:rsidR="00077333" w:rsidRPr="005D2C10" w:rsidRDefault="00077333" w:rsidP="00077333">
            <w:pPr>
              <w:pStyle w:val="Normal-pool"/>
              <w:spacing w:before="40" w:after="40"/>
              <w:rPr>
                <w:sz w:val="18"/>
                <w:szCs w:val="18"/>
                <w:lang w:val="es-ES_tradnl"/>
              </w:rPr>
            </w:pPr>
            <w:r w:rsidRPr="005D2C10">
              <w:rPr>
                <w:sz w:val="18"/>
                <w:szCs w:val="18"/>
                <w:lang w:val="es-ES_tradnl"/>
              </w:rPr>
              <w:t>Reactivo de laboratorio, catalizador utilizado para la producción de acetaldehído</w:t>
            </w:r>
          </w:p>
          <w:p w14:paraId="7F66E4B2" w14:textId="6284E761" w:rsidR="00FB7E46" w:rsidRPr="005D2C10" w:rsidRDefault="00FB7E46" w:rsidP="00077333">
            <w:pPr>
              <w:pStyle w:val="Normal-pool"/>
              <w:spacing w:before="40" w:after="40"/>
              <w:rPr>
                <w:sz w:val="18"/>
                <w:szCs w:val="18"/>
                <w:lang w:val="es-ES_tradnl"/>
              </w:rPr>
            </w:pPr>
            <w:r w:rsidRPr="005D2C10">
              <w:rPr>
                <w:sz w:val="18"/>
                <w:szCs w:val="18"/>
                <w:lang w:val="es-ES_tradnl"/>
              </w:rPr>
              <w:t>Existencias</w:t>
            </w:r>
          </w:p>
        </w:tc>
      </w:tr>
      <w:tr w:rsidR="00077333" w:rsidRPr="005D2C10" w14:paraId="0334C510" w14:textId="77777777" w:rsidTr="00077333">
        <w:trPr>
          <w:trHeight w:val="57"/>
          <w:jc w:val="right"/>
        </w:trPr>
        <w:tc>
          <w:tcPr>
            <w:tcW w:w="2687" w:type="dxa"/>
          </w:tcPr>
          <w:p w14:paraId="40B6B694" w14:textId="77777777" w:rsidR="00077333" w:rsidRPr="005D2C10" w:rsidRDefault="00077333" w:rsidP="00077333">
            <w:pPr>
              <w:pStyle w:val="Normal-pool"/>
              <w:rPr>
                <w:sz w:val="18"/>
                <w:szCs w:val="18"/>
                <w:lang w:val="es-ES_tradnl"/>
              </w:rPr>
            </w:pPr>
            <w:r w:rsidRPr="005D2C10">
              <w:rPr>
                <w:sz w:val="18"/>
                <w:szCs w:val="18"/>
                <w:lang w:val="es-ES_tradnl"/>
              </w:rPr>
              <w:t>Nitrato de mercurio (II)</w:t>
            </w:r>
          </w:p>
          <w:p w14:paraId="751D2353" w14:textId="3C8713D9" w:rsidR="00077333" w:rsidRPr="005D2C10" w:rsidRDefault="00077333" w:rsidP="00077333">
            <w:pPr>
              <w:pStyle w:val="Normal-pool"/>
              <w:spacing w:before="40" w:after="40"/>
              <w:rPr>
                <w:sz w:val="18"/>
                <w:szCs w:val="18"/>
                <w:lang w:val="es-ES_tradnl"/>
              </w:rPr>
            </w:pPr>
            <w:r w:rsidRPr="005D2C10">
              <w:rPr>
                <w:sz w:val="18"/>
                <w:szCs w:val="18"/>
                <w:lang w:val="es-ES_tradnl"/>
              </w:rPr>
              <w:t>(nitrato de mercurio)</w:t>
            </w:r>
          </w:p>
        </w:tc>
        <w:tc>
          <w:tcPr>
            <w:tcW w:w="5620" w:type="dxa"/>
          </w:tcPr>
          <w:p w14:paraId="1FAD5F3D" w14:textId="77777777" w:rsidR="00077333" w:rsidRPr="005D2C10" w:rsidRDefault="00077333" w:rsidP="00077333">
            <w:pPr>
              <w:pStyle w:val="Normal-pool"/>
              <w:spacing w:before="40" w:after="40"/>
              <w:rPr>
                <w:sz w:val="18"/>
                <w:szCs w:val="18"/>
                <w:lang w:val="es-ES_tradnl"/>
              </w:rPr>
            </w:pPr>
            <w:r w:rsidRPr="005D2C10">
              <w:rPr>
                <w:sz w:val="18"/>
                <w:szCs w:val="18"/>
                <w:lang w:val="es-ES_tradnl"/>
              </w:rPr>
              <w:t>Agente oxidante, reactivo de laboratorio</w:t>
            </w:r>
          </w:p>
          <w:p w14:paraId="4D2E45B3" w14:textId="592B6952" w:rsidR="00FB7E46" w:rsidRPr="005D2C10" w:rsidRDefault="00FB7E46" w:rsidP="00077333">
            <w:pPr>
              <w:pStyle w:val="Normal-pool"/>
              <w:spacing w:before="40" w:after="40"/>
              <w:rPr>
                <w:sz w:val="18"/>
                <w:szCs w:val="18"/>
                <w:lang w:val="es-ES_tradnl"/>
              </w:rPr>
            </w:pPr>
            <w:r w:rsidRPr="005D2C10">
              <w:rPr>
                <w:sz w:val="18"/>
                <w:szCs w:val="18"/>
                <w:lang w:val="es-ES_tradnl"/>
              </w:rPr>
              <w:t>Existencias</w:t>
            </w:r>
          </w:p>
        </w:tc>
      </w:tr>
      <w:tr w:rsidR="00077333" w:rsidRPr="005D2C10" w14:paraId="714ADEA8" w14:textId="77777777" w:rsidTr="00E87E47">
        <w:trPr>
          <w:trHeight w:val="57"/>
          <w:jc w:val="right"/>
        </w:trPr>
        <w:tc>
          <w:tcPr>
            <w:tcW w:w="2687" w:type="dxa"/>
          </w:tcPr>
          <w:p w14:paraId="1A78B2E8" w14:textId="71745789" w:rsidR="00077333" w:rsidRPr="005D2C10" w:rsidRDefault="00077333" w:rsidP="00077333">
            <w:pPr>
              <w:pStyle w:val="Normal-pool"/>
              <w:spacing w:before="40" w:after="40"/>
              <w:rPr>
                <w:sz w:val="18"/>
                <w:szCs w:val="18"/>
                <w:lang w:val="es-ES_tradnl"/>
              </w:rPr>
            </w:pPr>
            <w:r w:rsidRPr="005D2C10">
              <w:rPr>
                <w:sz w:val="18"/>
                <w:szCs w:val="18"/>
                <w:lang w:val="es-ES_tradnl"/>
              </w:rPr>
              <w:t>Cinabrio</w:t>
            </w:r>
            <w:r w:rsidR="00FB7E46" w:rsidRPr="005D2C10">
              <w:rPr>
                <w:sz w:val="18"/>
                <w:szCs w:val="18"/>
                <w:lang w:val="es-ES_tradnl"/>
              </w:rPr>
              <w:t xml:space="preserve"> concentrado</w:t>
            </w:r>
          </w:p>
        </w:tc>
        <w:tc>
          <w:tcPr>
            <w:tcW w:w="5620" w:type="dxa"/>
          </w:tcPr>
          <w:p w14:paraId="7EE4BFC6" w14:textId="77777777" w:rsidR="00077333" w:rsidRPr="005D2C10" w:rsidRDefault="00077333" w:rsidP="00FB7E46">
            <w:pPr>
              <w:pStyle w:val="Normal-pool"/>
              <w:spacing w:before="40" w:after="40"/>
              <w:rPr>
                <w:sz w:val="18"/>
                <w:szCs w:val="18"/>
                <w:lang w:val="es-ES_tradnl"/>
              </w:rPr>
            </w:pPr>
            <w:r w:rsidRPr="005D2C10">
              <w:rPr>
                <w:sz w:val="18"/>
                <w:szCs w:val="18"/>
                <w:lang w:val="es-ES_tradnl"/>
              </w:rPr>
              <w:t>Extracción primaria de mercurio</w:t>
            </w:r>
          </w:p>
          <w:p w14:paraId="3D228B68" w14:textId="519BC09A" w:rsidR="00077333" w:rsidRPr="005D2C10" w:rsidRDefault="00FB7E46" w:rsidP="00077333">
            <w:pPr>
              <w:pStyle w:val="Normal-pool"/>
              <w:spacing w:before="40" w:after="40"/>
              <w:rPr>
                <w:sz w:val="18"/>
                <w:szCs w:val="18"/>
                <w:lang w:val="es-ES_tradnl"/>
              </w:rPr>
            </w:pPr>
            <w:r w:rsidRPr="005D2C10">
              <w:rPr>
                <w:sz w:val="18"/>
                <w:szCs w:val="18"/>
                <w:lang w:val="es-ES_tradnl"/>
              </w:rPr>
              <w:t>Existencias</w:t>
            </w:r>
          </w:p>
        </w:tc>
      </w:tr>
      <w:tr w:rsidR="00077333" w:rsidRPr="005D2C10" w14:paraId="1C40476A" w14:textId="77777777" w:rsidTr="00E87E47">
        <w:trPr>
          <w:trHeight w:val="57"/>
          <w:jc w:val="right"/>
        </w:trPr>
        <w:tc>
          <w:tcPr>
            <w:tcW w:w="2687" w:type="dxa"/>
            <w:tcBorders>
              <w:bottom w:val="single" w:sz="12" w:space="0" w:color="auto"/>
            </w:tcBorders>
          </w:tcPr>
          <w:p w14:paraId="604CD6FA" w14:textId="1CDF4C8F" w:rsidR="00077333" w:rsidRPr="005D2C10" w:rsidRDefault="00077333" w:rsidP="00077333">
            <w:pPr>
              <w:pStyle w:val="Normal-pool"/>
              <w:spacing w:before="40" w:after="40"/>
              <w:rPr>
                <w:sz w:val="18"/>
                <w:szCs w:val="18"/>
                <w:lang w:val="es-ES_tradnl"/>
              </w:rPr>
            </w:pPr>
            <w:r w:rsidRPr="005D2C10">
              <w:rPr>
                <w:sz w:val="18"/>
                <w:szCs w:val="18"/>
                <w:lang w:val="es-ES_tradnl"/>
              </w:rPr>
              <w:t>Sulfuro de mercurio</w:t>
            </w:r>
          </w:p>
        </w:tc>
        <w:tc>
          <w:tcPr>
            <w:tcW w:w="5620" w:type="dxa"/>
            <w:tcBorders>
              <w:bottom w:val="single" w:sz="12" w:space="0" w:color="auto"/>
            </w:tcBorders>
          </w:tcPr>
          <w:p w14:paraId="4666DBC3" w14:textId="77777777" w:rsidR="00077333" w:rsidRPr="005D2C10" w:rsidRDefault="00077333" w:rsidP="00FB7E46">
            <w:pPr>
              <w:pStyle w:val="Normal-pool"/>
              <w:spacing w:before="40" w:after="40"/>
              <w:rPr>
                <w:sz w:val="18"/>
                <w:szCs w:val="18"/>
                <w:lang w:val="es-ES_tradnl"/>
              </w:rPr>
            </w:pPr>
            <w:r w:rsidRPr="005D2C10">
              <w:rPr>
                <w:sz w:val="18"/>
                <w:szCs w:val="18"/>
                <w:lang w:val="es-ES_tradnl"/>
              </w:rPr>
              <w:t>Pigmento</w:t>
            </w:r>
          </w:p>
          <w:p w14:paraId="5F38A6F7" w14:textId="77777777" w:rsidR="00077333" w:rsidRPr="005D2C10" w:rsidRDefault="00077333" w:rsidP="00077333">
            <w:pPr>
              <w:pStyle w:val="Normal-pool"/>
              <w:spacing w:before="40" w:after="40"/>
              <w:rPr>
                <w:sz w:val="18"/>
                <w:szCs w:val="18"/>
                <w:lang w:val="es-ES_tradnl"/>
              </w:rPr>
            </w:pPr>
            <w:r w:rsidRPr="005D2C10">
              <w:rPr>
                <w:sz w:val="18"/>
                <w:szCs w:val="18"/>
                <w:lang w:val="es-ES_tradnl"/>
              </w:rPr>
              <w:t>Estabilización de desechos de mercurio para su almacenamiento o eliminación</w:t>
            </w:r>
          </w:p>
          <w:p w14:paraId="3A564FCD" w14:textId="1B6A3576" w:rsidR="00FB7E46" w:rsidRPr="005D2C10" w:rsidRDefault="00FB7E46" w:rsidP="00077333">
            <w:pPr>
              <w:pStyle w:val="Normal-pool"/>
              <w:spacing w:before="40" w:after="40"/>
              <w:rPr>
                <w:sz w:val="18"/>
                <w:szCs w:val="18"/>
                <w:lang w:val="es-ES_tradnl"/>
              </w:rPr>
            </w:pPr>
            <w:r w:rsidRPr="005D2C10">
              <w:rPr>
                <w:sz w:val="18"/>
                <w:szCs w:val="18"/>
                <w:lang w:val="es-ES_tradnl"/>
              </w:rPr>
              <w:t>Existencias</w:t>
            </w:r>
          </w:p>
        </w:tc>
      </w:tr>
    </w:tbl>
    <w:p w14:paraId="77294652" w14:textId="3556C803" w:rsidR="00FB7E46" w:rsidRPr="002927A1" w:rsidRDefault="008B1DF7" w:rsidP="00FB7E46">
      <w:pPr>
        <w:pStyle w:val="NormalNonumber"/>
        <w:spacing w:before="20" w:after="40"/>
        <w:rPr>
          <w:b/>
          <w:sz w:val="17"/>
          <w:szCs w:val="17"/>
          <w:lang w:val="es-ES_tradnl"/>
        </w:rPr>
      </w:pPr>
      <w:r w:rsidRPr="002927A1">
        <w:rPr>
          <w:sz w:val="17"/>
          <w:szCs w:val="17"/>
          <w:vertAlign w:val="superscript"/>
          <w:lang w:val="es-ES_tradnl"/>
        </w:rPr>
        <w:t>a</w:t>
      </w:r>
      <w:r w:rsidRPr="002927A1">
        <w:rPr>
          <w:sz w:val="17"/>
          <w:szCs w:val="17"/>
          <w:lang w:val="es-ES_tradnl"/>
        </w:rPr>
        <w:t xml:space="preserve"> </w:t>
      </w:r>
      <w:r w:rsidR="00FB7E46" w:rsidRPr="002927A1">
        <w:rPr>
          <w:sz w:val="17"/>
          <w:szCs w:val="17"/>
          <w:lang w:val="es-ES_tradnl"/>
        </w:rPr>
        <w:t xml:space="preserve">El Convenio define un compuesto de mercurio como toda sustancia que consiste en átomos de mercurio y uno o más átomos de elementos químicos distintos que puedan separarse en componentes diferentes solo por medio de reacciones químicas. </w:t>
      </w:r>
    </w:p>
    <w:p w14:paraId="057B9F45" w14:textId="77777777" w:rsidR="00FB7E46" w:rsidRPr="002927A1" w:rsidRDefault="00FB7E46" w:rsidP="00FB7E46">
      <w:pPr>
        <w:pStyle w:val="NormalNonumber"/>
        <w:spacing w:before="20" w:after="40"/>
        <w:rPr>
          <w:sz w:val="17"/>
          <w:szCs w:val="17"/>
          <w:lang w:val="es-ES_tradnl"/>
        </w:rPr>
      </w:pPr>
      <w:r w:rsidRPr="002927A1">
        <w:rPr>
          <w:sz w:val="17"/>
          <w:szCs w:val="17"/>
          <w:vertAlign w:val="superscript"/>
          <w:lang w:val="es-ES_tradnl"/>
        </w:rPr>
        <w:t>b</w:t>
      </w:r>
      <w:r w:rsidRPr="002927A1">
        <w:rPr>
          <w:sz w:val="17"/>
          <w:szCs w:val="17"/>
          <w:lang w:val="es-ES_tradnl"/>
        </w:rPr>
        <w:t xml:space="preserve"> Una instalación o actividad en la que es probable que se generen o acumulen desechos.</w:t>
      </w:r>
    </w:p>
    <w:p w14:paraId="7299C7B2" w14:textId="77777777" w:rsidR="00FB7E46" w:rsidRPr="002927A1" w:rsidRDefault="00FB7E46" w:rsidP="00FB7E46">
      <w:pPr>
        <w:pStyle w:val="NormalNonumber"/>
        <w:spacing w:before="20" w:after="40"/>
        <w:rPr>
          <w:sz w:val="17"/>
          <w:szCs w:val="17"/>
          <w:lang w:val="es-ES_tradnl"/>
        </w:rPr>
      </w:pPr>
      <w:r w:rsidRPr="002927A1">
        <w:rPr>
          <w:sz w:val="17"/>
          <w:szCs w:val="17"/>
          <w:vertAlign w:val="superscript"/>
          <w:lang w:val="es-ES_tradnl"/>
        </w:rPr>
        <w:t xml:space="preserve">c </w:t>
      </w:r>
      <w:r w:rsidRPr="002927A1">
        <w:rPr>
          <w:sz w:val="17"/>
          <w:szCs w:val="17"/>
          <w:lang w:val="es-ES_tradnl"/>
        </w:rPr>
        <w:t>Mercurio recuperado según se describe en el apartado b) del párrafo 3 del artículo 11.</w:t>
      </w:r>
    </w:p>
    <w:p w14:paraId="108EE942" w14:textId="77777777" w:rsidR="00FB7E46" w:rsidRPr="002927A1" w:rsidRDefault="00FB7E46" w:rsidP="00FB7E46">
      <w:pPr>
        <w:pStyle w:val="NormalNonumber"/>
        <w:spacing w:before="20" w:after="40"/>
        <w:rPr>
          <w:sz w:val="17"/>
          <w:szCs w:val="17"/>
          <w:lang w:val="es-ES_tradnl"/>
        </w:rPr>
      </w:pPr>
      <w:r w:rsidRPr="002927A1">
        <w:rPr>
          <w:sz w:val="17"/>
          <w:szCs w:val="17"/>
          <w:vertAlign w:val="superscript"/>
          <w:lang w:val="es-ES_tradnl"/>
        </w:rPr>
        <w:t>d</w:t>
      </w:r>
      <w:r w:rsidRPr="002927A1">
        <w:rPr>
          <w:sz w:val="17"/>
          <w:szCs w:val="17"/>
          <w:lang w:val="es-ES_tradnl"/>
        </w:rPr>
        <w:t xml:space="preserve"> Es posible que la recuperación ocurra sin tratamiento.</w:t>
      </w:r>
    </w:p>
    <w:p w14:paraId="0AB5609B" w14:textId="77777777" w:rsidR="00FB7E46" w:rsidRPr="002927A1" w:rsidRDefault="00FB7E46" w:rsidP="00FB7E46">
      <w:pPr>
        <w:pStyle w:val="NormalNonumber"/>
        <w:spacing w:before="20" w:after="40"/>
        <w:rPr>
          <w:b/>
          <w:lang w:val="es-ES_tradnl"/>
        </w:rPr>
      </w:pPr>
    </w:p>
    <w:p w14:paraId="3E29D89F" w14:textId="77777777" w:rsidR="00FB7E46" w:rsidRPr="002927A1" w:rsidRDefault="00FB7E46">
      <w:pPr>
        <w:tabs>
          <w:tab w:val="clear" w:pos="1247"/>
          <w:tab w:val="clear" w:pos="1814"/>
          <w:tab w:val="clear" w:pos="2381"/>
          <w:tab w:val="clear" w:pos="2948"/>
          <w:tab w:val="clear" w:pos="3515"/>
        </w:tabs>
        <w:rPr>
          <w:b/>
        </w:rPr>
      </w:pPr>
      <w:r w:rsidRPr="002927A1">
        <w:rPr>
          <w:b/>
        </w:rPr>
        <w:br w:type="page"/>
      </w:r>
    </w:p>
    <w:p w14:paraId="56DB0F48" w14:textId="29B6C58F" w:rsidR="00FB7E46" w:rsidRPr="002927A1" w:rsidRDefault="00FB7E46" w:rsidP="00FB7E46">
      <w:pPr>
        <w:pStyle w:val="Normal-pool"/>
        <w:tabs>
          <w:tab w:val="clear" w:pos="1247"/>
          <w:tab w:val="clear" w:pos="1814"/>
          <w:tab w:val="clear" w:pos="2381"/>
          <w:tab w:val="clear" w:pos="2948"/>
          <w:tab w:val="clear" w:pos="3515"/>
          <w:tab w:val="clear" w:pos="4082"/>
        </w:tabs>
        <w:spacing w:after="120"/>
        <w:ind w:left="1247"/>
        <w:rPr>
          <w:b/>
          <w:lang w:val="es-ES_tradnl"/>
        </w:rPr>
      </w:pPr>
      <w:r w:rsidRPr="002927A1">
        <w:rPr>
          <w:lang w:val="es-ES_tradnl"/>
        </w:rPr>
        <w:lastRenderedPageBreak/>
        <w:t>Cuadro 2</w:t>
      </w:r>
      <w:r w:rsidRPr="002927A1">
        <w:rPr>
          <w:lang w:val="es-ES_tradnl"/>
        </w:rPr>
        <w:br/>
      </w:r>
      <w:r w:rsidRPr="002927A1">
        <w:rPr>
          <w:b/>
          <w:bCs/>
          <w:lang w:val="es-ES_tradnl"/>
        </w:rPr>
        <w:t>Lista no exhaustiva de desechos que contienen mercurio o compuestos de mercurio (apartado b) del párrafo 2</w:t>
      </w:r>
      <w:r w:rsidRPr="002927A1">
        <w:rPr>
          <w:lang w:val="es-ES_tradnl"/>
        </w:rPr>
        <w:t xml:space="preserve"> </w:t>
      </w:r>
      <w:r w:rsidRPr="002927A1">
        <w:rPr>
          <w:b/>
          <w:bCs/>
          <w:lang w:val="es-ES_tradnl"/>
        </w:rPr>
        <w:t>del artículo 11)</w:t>
      </w:r>
      <w:r w:rsidRPr="00936F3F">
        <w:rPr>
          <w:b/>
          <w:bCs/>
          <w:vertAlign w:val="superscript"/>
          <w:lang w:val="es-ES_tradnl"/>
        </w:rPr>
        <w:t>a</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960"/>
        <w:gridCol w:w="5347"/>
      </w:tblGrid>
      <w:tr w:rsidR="00FB7E46" w:rsidRPr="002927A1" w14:paraId="55220A0D" w14:textId="77777777" w:rsidTr="00FB7E46">
        <w:trPr>
          <w:trHeight w:val="57"/>
          <w:tblHeader/>
          <w:jc w:val="right"/>
        </w:trPr>
        <w:tc>
          <w:tcPr>
            <w:tcW w:w="2960" w:type="dxa"/>
            <w:tcBorders>
              <w:top w:val="single" w:sz="4" w:space="0" w:color="auto"/>
              <w:bottom w:val="single" w:sz="12" w:space="0" w:color="auto"/>
            </w:tcBorders>
          </w:tcPr>
          <w:p w14:paraId="2E5076D1" w14:textId="1022C396" w:rsidR="00FB7E46" w:rsidRPr="002927A1" w:rsidRDefault="00FB7E46" w:rsidP="00FB7E46">
            <w:pPr>
              <w:pStyle w:val="Normal-pool"/>
              <w:spacing w:before="40" w:after="40"/>
              <w:rPr>
                <w:i/>
                <w:iCs/>
                <w:sz w:val="18"/>
                <w:szCs w:val="18"/>
                <w:lang w:val="es-ES_tradnl"/>
              </w:rPr>
            </w:pPr>
            <w:r w:rsidRPr="002927A1">
              <w:rPr>
                <w:i/>
                <w:iCs/>
                <w:sz w:val="18"/>
                <w:szCs w:val="18"/>
                <w:lang w:val="es-ES_tradnl"/>
              </w:rPr>
              <w:t>Tipo de desechos</w:t>
            </w:r>
          </w:p>
        </w:tc>
        <w:tc>
          <w:tcPr>
            <w:tcW w:w="5347" w:type="dxa"/>
            <w:tcBorders>
              <w:top w:val="single" w:sz="4" w:space="0" w:color="auto"/>
              <w:bottom w:val="single" w:sz="12" w:space="0" w:color="auto"/>
            </w:tcBorders>
          </w:tcPr>
          <w:p w14:paraId="5FEAFE13" w14:textId="0364DEB3" w:rsidR="00FB7E46" w:rsidRPr="002927A1" w:rsidRDefault="00FB7E46" w:rsidP="00FB7E46">
            <w:pPr>
              <w:pStyle w:val="Normal-pool"/>
              <w:spacing w:before="40" w:after="40"/>
              <w:rPr>
                <w:i/>
                <w:iCs/>
                <w:sz w:val="18"/>
                <w:szCs w:val="18"/>
                <w:lang w:val="es-ES_tradnl"/>
              </w:rPr>
            </w:pPr>
            <w:r w:rsidRPr="002927A1">
              <w:rPr>
                <w:i/>
                <w:iCs/>
                <w:sz w:val="18"/>
                <w:szCs w:val="18"/>
                <w:lang w:val="es-ES_tradnl"/>
              </w:rPr>
              <w:t>Fuente de los desechos</w:t>
            </w:r>
            <w:r w:rsidRPr="002927A1">
              <w:rPr>
                <w:i/>
                <w:iCs/>
                <w:sz w:val="18"/>
                <w:szCs w:val="18"/>
                <w:vertAlign w:val="superscript"/>
                <w:lang w:val="es-ES_tradnl"/>
              </w:rPr>
              <w:t>b</w:t>
            </w:r>
            <w:r w:rsidRPr="002927A1">
              <w:rPr>
                <w:sz w:val="18"/>
                <w:szCs w:val="18"/>
                <w:lang w:val="es-ES_tradnl"/>
              </w:rPr>
              <w:t xml:space="preserve"> </w:t>
            </w:r>
          </w:p>
        </w:tc>
      </w:tr>
      <w:tr w:rsidR="00FB7E46" w:rsidRPr="002927A1" w14:paraId="70A1E626" w14:textId="77777777" w:rsidTr="00FB7E46">
        <w:trPr>
          <w:trHeight w:val="57"/>
          <w:tblHeader/>
          <w:jc w:val="right"/>
        </w:trPr>
        <w:tc>
          <w:tcPr>
            <w:tcW w:w="2960" w:type="dxa"/>
            <w:tcBorders>
              <w:top w:val="single" w:sz="12" w:space="0" w:color="auto"/>
            </w:tcBorders>
          </w:tcPr>
          <w:p w14:paraId="15E864D3" w14:textId="02F6970F" w:rsidR="00FB7E46" w:rsidRPr="002927A1" w:rsidRDefault="00FB7E46" w:rsidP="00FB7E46">
            <w:pPr>
              <w:pStyle w:val="Normal-pool"/>
              <w:tabs>
                <w:tab w:val="clear" w:pos="1247"/>
                <w:tab w:val="clear" w:pos="1814"/>
                <w:tab w:val="clear" w:pos="2381"/>
                <w:tab w:val="clear" w:pos="2948"/>
                <w:tab w:val="clear" w:pos="3515"/>
                <w:tab w:val="left" w:pos="624"/>
              </w:tabs>
              <w:spacing w:before="40" w:after="40"/>
              <w:rPr>
                <w:sz w:val="18"/>
                <w:szCs w:val="18"/>
                <w:lang w:val="es-ES_tradnl"/>
              </w:rPr>
            </w:pPr>
            <w:r w:rsidRPr="002927A1">
              <w:rPr>
                <w:sz w:val="18"/>
                <w:szCs w:val="18"/>
                <w:lang w:val="es-ES_tradnl"/>
              </w:rPr>
              <w:t xml:space="preserve">Aparatos de medición no electrónicos </w:t>
            </w:r>
            <w:r w:rsidR="00087287" w:rsidRPr="002927A1">
              <w:rPr>
                <w:sz w:val="18"/>
                <w:szCs w:val="18"/>
                <w:lang w:val="es-ES_tradnl"/>
              </w:rPr>
              <w:t xml:space="preserve">que contienen mercurio </w:t>
            </w:r>
            <w:r w:rsidRPr="002927A1">
              <w:rPr>
                <w:sz w:val="18"/>
                <w:szCs w:val="18"/>
                <w:lang w:val="es-ES_tradnl"/>
              </w:rPr>
              <w:t>(barómetros, higrómetros, manómetros, termómetros y esfigmomanómetros)</w:t>
            </w:r>
          </w:p>
        </w:tc>
        <w:tc>
          <w:tcPr>
            <w:tcW w:w="5347" w:type="dxa"/>
            <w:tcBorders>
              <w:top w:val="single" w:sz="12" w:space="0" w:color="auto"/>
            </w:tcBorders>
          </w:tcPr>
          <w:p w14:paraId="0F70ACCD" w14:textId="7ECF2E3F" w:rsidR="00FB7E46" w:rsidRPr="002927A1" w:rsidRDefault="00FB7E46" w:rsidP="00FB7E46">
            <w:pPr>
              <w:pStyle w:val="Normal-pool"/>
              <w:spacing w:before="40" w:after="40"/>
              <w:rPr>
                <w:sz w:val="18"/>
                <w:szCs w:val="18"/>
                <w:lang w:val="es-ES_tradnl"/>
              </w:rPr>
            </w:pPr>
            <w:r w:rsidRPr="002927A1">
              <w:rPr>
                <w:sz w:val="18"/>
                <w:szCs w:val="18"/>
                <w:lang w:val="es-ES_tradnl"/>
              </w:rPr>
              <w:t>Hospitales, clínicas, instalaciones sanitarias (humanas y animales), farmacias, hogares, escuelas, laboratorios, universidades, instalaciones industriales, aeropuertos, estaciones meteorológicas, instalaciones de reciclaje de barcos</w:t>
            </w:r>
          </w:p>
        </w:tc>
      </w:tr>
      <w:tr w:rsidR="00FB7E46" w:rsidRPr="002927A1" w14:paraId="48B3D639" w14:textId="77777777" w:rsidTr="00FB7E46">
        <w:trPr>
          <w:trHeight w:val="57"/>
          <w:tblHeader/>
          <w:jc w:val="right"/>
        </w:trPr>
        <w:tc>
          <w:tcPr>
            <w:tcW w:w="2960" w:type="dxa"/>
          </w:tcPr>
          <w:p w14:paraId="0E072A0E" w14:textId="1C7C47AD" w:rsidR="00FB7E46" w:rsidRPr="002927A1" w:rsidRDefault="00FB7E46" w:rsidP="00FB7E46">
            <w:pPr>
              <w:pStyle w:val="Normal-pool"/>
              <w:spacing w:before="40" w:after="40"/>
              <w:rPr>
                <w:sz w:val="18"/>
                <w:szCs w:val="18"/>
                <w:lang w:val="es-ES_tradnl"/>
              </w:rPr>
            </w:pPr>
            <w:r w:rsidRPr="002927A1">
              <w:rPr>
                <w:sz w:val="18"/>
                <w:szCs w:val="18"/>
                <w:lang w:val="es-ES_tradnl"/>
              </w:rPr>
              <w:t xml:space="preserve">Interruptores eléctricos y electrónicos, contactos, relés y conectores eléctricos rotativos con mercurio </w:t>
            </w:r>
          </w:p>
        </w:tc>
        <w:tc>
          <w:tcPr>
            <w:tcW w:w="5347" w:type="dxa"/>
          </w:tcPr>
          <w:p w14:paraId="43E52471" w14:textId="4E38BA49" w:rsidR="00FB7E46" w:rsidRPr="002927A1" w:rsidRDefault="00FB7E46" w:rsidP="00FB7E46">
            <w:pPr>
              <w:pStyle w:val="Normal-pool"/>
              <w:spacing w:before="40" w:after="40"/>
              <w:rPr>
                <w:sz w:val="18"/>
                <w:szCs w:val="18"/>
                <w:lang w:val="es-ES_tradnl"/>
              </w:rPr>
            </w:pPr>
            <w:r w:rsidRPr="002927A1">
              <w:rPr>
                <w:sz w:val="18"/>
                <w:szCs w:val="18"/>
                <w:lang w:val="es-ES_tradnl"/>
              </w:rPr>
              <w:t xml:space="preserve">Instalaciones de desmantelamiento de residuos de aparatos eléctricos y electrónicos (relés, conectores e interruptores), instalaciones industriales (conectadas a calderas), hogares, oficinas </w:t>
            </w:r>
          </w:p>
        </w:tc>
      </w:tr>
      <w:tr w:rsidR="00FB7E46" w:rsidRPr="002927A1" w14:paraId="60A6CA01" w14:textId="77777777" w:rsidTr="00FB7E46">
        <w:trPr>
          <w:trHeight w:val="57"/>
          <w:tblHeader/>
          <w:jc w:val="right"/>
        </w:trPr>
        <w:tc>
          <w:tcPr>
            <w:tcW w:w="2960" w:type="dxa"/>
          </w:tcPr>
          <w:p w14:paraId="362E1403" w14:textId="0C7488A6" w:rsidR="00FB7E46" w:rsidRPr="002927A1" w:rsidRDefault="00FB7E46" w:rsidP="00FB7E46">
            <w:pPr>
              <w:pStyle w:val="Normal-pool"/>
              <w:spacing w:before="40" w:after="40"/>
              <w:rPr>
                <w:sz w:val="18"/>
                <w:szCs w:val="18"/>
                <w:lang w:val="es-ES_tradnl"/>
              </w:rPr>
            </w:pPr>
            <w:r w:rsidRPr="002927A1">
              <w:rPr>
                <w:sz w:val="18"/>
                <w:szCs w:val="18"/>
                <w:lang w:val="es-ES_tradnl"/>
              </w:rPr>
              <w:t>Bombillas fluorescentes, bombillas con descarga de alta intensidad (HID) (bombillas de vapor de mercurio, bombillas de haluro metálico y bombillas de sodio de alta presión), lámparas de neón/argón</w:t>
            </w:r>
          </w:p>
        </w:tc>
        <w:tc>
          <w:tcPr>
            <w:tcW w:w="5347" w:type="dxa"/>
          </w:tcPr>
          <w:p w14:paraId="20C27F9F" w14:textId="5527E6B4" w:rsidR="00FB7E46" w:rsidRPr="002927A1" w:rsidRDefault="00FB7E46" w:rsidP="00FB7E46">
            <w:pPr>
              <w:pStyle w:val="Normal-pool"/>
              <w:spacing w:before="40" w:after="40"/>
              <w:rPr>
                <w:sz w:val="18"/>
                <w:szCs w:val="18"/>
                <w:lang w:val="es-ES_tradnl"/>
              </w:rPr>
            </w:pPr>
            <w:r w:rsidRPr="002927A1">
              <w:rPr>
                <w:sz w:val="18"/>
                <w:szCs w:val="18"/>
                <w:lang w:val="es-ES_tradnl"/>
              </w:rPr>
              <w:t xml:space="preserve">Hogares, instalaciones industriales y comerciales, instalaciones automovilísticas, puntos de recogida </w:t>
            </w:r>
          </w:p>
        </w:tc>
      </w:tr>
      <w:tr w:rsidR="00FB7E46" w:rsidRPr="002927A1" w14:paraId="111A0CD8" w14:textId="77777777" w:rsidTr="00FB7E46">
        <w:trPr>
          <w:trHeight w:val="57"/>
          <w:tblHeader/>
          <w:jc w:val="right"/>
        </w:trPr>
        <w:tc>
          <w:tcPr>
            <w:tcW w:w="2960" w:type="dxa"/>
          </w:tcPr>
          <w:p w14:paraId="79A080FF" w14:textId="3A811BC3" w:rsidR="00FB7E46" w:rsidRPr="002927A1" w:rsidRDefault="00FB7E46" w:rsidP="00FB7E46">
            <w:pPr>
              <w:pStyle w:val="Normal-pool"/>
              <w:spacing w:before="40" w:after="40"/>
              <w:rPr>
                <w:sz w:val="18"/>
                <w:szCs w:val="18"/>
                <w:lang w:val="es-ES_tradnl"/>
              </w:rPr>
            </w:pPr>
            <w:r w:rsidRPr="002927A1">
              <w:rPr>
                <w:sz w:val="18"/>
                <w:szCs w:val="18"/>
                <w:lang w:val="es-ES_tradnl"/>
              </w:rPr>
              <w:t>Baterías y acumuladores que contienen</w:t>
            </w:r>
            <w:r w:rsidR="000510D6" w:rsidRPr="002927A1">
              <w:rPr>
                <w:sz w:val="18"/>
                <w:szCs w:val="18"/>
                <w:lang w:val="es-ES_tradnl"/>
              </w:rPr>
              <w:t> </w:t>
            </w:r>
            <w:r w:rsidRPr="002927A1">
              <w:rPr>
                <w:sz w:val="18"/>
                <w:szCs w:val="18"/>
                <w:lang w:val="es-ES_tradnl"/>
              </w:rPr>
              <w:t>mercurio</w:t>
            </w:r>
          </w:p>
        </w:tc>
        <w:tc>
          <w:tcPr>
            <w:tcW w:w="5347" w:type="dxa"/>
          </w:tcPr>
          <w:p w14:paraId="1D81A169" w14:textId="1FA1EFD6" w:rsidR="00FB7E46" w:rsidRPr="002927A1" w:rsidRDefault="00FB7E46" w:rsidP="00FB7E46">
            <w:pPr>
              <w:pStyle w:val="Normal-pool"/>
              <w:spacing w:before="40" w:after="40"/>
              <w:rPr>
                <w:sz w:val="18"/>
                <w:szCs w:val="18"/>
                <w:lang w:val="es-ES_tradnl"/>
              </w:rPr>
            </w:pPr>
            <w:r w:rsidRPr="002927A1">
              <w:rPr>
                <w:sz w:val="18"/>
                <w:szCs w:val="18"/>
                <w:lang w:val="es-ES_tradnl"/>
              </w:rPr>
              <w:t>Hogares, instalaciones industriales y comerciales, puntos de recogida</w:t>
            </w:r>
          </w:p>
        </w:tc>
      </w:tr>
      <w:tr w:rsidR="00FB7E46" w:rsidRPr="002927A1" w14:paraId="71C6C9E4" w14:textId="77777777" w:rsidTr="00FB7E46">
        <w:trPr>
          <w:trHeight w:val="57"/>
          <w:tblHeader/>
          <w:jc w:val="right"/>
        </w:trPr>
        <w:tc>
          <w:tcPr>
            <w:tcW w:w="2960" w:type="dxa"/>
          </w:tcPr>
          <w:p w14:paraId="2F6B69D3" w14:textId="58DFF7F5" w:rsidR="00FB7E46" w:rsidRPr="002927A1" w:rsidRDefault="00FB7E46" w:rsidP="00FB7E46">
            <w:pPr>
              <w:pStyle w:val="Normal-pool"/>
              <w:spacing w:before="40" w:after="40"/>
              <w:rPr>
                <w:sz w:val="18"/>
                <w:szCs w:val="18"/>
                <w:lang w:val="es-ES_tradnl"/>
              </w:rPr>
            </w:pPr>
            <w:r w:rsidRPr="002927A1">
              <w:rPr>
                <w:sz w:val="18"/>
                <w:szCs w:val="18"/>
                <w:lang w:val="es-ES_tradnl"/>
              </w:rPr>
              <w:t>Biocidas y plaguicidas que contienen mercurio y sus formulaciones y productos</w:t>
            </w:r>
          </w:p>
        </w:tc>
        <w:tc>
          <w:tcPr>
            <w:tcW w:w="5347" w:type="dxa"/>
          </w:tcPr>
          <w:p w14:paraId="46C795B3" w14:textId="4240E973" w:rsidR="00FB7E46" w:rsidRPr="002927A1" w:rsidRDefault="00FB7E46" w:rsidP="00FB7E46">
            <w:pPr>
              <w:pStyle w:val="Normal-pool"/>
              <w:spacing w:before="40" w:after="40"/>
              <w:rPr>
                <w:sz w:val="18"/>
                <w:szCs w:val="18"/>
                <w:lang w:val="es-ES_tradnl"/>
              </w:rPr>
            </w:pPr>
            <w:r w:rsidRPr="002927A1">
              <w:rPr>
                <w:sz w:val="18"/>
                <w:szCs w:val="18"/>
                <w:lang w:val="es-ES_tradnl"/>
              </w:rPr>
              <w:t>Instalaciones agrícolas, hortícolas, industriales y comerciales (incluidos los almacenes), laboratorios</w:t>
            </w:r>
          </w:p>
        </w:tc>
      </w:tr>
      <w:tr w:rsidR="00FB7E46" w:rsidRPr="002927A1" w14:paraId="4714F623" w14:textId="77777777" w:rsidTr="00FB7E46">
        <w:trPr>
          <w:trHeight w:val="57"/>
          <w:tblHeader/>
          <w:jc w:val="right"/>
        </w:trPr>
        <w:tc>
          <w:tcPr>
            <w:tcW w:w="2960" w:type="dxa"/>
          </w:tcPr>
          <w:p w14:paraId="723C362C" w14:textId="35AD3FBE" w:rsidR="00FB7E46" w:rsidRPr="002927A1" w:rsidRDefault="00FB7E46" w:rsidP="00FB7E46">
            <w:pPr>
              <w:pStyle w:val="Normal-pool"/>
              <w:spacing w:before="40" w:after="40"/>
              <w:rPr>
                <w:sz w:val="18"/>
                <w:szCs w:val="18"/>
                <w:lang w:val="es-ES_tradnl"/>
              </w:rPr>
            </w:pPr>
            <w:r w:rsidRPr="002927A1">
              <w:rPr>
                <w:sz w:val="18"/>
                <w:szCs w:val="18"/>
                <w:lang w:val="es-ES_tradnl"/>
              </w:rPr>
              <w:t xml:space="preserve">Pinturas y barnices que contienen mercurio </w:t>
            </w:r>
          </w:p>
        </w:tc>
        <w:tc>
          <w:tcPr>
            <w:tcW w:w="5347" w:type="dxa"/>
          </w:tcPr>
          <w:p w14:paraId="0AF72A0D" w14:textId="26904BDC" w:rsidR="00FB7E46" w:rsidRPr="002927A1" w:rsidRDefault="00FB7E46" w:rsidP="00FB7E46">
            <w:pPr>
              <w:pStyle w:val="Normal-pool"/>
              <w:spacing w:before="40" w:after="40"/>
              <w:rPr>
                <w:sz w:val="18"/>
                <w:szCs w:val="18"/>
                <w:lang w:val="es-ES_tradnl"/>
              </w:rPr>
            </w:pPr>
            <w:r w:rsidRPr="002927A1">
              <w:rPr>
                <w:sz w:val="18"/>
                <w:szCs w:val="18"/>
                <w:lang w:val="es-ES_tradnl"/>
              </w:rPr>
              <w:t>Instalaciones industriales y comerciales, hogares</w:t>
            </w:r>
          </w:p>
        </w:tc>
      </w:tr>
      <w:tr w:rsidR="00FB7E46" w:rsidRPr="002927A1" w14:paraId="3A78E250" w14:textId="77777777" w:rsidTr="00FB7E46">
        <w:trPr>
          <w:trHeight w:val="57"/>
          <w:tblHeader/>
          <w:jc w:val="right"/>
        </w:trPr>
        <w:tc>
          <w:tcPr>
            <w:tcW w:w="2960" w:type="dxa"/>
          </w:tcPr>
          <w:p w14:paraId="0A336626" w14:textId="07A7C6BF" w:rsidR="00FB7E46" w:rsidRPr="002927A1" w:rsidRDefault="00FB7E46" w:rsidP="00FB7E46">
            <w:pPr>
              <w:pStyle w:val="Normal-pool"/>
              <w:spacing w:before="40" w:after="40"/>
              <w:rPr>
                <w:sz w:val="18"/>
                <w:szCs w:val="18"/>
                <w:lang w:val="es-ES_tradnl"/>
              </w:rPr>
            </w:pPr>
            <w:r w:rsidRPr="002927A1">
              <w:rPr>
                <w:sz w:val="18"/>
                <w:szCs w:val="18"/>
                <w:lang w:val="es-ES_tradnl"/>
              </w:rPr>
              <w:t>Productos farmacéuticos que contienen mercurio para uso humano y veterinario, incluidas las vacunas</w:t>
            </w:r>
          </w:p>
        </w:tc>
        <w:tc>
          <w:tcPr>
            <w:tcW w:w="5347" w:type="dxa"/>
          </w:tcPr>
          <w:p w14:paraId="70E27394" w14:textId="33B2C210" w:rsidR="00FB7E46" w:rsidRPr="002927A1" w:rsidRDefault="00FB7E46" w:rsidP="00FB7E46">
            <w:pPr>
              <w:pStyle w:val="Normal-pool"/>
              <w:spacing w:before="40" w:after="40"/>
              <w:rPr>
                <w:sz w:val="18"/>
                <w:szCs w:val="18"/>
                <w:lang w:val="es-ES_tradnl"/>
              </w:rPr>
            </w:pPr>
            <w:r w:rsidRPr="002927A1">
              <w:rPr>
                <w:sz w:val="18"/>
                <w:szCs w:val="18"/>
                <w:lang w:val="es-ES_tradnl"/>
              </w:rPr>
              <w:t>Instalaciones industriales y sanitarias (incluidos los almacenes), industria ganadera</w:t>
            </w:r>
          </w:p>
        </w:tc>
      </w:tr>
      <w:tr w:rsidR="00FB7E46" w:rsidRPr="002927A1" w14:paraId="29A695BD" w14:textId="77777777" w:rsidTr="00FB7E46">
        <w:trPr>
          <w:trHeight w:val="57"/>
          <w:tblHeader/>
          <w:jc w:val="right"/>
        </w:trPr>
        <w:tc>
          <w:tcPr>
            <w:tcW w:w="2960" w:type="dxa"/>
          </w:tcPr>
          <w:p w14:paraId="4A8EE01E" w14:textId="01C64B89" w:rsidR="00FB7E46" w:rsidRPr="002927A1" w:rsidRDefault="00FB7E46" w:rsidP="00FB7E46">
            <w:pPr>
              <w:pStyle w:val="Normal-pool"/>
              <w:spacing w:before="40" w:after="40"/>
              <w:rPr>
                <w:sz w:val="18"/>
                <w:szCs w:val="18"/>
                <w:lang w:val="es-ES_tradnl"/>
              </w:rPr>
            </w:pPr>
            <w:r w:rsidRPr="002927A1">
              <w:rPr>
                <w:sz w:val="18"/>
                <w:szCs w:val="18"/>
                <w:lang w:val="es-ES_tradnl"/>
              </w:rPr>
              <w:t>Cosméticos y otros productos relacionados que contienen mercurio</w:t>
            </w:r>
          </w:p>
        </w:tc>
        <w:tc>
          <w:tcPr>
            <w:tcW w:w="5347" w:type="dxa"/>
          </w:tcPr>
          <w:p w14:paraId="6638BC8F" w14:textId="2103B6B5" w:rsidR="00FB7E46" w:rsidRPr="002927A1" w:rsidRDefault="00FB7E46" w:rsidP="00FB7E46">
            <w:pPr>
              <w:pStyle w:val="Normal-pool"/>
              <w:spacing w:before="40" w:after="40"/>
              <w:rPr>
                <w:sz w:val="18"/>
                <w:szCs w:val="18"/>
                <w:lang w:val="es-ES_tradnl"/>
              </w:rPr>
            </w:pPr>
            <w:r w:rsidRPr="002927A1">
              <w:rPr>
                <w:sz w:val="18"/>
                <w:szCs w:val="18"/>
                <w:lang w:val="es-ES_tradnl"/>
              </w:rPr>
              <w:t>Instalaciones industriales (incluidos los almacenes)</w:t>
            </w:r>
          </w:p>
        </w:tc>
      </w:tr>
      <w:tr w:rsidR="00FB7E46" w:rsidRPr="002927A1" w14:paraId="672213E4" w14:textId="77777777" w:rsidTr="00FB7E46">
        <w:trPr>
          <w:trHeight w:val="57"/>
          <w:tblHeader/>
          <w:jc w:val="right"/>
        </w:trPr>
        <w:tc>
          <w:tcPr>
            <w:tcW w:w="2960" w:type="dxa"/>
          </w:tcPr>
          <w:p w14:paraId="76CB3AB0" w14:textId="54D99999" w:rsidR="00FB7E46" w:rsidRPr="002927A1" w:rsidRDefault="00FB7E46" w:rsidP="00FB7E46">
            <w:pPr>
              <w:pStyle w:val="Normal-pool"/>
              <w:spacing w:before="40" w:after="40"/>
              <w:rPr>
                <w:sz w:val="18"/>
                <w:szCs w:val="18"/>
                <w:lang w:val="es-ES_tradnl"/>
              </w:rPr>
            </w:pPr>
            <w:r w:rsidRPr="002927A1">
              <w:rPr>
                <w:sz w:val="18"/>
                <w:szCs w:val="18"/>
                <w:lang w:val="es-ES_tradnl"/>
              </w:rPr>
              <w:t>Amalgama dental</w:t>
            </w:r>
          </w:p>
        </w:tc>
        <w:tc>
          <w:tcPr>
            <w:tcW w:w="5347" w:type="dxa"/>
          </w:tcPr>
          <w:p w14:paraId="6D9779A1" w14:textId="31D09447" w:rsidR="00FB7E46" w:rsidRPr="002927A1" w:rsidRDefault="00FB7E46" w:rsidP="00FB7E46">
            <w:pPr>
              <w:pStyle w:val="Normal-pool"/>
              <w:spacing w:before="40" w:after="40"/>
              <w:rPr>
                <w:sz w:val="18"/>
                <w:szCs w:val="18"/>
                <w:lang w:val="es-ES_tradnl"/>
              </w:rPr>
            </w:pPr>
            <w:r w:rsidRPr="002927A1">
              <w:rPr>
                <w:sz w:val="18"/>
                <w:szCs w:val="18"/>
                <w:lang w:val="es-ES_tradnl"/>
              </w:rPr>
              <w:t>Consultorios dentales, escuelas de odontología, crematorios</w:t>
            </w:r>
          </w:p>
        </w:tc>
      </w:tr>
      <w:tr w:rsidR="00FB7E46" w:rsidRPr="002927A1" w14:paraId="46CBD515" w14:textId="77777777" w:rsidTr="00FB7E46">
        <w:trPr>
          <w:trHeight w:val="57"/>
          <w:tblHeader/>
          <w:jc w:val="right"/>
        </w:trPr>
        <w:tc>
          <w:tcPr>
            <w:tcW w:w="2960" w:type="dxa"/>
            <w:tcBorders>
              <w:bottom w:val="single" w:sz="12" w:space="0" w:color="auto"/>
            </w:tcBorders>
          </w:tcPr>
          <w:p w14:paraId="2161FC27" w14:textId="490DC1C9" w:rsidR="00FB7E46" w:rsidRPr="002927A1" w:rsidRDefault="00FB7E46" w:rsidP="00FB7E46">
            <w:pPr>
              <w:pStyle w:val="Normal-pool"/>
              <w:spacing w:before="40" w:after="40"/>
              <w:rPr>
                <w:sz w:val="18"/>
                <w:szCs w:val="18"/>
                <w:lang w:val="es-ES_tradnl"/>
              </w:rPr>
            </w:pPr>
            <w:r w:rsidRPr="002927A1">
              <w:rPr>
                <w:sz w:val="18"/>
                <w:szCs w:val="18"/>
                <w:lang w:val="es-ES_tradnl"/>
              </w:rPr>
              <w:t xml:space="preserve">Instrumento científico utilizado para la calibración de dispositivos médicos o científicos </w:t>
            </w:r>
            <w:r w:rsidR="00087287" w:rsidRPr="002927A1">
              <w:rPr>
                <w:sz w:val="18"/>
                <w:szCs w:val="18"/>
                <w:lang w:val="es-ES_tradnl"/>
              </w:rPr>
              <w:t>que contienen mercurio</w:t>
            </w:r>
          </w:p>
        </w:tc>
        <w:tc>
          <w:tcPr>
            <w:tcW w:w="5347" w:type="dxa"/>
            <w:tcBorders>
              <w:bottom w:val="single" w:sz="12" w:space="0" w:color="auto"/>
            </w:tcBorders>
          </w:tcPr>
          <w:p w14:paraId="47133457" w14:textId="620E1308" w:rsidR="00FB7E46" w:rsidRPr="002927A1" w:rsidRDefault="00FB7E46" w:rsidP="00FB7E46">
            <w:pPr>
              <w:pStyle w:val="Normal-pool"/>
              <w:spacing w:before="40" w:after="40"/>
              <w:rPr>
                <w:sz w:val="18"/>
                <w:szCs w:val="18"/>
                <w:lang w:val="es-ES_tradnl"/>
              </w:rPr>
            </w:pPr>
            <w:r w:rsidRPr="002927A1">
              <w:rPr>
                <w:sz w:val="18"/>
                <w:szCs w:val="18"/>
                <w:lang w:val="es-ES_tradnl"/>
              </w:rPr>
              <w:t xml:space="preserve">Laboratorios, </w:t>
            </w:r>
            <w:r w:rsidR="00A60CBD" w:rsidRPr="002927A1">
              <w:rPr>
                <w:sz w:val="18"/>
                <w:szCs w:val="18"/>
                <w:lang w:val="es-ES_tradnl"/>
              </w:rPr>
              <w:t>instituciones</w:t>
            </w:r>
            <w:r w:rsidRPr="002927A1">
              <w:rPr>
                <w:sz w:val="18"/>
                <w:szCs w:val="18"/>
                <w:lang w:val="es-ES_tradnl"/>
              </w:rPr>
              <w:t xml:space="preserve"> (incluidos los almacenes)</w:t>
            </w:r>
          </w:p>
        </w:tc>
      </w:tr>
    </w:tbl>
    <w:p w14:paraId="74AC62DF" w14:textId="33043E99" w:rsidR="00087287" w:rsidRPr="002927A1" w:rsidRDefault="008B1DF7" w:rsidP="00087287">
      <w:pPr>
        <w:pStyle w:val="NormalNonumber"/>
        <w:spacing w:before="20" w:after="40"/>
        <w:rPr>
          <w:sz w:val="17"/>
          <w:szCs w:val="17"/>
          <w:lang w:val="es-ES_tradnl"/>
        </w:rPr>
      </w:pPr>
      <w:r w:rsidRPr="002927A1">
        <w:rPr>
          <w:sz w:val="17"/>
          <w:szCs w:val="17"/>
          <w:vertAlign w:val="superscript"/>
          <w:lang w:val="es-ES_tradnl"/>
        </w:rPr>
        <w:t>a</w:t>
      </w:r>
      <w:r w:rsidRPr="002927A1">
        <w:rPr>
          <w:sz w:val="17"/>
          <w:szCs w:val="17"/>
          <w:lang w:val="es-ES_tradnl"/>
        </w:rPr>
        <w:t xml:space="preserve"> </w:t>
      </w:r>
      <w:r w:rsidR="00087287" w:rsidRPr="002927A1">
        <w:rPr>
          <w:sz w:val="17"/>
          <w:szCs w:val="17"/>
          <w:lang w:val="es-ES_tradnl"/>
        </w:rPr>
        <w:t xml:space="preserve">Los productos con mercurio añadido que figuran en la columna “tipo de desechos” de este cuadro se consideran desechos contemplados en el apartado b) del párrafo 2 del artículo 11 </w:t>
      </w:r>
      <w:r w:rsidR="00087287" w:rsidRPr="002927A1">
        <w:rPr>
          <w:rFonts w:cs="Myriad Pro"/>
          <w:color w:val="000000"/>
          <w:sz w:val="17"/>
          <w:szCs w:val="17"/>
          <w:lang w:val="es-ES_tradnl"/>
        </w:rPr>
        <w:t xml:space="preserve">a cuya eliminación se procede, se propone proceder o se está obligado a proceder en virtud de lo dispuesto en la legislación nacional </w:t>
      </w:r>
      <w:r w:rsidR="00336482" w:rsidRPr="002927A1">
        <w:rPr>
          <w:rFonts w:cs="Myriad Pro"/>
          <w:color w:val="000000"/>
          <w:sz w:val="17"/>
          <w:szCs w:val="17"/>
          <w:lang w:val="es-ES_tradnl"/>
        </w:rPr>
        <w:t xml:space="preserve">o en el </w:t>
      </w:r>
      <w:r w:rsidR="00087287" w:rsidRPr="002927A1">
        <w:rPr>
          <w:sz w:val="17"/>
          <w:szCs w:val="17"/>
          <w:lang w:val="es-ES_tradnl"/>
        </w:rPr>
        <w:t>Convenio de</w:t>
      </w:r>
      <w:r w:rsidR="00FA6A30" w:rsidRPr="002927A1">
        <w:rPr>
          <w:sz w:val="17"/>
          <w:szCs w:val="17"/>
          <w:lang w:val="es-ES_tradnl"/>
        </w:rPr>
        <w:t xml:space="preserve"> </w:t>
      </w:r>
      <w:r w:rsidR="00087287" w:rsidRPr="002927A1">
        <w:rPr>
          <w:sz w:val="17"/>
          <w:szCs w:val="17"/>
          <w:lang w:val="es-ES_tradnl"/>
        </w:rPr>
        <w:t>Minamata.</w:t>
      </w:r>
    </w:p>
    <w:p w14:paraId="1459EE70" w14:textId="77777777" w:rsidR="00087287" w:rsidRPr="002927A1" w:rsidRDefault="00087287" w:rsidP="00087287">
      <w:pPr>
        <w:pStyle w:val="NormalNonumber"/>
        <w:spacing w:before="20" w:after="40"/>
        <w:rPr>
          <w:sz w:val="17"/>
          <w:szCs w:val="17"/>
          <w:lang w:val="es-ES_tradnl"/>
        </w:rPr>
      </w:pPr>
      <w:r w:rsidRPr="002927A1">
        <w:rPr>
          <w:sz w:val="17"/>
          <w:szCs w:val="17"/>
          <w:vertAlign w:val="superscript"/>
          <w:lang w:val="es-ES_tradnl"/>
        </w:rPr>
        <w:t>b</w:t>
      </w:r>
      <w:r w:rsidRPr="002927A1">
        <w:rPr>
          <w:sz w:val="17"/>
          <w:szCs w:val="17"/>
          <w:lang w:val="es-ES_tradnl"/>
        </w:rPr>
        <w:t xml:space="preserve"> Una instalación o actividad en la que es probable que se generen o acumulen desechos.</w:t>
      </w:r>
    </w:p>
    <w:p w14:paraId="7F3035BA" w14:textId="55F74E67" w:rsidR="008B1DF7" w:rsidRPr="002927A1" w:rsidRDefault="00087287" w:rsidP="00087287">
      <w:pPr>
        <w:pStyle w:val="NormalNonumber"/>
        <w:spacing w:before="20" w:after="40"/>
        <w:rPr>
          <w:sz w:val="17"/>
          <w:szCs w:val="17"/>
          <w:lang w:val="es-ES_tradnl"/>
        </w:rPr>
      </w:pPr>
      <w:r w:rsidRPr="002927A1">
        <w:rPr>
          <w:sz w:val="17"/>
          <w:szCs w:val="17"/>
          <w:vertAlign w:val="superscript"/>
          <w:lang w:val="es-ES_tradnl"/>
        </w:rPr>
        <w:t>c</w:t>
      </w:r>
      <w:r w:rsidRPr="002927A1">
        <w:rPr>
          <w:sz w:val="17"/>
          <w:szCs w:val="17"/>
          <w:lang w:val="es-ES_tradnl"/>
        </w:rPr>
        <w:t xml:space="preserve"> Incluye tanto </w:t>
      </w:r>
      <w:r w:rsidR="00336482" w:rsidRPr="002927A1">
        <w:rPr>
          <w:sz w:val="17"/>
          <w:szCs w:val="17"/>
          <w:lang w:val="es-ES_tradnl"/>
        </w:rPr>
        <w:t xml:space="preserve">las </w:t>
      </w:r>
      <w:r w:rsidRPr="002927A1">
        <w:rPr>
          <w:sz w:val="17"/>
          <w:szCs w:val="17"/>
          <w:lang w:val="es-ES_tradnl"/>
        </w:rPr>
        <w:t>inst</w:t>
      </w:r>
      <w:r w:rsidR="00336482" w:rsidRPr="002927A1">
        <w:rPr>
          <w:sz w:val="17"/>
          <w:szCs w:val="17"/>
          <w:lang w:val="es-ES_tradnl"/>
        </w:rPr>
        <w:t>ituciones públicas como las privada</w:t>
      </w:r>
      <w:r w:rsidR="008B1DF7" w:rsidRPr="002927A1">
        <w:rPr>
          <w:sz w:val="17"/>
          <w:szCs w:val="17"/>
          <w:lang w:val="es-ES_tradnl"/>
        </w:rPr>
        <w:t>s.</w:t>
      </w:r>
    </w:p>
    <w:p w14:paraId="6A2FFFB1" w14:textId="77777777" w:rsidR="00336482" w:rsidRPr="002927A1" w:rsidRDefault="008B1DF7" w:rsidP="00336482">
      <w:pPr>
        <w:pStyle w:val="Normal-pool"/>
        <w:tabs>
          <w:tab w:val="clear" w:pos="1247"/>
          <w:tab w:val="clear" w:pos="1814"/>
          <w:tab w:val="clear" w:pos="2381"/>
          <w:tab w:val="clear" w:pos="2948"/>
          <w:tab w:val="clear" w:pos="3515"/>
          <w:tab w:val="clear" w:pos="4082"/>
        </w:tabs>
        <w:spacing w:after="120"/>
        <w:ind w:left="1247"/>
        <w:rPr>
          <w:b/>
          <w:lang w:val="es-ES_tradnl"/>
        </w:rPr>
      </w:pPr>
      <w:r w:rsidRPr="002927A1">
        <w:rPr>
          <w:lang w:val="es-ES_tradnl"/>
        </w:rPr>
        <w:br w:type="page"/>
      </w:r>
      <w:r w:rsidR="00336482" w:rsidRPr="002927A1">
        <w:rPr>
          <w:lang w:val="es-ES_tradnl"/>
        </w:rPr>
        <w:lastRenderedPageBreak/>
        <w:t xml:space="preserve">Cuadro 3 </w:t>
      </w:r>
      <w:r w:rsidR="00336482" w:rsidRPr="002927A1">
        <w:rPr>
          <w:lang w:val="es-ES_tradnl"/>
        </w:rPr>
        <w:br/>
      </w:r>
      <w:r w:rsidR="00336482" w:rsidRPr="002927A1">
        <w:rPr>
          <w:b/>
          <w:bCs/>
          <w:lang w:val="es-ES_tradnl"/>
        </w:rPr>
        <w:t>Lista indicativa de desechos contaminados con mercurio o compuestos de mercurio (apartado c) del párrafo 2</w:t>
      </w:r>
      <w:r w:rsidR="00336482" w:rsidRPr="002927A1">
        <w:rPr>
          <w:lang w:val="es-ES_tradnl"/>
        </w:rPr>
        <w:t xml:space="preserve"> </w:t>
      </w:r>
      <w:r w:rsidR="00336482" w:rsidRPr="002927A1">
        <w:rPr>
          <w:b/>
          <w:bCs/>
          <w:lang w:val="es-ES_tradnl"/>
        </w:rPr>
        <w:t>del artículo 11)</w:t>
      </w:r>
      <w:r w:rsidR="00336482" w:rsidRPr="002927A1">
        <w:rPr>
          <w:vertAlign w:val="superscript"/>
          <w:lang w:val="es-ES_tradnl"/>
        </w:rPr>
        <w:t>a</w:t>
      </w:r>
    </w:p>
    <w:tbl>
      <w:tblPr>
        <w:tblW w:w="4349" w:type="pc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791"/>
        <w:gridCol w:w="5455"/>
      </w:tblGrid>
      <w:tr w:rsidR="00336482" w:rsidRPr="00CC06FE" w14:paraId="63160443" w14:textId="77777777" w:rsidTr="00CC06FE">
        <w:trPr>
          <w:tblHeader/>
        </w:trPr>
        <w:tc>
          <w:tcPr>
            <w:tcW w:w="2791" w:type="dxa"/>
            <w:tcBorders>
              <w:bottom w:val="single" w:sz="12" w:space="0" w:color="auto"/>
            </w:tcBorders>
          </w:tcPr>
          <w:p w14:paraId="4E711FD6" w14:textId="77777777" w:rsidR="00336482" w:rsidRPr="00CC06FE" w:rsidRDefault="00336482" w:rsidP="00336482">
            <w:pPr>
              <w:tabs>
                <w:tab w:val="left" w:pos="4082"/>
              </w:tabs>
              <w:rPr>
                <w:i/>
                <w:iCs/>
                <w:sz w:val="17"/>
                <w:szCs w:val="17"/>
              </w:rPr>
            </w:pPr>
            <w:r w:rsidRPr="00CC06FE">
              <w:rPr>
                <w:i/>
                <w:iCs/>
                <w:sz w:val="17"/>
                <w:szCs w:val="17"/>
              </w:rPr>
              <w:t>Tipo de desechos</w:t>
            </w:r>
          </w:p>
        </w:tc>
        <w:tc>
          <w:tcPr>
            <w:tcW w:w="5455" w:type="dxa"/>
            <w:tcBorders>
              <w:bottom w:val="single" w:sz="12" w:space="0" w:color="auto"/>
            </w:tcBorders>
          </w:tcPr>
          <w:p w14:paraId="64DF3C37" w14:textId="77777777" w:rsidR="00336482" w:rsidRPr="00CC06FE" w:rsidRDefault="00336482" w:rsidP="00336482">
            <w:pPr>
              <w:rPr>
                <w:i/>
                <w:iCs/>
                <w:sz w:val="17"/>
                <w:szCs w:val="17"/>
              </w:rPr>
            </w:pPr>
            <w:r w:rsidRPr="00CC06FE">
              <w:rPr>
                <w:i/>
                <w:iCs/>
                <w:sz w:val="17"/>
                <w:szCs w:val="17"/>
              </w:rPr>
              <w:t>Fuente de los desechos</w:t>
            </w:r>
            <w:r w:rsidRPr="00CC06FE">
              <w:rPr>
                <w:i/>
                <w:iCs/>
                <w:sz w:val="17"/>
                <w:szCs w:val="17"/>
                <w:vertAlign w:val="superscript"/>
              </w:rPr>
              <w:t>b</w:t>
            </w:r>
            <w:r w:rsidRPr="00CC06FE">
              <w:rPr>
                <w:sz w:val="17"/>
                <w:szCs w:val="17"/>
              </w:rPr>
              <w:t xml:space="preserve"> </w:t>
            </w:r>
          </w:p>
        </w:tc>
      </w:tr>
      <w:tr w:rsidR="00336482" w:rsidRPr="00CC06FE" w14:paraId="78679DA0" w14:textId="77777777" w:rsidTr="00CC06FE">
        <w:trPr>
          <w:trHeight w:val="1620"/>
        </w:trPr>
        <w:tc>
          <w:tcPr>
            <w:tcW w:w="2791" w:type="dxa"/>
            <w:tcBorders>
              <w:top w:val="single" w:sz="12" w:space="0" w:color="auto"/>
              <w:left w:val="nil"/>
              <w:bottom w:val="nil"/>
              <w:right w:val="nil"/>
            </w:tcBorders>
          </w:tcPr>
          <w:p w14:paraId="5EAE68F6" w14:textId="77777777" w:rsidR="00336482" w:rsidRPr="00CC06FE" w:rsidRDefault="00336482" w:rsidP="00336482">
            <w:pPr>
              <w:tabs>
                <w:tab w:val="left" w:pos="4082"/>
              </w:tabs>
              <w:rPr>
                <w:sz w:val="17"/>
                <w:szCs w:val="17"/>
              </w:rPr>
            </w:pPr>
            <w:r w:rsidRPr="00CC06FE">
              <w:rPr>
                <w:sz w:val="17"/>
                <w:szCs w:val="17"/>
              </w:rPr>
              <w:t>Desechos resultantes de la utilización de dispositivos de control de la contaminación industrial o la depuración de los gases industriales</w:t>
            </w:r>
            <w:r w:rsidRPr="00CC06FE">
              <w:rPr>
                <w:sz w:val="17"/>
                <w:szCs w:val="17"/>
                <w:vertAlign w:val="superscript"/>
              </w:rPr>
              <w:t>c</w:t>
            </w:r>
          </w:p>
        </w:tc>
        <w:tc>
          <w:tcPr>
            <w:tcW w:w="5455" w:type="dxa"/>
            <w:tcBorders>
              <w:top w:val="single" w:sz="12" w:space="0" w:color="auto"/>
              <w:left w:val="nil"/>
              <w:bottom w:val="nil"/>
              <w:right w:val="nil"/>
            </w:tcBorders>
          </w:tcPr>
          <w:p w14:paraId="7A474081" w14:textId="77777777" w:rsidR="00336482" w:rsidRPr="00CC06FE" w:rsidRDefault="00336482" w:rsidP="00336482">
            <w:pPr>
              <w:rPr>
                <w:sz w:val="17"/>
                <w:szCs w:val="17"/>
              </w:rPr>
            </w:pPr>
            <w:r w:rsidRPr="00CC06FE">
              <w:rPr>
                <w:sz w:val="17"/>
                <w:szCs w:val="17"/>
              </w:rPr>
              <w:t>Gas de combustión de fuentes tales como:</w:t>
            </w:r>
          </w:p>
          <w:p w14:paraId="700C479E" w14:textId="77777777" w:rsidR="00336482" w:rsidRPr="00CC06FE" w:rsidRDefault="00336482" w:rsidP="00336482">
            <w:pPr>
              <w:rPr>
                <w:sz w:val="17"/>
                <w:szCs w:val="17"/>
              </w:rPr>
            </w:pPr>
            <w:r w:rsidRPr="00CC06FE">
              <w:rPr>
                <w:sz w:val="17"/>
                <w:szCs w:val="17"/>
              </w:rPr>
              <w:t>Extracción y uso de combustibles/fuentes de energía</w:t>
            </w:r>
          </w:p>
          <w:p w14:paraId="4E310C44" w14:textId="77777777" w:rsidR="00336482" w:rsidRPr="00CC06FE" w:rsidRDefault="00336482" w:rsidP="00336482">
            <w:pPr>
              <w:rPr>
                <w:sz w:val="17"/>
                <w:szCs w:val="17"/>
              </w:rPr>
            </w:pPr>
            <w:r w:rsidRPr="00CC06FE">
              <w:rPr>
                <w:sz w:val="17"/>
                <w:szCs w:val="17"/>
              </w:rPr>
              <w:t>Procesos de fundición y calcinación utilizados en la producción de metales no ferrosos</w:t>
            </w:r>
          </w:p>
          <w:p w14:paraId="7802E91D" w14:textId="77777777" w:rsidR="00336482" w:rsidRPr="00CC06FE" w:rsidRDefault="00336482" w:rsidP="00336482">
            <w:pPr>
              <w:rPr>
                <w:sz w:val="17"/>
                <w:szCs w:val="17"/>
              </w:rPr>
            </w:pPr>
            <w:r w:rsidRPr="00CC06FE">
              <w:rPr>
                <w:sz w:val="17"/>
                <w:szCs w:val="17"/>
              </w:rPr>
              <w:t>Procesos de producción con impurezas de mercurio</w:t>
            </w:r>
          </w:p>
          <w:p w14:paraId="25914673" w14:textId="77777777" w:rsidR="00336482" w:rsidRPr="00CC06FE" w:rsidRDefault="00336482" w:rsidP="00336482">
            <w:pPr>
              <w:rPr>
                <w:sz w:val="17"/>
                <w:szCs w:val="17"/>
              </w:rPr>
            </w:pPr>
            <w:r w:rsidRPr="00CC06FE">
              <w:rPr>
                <w:sz w:val="17"/>
                <w:szCs w:val="17"/>
              </w:rPr>
              <w:t>Recuperación de metales preciosos de residuos de aparatos eléctricos y electrónicos</w:t>
            </w:r>
          </w:p>
          <w:p w14:paraId="0858E973" w14:textId="77777777" w:rsidR="00336482" w:rsidRPr="00CC06FE" w:rsidRDefault="00336482" w:rsidP="00336482">
            <w:pPr>
              <w:rPr>
                <w:sz w:val="17"/>
                <w:szCs w:val="17"/>
              </w:rPr>
            </w:pPr>
            <w:r w:rsidRPr="00CC06FE">
              <w:rPr>
                <w:sz w:val="17"/>
                <w:szCs w:val="17"/>
              </w:rPr>
              <w:t>Combustión de carbón</w:t>
            </w:r>
          </w:p>
          <w:p w14:paraId="628DD183" w14:textId="77777777" w:rsidR="00336482" w:rsidRPr="00CC06FE" w:rsidRDefault="00336482" w:rsidP="00336482">
            <w:pPr>
              <w:rPr>
                <w:sz w:val="17"/>
                <w:szCs w:val="17"/>
              </w:rPr>
            </w:pPr>
            <w:r w:rsidRPr="00CC06FE">
              <w:rPr>
                <w:sz w:val="17"/>
                <w:szCs w:val="17"/>
              </w:rPr>
              <w:t>Incineración y coincineración de desechos</w:t>
            </w:r>
          </w:p>
          <w:p w14:paraId="1F5E1C12" w14:textId="75AB8533" w:rsidR="00336482" w:rsidRPr="00CC06FE" w:rsidRDefault="00336482" w:rsidP="00336482">
            <w:pPr>
              <w:rPr>
                <w:sz w:val="17"/>
                <w:szCs w:val="17"/>
              </w:rPr>
            </w:pPr>
            <w:r w:rsidRPr="00CC06FE">
              <w:rPr>
                <w:sz w:val="17"/>
                <w:szCs w:val="17"/>
              </w:rPr>
              <w:t xml:space="preserve">Crematorios </w:t>
            </w:r>
          </w:p>
        </w:tc>
      </w:tr>
      <w:tr w:rsidR="00336482" w:rsidRPr="00CC06FE" w14:paraId="0067E56A" w14:textId="77777777" w:rsidTr="00CC06FE">
        <w:tc>
          <w:tcPr>
            <w:tcW w:w="2791" w:type="dxa"/>
            <w:tcBorders>
              <w:top w:val="nil"/>
              <w:left w:val="nil"/>
              <w:bottom w:val="nil"/>
              <w:right w:val="nil"/>
            </w:tcBorders>
          </w:tcPr>
          <w:p w14:paraId="3A170115" w14:textId="77777777" w:rsidR="00336482" w:rsidRPr="00CC06FE" w:rsidRDefault="00336482" w:rsidP="00336482">
            <w:pPr>
              <w:tabs>
                <w:tab w:val="left" w:pos="4082"/>
              </w:tabs>
              <w:rPr>
                <w:sz w:val="17"/>
                <w:szCs w:val="17"/>
              </w:rPr>
            </w:pPr>
            <w:r w:rsidRPr="00CC06FE">
              <w:rPr>
                <w:sz w:val="17"/>
                <w:szCs w:val="17"/>
              </w:rPr>
              <w:t xml:space="preserve">Cenizas de fondo </w:t>
            </w:r>
          </w:p>
        </w:tc>
        <w:tc>
          <w:tcPr>
            <w:tcW w:w="5455" w:type="dxa"/>
            <w:tcBorders>
              <w:top w:val="nil"/>
              <w:left w:val="nil"/>
              <w:bottom w:val="nil"/>
              <w:right w:val="nil"/>
            </w:tcBorders>
          </w:tcPr>
          <w:p w14:paraId="1F914325" w14:textId="77777777" w:rsidR="00336482" w:rsidRPr="00CC06FE" w:rsidRDefault="00336482" w:rsidP="00336482">
            <w:pPr>
              <w:rPr>
                <w:sz w:val="17"/>
                <w:szCs w:val="17"/>
              </w:rPr>
            </w:pPr>
            <w:r w:rsidRPr="00CC06FE">
              <w:rPr>
                <w:sz w:val="17"/>
                <w:szCs w:val="17"/>
              </w:rPr>
              <w:t>Combustión de carbón</w:t>
            </w:r>
          </w:p>
          <w:p w14:paraId="22C9A4FB" w14:textId="77777777" w:rsidR="00336482" w:rsidRPr="00CC06FE" w:rsidRDefault="00336482" w:rsidP="00336482">
            <w:pPr>
              <w:rPr>
                <w:sz w:val="17"/>
                <w:szCs w:val="17"/>
              </w:rPr>
            </w:pPr>
            <w:r w:rsidRPr="00CC06FE">
              <w:rPr>
                <w:sz w:val="17"/>
                <w:szCs w:val="17"/>
              </w:rPr>
              <w:t>Generación de energía y calor a partir de biomasa</w:t>
            </w:r>
          </w:p>
          <w:p w14:paraId="2CCAF00D" w14:textId="77777777" w:rsidR="00336482" w:rsidRPr="00CC06FE" w:rsidRDefault="00336482" w:rsidP="00336482">
            <w:pPr>
              <w:rPr>
                <w:sz w:val="17"/>
                <w:szCs w:val="17"/>
              </w:rPr>
            </w:pPr>
            <w:r w:rsidRPr="00CC06FE">
              <w:rPr>
                <w:sz w:val="17"/>
                <w:szCs w:val="17"/>
              </w:rPr>
              <w:t>Incineración de desechos</w:t>
            </w:r>
          </w:p>
        </w:tc>
      </w:tr>
      <w:tr w:rsidR="00336482" w:rsidRPr="00CC06FE" w14:paraId="1CC186EB" w14:textId="77777777" w:rsidTr="00CC06FE">
        <w:trPr>
          <w:trHeight w:val="1540"/>
        </w:trPr>
        <w:tc>
          <w:tcPr>
            <w:tcW w:w="2791" w:type="dxa"/>
            <w:tcBorders>
              <w:top w:val="nil"/>
              <w:left w:val="nil"/>
              <w:bottom w:val="nil"/>
              <w:right w:val="nil"/>
            </w:tcBorders>
          </w:tcPr>
          <w:p w14:paraId="2CD8B9F3" w14:textId="22687B45" w:rsidR="00336482" w:rsidRPr="00CC06FE" w:rsidRDefault="00336482" w:rsidP="00336482">
            <w:pPr>
              <w:tabs>
                <w:tab w:val="left" w:pos="4082"/>
              </w:tabs>
              <w:rPr>
                <w:sz w:val="17"/>
                <w:szCs w:val="17"/>
              </w:rPr>
            </w:pPr>
            <w:r w:rsidRPr="00CC06FE">
              <w:rPr>
                <w:sz w:val="17"/>
                <w:szCs w:val="17"/>
              </w:rPr>
              <w:t>Residuos del tratamiento de las aguas residuales, fangos de lavado</w:t>
            </w:r>
            <w:r w:rsidRPr="00CC06FE">
              <w:rPr>
                <w:sz w:val="17"/>
                <w:szCs w:val="17"/>
                <w:vertAlign w:val="superscript"/>
              </w:rPr>
              <w:t>d</w:t>
            </w:r>
          </w:p>
        </w:tc>
        <w:tc>
          <w:tcPr>
            <w:tcW w:w="5455" w:type="dxa"/>
            <w:tcBorders>
              <w:top w:val="nil"/>
              <w:left w:val="nil"/>
              <w:bottom w:val="nil"/>
              <w:right w:val="nil"/>
            </w:tcBorders>
          </w:tcPr>
          <w:p w14:paraId="116259BA" w14:textId="77777777" w:rsidR="00336482" w:rsidRPr="00CC06FE" w:rsidRDefault="00336482" w:rsidP="00336482">
            <w:pPr>
              <w:rPr>
                <w:sz w:val="17"/>
                <w:szCs w:val="17"/>
              </w:rPr>
            </w:pPr>
            <w:r w:rsidRPr="00CC06FE">
              <w:rPr>
                <w:sz w:val="17"/>
                <w:szCs w:val="17"/>
              </w:rPr>
              <w:t>Tratamiento de aguas residuales de:</w:t>
            </w:r>
          </w:p>
          <w:p w14:paraId="0518EA26" w14:textId="77777777" w:rsidR="00336482" w:rsidRPr="00CC06FE" w:rsidRDefault="00336482" w:rsidP="00336482">
            <w:pPr>
              <w:pBdr>
                <w:top w:val="nil"/>
                <w:left w:val="nil"/>
                <w:bottom w:val="nil"/>
                <w:right w:val="nil"/>
                <w:between w:val="nil"/>
              </w:pBdr>
              <w:rPr>
                <w:sz w:val="17"/>
                <w:szCs w:val="17"/>
              </w:rPr>
            </w:pPr>
            <w:r w:rsidRPr="00CC06FE">
              <w:rPr>
                <w:sz w:val="17"/>
                <w:szCs w:val="17"/>
              </w:rPr>
              <w:t>Extracción y uso de combustibles/energía</w:t>
            </w:r>
          </w:p>
          <w:p w14:paraId="27DB6269" w14:textId="77777777" w:rsidR="00336482" w:rsidRPr="00CC06FE" w:rsidRDefault="00336482" w:rsidP="00336482">
            <w:pPr>
              <w:pBdr>
                <w:top w:val="nil"/>
                <w:left w:val="nil"/>
                <w:bottom w:val="nil"/>
                <w:right w:val="nil"/>
                <w:between w:val="nil"/>
              </w:pBdr>
              <w:rPr>
                <w:sz w:val="17"/>
                <w:szCs w:val="17"/>
              </w:rPr>
            </w:pPr>
            <w:r w:rsidRPr="00CC06FE">
              <w:rPr>
                <w:sz w:val="17"/>
                <w:szCs w:val="17"/>
              </w:rPr>
              <w:t>Producción de productos con mercurio añadido</w:t>
            </w:r>
          </w:p>
          <w:p w14:paraId="265B2F3C" w14:textId="77777777" w:rsidR="00336482" w:rsidRPr="00CC06FE" w:rsidRDefault="00336482" w:rsidP="00336482">
            <w:pPr>
              <w:pBdr>
                <w:top w:val="nil"/>
                <w:left w:val="nil"/>
                <w:bottom w:val="nil"/>
                <w:right w:val="nil"/>
                <w:between w:val="nil"/>
              </w:pBdr>
              <w:rPr>
                <w:sz w:val="17"/>
                <w:szCs w:val="17"/>
              </w:rPr>
            </w:pPr>
            <w:r w:rsidRPr="00CC06FE">
              <w:rPr>
                <w:sz w:val="17"/>
                <w:szCs w:val="17"/>
              </w:rPr>
              <w:t>Procesos de fabricación en los que se utiliza mercurio o compuestos de mercurio</w:t>
            </w:r>
          </w:p>
          <w:p w14:paraId="132FE984" w14:textId="77777777" w:rsidR="00336482" w:rsidRPr="00CC06FE" w:rsidRDefault="00336482" w:rsidP="00336482">
            <w:pPr>
              <w:pBdr>
                <w:top w:val="nil"/>
                <w:left w:val="nil"/>
                <w:bottom w:val="nil"/>
                <w:right w:val="nil"/>
                <w:between w:val="nil"/>
              </w:pBdr>
              <w:rPr>
                <w:sz w:val="17"/>
                <w:szCs w:val="17"/>
              </w:rPr>
            </w:pPr>
            <w:r w:rsidRPr="00CC06FE">
              <w:rPr>
                <w:sz w:val="17"/>
                <w:szCs w:val="17"/>
              </w:rPr>
              <w:t>Producción primaria de metales no ferrosos</w:t>
            </w:r>
          </w:p>
          <w:p w14:paraId="301E22D4" w14:textId="77777777" w:rsidR="00336482" w:rsidRPr="00CC06FE" w:rsidRDefault="00336482" w:rsidP="00336482">
            <w:pPr>
              <w:pBdr>
                <w:top w:val="nil"/>
                <w:left w:val="nil"/>
                <w:bottom w:val="nil"/>
                <w:right w:val="nil"/>
                <w:between w:val="nil"/>
              </w:pBdr>
              <w:rPr>
                <w:sz w:val="17"/>
                <w:szCs w:val="17"/>
              </w:rPr>
            </w:pPr>
            <w:r w:rsidRPr="00CC06FE">
              <w:rPr>
                <w:sz w:val="17"/>
                <w:szCs w:val="17"/>
              </w:rPr>
              <w:t xml:space="preserve">Procesos de producción con impurezas de mercurio </w:t>
            </w:r>
          </w:p>
          <w:p w14:paraId="0F2AE97F" w14:textId="77777777" w:rsidR="00336482" w:rsidRPr="00CC06FE" w:rsidRDefault="00336482" w:rsidP="00336482">
            <w:pPr>
              <w:pBdr>
                <w:top w:val="nil"/>
                <w:left w:val="nil"/>
                <w:bottom w:val="nil"/>
                <w:right w:val="nil"/>
                <w:between w:val="nil"/>
              </w:pBdr>
              <w:rPr>
                <w:sz w:val="17"/>
                <w:szCs w:val="17"/>
              </w:rPr>
            </w:pPr>
            <w:r w:rsidRPr="00CC06FE">
              <w:rPr>
                <w:sz w:val="17"/>
                <w:szCs w:val="17"/>
              </w:rPr>
              <w:t>Recuperación de metales preciosos de residuos de aparatos eléctricos y electrónicos</w:t>
            </w:r>
          </w:p>
          <w:p w14:paraId="7C4C75BD" w14:textId="77777777" w:rsidR="00336482" w:rsidRPr="00CC06FE" w:rsidRDefault="00336482" w:rsidP="00336482">
            <w:pPr>
              <w:pBdr>
                <w:top w:val="nil"/>
                <w:left w:val="nil"/>
                <w:bottom w:val="nil"/>
                <w:right w:val="nil"/>
                <w:between w:val="nil"/>
              </w:pBdr>
              <w:rPr>
                <w:sz w:val="17"/>
                <w:szCs w:val="17"/>
              </w:rPr>
            </w:pPr>
            <w:r w:rsidRPr="00CC06FE">
              <w:rPr>
                <w:sz w:val="17"/>
                <w:szCs w:val="17"/>
              </w:rPr>
              <w:t>Incineración, coincineración y otros tratamientos térmicos de desechos</w:t>
            </w:r>
          </w:p>
          <w:p w14:paraId="1C4DD43D" w14:textId="77777777" w:rsidR="00336482" w:rsidRPr="00CC06FE" w:rsidRDefault="00336482" w:rsidP="00336482">
            <w:pPr>
              <w:pBdr>
                <w:top w:val="nil"/>
                <w:left w:val="nil"/>
                <w:bottom w:val="nil"/>
                <w:right w:val="nil"/>
                <w:between w:val="nil"/>
              </w:pBdr>
              <w:rPr>
                <w:sz w:val="17"/>
                <w:szCs w:val="17"/>
              </w:rPr>
            </w:pPr>
            <w:r w:rsidRPr="00CC06FE">
              <w:rPr>
                <w:sz w:val="17"/>
                <w:szCs w:val="17"/>
              </w:rPr>
              <w:t>Crematorios</w:t>
            </w:r>
          </w:p>
          <w:p w14:paraId="70D3F64F" w14:textId="77777777" w:rsidR="00336482" w:rsidRPr="00CC06FE" w:rsidRDefault="00336482" w:rsidP="00336482">
            <w:pPr>
              <w:pBdr>
                <w:top w:val="nil"/>
                <w:left w:val="nil"/>
                <w:bottom w:val="nil"/>
                <w:right w:val="nil"/>
                <w:between w:val="nil"/>
              </w:pBdr>
              <w:rPr>
                <w:sz w:val="17"/>
                <w:szCs w:val="17"/>
              </w:rPr>
            </w:pPr>
            <w:r w:rsidRPr="00CC06FE">
              <w:rPr>
                <w:sz w:val="17"/>
                <w:szCs w:val="17"/>
              </w:rPr>
              <w:t>Servicios sanitarios</w:t>
            </w:r>
          </w:p>
          <w:p w14:paraId="0E9D1FDA" w14:textId="77777777" w:rsidR="00336482" w:rsidRPr="00CC06FE" w:rsidRDefault="00336482" w:rsidP="00336482">
            <w:pPr>
              <w:pBdr>
                <w:top w:val="nil"/>
                <w:left w:val="nil"/>
                <w:bottom w:val="nil"/>
                <w:right w:val="nil"/>
                <w:between w:val="nil"/>
              </w:pBdr>
              <w:rPr>
                <w:sz w:val="17"/>
                <w:szCs w:val="17"/>
              </w:rPr>
            </w:pPr>
            <w:r w:rsidRPr="00CC06FE">
              <w:rPr>
                <w:sz w:val="17"/>
                <w:szCs w:val="17"/>
              </w:rPr>
              <w:t>Lixiviado en vertederos controlados</w:t>
            </w:r>
          </w:p>
          <w:p w14:paraId="3CDB9815" w14:textId="77777777" w:rsidR="00336482" w:rsidRPr="00CC06FE" w:rsidRDefault="00336482" w:rsidP="00336482">
            <w:pPr>
              <w:pBdr>
                <w:top w:val="nil"/>
                <w:left w:val="nil"/>
                <w:bottom w:val="nil"/>
                <w:right w:val="nil"/>
                <w:between w:val="nil"/>
              </w:pBdr>
              <w:rPr>
                <w:sz w:val="17"/>
                <w:szCs w:val="17"/>
              </w:rPr>
            </w:pPr>
            <w:r w:rsidRPr="00CC06FE">
              <w:rPr>
                <w:sz w:val="17"/>
                <w:szCs w:val="17"/>
              </w:rPr>
              <w:t>Vertido no controlado de desechos</w:t>
            </w:r>
          </w:p>
          <w:p w14:paraId="4F6625B6" w14:textId="77777777" w:rsidR="00336482" w:rsidRPr="00CC06FE" w:rsidRDefault="00336482" w:rsidP="00336482">
            <w:pPr>
              <w:pBdr>
                <w:top w:val="nil"/>
                <w:left w:val="nil"/>
                <w:bottom w:val="nil"/>
                <w:right w:val="nil"/>
                <w:between w:val="nil"/>
              </w:pBdr>
              <w:rPr>
                <w:sz w:val="17"/>
                <w:szCs w:val="17"/>
              </w:rPr>
            </w:pPr>
            <w:r w:rsidRPr="00CC06FE">
              <w:rPr>
                <w:sz w:val="17"/>
                <w:szCs w:val="17"/>
              </w:rPr>
              <w:t>Instalaciones agrícolas</w:t>
            </w:r>
          </w:p>
        </w:tc>
      </w:tr>
      <w:tr w:rsidR="00336482" w:rsidRPr="00CC06FE" w14:paraId="149D7E46" w14:textId="77777777" w:rsidTr="00CC06FE">
        <w:tc>
          <w:tcPr>
            <w:tcW w:w="2791" w:type="dxa"/>
            <w:tcBorders>
              <w:top w:val="nil"/>
              <w:left w:val="nil"/>
              <w:bottom w:val="nil"/>
              <w:right w:val="nil"/>
            </w:tcBorders>
          </w:tcPr>
          <w:p w14:paraId="4761AA01" w14:textId="77777777" w:rsidR="00336482" w:rsidRPr="00CC06FE" w:rsidRDefault="00336482" w:rsidP="00336482">
            <w:pPr>
              <w:tabs>
                <w:tab w:val="left" w:pos="4082"/>
              </w:tabs>
              <w:rPr>
                <w:sz w:val="17"/>
                <w:szCs w:val="17"/>
              </w:rPr>
            </w:pPr>
            <w:r w:rsidRPr="00CC06FE">
              <w:rPr>
                <w:sz w:val="17"/>
                <w:szCs w:val="17"/>
              </w:rPr>
              <w:t xml:space="preserve">Fango residual </w:t>
            </w:r>
          </w:p>
        </w:tc>
        <w:tc>
          <w:tcPr>
            <w:tcW w:w="5455" w:type="dxa"/>
            <w:tcBorders>
              <w:top w:val="nil"/>
              <w:left w:val="nil"/>
              <w:bottom w:val="nil"/>
              <w:right w:val="nil"/>
            </w:tcBorders>
          </w:tcPr>
          <w:p w14:paraId="08C3D0E4" w14:textId="77777777" w:rsidR="00336482" w:rsidRPr="00CC06FE" w:rsidRDefault="00336482" w:rsidP="00336482">
            <w:pPr>
              <w:rPr>
                <w:sz w:val="17"/>
                <w:szCs w:val="17"/>
              </w:rPr>
            </w:pPr>
            <w:r w:rsidRPr="00CC06FE">
              <w:rPr>
                <w:sz w:val="17"/>
                <w:szCs w:val="17"/>
              </w:rPr>
              <w:t>Depósitos de separación y depósitos de arena sedimentaria para la refinación de petróleo crudo, producción y procesamiento de gas natural, perforación, limpieza de barcos, procesos químicos, etc.</w:t>
            </w:r>
          </w:p>
          <w:p w14:paraId="5B317D37" w14:textId="77777777" w:rsidR="00336482" w:rsidRPr="00CC06FE" w:rsidRDefault="00336482" w:rsidP="00336482">
            <w:pPr>
              <w:rPr>
                <w:sz w:val="17"/>
                <w:szCs w:val="17"/>
              </w:rPr>
            </w:pPr>
            <w:r w:rsidRPr="00CC06FE">
              <w:rPr>
                <w:sz w:val="17"/>
                <w:szCs w:val="17"/>
              </w:rPr>
              <w:t xml:space="preserve">Tratamiento de desechos contaminados con mercurio (por ejemplo, precipitación química y oxidación química) </w:t>
            </w:r>
          </w:p>
        </w:tc>
      </w:tr>
      <w:tr w:rsidR="00336482" w:rsidRPr="00CC06FE" w14:paraId="25A53D78" w14:textId="77777777" w:rsidTr="00CC06FE">
        <w:tc>
          <w:tcPr>
            <w:tcW w:w="2791" w:type="dxa"/>
            <w:tcBorders>
              <w:top w:val="nil"/>
              <w:left w:val="nil"/>
              <w:bottom w:val="nil"/>
              <w:right w:val="nil"/>
            </w:tcBorders>
          </w:tcPr>
          <w:p w14:paraId="79020E5B" w14:textId="21852435" w:rsidR="00336482" w:rsidRPr="00CC06FE" w:rsidRDefault="00336482" w:rsidP="00336482">
            <w:pPr>
              <w:tabs>
                <w:tab w:val="left" w:pos="4082"/>
              </w:tabs>
              <w:rPr>
                <w:sz w:val="17"/>
                <w:szCs w:val="17"/>
              </w:rPr>
            </w:pPr>
            <w:r w:rsidRPr="00CC06FE">
              <w:rPr>
                <w:sz w:val="17"/>
                <w:szCs w:val="17"/>
              </w:rPr>
              <w:t>Catalizador de refinado de petróleo</w:t>
            </w:r>
            <w:r w:rsidR="000510D6" w:rsidRPr="00CC06FE">
              <w:rPr>
                <w:sz w:val="17"/>
                <w:szCs w:val="17"/>
              </w:rPr>
              <w:t> </w:t>
            </w:r>
            <w:r w:rsidRPr="00CC06FE">
              <w:rPr>
                <w:sz w:val="17"/>
                <w:szCs w:val="17"/>
              </w:rPr>
              <w:t>y</w:t>
            </w:r>
            <w:r w:rsidR="000510D6" w:rsidRPr="00CC06FE">
              <w:rPr>
                <w:sz w:val="17"/>
                <w:szCs w:val="17"/>
              </w:rPr>
              <w:t> </w:t>
            </w:r>
            <w:r w:rsidRPr="00CC06FE">
              <w:rPr>
                <w:sz w:val="17"/>
                <w:szCs w:val="17"/>
              </w:rPr>
              <w:t>gas</w:t>
            </w:r>
          </w:p>
        </w:tc>
        <w:tc>
          <w:tcPr>
            <w:tcW w:w="5455" w:type="dxa"/>
            <w:tcBorders>
              <w:top w:val="nil"/>
              <w:left w:val="nil"/>
              <w:bottom w:val="nil"/>
              <w:right w:val="nil"/>
            </w:tcBorders>
          </w:tcPr>
          <w:p w14:paraId="5EEDAB79" w14:textId="77777777" w:rsidR="00336482" w:rsidRPr="00CC06FE" w:rsidRDefault="00336482" w:rsidP="00336482">
            <w:pPr>
              <w:rPr>
                <w:sz w:val="17"/>
                <w:szCs w:val="17"/>
              </w:rPr>
            </w:pPr>
            <w:r w:rsidRPr="00CC06FE">
              <w:rPr>
                <w:sz w:val="17"/>
                <w:szCs w:val="17"/>
              </w:rPr>
              <w:t>Refinado de petróleo crudo</w:t>
            </w:r>
          </w:p>
          <w:p w14:paraId="5ED828E2" w14:textId="77777777" w:rsidR="00336482" w:rsidRPr="00CC06FE" w:rsidRDefault="00336482" w:rsidP="00336482">
            <w:pPr>
              <w:rPr>
                <w:sz w:val="17"/>
                <w:szCs w:val="17"/>
              </w:rPr>
            </w:pPr>
            <w:r w:rsidRPr="00CC06FE">
              <w:rPr>
                <w:sz w:val="17"/>
                <w:szCs w:val="17"/>
              </w:rPr>
              <w:t>Procesamiento de gas natural</w:t>
            </w:r>
          </w:p>
        </w:tc>
      </w:tr>
      <w:tr w:rsidR="00336482" w:rsidRPr="00CC06FE" w14:paraId="0CDBB647" w14:textId="77777777" w:rsidTr="00CC06FE">
        <w:trPr>
          <w:trHeight w:val="260"/>
        </w:trPr>
        <w:tc>
          <w:tcPr>
            <w:tcW w:w="2791" w:type="dxa"/>
            <w:tcBorders>
              <w:top w:val="nil"/>
              <w:left w:val="nil"/>
              <w:bottom w:val="nil"/>
              <w:right w:val="nil"/>
            </w:tcBorders>
          </w:tcPr>
          <w:p w14:paraId="4F33F67D" w14:textId="77777777" w:rsidR="00336482" w:rsidRPr="00CC06FE" w:rsidRDefault="00336482" w:rsidP="00336482">
            <w:pPr>
              <w:tabs>
                <w:tab w:val="left" w:pos="4082"/>
              </w:tabs>
              <w:rPr>
                <w:sz w:val="17"/>
                <w:szCs w:val="17"/>
              </w:rPr>
            </w:pPr>
            <w:r w:rsidRPr="00CC06FE">
              <w:rPr>
                <w:sz w:val="17"/>
                <w:szCs w:val="17"/>
              </w:rPr>
              <w:t>Residuos de la extracción minera y residuos del proceso de extracción</w:t>
            </w:r>
          </w:p>
        </w:tc>
        <w:tc>
          <w:tcPr>
            <w:tcW w:w="5455" w:type="dxa"/>
            <w:tcBorders>
              <w:top w:val="nil"/>
              <w:left w:val="nil"/>
              <w:bottom w:val="nil"/>
              <w:right w:val="nil"/>
            </w:tcBorders>
          </w:tcPr>
          <w:p w14:paraId="178407B5" w14:textId="77777777" w:rsidR="00336482" w:rsidRPr="00CC06FE" w:rsidRDefault="00336482" w:rsidP="00336482">
            <w:pPr>
              <w:rPr>
                <w:sz w:val="17"/>
                <w:szCs w:val="17"/>
              </w:rPr>
            </w:pPr>
            <w:r w:rsidRPr="00CC06FE">
              <w:rPr>
                <w:sz w:val="17"/>
                <w:szCs w:val="17"/>
              </w:rPr>
              <w:t>Extracción primaria de mercurio</w:t>
            </w:r>
          </w:p>
          <w:p w14:paraId="3F286C9E" w14:textId="77777777" w:rsidR="00336482" w:rsidRPr="00CC06FE" w:rsidRDefault="00336482" w:rsidP="00336482">
            <w:pPr>
              <w:rPr>
                <w:sz w:val="17"/>
                <w:szCs w:val="17"/>
              </w:rPr>
            </w:pPr>
            <w:r w:rsidRPr="00CC06FE">
              <w:rPr>
                <w:sz w:val="17"/>
                <w:szCs w:val="17"/>
              </w:rPr>
              <w:t>Extracción de oro artesanal y en pequeña escala</w:t>
            </w:r>
          </w:p>
        </w:tc>
      </w:tr>
      <w:tr w:rsidR="00336482" w:rsidRPr="00CC06FE" w14:paraId="4EBAB3A9" w14:textId="77777777" w:rsidTr="00CC06FE">
        <w:trPr>
          <w:trHeight w:val="60"/>
        </w:trPr>
        <w:tc>
          <w:tcPr>
            <w:tcW w:w="2791" w:type="dxa"/>
            <w:tcBorders>
              <w:top w:val="nil"/>
              <w:left w:val="nil"/>
              <w:bottom w:val="nil"/>
              <w:right w:val="nil"/>
            </w:tcBorders>
          </w:tcPr>
          <w:p w14:paraId="63EC8334" w14:textId="77777777" w:rsidR="00336482" w:rsidRPr="00CC06FE" w:rsidRDefault="00336482" w:rsidP="00336482">
            <w:pPr>
              <w:tabs>
                <w:tab w:val="left" w:pos="4082"/>
              </w:tabs>
              <w:rPr>
                <w:sz w:val="17"/>
                <w:szCs w:val="17"/>
              </w:rPr>
            </w:pPr>
            <w:r w:rsidRPr="00CC06FE">
              <w:rPr>
                <w:sz w:val="17"/>
                <w:szCs w:val="17"/>
              </w:rPr>
              <w:t>Escombros, detritos y tierra</w:t>
            </w:r>
            <w:r w:rsidRPr="00CC06FE">
              <w:rPr>
                <w:sz w:val="17"/>
                <w:szCs w:val="17"/>
                <w:vertAlign w:val="superscript"/>
              </w:rPr>
              <w:t>e</w:t>
            </w:r>
          </w:p>
        </w:tc>
        <w:tc>
          <w:tcPr>
            <w:tcW w:w="5455" w:type="dxa"/>
            <w:tcBorders>
              <w:top w:val="nil"/>
              <w:left w:val="nil"/>
              <w:bottom w:val="nil"/>
              <w:right w:val="nil"/>
            </w:tcBorders>
          </w:tcPr>
          <w:p w14:paraId="037251B0" w14:textId="77777777" w:rsidR="00336482" w:rsidRPr="00CC06FE" w:rsidRDefault="00336482" w:rsidP="00336482">
            <w:pPr>
              <w:rPr>
                <w:sz w:val="17"/>
                <w:szCs w:val="17"/>
              </w:rPr>
            </w:pPr>
            <w:r w:rsidRPr="00CC06FE">
              <w:rPr>
                <w:sz w:val="17"/>
                <w:szCs w:val="17"/>
              </w:rPr>
              <w:t>Construcción/demolición</w:t>
            </w:r>
          </w:p>
          <w:p w14:paraId="53B480B6" w14:textId="77777777" w:rsidR="00336482" w:rsidRPr="00CC06FE" w:rsidRDefault="00336482" w:rsidP="00336482">
            <w:pPr>
              <w:rPr>
                <w:sz w:val="17"/>
                <w:szCs w:val="17"/>
              </w:rPr>
            </w:pPr>
            <w:r w:rsidRPr="00CC06FE">
              <w:rPr>
                <w:sz w:val="17"/>
                <w:szCs w:val="17"/>
              </w:rPr>
              <w:t>Rehabilitación de lugares contaminados</w:t>
            </w:r>
          </w:p>
        </w:tc>
      </w:tr>
      <w:tr w:rsidR="00336482" w:rsidRPr="00CC06FE" w14:paraId="3B368E48" w14:textId="77777777" w:rsidTr="00CC06FE">
        <w:trPr>
          <w:trHeight w:val="60"/>
        </w:trPr>
        <w:tc>
          <w:tcPr>
            <w:tcW w:w="2791" w:type="dxa"/>
            <w:tcBorders>
              <w:top w:val="nil"/>
              <w:left w:val="nil"/>
              <w:bottom w:val="nil"/>
              <w:right w:val="nil"/>
            </w:tcBorders>
          </w:tcPr>
          <w:p w14:paraId="6B8B49A9" w14:textId="77777777" w:rsidR="00336482" w:rsidRPr="00CC06FE" w:rsidRDefault="00336482" w:rsidP="00336482">
            <w:pPr>
              <w:tabs>
                <w:tab w:val="left" w:pos="4082"/>
              </w:tabs>
              <w:rPr>
                <w:sz w:val="17"/>
                <w:szCs w:val="17"/>
              </w:rPr>
            </w:pPr>
            <w:r w:rsidRPr="00CC06FE">
              <w:rPr>
                <w:sz w:val="17"/>
                <w:szCs w:val="17"/>
              </w:rPr>
              <w:t>Otros desechos procedentes de procesos de fabricación en los que se utiliza mercurio o compuestos de mercurio</w:t>
            </w:r>
            <w:r w:rsidRPr="00CC06FE">
              <w:rPr>
                <w:sz w:val="17"/>
                <w:szCs w:val="17"/>
                <w:vertAlign w:val="superscript"/>
              </w:rPr>
              <w:t>f</w:t>
            </w:r>
          </w:p>
        </w:tc>
        <w:tc>
          <w:tcPr>
            <w:tcW w:w="5455" w:type="dxa"/>
            <w:tcBorders>
              <w:top w:val="nil"/>
              <w:left w:val="nil"/>
              <w:bottom w:val="nil"/>
              <w:right w:val="nil"/>
            </w:tcBorders>
          </w:tcPr>
          <w:p w14:paraId="5995CE7B" w14:textId="77777777" w:rsidR="00336482" w:rsidRPr="00CC06FE" w:rsidRDefault="00336482" w:rsidP="00336482">
            <w:pPr>
              <w:rPr>
                <w:sz w:val="17"/>
                <w:szCs w:val="17"/>
              </w:rPr>
            </w:pPr>
            <w:r w:rsidRPr="00CC06FE">
              <w:rPr>
                <w:sz w:val="17"/>
                <w:szCs w:val="17"/>
              </w:rPr>
              <w:t xml:space="preserve">Producción de cloro álcali con tecnología basada en el mercurio </w:t>
            </w:r>
          </w:p>
          <w:p w14:paraId="631F28B6" w14:textId="77777777" w:rsidR="00336482" w:rsidRPr="00CC06FE" w:rsidRDefault="00336482" w:rsidP="00336482">
            <w:pPr>
              <w:rPr>
                <w:sz w:val="17"/>
                <w:szCs w:val="17"/>
              </w:rPr>
            </w:pPr>
            <w:r w:rsidRPr="00CC06FE">
              <w:rPr>
                <w:sz w:val="17"/>
                <w:szCs w:val="17"/>
              </w:rPr>
              <w:t>Producción de alcoholatos (por ejemplo, metilato o etilato sódico o potásico)</w:t>
            </w:r>
          </w:p>
          <w:p w14:paraId="3D69BAC4" w14:textId="77777777" w:rsidR="00336482" w:rsidRPr="00CC06FE" w:rsidRDefault="00336482" w:rsidP="00336482">
            <w:pPr>
              <w:rPr>
                <w:sz w:val="17"/>
                <w:szCs w:val="17"/>
              </w:rPr>
            </w:pPr>
            <w:r w:rsidRPr="00CC06FE">
              <w:rPr>
                <w:sz w:val="17"/>
                <w:szCs w:val="17"/>
              </w:rPr>
              <w:t xml:space="preserve">Ditionita y solución de hidróxido de potasio ultrapura </w:t>
            </w:r>
          </w:p>
          <w:p w14:paraId="1C2EB338" w14:textId="77777777" w:rsidR="00336482" w:rsidRPr="00CC06FE" w:rsidRDefault="00336482" w:rsidP="00336482">
            <w:pPr>
              <w:rPr>
                <w:sz w:val="17"/>
                <w:szCs w:val="17"/>
              </w:rPr>
            </w:pPr>
            <w:r w:rsidRPr="00CC06FE">
              <w:rPr>
                <w:sz w:val="17"/>
                <w:szCs w:val="17"/>
              </w:rPr>
              <w:t>Producción de monómeros de cloruro de vinilo con catalizador de cloruro de mercurio (HgCl</w:t>
            </w:r>
            <w:r w:rsidRPr="00CC06FE">
              <w:rPr>
                <w:sz w:val="17"/>
                <w:szCs w:val="17"/>
                <w:vertAlign w:val="subscript"/>
              </w:rPr>
              <w:t>2</w:t>
            </w:r>
            <w:r w:rsidRPr="00CC06FE">
              <w:rPr>
                <w:sz w:val="17"/>
                <w:szCs w:val="17"/>
              </w:rPr>
              <w:t xml:space="preserve">) </w:t>
            </w:r>
          </w:p>
          <w:p w14:paraId="469E1FCB" w14:textId="3D75B108" w:rsidR="00336482" w:rsidRPr="00CC06FE" w:rsidRDefault="00336482" w:rsidP="00336482">
            <w:pPr>
              <w:rPr>
                <w:sz w:val="17"/>
                <w:szCs w:val="17"/>
              </w:rPr>
            </w:pPr>
            <w:r w:rsidRPr="00CC06FE">
              <w:rPr>
                <w:sz w:val="17"/>
                <w:szCs w:val="17"/>
              </w:rPr>
              <w:t>Producción de acetaldehído con catalizador de sulfato de mercurio (HgSO</w:t>
            </w:r>
            <w:r w:rsidRPr="00CC06FE">
              <w:rPr>
                <w:sz w:val="17"/>
                <w:szCs w:val="17"/>
                <w:vertAlign w:val="subscript"/>
              </w:rPr>
              <w:t>4</w:t>
            </w:r>
            <w:r w:rsidRPr="00CC06FE">
              <w:rPr>
                <w:sz w:val="17"/>
                <w:szCs w:val="17"/>
              </w:rPr>
              <w:t>),</w:t>
            </w:r>
            <w:r w:rsidR="00CC06FE">
              <w:rPr>
                <w:sz w:val="17"/>
                <w:szCs w:val="17"/>
              </w:rPr>
              <w:t> </w:t>
            </w:r>
            <w:r w:rsidRPr="00CC06FE">
              <w:rPr>
                <w:sz w:val="17"/>
                <w:szCs w:val="17"/>
              </w:rPr>
              <w:t>etc.</w:t>
            </w:r>
          </w:p>
        </w:tc>
      </w:tr>
      <w:tr w:rsidR="00336482" w:rsidRPr="00CC06FE" w14:paraId="2F3CE5F1" w14:textId="77777777" w:rsidTr="00CC06FE">
        <w:trPr>
          <w:trHeight w:val="60"/>
        </w:trPr>
        <w:tc>
          <w:tcPr>
            <w:tcW w:w="2791" w:type="dxa"/>
            <w:tcBorders>
              <w:top w:val="nil"/>
              <w:left w:val="nil"/>
              <w:bottom w:val="nil"/>
              <w:right w:val="nil"/>
            </w:tcBorders>
          </w:tcPr>
          <w:p w14:paraId="36FD2A56" w14:textId="77777777" w:rsidR="00336482" w:rsidRPr="00CC06FE" w:rsidRDefault="00336482" w:rsidP="00336482">
            <w:pPr>
              <w:rPr>
                <w:sz w:val="17"/>
                <w:szCs w:val="17"/>
              </w:rPr>
            </w:pPr>
            <w:r w:rsidRPr="00CC06FE">
              <w:rPr>
                <w:sz w:val="17"/>
                <w:szCs w:val="17"/>
              </w:rPr>
              <w:t>Otros desechos procedentes de la fabricación de productos con mercurio añadido</w:t>
            </w:r>
            <w:r w:rsidRPr="00CC06FE">
              <w:rPr>
                <w:sz w:val="17"/>
                <w:szCs w:val="17"/>
                <w:vertAlign w:val="superscript"/>
              </w:rPr>
              <w:t>g</w:t>
            </w:r>
          </w:p>
        </w:tc>
        <w:tc>
          <w:tcPr>
            <w:tcW w:w="5455" w:type="dxa"/>
            <w:tcBorders>
              <w:top w:val="nil"/>
              <w:left w:val="nil"/>
              <w:bottom w:val="nil"/>
              <w:right w:val="nil"/>
            </w:tcBorders>
          </w:tcPr>
          <w:p w14:paraId="294DF857" w14:textId="77777777" w:rsidR="00336482" w:rsidRPr="00CC06FE" w:rsidRDefault="00336482" w:rsidP="00336482">
            <w:pPr>
              <w:rPr>
                <w:sz w:val="17"/>
                <w:szCs w:val="17"/>
              </w:rPr>
            </w:pPr>
            <w:r w:rsidRPr="00CC06FE">
              <w:rPr>
                <w:sz w:val="17"/>
                <w:szCs w:val="17"/>
              </w:rPr>
              <w:t>Fabricación de productos con mercurio añadido</w:t>
            </w:r>
          </w:p>
        </w:tc>
      </w:tr>
      <w:tr w:rsidR="00336482" w:rsidRPr="00CC06FE" w14:paraId="4B374AA2" w14:textId="77777777" w:rsidTr="00CC06FE">
        <w:trPr>
          <w:trHeight w:val="60"/>
        </w:trPr>
        <w:tc>
          <w:tcPr>
            <w:tcW w:w="2791" w:type="dxa"/>
            <w:tcBorders>
              <w:top w:val="nil"/>
              <w:left w:val="nil"/>
              <w:bottom w:val="nil"/>
              <w:right w:val="nil"/>
            </w:tcBorders>
          </w:tcPr>
          <w:p w14:paraId="4E4E1B34" w14:textId="2458F798" w:rsidR="00336482" w:rsidRPr="00CC06FE" w:rsidRDefault="00336482" w:rsidP="00336482">
            <w:pPr>
              <w:rPr>
                <w:sz w:val="17"/>
                <w:szCs w:val="17"/>
                <w:vertAlign w:val="superscript"/>
              </w:rPr>
            </w:pPr>
            <w:r w:rsidRPr="00CC06FE">
              <w:rPr>
                <w:sz w:val="17"/>
                <w:szCs w:val="17"/>
              </w:rPr>
              <w:t>Otros desechos procedentes de la depuración del gas natural</w:t>
            </w:r>
            <w:r w:rsidR="001345F2" w:rsidRPr="00CC06FE">
              <w:rPr>
                <w:sz w:val="17"/>
                <w:szCs w:val="17"/>
                <w:vertAlign w:val="superscript"/>
              </w:rPr>
              <w:t>h</w:t>
            </w:r>
          </w:p>
        </w:tc>
        <w:tc>
          <w:tcPr>
            <w:tcW w:w="5455" w:type="dxa"/>
            <w:tcBorders>
              <w:top w:val="nil"/>
              <w:left w:val="nil"/>
              <w:bottom w:val="nil"/>
              <w:right w:val="nil"/>
            </w:tcBorders>
          </w:tcPr>
          <w:p w14:paraId="25766CC3" w14:textId="77777777" w:rsidR="00336482" w:rsidRPr="00CC06FE" w:rsidRDefault="00336482" w:rsidP="00336482">
            <w:pPr>
              <w:rPr>
                <w:sz w:val="17"/>
                <w:szCs w:val="17"/>
              </w:rPr>
            </w:pPr>
            <w:r w:rsidRPr="00CC06FE">
              <w:rPr>
                <w:sz w:val="17"/>
                <w:szCs w:val="17"/>
              </w:rPr>
              <w:t>Depuración del gas natural</w:t>
            </w:r>
          </w:p>
        </w:tc>
      </w:tr>
      <w:tr w:rsidR="00336482" w:rsidRPr="00CC06FE" w14:paraId="530ACA0C" w14:textId="77777777" w:rsidTr="00CC06FE">
        <w:trPr>
          <w:trHeight w:val="60"/>
        </w:trPr>
        <w:tc>
          <w:tcPr>
            <w:tcW w:w="2791" w:type="dxa"/>
            <w:tcBorders>
              <w:top w:val="nil"/>
              <w:left w:val="nil"/>
              <w:bottom w:val="single" w:sz="12" w:space="0" w:color="auto"/>
              <w:right w:val="nil"/>
            </w:tcBorders>
          </w:tcPr>
          <w:p w14:paraId="233701DE" w14:textId="77777777" w:rsidR="00336482" w:rsidRPr="00CC06FE" w:rsidRDefault="00336482" w:rsidP="00336482">
            <w:pPr>
              <w:rPr>
                <w:sz w:val="17"/>
                <w:szCs w:val="17"/>
              </w:rPr>
            </w:pPr>
            <w:r w:rsidRPr="00CC06FE">
              <w:rPr>
                <w:sz w:val="17"/>
                <w:szCs w:val="17"/>
              </w:rPr>
              <w:t>Desechos procedentes de instalaciones de tratamiento de desechos</w:t>
            </w:r>
            <w:r w:rsidRPr="00CC06FE">
              <w:rPr>
                <w:sz w:val="17"/>
                <w:szCs w:val="17"/>
                <w:vertAlign w:val="superscript"/>
              </w:rPr>
              <w:t>i</w:t>
            </w:r>
          </w:p>
        </w:tc>
        <w:tc>
          <w:tcPr>
            <w:tcW w:w="5455" w:type="dxa"/>
            <w:tcBorders>
              <w:top w:val="nil"/>
              <w:left w:val="nil"/>
              <w:bottom w:val="single" w:sz="12" w:space="0" w:color="auto"/>
              <w:right w:val="nil"/>
            </w:tcBorders>
          </w:tcPr>
          <w:p w14:paraId="104F7366" w14:textId="77777777" w:rsidR="00336482" w:rsidRPr="00CC06FE" w:rsidRDefault="00336482" w:rsidP="00336482">
            <w:pPr>
              <w:rPr>
                <w:sz w:val="17"/>
                <w:szCs w:val="17"/>
              </w:rPr>
            </w:pPr>
            <w:r w:rsidRPr="00CC06FE">
              <w:rPr>
                <w:sz w:val="17"/>
                <w:szCs w:val="17"/>
              </w:rPr>
              <w:t>Instalaciones de tratamiento de desechos</w:t>
            </w:r>
          </w:p>
        </w:tc>
      </w:tr>
    </w:tbl>
    <w:p w14:paraId="5FF61ED3" w14:textId="77777777" w:rsidR="00336482" w:rsidRPr="002927A1" w:rsidRDefault="00336482" w:rsidP="00DF6817">
      <w:pPr>
        <w:pStyle w:val="BodyText"/>
        <w:spacing w:before="20"/>
        <w:ind w:left="1247"/>
        <w:rPr>
          <w:sz w:val="16"/>
          <w:szCs w:val="16"/>
          <w:lang w:val="es-ES_tradnl"/>
        </w:rPr>
      </w:pPr>
      <w:r w:rsidRPr="002927A1">
        <w:rPr>
          <w:sz w:val="16"/>
          <w:szCs w:val="16"/>
          <w:vertAlign w:val="superscript"/>
          <w:lang w:val="es-ES_tradnl"/>
        </w:rPr>
        <w:t>a</w:t>
      </w:r>
      <w:r w:rsidRPr="002927A1">
        <w:rPr>
          <w:sz w:val="16"/>
          <w:szCs w:val="16"/>
          <w:lang w:val="es-ES_tradnl"/>
        </w:rPr>
        <w:t xml:space="preserve"> Los desechos que se incluyen en este cuadro se consideran desechos de mercurio cuando superan los umbrales establecidos. Los desechos que superen el umbral pero que no figuren en esta lista también se considerarán residuos de mercurio.</w:t>
      </w:r>
    </w:p>
    <w:p w14:paraId="00097726" w14:textId="77777777" w:rsidR="00336482" w:rsidRPr="002927A1" w:rsidRDefault="00336482" w:rsidP="00DF6817">
      <w:pPr>
        <w:pStyle w:val="BodyText"/>
        <w:spacing w:before="20"/>
        <w:ind w:left="1247"/>
        <w:rPr>
          <w:sz w:val="16"/>
          <w:szCs w:val="16"/>
          <w:lang w:val="es-ES_tradnl"/>
        </w:rPr>
      </w:pPr>
      <w:r w:rsidRPr="002927A1">
        <w:rPr>
          <w:sz w:val="16"/>
          <w:szCs w:val="16"/>
          <w:vertAlign w:val="superscript"/>
          <w:lang w:val="es-ES_tradnl"/>
        </w:rPr>
        <w:t>b</w:t>
      </w:r>
      <w:r w:rsidRPr="002927A1">
        <w:rPr>
          <w:sz w:val="16"/>
          <w:szCs w:val="16"/>
          <w:lang w:val="es-ES_tradnl"/>
        </w:rPr>
        <w:t xml:space="preserve"> Una instalación o actividad en la que es probable que se generen o acumulen desechos.</w:t>
      </w:r>
    </w:p>
    <w:p w14:paraId="062C8EE7" w14:textId="09646529" w:rsidR="00336482" w:rsidRPr="002927A1" w:rsidRDefault="00336482" w:rsidP="00DF6817">
      <w:pPr>
        <w:pStyle w:val="BodyText"/>
        <w:spacing w:before="20"/>
        <w:ind w:left="1247"/>
        <w:rPr>
          <w:sz w:val="16"/>
          <w:szCs w:val="16"/>
          <w:lang w:val="es-ES_tradnl"/>
        </w:rPr>
      </w:pPr>
      <w:r w:rsidRPr="002927A1">
        <w:rPr>
          <w:sz w:val="16"/>
          <w:szCs w:val="16"/>
          <w:vertAlign w:val="superscript"/>
          <w:lang w:val="es-ES_tradnl"/>
        </w:rPr>
        <w:t xml:space="preserve">c </w:t>
      </w:r>
      <w:r w:rsidRPr="002927A1">
        <w:rPr>
          <w:sz w:val="16"/>
          <w:szCs w:val="16"/>
          <w:lang w:val="es-ES_tradnl"/>
        </w:rPr>
        <w:t>Incluye filtros y carbón activado.</w:t>
      </w:r>
    </w:p>
    <w:p w14:paraId="7672D9D5" w14:textId="77777777" w:rsidR="00336482" w:rsidRPr="002927A1" w:rsidRDefault="00336482" w:rsidP="00DF6817">
      <w:pPr>
        <w:pStyle w:val="BodyText"/>
        <w:spacing w:before="20"/>
        <w:ind w:left="1247"/>
        <w:rPr>
          <w:sz w:val="16"/>
          <w:szCs w:val="16"/>
          <w:lang w:val="es-ES_tradnl"/>
        </w:rPr>
      </w:pPr>
      <w:r w:rsidRPr="002927A1">
        <w:rPr>
          <w:sz w:val="16"/>
          <w:szCs w:val="16"/>
          <w:vertAlign w:val="superscript"/>
          <w:lang w:val="es-ES_tradnl"/>
        </w:rPr>
        <w:t>d</w:t>
      </w:r>
      <w:r w:rsidRPr="002927A1">
        <w:rPr>
          <w:sz w:val="16"/>
          <w:szCs w:val="16"/>
          <w:lang w:val="es-ES_tradnl"/>
        </w:rPr>
        <w:t xml:space="preserve"> Incluye filtros y resinas.</w:t>
      </w:r>
    </w:p>
    <w:p w14:paraId="2F1BA46E" w14:textId="77777777" w:rsidR="00336482" w:rsidRPr="002927A1" w:rsidRDefault="00336482" w:rsidP="00DF6817">
      <w:pPr>
        <w:pStyle w:val="BodyText"/>
        <w:spacing w:before="20"/>
        <w:ind w:left="1247"/>
        <w:rPr>
          <w:sz w:val="16"/>
          <w:szCs w:val="16"/>
          <w:lang w:val="es-ES_tradnl"/>
        </w:rPr>
      </w:pPr>
      <w:r w:rsidRPr="002927A1">
        <w:rPr>
          <w:sz w:val="16"/>
          <w:szCs w:val="16"/>
          <w:vertAlign w:val="superscript"/>
          <w:lang w:val="es-ES_tradnl"/>
        </w:rPr>
        <w:t xml:space="preserve">e </w:t>
      </w:r>
      <w:r w:rsidRPr="002927A1">
        <w:rPr>
          <w:sz w:val="16"/>
          <w:szCs w:val="16"/>
          <w:lang w:val="es-ES_tradnl"/>
        </w:rPr>
        <w:t>El suelo contaminado transportado fuera del emplazamiento se considera residuo.</w:t>
      </w:r>
    </w:p>
    <w:p w14:paraId="527FCE86" w14:textId="2E596D7D" w:rsidR="005A636F" w:rsidRPr="002927A1" w:rsidRDefault="00336482" w:rsidP="00DF6817">
      <w:pPr>
        <w:pStyle w:val="BodyText"/>
        <w:spacing w:before="20"/>
        <w:ind w:left="1247"/>
        <w:rPr>
          <w:sz w:val="16"/>
          <w:szCs w:val="16"/>
          <w:lang w:val="es-ES_tradnl"/>
        </w:rPr>
      </w:pPr>
      <w:r w:rsidRPr="002927A1">
        <w:rPr>
          <w:sz w:val="16"/>
          <w:szCs w:val="16"/>
          <w:vertAlign w:val="superscript"/>
          <w:lang w:val="es-ES_tradnl"/>
        </w:rPr>
        <w:t>f</w:t>
      </w:r>
      <w:r w:rsidRPr="002927A1">
        <w:rPr>
          <w:sz w:val="16"/>
          <w:szCs w:val="16"/>
          <w:lang w:val="es-ES_tradnl"/>
        </w:rPr>
        <w:t xml:space="preserve"> Células de mercurio, unidades de recuperación de mercurio (retorta), desechos de catalizadores, desechos </w:t>
      </w:r>
      <w:r w:rsidR="00F5311F" w:rsidRPr="002927A1">
        <w:rPr>
          <w:sz w:val="16"/>
          <w:szCs w:val="16"/>
          <w:lang w:val="es-ES_tradnl"/>
        </w:rPr>
        <w:t xml:space="preserve">resultantes </w:t>
      </w:r>
      <w:r w:rsidRPr="002927A1">
        <w:rPr>
          <w:sz w:val="16"/>
          <w:szCs w:val="16"/>
          <w:lang w:val="es-ES_tradnl"/>
        </w:rPr>
        <w:t>de</w:t>
      </w:r>
      <w:r w:rsidR="00F5311F" w:rsidRPr="002927A1">
        <w:rPr>
          <w:sz w:val="16"/>
          <w:szCs w:val="16"/>
          <w:lang w:val="es-ES_tradnl"/>
        </w:rPr>
        <w:t>l</w:t>
      </w:r>
      <w:r w:rsidRPr="002927A1">
        <w:rPr>
          <w:sz w:val="16"/>
          <w:szCs w:val="16"/>
          <w:lang w:val="es-ES_tradnl"/>
        </w:rPr>
        <w:t xml:space="preserve"> desmantelamiento o </w:t>
      </w:r>
      <w:r w:rsidR="00F5311F" w:rsidRPr="002927A1">
        <w:rPr>
          <w:sz w:val="16"/>
          <w:szCs w:val="16"/>
          <w:lang w:val="es-ES_tradnl"/>
        </w:rPr>
        <w:t xml:space="preserve">la </w:t>
      </w:r>
      <w:r w:rsidRPr="002927A1">
        <w:rPr>
          <w:sz w:val="16"/>
          <w:szCs w:val="16"/>
          <w:lang w:val="es-ES_tradnl"/>
        </w:rPr>
        <w:t>demolición, equipos de protección personal, elementos utilizados para contener derrames de mercurio,</w:t>
      </w:r>
      <w:r w:rsidR="00DF6817" w:rsidRPr="002927A1">
        <w:rPr>
          <w:sz w:val="16"/>
          <w:szCs w:val="16"/>
          <w:lang w:val="es-ES_tradnl"/>
        </w:rPr>
        <w:t> </w:t>
      </w:r>
      <w:r w:rsidRPr="002927A1">
        <w:rPr>
          <w:sz w:val="16"/>
          <w:szCs w:val="16"/>
          <w:lang w:val="es-ES_tradnl"/>
        </w:rPr>
        <w:t>etc.</w:t>
      </w:r>
    </w:p>
    <w:p w14:paraId="2698FAE6" w14:textId="77777777" w:rsidR="001345F2" w:rsidRPr="002927A1" w:rsidRDefault="001345F2" w:rsidP="00DF6817">
      <w:pPr>
        <w:pStyle w:val="BodyText"/>
        <w:spacing w:before="20"/>
        <w:ind w:left="1247"/>
        <w:rPr>
          <w:sz w:val="16"/>
          <w:szCs w:val="16"/>
          <w:lang w:val="es-ES_tradnl"/>
        </w:rPr>
      </w:pPr>
      <w:r w:rsidRPr="002927A1">
        <w:rPr>
          <w:sz w:val="16"/>
          <w:szCs w:val="16"/>
          <w:vertAlign w:val="superscript"/>
          <w:lang w:val="es-ES_tradnl"/>
        </w:rPr>
        <w:t xml:space="preserve">g </w:t>
      </w:r>
      <w:r w:rsidRPr="002927A1">
        <w:rPr>
          <w:sz w:val="16"/>
          <w:szCs w:val="16"/>
          <w:lang w:val="es-ES_tradnl"/>
        </w:rPr>
        <w:t>Desechos del proceso, desechos de demolición, etc.</w:t>
      </w:r>
    </w:p>
    <w:p w14:paraId="55DE171B" w14:textId="77777777" w:rsidR="001345F2" w:rsidRPr="002927A1" w:rsidRDefault="001345F2" w:rsidP="00DF6817">
      <w:pPr>
        <w:pStyle w:val="BodyText"/>
        <w:spacing w:before="20"/>
        <w:ind w:left="1247"/>
        <w:rPr>
          <w:sz w:val="16"/>
          <w:szCs w:val="16"/>
          <w:lang w:val="es-ES_tradnl"/>
        </w:rPr>
      </w:pPr>
      <w:r w:rsidRPr="002927A1">
        <w:rPr>
          <w:sz w:val="16"/>
          <w:szCs w:val="16"/>
          <w:vertAlign w:val="superscript"/>
          <w:lang w:val="es-ES_tradnl"/>
        </w:rPr>
        <w:t xml:space="preserve">h </w:t>
      </w:r>
      <w:r w:rsidRPr="002927A1">
        <w:rPr>
          <w:sz w:val="16"/>
          <w:szCs w:val="16"/>
          <w:lang w:val="es-ES_tradnl"/>
        </w:rPr>
        <w:t>Incrustaciones removidas de las tuberías y del equipo de limpieza de tuberías, etc.</w:t>
      </w:r>
    </w:p>
    <w:p w14:paraId="0BCAA063" w14:textId="66DD2F71" w:rsidR="008B1DF7" w:rsidRPr="002927A1" w:rsidRDefault="001345F2" w:rsidP="00DF6817">
      <w:pPr>
        <w:tabs>
          <w:tab w:val="left" w:pos="6494"/>
        </w:tabs>
        <w:spacing w:before="20"/>
        <w:ind w:left="1247"/>
        <w:rPr>
          <w:sz w:val="16"/>
          <w:szCs w:val="16"/>
        </w:rPr>
      </w:pPr>
      <w:r w:rsidRPr="002927A1">
        <w:rPr>
          <w:sz w:val="16"/>
          <w:szCs w:val="16"/>
          <w:vertAlign w:val="superscript"/>
        </w:rPr>
        <w:t xml:space="preserve">i </w:t>
      </w:r>
      <w:r w:rsidRPr="002927A1">
        <w:rPr>
          <w:sz w:val="16"/>
          <w:szCs w:val="16"/>
        </w:rPr>
        <w:t>Desechos tratados para estabilizar o solidificar el mercurio de residuos, revestimientos fluorescentes, metal y vidrio.</w:t>
      </w:r>
    </w:p>
    <w:p w14:paraId="42529EFC" w14:textId="69B2BDE9" w:rsidR="003F4DA7" w:rsidRPr="007435A7" w:rsidRDefault="00812254" w:rsidP="00417FE2">
      <w:pPr>
        <w:pStyle w:val="CH2"/>
        <w:ind w:left="0" w:firstLine="0"/>
        <w:rPr>
          <w:b w:val="0"/>
          <w:sz w:val="28"/>
          <w:szCs w:val="28"/>
          <w:lang w:val="es-ES_tradnl"/>
        </w:rPr>
      </w:pPr>
      <w:r w:rsidRPr="002927A1">
        <w:rPr>
          <w:bCs/>
          <w:lang w:val="es-ES_tradnl"/>
        </w:rPr>
        <w:lastRenderedPageBreak/>
        <w:tab/>
      </w:r>
      <w:r w:rsidRPr="007435A7">
        <w:rPr>
          <w:bCs/>
          <w:sz w:val="28"/>
          <w:szCs w:val="28"/>
          <w:lang w:val="es-ES_tradnl"/>
        </w:rPr>
        <w:tab/>
      </w:r>
      <w:r w:rsidR="003F4DA7" w:rsidRPr="007435A7">
        <w:rPr>
          <w:bCs/>
          <w:sz w:val="28"/>
          <w:szCs w:val="28"/>
          <w:lang w:val="es-ES_tradnl"/>
        </w:rPr>
        <w:t xml:space="preserve">MC-3/6: </w:t>
      </w:r>
      <w:bookmarkEnd w:id="77"/>
      <w:r w:rsidR="00027A66" w:rsidRPr="007435A7">
        <w:rPr>
          <w:sz w:val="28"/>
          <w:szCs w:val="28"/>
          <w:lang w:val="es-ES_tradnl"/>
        </w:rPr>
        <w:t>Orientaciones sobre la gestión de sitios contaminados</w:t>
      </w:r>
    </w:p>
    <w:p w14:paraId="4CB937FD" w14:textId="77777777" w:rsidR="00027A66" w:rsidRPr="002927A1" w:rsidRDefault="00027A66" w:rsidP="00027A66">
      <w:pPr>
        <w:pStyle w:val="Normal-pool"/>
        <w:tabs>
          <w:tab w:val="clear" w:pos="1247"/>
          <w:tab w:val="clear" w:pos="1814"/>
          <w:tab w:val="clear" w:pos="2381"/>
          <w:tab w:val="clear" w:pos="2948"/>
          <w:tab w:val="clear" w:pos="3515"/>
          <w:tab w:val="left" w:pos="624"/>
        </w:tabs>
        <w:spacing w:after="120"/>
        <w:ind w:left="1247" w:firstLine="624"/>
        <w:rPr>
          <w:i/>
          <w:lang w:val="es-ES_tradnl"/>
        </w:rPr>
      </w:pPr>
      <w:r w:rsidRPr="002927A1">
        <w:rPr>
          <w:i/>
          <w:iCs/>
          <w:lang w:val="es-ES_tradnl"/>
        </w:rPr>
        <w:t>La Conferencia de las Partes,</w:t>
      </w:r>
    </w:p>
    <w:p w14:paraId="78A5CD35" w14:textId="65691DB6" w:rsidR="00027A66" w:rsidRPr="002927A1" w:rsidRDefault="00027A66" w:rsidP="00027A66">
      <w:pPr>
        <w:pStyle w:val="Normal-pool"/>
        <w:tabs>
          <w:tab w:val="clear" w:pos="1247"/>
          <w:tab w:val="clear" w:pos="1814"/>
          <w:tab w:val="clear" w:pos="2381"/>
          <w:tab w:val="clear" w:pos="2948"/>
          <w:tab w:val="clear" w:pos="3515"/>
          <w:tab w:val="left" w:pos="624"/>
        </w:tabs>
        <w:spacing w:after="120"/>
        <w:ind w:left="1247" w:firstLine="624"/>
        <w:rPr>
          <w:i/>
          <w:lang w:val="es-ES_tradnl"/>
        </w:rPr>
      </w:pPr>
      <w:r w:rsidRPr="002927A1">
        <w:rPr>
          <w:i/>
          <w:iCs/>
          <w:lang w:val="es-ES_tradnl"/>
        </w:rPr>
        <w:t>Reconociendo</w:t>
      </w:r>
      <w:r w:rsidRPr="002927A1">
        <w:rPr>
          <w:lang w:val="es-ES_tradnl"/>
        </w:rPr>
        <w:t xml:space="preserve"> la necesidad de prestar asistencia a las Partes en lo que respecta a la gestión ambientalmente racional de sitios contaminados mediante la formulación de orientaciones,</w:t>
      </w:r>
    </w:p>
    <w:p w14:paraId="0BBE6477" w14:textId="62D9B390" w:rsidR="00027A66" w:rsidRPr="002927A1" w:rsidRDefault="00027A66" w:rsidP="00027A66">
      <w:pPr>
        <w:pStyle w:val="Normal-pool"/>
        <w:tabs>
          <w:tab w:val="clear" w:pos="1247"/>
          <w:tab w:val="clear" w:pos="1814"/>
          <w:tab w:val="clear" w:pos="2381"/>
          <w:tab w:val="clear" w:pos="2948"/>
          <w:tab w:val="clear" w:pos="3515"/>
          <w:tab w:val="left" w:pos="624"/>
        </w:tabs>
        <w:spacing w:after="120"/>
        <w:ind w:left="1247" w:firstLine="624"/>
        <w:rPr>
          <w:i/>
          <w:lang w:val="es-ES_tradnl"/>
        </w:rPr>
      </w:pPr>
      <w:r w:rsidRPr="002927A1">
        <w:rPr>
          <w:i/>
          <w:iCs/>
          <w:lang w:val="es-ES_tradnl"/>
        </w:rPr>
        <w:t>Señalando</w:t>
      </w:r>
      <w:r w:rsidRPr="002927A1">
        <w:rPr>
          <w:lang w:val="es-ES_tradnl"/>
        </w:rPr>
        <w:t xml:space="preserve"> el proyecto de orientaciones sobre la gestión de sitios contaminados preparado por la Secretaría en consulta con expertos designados y reproducido en el anexo II de la nota de la Secretaría sobre el asunto</w:t>
      </w:r>
      <w:r w:rsidRPr="002927A1">
        <w:rPr>
          <w:rStyle w:val="FootnoteReference"/>
          <w:i/>
          <w:lang w:val="es-ES_tradnl"/>
        </w:rPr>
        <w:footnoteReference w:id="4"/>
      </w:r>
      <w:r w:rsidRPr="002927A1">
        <w:rPr>
          <w:lang w:val="es-ES_tradnl"/>
        </w:rPr>
        <w:t>,</w:t>
      </w:r>
    </w:p>
    <w:p w14:paraId="2220E699" w14:textId="76A4F84A" w:rsidR="00027A66" w:rsidRPr="002927A1" w:rsidRDefault="00027A66" w:rsidP="00A524D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i/>
          <w:iCs/>
          <w:lang w:val="es-ES_tradnl"/>
        </w:rPr>
        <w:t>Aprueba</w:t>
      </w:r>
      <w:r w:rsidRPr="002927A1">
        <w:rPr>
          <w:lang w:val="es-ES_tradnl"/>
        </w:rPr>
        <w:t xml:space="preserve"> las orientaciones sobre la gestión de sitios contaminados que figuran en el anexo II de la nota de la Secretaría sobre el asunto</w:t>
      </w:r>
      <w:r w:rsidRPr="002927A1">
        <w:rPr>
          <w:rStyle w:val="FootnoteReference"/>
          <w:lang w:val="es-ES_tradnl"/>
        </w:rPr>
        <w:footnoteReference w:id="5"/>
      </w:r>
      <w:r w:rsidRPr="002927A1">
        <w:rPr>
          <w:lang w:val="es-ES_tradnl"/>
        </w:rPr>
        <w:t>;</w:t>
      </w:r>
    </w:p>
    <w:p w14:paraId="633B4C5A" w14:textId="77352181" w:rsidR="00027A66" w:rsidRPr="002927A1" w:rsidRDefault="00027A66" w:rsidP="00A524D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2927A1">
        <w:rPr>
          <w:i/>
          <w:iCs/>
          <w:lang w:val="es-ES_tradnl"/>
        </w:rPr>
        <w:t>Hace notar</w:t>
      </w:r>
      <w:r w:rsidRPr="002927A1">
        <w:rPr>
          <w:lang w:val="es-ES_tradnl"/>
        </w:rPr>
        <w:t xml:space="preserve"> la importancia de la creación de capacidad, l</w:t>
      </w:r>
      <w:r w:rsidR="00990F37" w:rsidRPr="002927A1">
        <w:rPr>
          <w:lang w:val="es-ES_tradnl"/>
        </w:rPr>
        <w:t>a asistencia técnica y la</w:t>
      </w:r>
      <w:r w:rsidRPr="002927A1">
        <w:rPr>
          <w:lang w:val="es-ES_tradnl"/>
        </w:rPr>
        <w:t xml:space="preserve"> transferencia de tecnología, según proceda y de conformidad con los artículos 13 y 14 del Convenio de Minamata sobre el Mercurio;</w:t>
      </w:r>
    </w:p>
    <w:p w14:paraId="74ED118D" w14:textId="77777777" w:rsidR="00027A66" w:rsidRPr="002927A1" w:rsidRDefault="00027A66" w:rsidP="00A524D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iCs/>
          <w:lang w:val="es-ES_tradnl"/>
        </w:rPr>
      </w:pPr>
      <w:r w:rsidRPr="002927A1">
        <w:rPr>
          <w:i/>
          <w:iCs/>
          <w:lang w:val="es-ES_tradnl"/>
        </w:rPr>
        <w:t>Alienta</w:t>
      </w:r>
      <w:r w:rsidRPr="002927A1">
        <w:rPr>
          <w:lang w:val="es-ES_tradnl"/>
        </w:rPr>
        <w:t xml:space="preserve"> a las Partes a tener en cuenta las orientaciones al identificar, evaluar, gestionar y, cuando proceda, rehabilitar sitios contaminados con mercurio o compuestos de mercurio; </w:t>
      </w:r>
    </w:p>
    <w:p w14:paraId="45C74DE7" w14:textId="77777777" w:rsidR="00027A66" w:rsidRPr="002927A1" w:rsidRDefault="00027A66" w:rsidP="00A524DB">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i/>
          <w:iCs/>
          <w:lang w:val="es-ES_tradnl"/>
        </w:rPr>
        <w:t>Solicita</w:t>
      </w:r>
      <w:r w:rsidRPr="002927A1">
        <w:rPr>
          <w:lang w:val="es-ES_tradnl"/>
        </w:rPr>
        <w:t xml:space="preserve"> a la Secretaría que siga reuniendo información técnica que complemente las orientaciones, en cooperación con los expertos designados por los Gobiernos, las redes pertinentes y otros interesados, y ponga esa información a disposición de las Partes; </w:t>
      </w:r>
    </w:p>
    <w:p w14:paraId="3B944D04" w14:textId="0A045E2E" w:rsidR="003F4DA7" w:rsidRPr="002927A1" w:rsidRDefault="00027A66" w:rsidP="00A524DB">
      <w:pPr>
        <w:keepNext/>
        <w:keepLines/>
        <w:numPr>
          <w:ilvl w:val="0"/>
          <w:numId w:val="11"/>
        </w:numPr>
        <w:tabs>
          <w:tab w:val="clear" w:pos="1247"/>
          <w:tab w:val="clear" w:pos="1814"/>
          <w:tab w:val="clear" w:pos="2381"/>
          <w:tab w:val="clear" w:pos="2948"/>
          <w:tab w:val="clear" w:pos="3515"/>
          <w:tab w:val="left" w:pos="624"/>
        </w:tabs>
        <w:spacing w:after="120"/>
        <w:ind w:left="1247" w:firstLine="624"/>
        <w:rPr>
          <w:i/>
          <w:iCs/>
        </w:rPr>
      </w:pPr>
      <w:r w:rsidRPr="002927A1">
        <w:rPr>
          <w:i/>
          <w:iCs/>
        </w:rPr>
        <w:t xml:space="preserve">Hace </w:t>
      </w:r>
      <w:r w:rsidRPr="002927A1">
        <w:rPr>
          <w:i/>
        </w:rPr>
        <w:t>notar</w:t>
      </w:r>
      <w:r w:rsidRPr="002927A1">
        <w:t xml:space="preserve"> que, en el futuro, tal vez haya que revisar las orientaciones, en función de la experiencia que se extraiga de su uso, para que sigan reflejando las mejores prácticas</w:t>
      </w:r>
      <w:r w:rsidR="00D417B1" w:rsidRPr="002927A1">
        <w:t>.</w:t>
      </w:r>
      <w:r w:rsidR="003F4DA7" w:rsidRPr="002927A1">
        <w:rPr>
          <w:i/>
          <w:iCs/>
        </w:rPr>
        <w:t xml:space="preserve"> </w:t>
      </w:r>
    </w:p>
    <w:p w14:paraId="0C13C449" w14:textId="77777777" w:rsidR="00A35F55" w:rsidRPr="002927A1" w:rsidRDefault="00A35F55">
      <w:pPr>
        <w:tabs>
          <w:tab w:val="clear" w:pos="1247"/>
          <w:tab w:val="clear" w:pos="1814"/>
          <w:tab w:val="clear" w:pos="2381"/>
          <w:tab w:val="clear" w:pos="2948"/>
          <w:tab w:val="clear" w:pos="3515"/>
        </w:tabs>
        <w:rPr>
          <w:b/>
          <w:bCs/>
          <w:sz w:val="24"/>
          <w:szCs w:val="24"/>
        </w:rPr>
      </w:pPr>
      <w:bookmarkStart w:id="79" w:name="_Toc27124748"/>
      <w:r w:rsidRPr="002927A1">
        <w:rPr>
          <w:bCs/>
        </w:rPr>
        <w:br w:type="page"/>
      </w:r>
    </w:p>
    <w:p w14:paraId="435B6DDE" w14:textId="0AD34321" w:rsidR="003F4DA7" w:rsidRPr="007435A7" w:rsidRDefault="00812254" w:rsidP="00546E2E">
      <w:pPr>
        <w:pStyle w:val="CH2"/>
        <w:rPr>
          <w:bCs/>
          <w:sz w:val="28"/>
          <w:szCs w:val="28"/>
          <w:lang w:val="es-ES_tradnl"/>
        </w:rPr>
      </w:pPr>
      <w:r w:rsidRPr="007435A7">
        <w:rPr>
          <w:bCs/>
          <w:sz w:val="28"/>
          <w:szCs w:val="28"/>
          <w:lang w:val="es-ES_tradnl"/>
        </w:rPr>
        <w:lastRenderedPageBreak/>
        <w:tab/>
      </w:r>
      <w:r w:rsidRPr="007435A7">
        <w:rPr>
          <w:bCs/>
          <w:sz w:val="28"/>
          <w:szCs w:val="28"/>
          <w:lang w:val="es-ES_tradnl"/>
        </w:rPr>
        <w:tab/>
      </w:r>
      <w:r w:rsidR="003F4DA7" w:rsidRPr="007435A7">
        <w:rPr>
          <w:bCs/>
          <w:sz w:val="28"/>
          <w:szCs w:val="28"/>
          <w:lang w:val="es-ES_tradnl"/>
        </w:rPr>
        <w:t xml:space="preserve">MC-3/7: </w:t>
      </w:r>
      <w:bookmarkEnd w:id="79"/>
      <w:r w:rsidR="00F5120B" w:rsidRPr="007435A7">
        <w:rPr>
          <w:sz w:val="28"/>
          <w:szCs w:val="28"/>
          <w:lang w:val="es-ES_tradnl"/>
        </w:rPr>
        <w:t>Primer examen del mecanismo financiero</w:t>
      </w:r>
    </w:p>
    <w:p w14:paraId="3F04F42F" w14:textId="6510C888" w:rsidR="00F5120B" w:rsidRPr="002927A1" w:rsidRDefault="00F5120B" w:rsidP="007A21BE">
      <w:pPr>
        <w:pStyle w:val="BodyTextFirstIndent2"/>
        <w:spacing w:after="120"/>
        <w:ind w:left="1247" w:firstLine="624"/>
        <w:rPr>
          <w:i/>
        </w:rPr>
      </w:pPr>
      <w:r w:rsidRPr="002927A1">
        <w:rPr>
          <w:i/>
        </w:rPr>
        <w:t>La Conferencia de las Partes,</w:t>
      </w:r>
    </w:p>
    <w:p w14:paraId="3C1893B4" w14:textId="202F4AFF" w:rsidR="00F5120B" w:rsidRPr="002927A1" w:rsidRDefault="00F5120B" w:rsidP="0088695B">
      <w:pPr>
        <w:keepNext/>
        <w:keepLines/>
        <w:tabs>
          <w:tab w:val="clear" w:pos="1247"/>
          <w:tab w:val="clear" w:pos="1814"/>
          <w:tab w:val="clear" w:pos="2381"/>
          <w:tab w:val="clear" w:pos="2948"/>
          <w:tab w:val="clear" w:pos="3515"/>
          <w:tab w:val="left" w:pos="624"/>
        </w:tabs>
        <w:spacing w:after="120"/>
        <w:ind w:left="1247" w:firstLine="624"/>
      </w:pPr>
      <w:r w:rsidRPr="002927A1">
        <w:rPr>
          <w:i/>
        </w:rPr>
        <w:t>Tomando en consideración</w:t>
      </w:r>
      <w:r w:rsidRPr="002927A1">
        <w:t xml:space="preserve"> el párrafo 11 del artículo 13, relativo al examen del mecanismo financiero</w:t>
      </w:r>
      <w:r w:rsidR="007A21BE" w:rsidRPr="002927A1">
        <w:rPr>
          <w:rStyle w:val="FootnoteReference"/>
        </w:rPr>
        <w:footnoteReference w:id="6"/>
      </w:r>
      <w:r w:rsidRPr="002927A1">
        <w:t>,</w:t>
      </w:r>
    </w:p>
    <w:p w14:paraId="5661030A" w14:textId="12577CE1" w:rsidR="00F5120B" w:rsidRPr="002927A1" w:rsidRDefault="00F5120B" w:rsidP="00F5120B">
      <w:pPr>
        <w:tabs>
          <w:tab w:val="left" w:pos="624"/>
        </w:tabs>
        <w:spacing w:after="120"/>
        <w:ind w:left="1247" w:firstLine="624"/>
        <w:rPr>
          <w:bCs/>
          <w:iCs/>
        </w:rPr>
      </w:pPr>
      <w:r w:rsidRPr="002927A1">
        <w:rPr>
          <w:bCs/>
          <w:iCs/>
        </w:rPr>
        <w:t>1.</w:t>
      </w:r>
      <w:r w:rsidRPr="002927A1">
        <w:rPr>
          <w:bCs/>
          <w:iCs/>
        </w:rPr>
        <w:tab/>
      </w:r>
      <w:r w:rsidRPr="002927A1">
        <w:rPr>
          <w:bCs/>
          <w:i/>
          <w:iCs/>
        </w:rPr>
        <w:t>Acoge con beneplácito</w:t>
      </w:r>
      <w:r w:rsidRPr="002927A1">
        <w:rPr>
          <w:bCs/>
          <w:iCs/>
        </w:rPr>
        <w:t xml:space="preserve"> la nota de la Secretaría sobre el primer examen del mecanismo financiero, a partir del cual la Conferencia de las Partes ha emprendido el examen previsto en el párrafo 11 del artículo 13; </w:t>
      </w:r>
    </w:p>
    <w:p w14:paraId="289B8FAE" w14:textId="62BE890C" w:rsidR="003F4DA7" w:rsidRPr="002927A1" w:rsidRDefault="00F5120B" w:rsidP="00F5120B">
      <w:pPr>
        <w:tabs>
          <w:tab w:val="left" w:pos="624"/>
        </w:tabs>
        <w:spacing w:after="120"/>
        <w:ind w:left="1247" w:firstLine="624"/>
        <w:rPr>
          <w:bCs/>
          <w:iCs/>
        </w:rPr>
      </w:pPr>
      <w:r w:rsidRPr="002927A1">
        <w:rPr>
          <w:bCs/>
          <w:iCs/>
        </w:rPr>
        <w:t>2.</w:t>
      </w:r>
      <w:r w:rsidRPr="002927A1">
        <w:rPr>
          <w:bCs/>
          <w:iCs/>
        </w:rPr>
        <w:tab/>
      </w:r>
      <w:r w:rsidRPr="002927A1">
        <w:rPr>
          <w:bCs/>
          <w:i/>
          <w:iCs/>
        </w:rPr>
        <w:t xml:space="preserve">Solicita </w:t>
      </w:r>
      <w:r w:rsidRPr="002927A1">
        <w:rPr>
          <w:bCs/>
          <w:iCs/>
        </w:rPr>
        <w:t>a la Secretaría que prepare el mandato del segundo examen para que la Conferencia de las Partes lo examine en su cuarta reunión</w:t>
      </w:r>
      <w:r w:rsidR="003F4DA7" w:rsidRPr="002927A1">
        <w:t xml:space="preserve">. </w:t>
      </w:r>
    </w:p>
    <w:p w14:paraId="28AE621B" w14:textId="77777777" w:rsidR="00A35F55" w:rsidRPr="002927A1" w:rsidRDefault="00A35F55" w:rsidP="00417FE2">
      <w:pPr>
        <w:pStyle w:val="Normal-pool"/>
        <w:rPr>
          <w:lang w:val="es-ES_tradnl"/>
        </w:rPr>
      </w:pPr>
      <w:bookmarkStart w:id="80" w:name="_Toc27124749"/>
      <w:r w:rsidRPr="002927A1">
        <w:rPr>
          <w:lang w:val="es-ES_tradnl"/>
        </w:rPr>
        <w:br w:type="page"/>
      </w:r>
    </w:p>
    <w:p w14:paraId="72E3C778" w14:textId="661F1418" w:rsidR="003F4DA7" w:rsidRPr="002752CA" w:rsidRDefault="00812254" w:rsidP="00546E2E">
      <w:pPr>
        <w:pStyle w:val="CH2"/>
        <w:rPr>
          <w:b w:val="0"/>
          <w:sz w:val="28"/>
          <w:szCs w:val="28"/>
          <w:lang w:val="es-ES_tradnl"/>
        </w:rPr>
      </w:pPr>
      <w:r w:rsidRPr="002752CA">
        <w:rPr>
          <w:bCs/>
          <w:sz w:val="28"/>
          <w:szCs w:val="28"/>
          <w:lang w:val="es-ES_tradnl"/>
        </w:rPr>
        <w:lastRenderedPageBreak/>
        <w:tab/>
      </w:r>
      <w:r w:rsidRPr="002752CA">
        <w:rPr>
          <w:bCs/>
          <w:sz w:val="28"/>
          <w:szCs w:val="28"/>
          <w:lang w:val="es-ES_tradnl"/>
        </w:rPr>
        <w:tab/>
      </w:r>
      <w:r w:rsidR="003F4DA7" w:rsidRPr="002752CA">
        <w:rPr>
          <w:bCs/>
          <w:sz w:val="28"/>
          <w:szCs w:val="28"/>
          <w:lang w:val="es-ES_tradnl"/>
        </w:rPr>
        <w:t>MC-3/8: Art</w:t>
      </w:r>
      <w:r w:rsidR="00487566" w:rsidRPr="002752CA">
        <w:rPr>
          <w:bCs/>
          <w:sz w:val="28"/>
          <w:szCs w:val="28"/>
          <w:lang w:val="es-ES_tradnl"/>
        </w:rPr>
        <w:t>ículo</w:t>
      </w:r>
      <w:r w:rsidR="003F4DA7" w:rsidRPr="002752CA">
        <w:rPr>
          <w:bCs/>
          <w:sz w:val="28"/>
          <w:szCs w:val="28"/>
          <w:lang w:val="es-ES_tradnl"/>
        </w:rPr>
        <w:t xml:space="preserve"> 14: </w:t>
      </w:r>
      <w:bookmarkEnd w:id="80"/>
      <w:r w:rsidR="00487566" w:rsidRPr="002752CA">
        <w:rPr>
          <w:bCs/>
          <w:sz w:val="28"/>
          <w:szCs w:val="28"/>
          <w:lang w:val="es-ES_tradnl"/>
        </w:rPr>
        <w:t>Creación de capacidad, asistencia técnica y transferencia de tecnología</w:t>
      </w:r>
    </w:p>
    <w:p w14:paraId="27684ED1" w14:textId="1EA4ED10" w:rsidR="003F4DA7" w:rsidRPr="002927A1" w:rsidRDefault="00487566" w:rsidP="0088695B">
      <w:pPr>
        <w:keepNext/>
        <w:keepLines/>
        <w:tabs>
          <w:tab w:val="clear" w:pos="1247"/>
          <w:tab w:val="clear" w:pos="1814"/>
          <w:tab w:val="clear" w:pos="2381"/>
          <w:tab w:val="clear" w:pos="2948"/>
          <w:tab w:val="clear" w:pos="3515"/>
          <w:tab w:val="left" w:pos="624"/>
        </w:tabs>
        <w:spacing w:after="120"/>
        <w:ind w:left="1247" w:firstLine="624"/>
        <w:rPr>
          <w:i/>
        </w:rPr>
      </w:pPr>
      <w:r w:rsidRPr="002927A1">
        <w:rPr>
          <w:i/>
        </w:rPr>
        <w:t>La Conferencia de las Partes</w:t>
      </w:r>
      <w:r w:rsidR="003F4DA7" w:rsidRPr="002927A1">
        <w:rPr>
          <w:i/>
        </w:rPr>
        <w:t>,</w:t>
      </w:r>
    </w:p>
    <w:p w14:paraId="67A46417" w14:textId="1928FC47" w:rsidR="003F4DA7" w:rsidRPr="002927A1" w:rsidRDefault="00487566" w:rsidP="0088695B">
      <w:pPr>
        <w:keepNext/>
        <w:keepLines/>
        <w:tabs>
          <w:tab w:val="clear" w:pos="1247"/>
          <w:tab w:val="clear" w:pos="1814"/>
          <w:tab w:val="clear" w:pos="2381"/>
          <w:tab w:val="clear" w:pos="2948"/>
          <w:tab w:val="clear" w:pos="3515"/>
          <w:tab w:val="left" w:pos="624"/>
        </w:tabs>
        <w:spacing w:after="120"/>
        <w:ind w:left="1247" w:firstLine="624"/>
      </w:pPr>
      <w:bookmarkStart w:id="81" w:name="_Hlk530301547"/>
      <w:r w:rsidRPr="002927A1">
        <w:rPr>
          <w:i/>
        </w:rPr>
        <w:t>Recordando</w:t>
      </w:r>
      <w:r w:rsidR="003F4DA7" w:rsidRPr="002927A1">
        <w:rPr>
          <w:iCs/>
        </w:rPr>
        <w:t xml:space="preserve"> </w:t>
      </w:r>
      <w:r w:rsidRPr="002927A1">
        <w:rPr>
          <w:iCs/>
        </w:rPr>
        <w:t>las</w:t>
      </w:r>
      <w:r w:rsidRPr="002927A1">
        <w:t xml:space="preserve"> d</w:t>
      </w:r>
      <w:r w:rsidR="003F4DA7" w:rsidRPr="002927A1">
        <w:t>ecisi</w:t>
      </w:r>
      <w:r w:rsidRPr="002927A1">
        <w:t>ones</w:t>
      </w:r>
      <w:r w:rsidR="003F4DA7" w:rsidRPr="002927A1">
        <w:t xml:space="preserve"> </w:t>
      </w:r>
      <w:bookmarkStart w:id="82" w:name="_Toc495572439"/>
      <w:r w:rsidR="003F4DA7" w:rsidRPr="002927A1">
        <w:t>MC-1/21</w:t>
      </w:r>
      <w:bookmarkEnd w:id="81"/>
      <w:r w:rsidR="003F4DA7" w:rsidRPr="002927A1">
        <w:t xml:space="preserve"> </w:t>
      </w:r>
      <w:r w:rsidRPr="002927A1">
        <w:t>y</w:t>
      </w:r>
      <w:r w:rsidR="003F4DA7" w:rsidRPr="002927A1">
        <w:t xml:space="preserve"> MC-2/11 </w:t>
      </w:r>
      <w:r w:rsidRPr="002927A1">
        <w:t>sobre creación de capacidad, asistencia técnica y transferencia de tecnología para el Convenio de Minamata sobre el Mercurio, en las que se reconoció que algunos de los centros regionales y subregionales existentes ya estaban ejecutando proyectos y actividades sobre cuestiones relacionadas con el mercurio</w:t>
      </w:r>
      <w:bookmarkEnd w:id="82"/>
      <w:r w:rsidR="003F4DA7" w:rsidRPr="002927A1">
        <w:t xml:space="preserve">, </w:t>
      </w:r>
    </w:p>
    <w:p w14:paraId="28A0C117" w14:textId="3AB164F9" w:rsidR="003F4DA7" w:rsidRPr="002927A1" w:rsidRDefault="00487566" w:rsidP="0088695B">
      <w:pPr>
        <w:keepNext/>
        <w:keepLines/>
        <w:tabs>
          <w:tab w:val="clear" w:pos="1247"/>
          <w:tab w:val="clear" w:pos="1814"/>
          <w:tab w:val="clear" w:pos="2381"/>
          <w:tab w:val="clear" w:pos="2948"/>
          <w:tab w:val="clear" w:pos="3515"/>
          <w:tab w:val="left" w:pos="624"/>
        </w:tabs>
        <w:spacing w:after="120"/>
        <w:ind w:left="1247" w:firstLine="624"/>
      </w:pPr>
      <w:r w:rsidRPr="002927A1">
        <w:rPr>
          <w:i/>
        </w:rPr>
        <w:t xml:space="preserve">Acogiendo con beneplácito </w:t>
      </w:r>
      <w:r w:rsidRPr="002927A1">
        <w:t>las presentaciones de la R</w:t>
      </w:r>
      <w:r w:rsidRPr="002927A1">
        <w:rPr>
          <w:color w:val="212529"/>
          <w:shd w:val="clear" w:color="auto" w:fill="F8F7F7"/>
        </w:rPr>
        <w:t>ed Intergubernamental de Químicos y Desechos para América Latina y el Caribe</w:t>
      </w:r>
      <w:r w:rsidR="003F4DA7" w:rsidRPr="002927A1">
        <w:t xml:space="preserve"> </w:t>
      </w:r>
      <w:r w:rsidRPr="002927A1">
        <w:t xml:space="preserve">y el Gobierno del </w:t>
      </w:r>
      <w:r w:rsidR="003F4DA7" w:rsidRPr="002927A1">
        <w:t>Jap</w:t>
      </w:r>
      <w:r w:rsidRPr="002927A1">
        <w:t>ó</w:t>
      </w:r>
      <w:r w:rsidR="003F4DA7" w:rsidRPr="002927A1">
        <w:t>n</w:t>
      </w:r>
      <w:r w:rsidRPr="002927A1">
        <w:t xml:space="preserve">, recogidas en la compilación de información </w:t>
      </w:r>
      <w:r w:rsidR="00CC6C74" w:rsidRPr="002927A1">
        <w:t xml:space="preserve">recibida de los arreglos </w:t>
      </w:r>
      <w:r w:rsidR="00FF7DB4" w:rsidRPr="002927A1">
        <w:t>regional</w:t>
      </w:r>
      <w:r w:rsidR="00CC6C74" w:rsidRPr="002927A1">
        <w:t>es</w:t>
      </w:r>
      <w:r w:rsidR="00DE0F13" w:rsidRPr="002927A1">
        <w:t>,</w:t>
      </w:r>
      <w:r w:rsidR="00FF7DB4" w:rsidRPr="002927A1">
        <w:t xml:space="preserve"> subregional</w:t>
      </w:r>
      <w:r w:rsidR="00CC6C74" w:rsidRPr="002927A1">
        <w:t>es</w:t>
      </w:r>
      <w:r w:rsidR="00FF7DB4" w:rsidRPr="002927A1">
        <w:t xml:space="preserve"> </w:t>
      </w:r>
      <w:r w:rsidR="00CC6C74" w:rsidRPr="002927A1">
        <w:t>y nac</w:t>
      </w:r>
      <w:r w:rsidR="00FF7DB4" w:rsidRPr="002927A1">
        <w:t xml:space="preserve">ional </w:t>
      </w:r>
      <w:r w:rsidR="00CC6C74" w:rsidRPr="002927A1">
        <w:t xml:space="preserve">existentes en relación con su creación de capacidad y asistencia técnica en apoyo al cumplimiento por las Partes de sus </w:t>
      </w:r>
      <w:r w:rsidR="00FF7DB4" w:rsidRPr="002927A1">
        <w:t>obliga</w:t>
      </w:r>
      <w:r w:rsidR="00CC6C74" w:rsidRPr="002927A1">
        <w:t>c</w:t>
      </w:r>
      <w:r w:rsidR="00FF7DB4" w:rsidRPr="002927A1">
        <w:t>ion</w:t>
      </w:r>
      <w:r w:rsidR="00CC6C74" w:rsidRPr="002927A1">
        <w:t>e</w:t>
      </w:r>
      <w:r w:rsidR="00FF7DB4" w:rsidRPr="002927A1">
        <w:t xml:space="preserve">s </w:t>
      </w:r>
      <w:r w:rsidR="00CC6C74" w:rsidRPr="002927A1">
        <w:t xml:space="preserve">en el marco del Convenio de </w:t>
      </w:r>
      <w:r w:rsidR="00FF7DB4" w:rsidRPr="002927A1">
        <w:t>Minamata</w:t>
      </w:r>
      <w:r w:rsidR="00FF7DB4" w:rsidRPr="002927A1">
        <w:rPr>
          <w:rStyle w:val="FootnoteReference"/>
        </w:rPr>
        <w:footnoteReference w:id="7"/>
      </w:r>
      <w:r w:rsidR="00CC6C74" w:rsidRPr="002927A1">
        <w:t>,</w:t>
      </w:r>
    </w:p>
    <w:p w14:paraId="3A1C5710" w14:textId="6DF6FD35" w:rsidR="003F4DA7" w:rsidRPr="002927A1" w:rsidRDefault="00402D7A" w:rsidP="00A524DB">
      <w:pPr>
        <w:keepNext/>
        <w:keepLines/>
        <w:numPr>
          <w:ilvl w:val="0"/>
          <w:numId w:val="14"/>
        </w:numPr>
        <w:tabs>
          <w:tab w:val="clear" w:pos="1247"/>
          <w:tab w:val="clear" w:pos="1814"/>
          <w:tab w:val="clear" w:pos="2381"/>
          <w:tab w:val="clear" w:pos="2948"/>
          <w:tab w:val="clear" w:pos="3515"/>
          <w:tab w:val="left" w:pos="624"/>
        </w:tabs>
        <w:spacing w:after="120"/>
        <w:ind w:left="1247" w:firstLine="624"/>
      </w:pPr>
      <w:r w:rsidRPr="002927A1">
        <w:rPr>
          <w:i/>
        </w:rPr>
        <w:t xml:space="preserve">Hace hincapié </w:t>
      </w:r>
      <w:r w:rsidRPr="002927A1">
        <w:t xml:space="preserve">en la pertinencia de utilizar, según corresponda, los arreglos </w:t>
      </w:r>
      <w:r w:rsidR="003F4DA7" w:rsidRPr="002927A1">
        <w:t>regional</w:t>
      </w:r>
      <w:r w:rsidRPr="002927A1">
        <w:t>es</w:t>
      </w:r>
      <w:r w:rsidR="003F4DA7" w:rsidRPr="002927A1">
        <w:t>, subregional</w:t>
      </w:r>
      <w:r w:rsidRPr="002927A1">
        <w:t>es</w:t>
      </w:r>
      <w:r w:rsidR="003F4DA7" w:rsidRPr="002927A1">
        <w:t xml:space="preserve"> </w:t>
      </w:r>
      <w:r w:rsidRPr="002927A1">
        <w:t>y nac</w:t>
      </w:r>
      <w:r w:rsidR="003F4DA7" w:rsidRPr="002927A1">
        <w:t>ional</w:t>
      </w:r>
      <w:r w:rsidRPr="002927A1">
        <w:t>es existentes</w:t>
      </w:r>
      <w:r w:rsidR="003F4DA7" w:rsidRPr="002927A1">
        <w:t xml:space="preserve">, </w:t>
      </w:r>
      <w:r w:rsidRPr="002927A1">
        <w:t xml:space="preserve">entre otros los centros </w:t>
      </w:r>
      <w:r w:rsidR="003F4DA7" w:rsidRPr="002927A1">
        <w:t>regional</w:t>
      </w:r>
      <w:r w:rsidRPr="002927A1">
        <w:t>es y</w:t>
      </w:r>
      <w:r w:rsidR="003F4DA7" w:rsidRPr="002927A1">
        <w:t xml:space="preserve"> subregional</w:t>
      </w:r>
      <w:r w:rsidRPr="002927A1">
        <w:t xml:space="preserve">es de los Convenios de </w:t>
      </w:r>
      <w:r w:rsidR="00487566" w:rsidRPr="002927A1">
        <w:rPr>
          <w:color w:val="212529"/>
          <w:shd w:val="clear" w:color="auto" w:fill="F8F7F7"/>
        </w:rPr>
        <w:t>Basilea sobre el Control de los Movimientos Transfronterizos de los Desechos Peligrosos y su Eliminación</w:t>
      </w:r>
      <w:r w:rsidR="00FA6A30" w:rsidRPr="002927A1">
        <w:rPr>
          <w:color w:val="212529"/>
          <w:shd w:val="clear" w:color="auto" w:fill="F8F7F7"/>
        </w:rPr>
        <w:t xml:space="preserve"> </w:t>
      </w:r>
      <w:r w:rsidR="00487566" w:rsidRPr="002927A1">
        <w:t>y Estocolmo sobre Contaminantes Orgánicos Persistentes</w:t>
      </w:r>
      <w:r w:rsidR="003F4DA7" w:rsidRPr="002927A1">
        <w:t xml:space="preserve">, </w:t>
      </w:r>
      <w:r w:rsidRPr="002927A1">
        <w:t>en la prestación de la creación de capacidad y la asistencia técnica, con arreglo al artículo 14 del Convenio</w:t>
      </w:r>
      <w:r w:rsidR="003F4DA7" w:rsidRPr="002927A1">
        <w:t>;</w:t>
      </w:r>
    </w:p>
    <w:p w14:paraId="6C44D421" w14:textId="53D4A381" w:rsidR="003F4DA7" w:rsidRPr="002927A1" w:rsidRDefault="003F4DA7" w:rsidP="00A524DB">
      <w:pPr>
        <w:keepNext/>
        <w:keepLines/>
        <w:numPr>
          <w:ilvl w:val="0"/>
          <w:numId w:val="14"/>
        </w:numPr>
        <w:tabs>
          <w:tab w:val="clear" w:pos="1247"/>
          <w:tab w:val="clear" w:pos="1814"/>
          <w:tab w:val="clear" w:pos="2381"/>
          <w:tab w:val="clear" w:pos="2948"/>
          <w:tab w:val="clear" w:pos="3515"/>
          <w:tab w:val="left" w:pos="624"/>
        </w:tabs>
        <w:spacing w:after="120"/>
        <w:ind w:left="1247" w:firstLine="624"/>
      </w:pPr>
      <w:r w:rsidRPr="002927A1">
        <w:rPr>
          <w:i/>
        </w:rPr>
        <w:t>T</w:t>
      </w:r>
      <w:r w:rsidR="003069DA" w:rsidRPr="002927A1">
        <w:rPr>
          <w:i/>
        </w:rPr>
        <w:t>oma en cuenta</w:t>
      </w:r>
      <w:r w:rsidRPr="002927A1">
        <w:t xml:space="preserve"> </w:t>
      </w:r>
      <w:r w:rsidR="003069DA" w:rsidRPr="002927A1">
        <w:t xml:space="preserve">la </w:t>
      </w:r>
      <w:r w:rsidRPr="002927A1">
        <w:t>informa</w:t>
      </w:r>
      <w:r w:rsidR="003069DA" w:rsidRPr="002927A1">
        <w:t>c</w:t>
      </w:r>
      <w:r w:rsidRPr="002927A1">
        <w:t>i</w:t>
      </w:r>
      <w:r w:rsidR="003069DA" w:rsidRPr="002927A1">
        <w:t>ó</w:t>
      </w:r>
      <w:r w:rsidRPr="002927A1">
        <w:t xml:space="preserve">n </w:t>
      </w:r>
      <w:r w:rsidR="001C653C" w:rsidRPr="002927A1">
        <w:t xml:space="preserve">reunida de conformidad con la </w:t>
      </w:r>
      <w:r w:rsidR="00FF7DB4" w:rsidRPr="002927A1">
        <w:t>d</w:t>
      </w:r>
      <w:r w:rsidRPr="002927A1">
        <w:t>ecisi</w:t>
      </w:r>
      <w:r w:rsidR="001C653C" w:rsidRPr="002927A1">
        <w:t>ó</w:t>
      </w:r>
      <w:r w:rsidRPr="002927A1">
        <w:t xml:space="preserve">n MC-2/11, </w:t>
      </w:r>
      <w:r w:rsidR="001C653C" w:rsidRPr="002927A1">
        <w:t>aguarda con interés cualesquiera nuevas informaciones futuras recibidas con arreglo al párrafo</w:t>
      </w:r>
      <w:r w:rsidRPr="002927A1">
        <w:t xml:space="preserve"> 3 </w:t>
      </w:r>
      <w:r w:rsidR="001C653C" w:rsidRPr="002927A1">
        <w:t>de la</w:t>
      </w:r>
      <w:r w:rsidR="00FA6A30" w:rsidRPr="002927A1">
        <w:t xml:space="preserve"> </w:t>
      </w:r>
      <w:r w:rsidR="00FF7DB4" w:rsidRPr="002927A1">
        <w:t>present</w:t>
      </w:r>
      <w:r w:rsidR="001C653C" w:rsidRPr="002927A1">
        <w:t>e</w:t>
      </w:r>
      <w:r w:rsidR="00FF7DB4" w:rsidRPr="002927A1">
        <w:t xml:space="preserve"> </w:t>
      </w:r>
      <w:r w:rsidRPr="002927A1">
        <w:t>decisi</w:t>
      </w:r>
      <w:r w:rsidR="001C653C" w:rsidRPr="002927A1">
        <w:t>ó</w:t>
      </w:r>
      <w:r w:rsidRPr="002927A1">
        <w:t xml:space="preserve">n, </w:t>
      </w:r>
      <w:r w:rsidR="001C653C" w:rsidRPr="002927A1">
        <w:t xml:space="preserve">y alienta a las Partes a que, con sujeción a sus respectivas capacidades, tomen esa información en consideración a la hora de realizar actividades de creación de capacidad y asistencia técnica con arreglo al </w:t>
      </w:r>
      <w:r w:rsidRPr="002927A1">
        <w:t>art</w:t>
      </w:r>
      <w:r w:rsidR="001C653C" w:rsidRPr="002927A1">
        <w:t>í</w:t>
      </w:r>
      <w:r w:rsidRPr="002927A1">
        <w:t>c</w:t>
      </w:r>
      <w:r w:rsidR="001C653C" w:rsidRPr="002927A1">
        <w:t>ulo</w:t>
      </w:r>
      <w:r w:rsidRPr="002927A1">
        <w:t xml:space="preserve"> 14;</w:t>
      </w:r>
    </w:p>
    <w:p w14:paraId="278AF598" w14:textId="4ACB7215" w:rsidR="003F4DA7" w:rsidRPr="002927A1" w:rsidRDefault="00315652" w:rsidP="00A524DB">
      <w:pPr>
        <w:keepNext/>
        <w:keepLines/>
        <w:numPr>
          <w:ilvl w:val="0"/>
          <w:numId w:val="14"/>
        </w:numPr>
        <w:tabs>
          <w:tab w:val="clear" w:pos="1247"/>
          <w:tab w:val="clear" w:pos="1814"/>
          <w:tab w:val="clear" w:pos="2381"/>
          <w:tab w:val="clear" w:pos="2948"/>
          <w:tab w:val="clear" w:pos="3515"/>
          <w:tab w:val="left" w:pos="624"/>
        </w:tabs>
        <w:spacing w:after="120"/>
        <w:ind w:left="1247" w:firstLine="624"/>
      </w:pPr>
      <w:r w:rsidRPr="002927A1">
        <w:rPr>
          <w:i/>
        </w:rPr>
        <w:t xml:space="preserve">Solicita </w:t>
      </w:r>
      <w:r w:rsidRPr="002927A1">
        <w:t>a la S</w:t>
      </w:r>
      <w:r w:rsidR="003F4DA7" w:rsidRPr="002927A1">
        <w:t>ecretar</w:t>
      </w:r>
      <w:r w:rsidRPr="002927A1">
        <w:t xml:space="preserve">ía del Convenio de </w:t>
      </w:r>
      <w:r w:rsidR="003F4DA7" w:rsidRPr="002927A1">
        <w:t xml:space="preserve">Minamata </w:t>
      </w:r>
      <w:r w:rsidRPr="002927A1">
        <w:t xml:space="preserve">que </w:t>
      </w:r>
      <w:r w:rsidR="003F4DA7" w:rsidRPr="002927A1">
        <w:t xml:space="preserve">compile </w:t>
      </w:r>
      <w:r w:rsidRPr="002927A1">
        <w:t xml:space="preserve">toda </w:t>
      </w:r>
      <w:r w:rsidR="003F4DA7" w:rsidRPr="002927A1">
        <w:t>informa</w:t>
      </w:r>
      <w:r w:rsidRPr="002927A1">
        <w:t>c</w:t>
      </w:r>
      <w:r w:rsidR="003F4DA7" w:rsidRPr="002927A1">
        <w:t>i</w:t>
      </w:r>
      <w:r w:rsidRPr="002927A1">
        <w:t>ó</w:t>
      </w:r>
      <w:r w:rsidR="003F4DA7" w:rsidRPr="002927A1">
        <w:t>n reci</w:t>
      </w:r>
      <w:r w:rsidRPr="002927A1">
        <w:t>bida de las P</w:t>
      </w:r>
      <w:r w:rsidR="003F4DA7" w:rsidRPr="002927A1">
        <w:t xml:space="preserve">artes, </w:t>
      </w:r>
      <w:r w:rsidRPr="002927A1">
        <w:t xml:space="preserve">los arreglos </w:t>
      </w:r>
      <w:r w:rsidR="003F4DA7" w:rsidRPr="002927A1">
        <w:t>regional</w:t>
      </w:r>
      <w:r w:rsidRPr="002927A1">
        <w:t>es</w:t>
      </w:r>
      <w:r w:rsidR="003F4DA7" w:rsidRPr="002927A1">
        <w:t>, subregional</w:t>
      </w:r>
      <w:r w:rsidRPr="002927A1">
        <w:t>es</w:t>
      </w:r>
      <w:r w:rsidR="003F4DA7" w:rsidRPr="002927A1">
        <w:t xml:space="preserve"> </w:t>
      </w:r>
      <w:r w:rsidRPr="002927A1">
        <w:t>y nac</w:t>
      </w:r>
      <w:r w:rsidR="003F4DA7" w:rsidRPr="002927A1">
        <w:t>ional</w:t>
      </w:r>
      <w:r w:rsidRPr="002927A1">
        <w:t xml:space="preserve">es existentes, entre otros los centros </w:t>
      </w:r>
      <w:r w:rsidR="003F4DA7" w:rsidRPr="002927A1">
        <w:t>regional</w:t>
      </w:r>
      <w:r w:rsidRPr="002927A1">
        <w:t>es</w:t>
      </w:r>
      <w:r w:rsidR="003F4DA7" w:rsidRPr="002927A1">
        <w:t xml:space="preserve"> </w:t>
      </w:r>
      <w:r w:rsidRPr="002927A1">
        <w:t>y</w:t>
      </w:r>
      <w:r w:rsidR="003F4DA7" w:rsidRPr="002927A1">
        <w:t xml:space="preserve"> subregional</w:t>
      </w:r>
      <w:r w:rsidRPr="002927A1">
        <w:t xml:space="preserve">es existentes de los Convenios de </w:t>
      </w:r>
      <w:r w:rsidR="003F4DA7" w:rsidRPr="002927A1">
        <w:t>Bas</w:t>
      </w:r>
      <w:r w:rsidRPr="002927A1">
        <w:t>i</w:t>
      </w:r>
      <w:r w:rsidR="003F4DA7" w:rsidRPr="002927A1">
        <w:t>l</w:t>
      </w:r>
      <w:r w:rsidRPr="002927A1">
        <w:t xml:space="preserve">ea y Estocolmo sobre sus actividades de creación de capacidad y técnica en apoyo al cumplimiento por las Partes de sus obligaciones en el marco del Convenio de </w:t>
      </w:r>
      <w:r w:rsidR="00A60CBD" w:rsidRPr="002927A1">
        <w:t>Minamata, y</w:t>
      </w:r>
      <w:r w:rsidRPr="002927A1">
        <w:t xml:space="preserve"> solicita también a la Secretaría que rinda informe al respecto a la </w:t>
      </w:r>
      <w:r w:rsidR="003F4DA7" w:rsidRPr="002927A1">
        <w:t>Conferenc</w:t>
      </w:r>
      <w:r w:rsidRPr="002927A1">
        <w:t>ia de las Partes en su cuarta reunión.</w:t>
      </w:r>
    </w:p>
    <w:p w14:paraId="408969D8" w14:textId="77777777" w:rsidR="00A35F55" w:rsidRPr="002927A1" w:rsidRDefault="00A35F55">
      <w:pPr>
        <w:tabs>
          <w:tab w:val="clear" w:pos="1247"/>
          <w:tab w:val="clear" w:pos="1814"/>
          <w:tab w:val="clear" w:pos="2381"/>
          <w:tab w:val="clear" w:pos="2948"/>
          <w:tab w:val="clear" w:pos="3515"/>
        </w:tabs>
        <w:rPr>
          <w:b/>
          <w:bCs/>
          <w:sz w:val="24"/>
          <w:szCs w:val="24"/>
        </w:rPr>
      </w:pPr>
      <w:bookmarkStart w:id="83" w:name="_Toc27124750"/>
      <w:r w:rsidRPr="002927A1">
        <w:rPr>
          <w:bCs/>
        </w:rPr>
        <w:br w:type="page"/>
      </w:r>
    </w:p>
    <w:p w14:paraId="18FC8896" w14:textId="22B68E97" w:rsidR="003F4DA7" w:rsidRPr="002752CA" w:rsidRDefault="00723EE5" w:rsidP="00812254">
      <w:pPr>
        <w:pStyle w:val="CH2"/>
        <w:ind w:left="1248"/>
        <w:rPr>
          <w:bCs/>
          <w:sz w:val="28"/>
          <w:szCs w:val="28"/>
          <w:lang w:val="es-ES_tradnl"/>
        </w:rPr>
      </w:pPr>
      <w:r w:rsidRPr="002927A1">
        <w:rPr>
          <w:bCs/>
          <w:lang w:val="es-ES_tradnl"/>
        </w:rPr>
        <w:lastRenderedPageBreak/>
        <w:tab/>
      </w:r>
      <w:r w:rsidR="00812254" w:rsidRPr="002752CA">
        <w:rPr>
          <w:bCs/>
          <w:sz w:val="28"/>
          <w:szCs w:val="28"/>
          <w:lang w:val="es-ES_tradnl"/>
        </w:rPr>
        <w:tab/>
      </w:r>
      <w:r w:rsidR="00812254" w:rsidRPr="002752CA">
        <w:rPr>
          <w:bCs/>
          <w:sz w:val="28"/>
          <w:szCs w:val="28"/>
          <w:lang w:val="es-ES_tradnl"/>
        </w:rPr>
        <w:tab/>
      </w:r>
      <w:r w:rsidR="003F4DA7" w:rsidRPr="002752CA">
        <w:rPr>
          <w:bCs/>
          <w:sz w:val="28"/>
          <w:szCs w:val="28"/>
          <w:lang w:val="es-ES_tradnl"/>
        </w:rPr>
        <w:t xml:space="preserve">MC-3/9: </w:t>
      </w:r>
      <w:r w:rsidR="00027B01" w:rsidRPr="002752CA">
        <w:rPr>
          <w:bCs/>
          <w:sz w:val="28"/>
          <w:szCs w:val="28"/>
          <w:lang w:val="es-ES_tradnl"/>
        </w:rPr>
        <w:t>Comité de Aplicación y Cumplimiento</w:t>
      </w:r>
      <w:r w:rsidR="00FF7DB4" w:rsidRPr="002752CA">
        <w:rPr>
          <w:bCs/>
          <w:sz w:val="28"/>
          <w:szCs w:val="28"/>
          <w:lang w:val="es-ES_tradnl"/>
        </w:rPr>
        <w:t xml:space="preserve">: </w:t>
      </w:r>
      <w:r w:rsidR="00027B01" w:rsidRPr="002752CA">
        <w:rPr>
          <w:bCs/>
          <w:sz w:val="28"/>
          <w:szCs w:val="28"/>
          <w:lang w:val="es-ES_tradnl"/>
        </w:rPr>
        <w:t xml:space="preserve">mandato y </w:t>
      </w:r>
      <w:bookmarkEnd w:id="83"/>
      <w:r w:rsidR="00027B01" w:rsidRPr="002752CA">
        <w:rPr>
          <w:bCs/>
          <w:sz w:val="28"/>
          <w:szCs w:val="28"/>
          <w:lang w:val="es-ES_tradnl"/>
        </w:rPr>
        <w:t xml:space="preserve">plantilla para las comunicaciones por escrito de las Partes con respecto a su propio cumplimiento </w:t>
      </w:r>
    </w:p>
    <w:p w14:paraId="43342A81" w14:textId="6EABEC3E" w:rsidR="009E6D38" w:rsidRPr="002927A1" w:rsidRDefault="009E6D38" w:rsidP="0088695B">
      <w:pPr>
        <w:keepNext/>
        <w:keepLines/>
        <w:tabs>
          <w:tab w:val="clear" w:pos="1247"/>
          <w:tab w:val="clear" w:pos="1814"/>
          <w:tab w:val="clear" w:pos="2381"/>
          <w:tab w:val="clear" w:pos="2948"/>
          <w:tab w:val="clear" w:pos="3515"/>
          <w:tab w:val="left" w:pos="624"/>
        </w:tabs>
        <w:spacing w:after="120"/>
        <w:ind w:left="1247" w:firstLine="624"/>
        <w:rPr>
          <w:rFonts w:eastAsia="SimSun"/>
          <w:i/>
        </w:rPr>
      </w:pPr>
      <w:r w:rsidRPr="002927A1">
        <w:rPr>
          <w:i/>
        </w:rPr>
        <w:t>La C</w:t>
      </w:r>
      <w:r w:rsidRPr="002752CA">
        <w:rPr>
          <w:i/>
        </w:rPr>
        <w:t>on</w:t>
      </w:r>
      <w:r w:rsidRPr="002927A1">
        <w:rPr>
          <w:i/>
        </w:rPr>
        <w:t>feren</w:t>
      </w:r>
      <w:r w:rsidRPr="002927A1">
        <w:rPr>
          <w:b/>
          <w:i/>
        </w:rPr>
        <w:t>c</w:t>
      </w:r>
      <w:r w:rsidRPr="002927A1">
        <w:rPr>
          <w:i/>
        </w:rPr>
        <w:t>ia de las Partes</w:t>
      </w:r>
      <w:r w:rsidR="007D21EB" w:rsidRPr="002927A1">
        <w:rPr>
          <w:i/>
        </w:rPr>
        <w:t>,</w:t>
      </w:r>
    </w:p>
    <w:p w14:paraId="434F7652" w14:textId="77777777" w:rsidR="009E6D38" w:rsidRPr="002927A1" w:rsidRDefault="009E6D38" w:rsidP="0088695B">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Reco</w:t>
      </w:r>
      <w:r w:rsidRPr="002927A1">
        <w:rPr>
          <w:i/>
        </w:rPr>
        <w:t>r</w:t>
      </w:r>
      <w:r w:rsidRPr="002927A1">
        <w:rPr>
          <w:i/>
          <w:iCs/>
        </w:rPr>
        <w:t>dando</w:t>
      </w:r>
      <w:r w:rsidRPr="002927A1">
        <w:t xml:space="preserve"> el párrafo 5 del </w:t>
      </w:r>
      <w:r w:rsidRPr="002927A1">
        <w:rPr>
          <w:iCs/>
        </w:rPr>
        <w:t>artículo 15</w:t>
      </w:r>
      <w:r w:rsidRPr="002927A1">
        <w:t xml:space="preserve"> del Convenio de Minamata sobre el Mercurio,</w:t>
      </w:r>
    </w:p>
    <w:p w14:paraId="5A7B115D" w14:textId="053C9684" w:rsidR="009E6D38" w:rsidRPr="002927A1" w:rsidRDefault="009E6D38" w:rsidP="0088695B">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Habiendo examinado</w:t>
      </w:r>
      <w:r w:rsidRPr="002927A1">
        <w:t xml:space="preserve"> el informe sobre la labor del Comité de Aplicación y Cumplimiento del Convenio</w:t>
      </w:r>
      <w:r w:rsidR="000D54A5" w:rsidRPr="002927A1">
        <w:rPr>
          <w:rStyle w:val="FootnoteReference"/>
        </w:rPr>
        <w:footnoteReference w:id="8"/>
      </w:r>
      <w:r w:rsidRPr="002927A1">
        <w:t>,</w:t>
      </w:r>
    </w:p>
    <w:p w14:paraId="3E55F401" w14:textId="77777777" w:rsidR="009E6D38" w:rsidRPr="002927A1" w:rsidRDefault="009E6D38" w:rsidP="0088695B">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Observando con apr</w:t>
      </w:r>
      <w:r w:rsidRPr="002927A1">
        <w:rPr>
          <w:i/>
        </w:rPr>
        <w:t>e</w:t>
      </w:r>
      <w:r w:rsidRPr="002927A1">
        <w:rPr>
          <w:i/>
          <w:iCs/>
        </w:rPr>
        <w:t xml:space="preserve">cio </w:t>
      </w:r>
      <w:r w:rsidRPr="002927A1">
        <w:t>la labor realizada por el Comité de Aplicación y Cumplimiento,</w:t>
      </w:r>
    </w:p>
    <w:p w14:paraId="6342622B" w14:textId="39084C9F" w:rsidR="00812254" w:rsidRPr="002927A1" w:rsidRDefault="009E6D38" w:rsidP="0088695B">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Decide</w:t>
      </w:r>
      <w:r w:rsidRPr="002927A1">
        <w:t xml:space="preserve"> aprobar el mandato </w:t>
      </w:r>
      <w:r w:rsidRPr="002927A1">
        <w:rPr>
          <w:iCs/>
        </w:rPr>
        <w:t>del Comité de Aplicación y Cumplimiento que figura en el anexo I de la presente decisión, y aprobar la plantilla</w:t>
      </w:r>
      <w:r w:rsidRPr="002927A1">
        <w:t xml:space="preserve"> para las comunicaciones por escrito de las Partes en relación con su propio cumplimiento figura en el anexo II de la presente decisión</w:t>
      </w:r>
      <w:r w:rsidR="003F4DA7" w:rsidRPr="002927A1">
        <w:rPr>
          <w:rFonts w:eastAsia="SimSun"/>
        </w:rPr>
        <w:t>.</w:t>
      </w:r>
    </w:p>
    <w:p w14:paraId="3ED87F26" w14:textId="67155300" w:rsidR="00A35F55" w:rsidRPr="00CC06FE" w:rsidRDefault="00812254" w:rsidP="00417FE2">
      <w:pPr>
        <w:pStyle w:val="CH1"/>
        <w:rPr>
          <w:iCs/>
          <w:lang w:val="es-ES_tradnl"/>
        </w:rPr>
      </w:pPr>
      <w:r w:rsidRPr="002927A1">
        <w:rPr>
          <w:rFonts w:eastAsia="SimSun"/>
          <w:lang w:val="es-ES_tradnl"/>
        </w:rPr>
        <w:tab/>
      </w:r>
      <w:r w:rsidRPr="002927A1">
        <w:rPr>
          <w:rFonts w:eastAsia="SimSun"/>
          <w:lang w:val="es-ES_tradnl"/>
        </w:rPr>
        <w:tab/>
      </w:r>
      <w:r w:rsidR="00FF7DB4" w:rsidRPr="002927A1">
        <w:rPr>
          <w:rFonts w:eastAsia="SimSun"/>
          <w:lang w:val="es-ES_tradnl"/>
        </w:rPr>
        <w:t>Anex</w:t>
      </w:r>
      <w:r w:rsidR="00027B01" w:rsidRPr="002927A1">
        <w:rPr>
          <w:rFonts w:eastAsia="SimSun"/>
          <w:lang w:val="es-ES_tradnl"/>
        </w:rPr>
        <w:t>o</w:t>
      </w:r>
      <w:r w:rsidR="00FF7DB4" w:rsidRPr="002927A1">
        <w:rPr>
          <w:rFonts w:eastAsia="SimSun"/>
          <w:lang w:val="es-ES_tradnl"/>
        </w:rPr>
        <w:t xml:space="preserve"> I </w:t>
      </w:r>
      <w:r w:rsidR="00027B01" w:rsidRPr="002927A1">
        <w:rPr>
          <w:rFonts w:eastAsia="SimSun"/>
          <w:lang w:val="es-ES_tradnl"/>
        </w:rPr>
        <w:t xml:space="preserve">de la </w:t>
      </w:r>
      <w:r w:rsidR="00FF7DB4" w:rsidRPr="002927A1">
        <w:rPr>
          <w:rFonts w:eastAsia="SimSun"/>
          <w:lang w:val="es-ES_tradnl"/>
        </w:rPr>
        <w:t>decisi</w:t>
      </w:r>
      <w:r w:rsidR="00027B01" w:rsidRPr="002927A1">
        <w:rPr>
          <w:rFonts w:eastAsia="SimSun"/>
          <w:lang w:val="es-ES_tradnl"/>
        </w:rPr>
        <w:t>ó</w:t>
      </w:r>
      <w:r w:rsidR="00FF7DB4" w:rsidRPr="002927A1">
        <w:rPr>
          <w:rFonts w:eastAsia="SimSun"/>
          <w:lang w:val="es-ES_tradnl"/>
        </w:rPr>
        <w:t>n MC-3/9</w:t>
      </w:r>
    </w:p>
    <w:p w14:paraId="1E3A7906" w14:textId="274823F4" w:rsidR="00A35F55" w:rsidRPr="002927A1" w:rsidRDefault="00812254" w:rsidP="004E0AB7">
      <w:pPr>
        <w:pStyle w:val="CH2"/>
        <w:rPr>
          <w:rFonts w:eastAsia="SimSun"/>
          <w:lang w:val="es-ES_tradnl"/>
        </w:rPr>
      </w:pPr>
      <w:bookmarkStart w:id="84" w:name="_Hlk15892544"/>
      <w:r w:rsidRPr="002927A1">
        <w:rPr>
          <w:lang w:val="es-ES_tradnl"/>
        </w:rPr>
        <w:tab/>
      </w:r>
      <w:r w:rsidRPr="002927A1">
        <w:rPr>
          <w:lang w:val="es-ES_tradnl"/>
        </w:rPr>
        <w:tab/>
      </w:r>
      <w:r w:rsidR="00027B01" w:rsidRPr="002927A1">
        <w:rPr>
          <w:lang w:val="es-ES_tradnl"/>
        </w:rPr>
        <w:t xml:space="preserve">Mandato del </w:t>
      </w:r>
      <w:r w:rsidR="00027B01" w:rsidRPr="002927A1">
        <w:rPr>
          <w:bCs/>
          <w:lang w:val="es-ES_tradnl"/>
        </w:rPr>
        <w:t>Comité de Aplicación y Cumplimiento</w:t>
      </w:r>
      <w:r w:rsidR="00027B01" w:rsidRPr="002927A1">
        <w:rPr>
          <w:rFonts w:eastAsia="SimSun"/>
          <w:lang w:val="es-ES_tradnl"/>
        </w:rPr>
        <w:t xml:space="preserve"> del Convenio de</w:t>
      </w:r>
      <w:r w:rsidR="00FA6A30" w:rsidRPr="002927A1">
        <w:rPr>
          <w:rFonts w:eastAsia="SimSun"/>
          <w:lang w:val="es-ES_tradnl"/>
        </w:rPr>
        <w:t xml:space="preserve"> </w:t>
      </w:r>
      <w:r w:rsidR="00A35F55" w:rsidRPr="002927A1">
        <w:rPr>
          <w:rFonts w:eastAsia="SimSun"/>
          <w:lang w:val="es-ES_tradnl"/>
        </w:rPr>
        <w:t xml:space="preserve">Minamata </w:t>
      </w:r>
      <w:r w:rsidR="00027B01" w:rsidRPr="002927A1">
        <w:rPr>
          <w:rFonts w:eastAsia="SimSun"/>
          <w:lang w:val="es-ES_tradnl"/>
        </w:rPr>
        <w:t xml:space="preserve">sobre el </w:t>
      </w:r>
      <w:r w:rsidR="00A35F55" w:rsidRPr="002927A1">
        <w:rPr>
          <w:rFonts w:eastAsia="SimSun"/>
          <w:lang w:val="es-ES_tradnl"/>
        </w:rPr>
        <w:t>Mercur</w:t>
      </w:r>
      <w:r w:rsidR="00027B01" w:rsidRPr="002927A1">
        <w:rPr>
          <w:rFonts w:eastAsia="SimSun"/>
          <w:lang w:val="es-ES_tradnl"/>
        </w:rPr>
        <w:t>io</w:t>
      </w:r>
      <w:r w:rsidR="00A35F55" w:rsidRPr="002927A1">
        <w:rPr>
          <w:rFonts w:eastAsia="SimSun"/>
          <w:lang w:val="es-ES_tradnl"/>
        </w:rPr>
        <w:t xml:space="preserve"> </w:t>
      </w:r>
    </w:p>
    <w:bookmarkEnd w:id="84"/>
    <w:p w14:paraId="44419F37" w14:textId="42743641" w:rsidR="00A35F55" w:rsidRPr="002927A1" w:rsidRDefault="0088695B" w:rsidP="00A35F55">
      <w:pPr>
        <w:pStyle w:val="CH1"/>
        <w:rPr>
          <w:lang w:val="es-ES_tradnl"/>
        </w:rPr>
      </w:pPr>
      <w:r w:rsidRPr="002927A1">
        <w:rPr>
          <w:lang w:val="es-ES_tradnl"/>
        </w:rPr>
        <w:tab/>
      </w:r>
      <w:r w:rsidR="009E6D38" w:rsidRPr="002927A1">
        <w:rPr>
          <w:lang w:val="es-ES_tradnl"/>
        </w:rPr>
        <w:t>I.</w:t>
      </w:r>
      <w:r w:rsidR="009E6D38" w:rsidRPr="002927A1">
        <w:rPr>
          <w:lang w:val="es-ES_tradnl"/>
        </w:rPr>
        <w:tab/>
      </w:r>
      <w:r w:rsidR="009E6D38" w:rsidRPr="002927A1">
        <w:rPr>
          <w:bCs/>
          <w:lang w:val="es-ES_tradnl"/>
        </w:rPr>
        <w:t>Preámbulo</w:t>
      </w:r>
    </w:p>
    <w:p w14:paraId="5447357C" w14:textId="6BFF1B0E"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El mandato del Comité de Aplicación y Cumplimiento del Convenio de Minamata sobre el Mercurio deberá leerse conjuntamente con las disposiciones del Convenio y el reglamento del Comité.</w:t>
      </w:r>
      <w:r w:rsidR="00CC06FE">
        <w:rPr>
          <w:lang w:val="es-ES_tradnl"/>
        </w:rPr>
        <w:t> </w:t>
      </w:r>
      <w:r w:rsidRPr="002927A1">
        <w:rPr>
          <w:lang w:val="es-ES_tradnl"/>
        </w:rPr>
        <w:t>En caso de existir cualquier discrepancia entre las disposiciones del presente mandato y las</w:t>
      </w:r>
      <w:r w:rsidR="00CC06FE">
        <w:rPr>
          <w:lang w:val="es-ES_tradnl"/>
        </w:rPr>
        <w:t> </w:t>
      </w:r>
      <w:r w:rsidRPr="002927A1">
        <w:rPr>
          <w:lang w:val="es-ES_tradnl"/>
        </w:rPr>
        <w:t>del Convenio, prevalecerá lo dispuesto en el Convenio.</w:t>
      </w:r>
    </w:p>
    <w:p w14:paraId="4ADBBFEC" w14:textId="77777777"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Cualquier recomendación del Comité debe ser examinada por la Parte de que se trate o la Conferencia de las Partes, según proceda.</w:t>
      </w:r>
    </w:p>
    <w:p w14:paraId="304181B2" w14:textId="6B5E8D75" w:rsidR="00A35F55"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Los miembros del Comité obrarán objetivamente y en el mejor interés del Convenio</w:t>
      </w:r>
      <w:r w:rsidR="00A35F55" w:rsidRPr="002927A1">
        <w:rPr>
          <w:lang w:val="es-ES_tradnl"/>
        </w:rPr>
        <w:t>.</w:t>
      </w:r>
    </w:p>
    <w:p w14:paraId="5C194A67" w14:textId="7F522C28" w:rsidR="00A35F55" w:rsidRPr="002927A1" w:rsidRDefault="0088695B" w:rsidP="00A35F55">
      <w:pPr>
        <w:pStyle w:val="CH1"/>
        <w:rPr>
          <w:sz w:val="24"/>
          <w:lang w:val="es-ES_tradnl"/>
        </w:rPr>
      </w:pPr>
      <w:r w:rsidRPr="002927A1">
        <w:rPr>
          <w:lang w:val="es-ES_tradnl"/>
        </w:rPr>
        <w:tab/>
      </w:r>
      <w:r w:rsidR="00A35F55" w:rsidRPr="002927A1">
        <w:rPr>
          <w:lang w:val="es-ES_tradnl"/>
        </w:rPr>
        <w:t>II.</w:t>
      </w:r>
      <w:r w:rsidR="00A35F55" w:rsidRPr="002927A1">
        <w:rPr>
          <w:lang w:val="es-ES_tradnl"/>
        </w:rPr>
        <w:tab/>
      </w:r>
      <w:r w:rsidR="009E6D38" w:rsidRPr="002927A1">
        <w:rPr>
          <w:bCs/>
          <w:lang w:val="es-ES_tradnl"/>
        </w:rPr>
        <w:t>Alcance y objetivo</w:t>
      </w:r>
    </w:p>
    <w:p w14:paraId="717A69E3" w14:textId="77777777"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 xml:space="preserve">El objetivo del Comité es promover la aplicación del Convenio y examinar el cumplimiento de todas sus disposiciones. </w:t>
      </w:r>
    </w:p>
    <w:p w14:paraId="003D2600" w14:textId="77777777"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El Comité tendrá un carácter facilitador y prestará especial atención a las capacidades y circunstancias nacionales de cada una de las Partes.</w:t>
      </w:r>
    </w:p>
    <w:p w14:paraId="36DF0132" w14:textId="44E77D48" w:rsidR="00A35F55"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El Comité examinará las dificultades individuales y sistémicas relacionadas con la aplicación y el cumplimiento, y formulará recomendaciones, según proceda, a la Conferencia de las Partes</w:t>
      </w:r>
      <w:r w:rsidR="00A35F55" w:rsidRPr="002927A1">
        <w:rPr>
          <w:lang w:val="es-ES_tradnl"/>
        </w:rPr>
        <w:t xml:space="preserve">. </w:t>
      </w:r>
    </w:p>
    <w:p w14:paraId="243D9D67" w14:textId="0E7504DA" w:rsidR="00A35F55" w:rsidRPr="002927A1" w:rsidRDefault="0088695B" w:rsidP="00A35F55">
      <w:pPr>
        <w:pStyle w:val="CH1"/>
        <w:rPr>
          <w:lang w:val="es-ES_tradnl"/>
        </w:rPr>
      </w:pPr>
      <w:bookmarkStart w:id="85" w:name="_Hlk6956259"/>
      <w:r w:rsidRPr="002927A1">
        <w:rPr>
          <w:lang w:val="es-ES_tradnl"/>
        </w:rPr>
        <w:tab/>
      </w:r>
      <w:r w:rsidR="009E6D38" w:rsidRPr="002927A1">
        <w:rPr>
          <w:lang w:val="es-ES_tradnl"/>
        </w:rPr>
        <w:t>III.</w:t>
      </w:r>
      <w:r w:rsidR="009E6D38" w:rsidRPr="002927A1">
        <w:rPr>
          <w:lang w:val="es-ES_tradnl"/>
        </w:rPr>
        <w:tab/>
        <w:t>Func</w:t>
      </w:r>
      <w:r w:rsidR="00A35F55" w:rsidRPr="002927A1">
        <w:rPr>
          <w:lang w:val="es-ES_tradnl"/>
        </w:rPr>
        <w:t>ion</w:t>
      </w:r>
      <w:r w:rsidR="009E6D38" w:rsidRPr="002927A1">
        <w:rPr>
          <w:lang w:val="es-ES_tradnl"/>
        </w:rPr>
        <w:t>e</w:t>
      </w:r>
      <w:r w:rsidR="00A35F55" w:rsidRPr="002927A1">
        <w:rPr>
          <w:lang w:val="es-ES_tradnl"/>
        </w:rPr>
        <w:t xml:space="preserve">s </w:t>
      </w:r>
      <w:r w:rsidR="009E6D38" w:rsidRPr="002927A1">
        <w:rPr>
          <w:lang w:val="es-ES_tradnl"/>
        </w:rPr>
        <w:t xml:space="preserve">del </w:t>
      </w:r>
      <w:r w:rsidR="00A35F55" w:rsidRPr="002927A1">
        <w:rPr>
          <w:lang w:val="es-ES_tradnl"/>
        </w:rPr>
        <w:t>Comit</w:t>
      </w:r>
      <w:r w:rsidR="009E6D38" w:rsidRPr="002927A1">
        <w:rPr>
          <w:lang w:val="es-ES_tradnl"/>
        </w:rPr>
        <w:t>é</w:t>
      </w:r>
    </w:p>
    <w:bookmarkEnd w:id="85"/>
    <w:p w14:paraId="6ACC41C5" w14:textId="2B9C94EF" w:rsidR="00A35F55" w:rsidRPr="002927A1" w:rsidRDefault="00A35F55" w:rsidP="00A35F55">
      <w:pPr>
        <w:pStyle w:val="CH2"/>
        <w:rPr>
          <w:lang w:val="es-ES_tradnl"/>
        </w:rPr>
      </w:pPr>
      <w:r w:rsidRPr="002927A1">
        <w:rPr>
          <w:lang w:val="es-ES_tradnl"/>
        </w:rPr>
        <w:tab/>
      </w:r>
      <w:r w:rsidR="009E6D38" w:rsidRPr="002927A1">
        <w:rPr>
          <w:lang w:val="es-ES_tradnl"/>
        </w:rPr>
        <w:t>A.</w:t>
      </w:r>
      <w:r w:rsidR="009E6D38" w:rsidRPr="002927A1">
        <w:rPr>
          <w:lang w:val="es-ES_tradnl"/>
        </w:rPr>
        <w:tab/>
      </w:r>
      <w:r w:rsidR="009E6D38" w:rsidRPr="002927A1">
        <w:rPr>
          <w:bCs/>
          <w:lang w:val="es-ES_tradnl"/>
        </w:rPr>
        <w:t>Examinar cualquier comunicación escrita de una Parte en relación con su propio cumplimiento de conformidad con el párrafo 4 a) del artículo 15</w:t>
      </w:r>
    </w:p>
    <w:p w14:paraId="39041C1A" w14:textId="0ADE5FD0" w:rsidR="00A35F55"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 xml:space="preserve">El Comité examinará cualquier comunicación presentada por escrito por cualquier Parte en relación con su propio cumplimiento de conformidad con el párrafo 4 a) del artículo 15, con miras a evaluar los hechos y las causas fundamentales de la cuestión que ha suscitado preocupación y ayudar a su resolución de manera facilitadora y prestando especial atención a las respectivas circunstancias y capacidades nacionales de dicha Parte. Los documentos remitidos por escrito por cualquier Parte en relación con su propio cumplimiento se remitirán al Comité, por conducto de la Secretaría, en uno de los seis idiomas oficiales de las </w:t>
      </w:r>
      <w:r w:rsidR="0034570C" w:rsidRPr="002927A1">
        <w:rPr>
          <w:lang w:val="es-ES_tradnl"/>
        </w:rPr>
        <w:t>Naciones Unidas</w:t>
      </w:r>
      <w:r w:rsidRPr="002927A1">
        <w:rPr>
          <w:lang w:val="es-ES_tradnl"/>
        </w:rPr>
        <w:t xml:space="preserve"> y, de preferencia, por medios electrónicos, y en ellos se indicará</w:t>
      </w:r>
      <w:r w:rsidR="00A35F55" w:rsidRPr="002927A1">
        <w:rPr>
          <w:lang w:val="es-ES_tradnl"/>
        </w:rPr>
        <w:t>:</w:t>
      </w:r>
    </w:p>
    <w:p w14:paraId="6DB6DCE5" w14:textId="79EEFCF3" w:rsidR="00A35F55" w:rsidRPr="002927A1" w:rsidRDefault="009E6D38" w:rsidP="00A524DB">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bookmarkStart w:id="86" w:name="_Hlk7762842"/>
      <w:r w:rsidRPr="002927A1">
        <w:rPr>
          <w:lang w:val="es-ES_tradnl"/>
        </w:rPr>
        <w:t>El nombre y los datos de contacto del coordinador nacional u otra autoridad pertinente de la Parte que transmite la comunicación relacionada con su propio cumplimiento</w:t>
      </w:r>
      <w:r w:rsidR="00A35F55" w:rsidRPr="002927A1">
        <w:rPr>
          <w:lang w:val="es-ES_tradnl"/>
        </w:rPr>
        <w:t>;</w:t>
      </w:r>
    </w:p>
    <w:p w14:paraId="06C10536" w14:textId="77777777" w:rsidR="009E6D38" w:rsidRPr="002927A1" w:rsidRDefault="009E6D38" w:rsidP="00A524DB">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lastRenderedPageBreak/>
        <w:t>Los antecedentes y la descripción de la cuestión que ha suscitado preocupación y las circunstancias y capacidades nacionales de la Parte;</w:t>
      </w:r>
    </w:p>
    <w:p w14:paraId="35F19C65" w14:textId="77777777" w:rsidR="009E6D38" w:rsidRPr="002927A1" w:rsidRDefault="009E6D38" w:rsidP="00A524DB">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Las disposiciones pertinentes del Convenio;</w:t>
      </w:r>
    </w:p>
    <w:p w14:paraId="110995E0" w14:textId="77777777" w:rsidR="009E6D38" w:rsidRPr="002927A1" w:rsidRDefault="009E6D38" w:rsidP="00A524DB">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Información sobre las medidas adoptadas o en curso de adopción para resolver el asunto que haya suscitado preocupación; </w:t>
      </w:r>
    </w:p>
    <w:p w14:paraId="14E0113C" w14:textId="640CA713" w:rsidR="00A35F55" w:rsidRPr="002927A1" w:rsidRDefault="009E6D38" w:rsidP="00A524DB">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Toda solicitud relativa a información confidencial o protegida</w:t>
      </w:r>
      <w:r w:rsidR="00A35F55" w:rsidRPr="002927A1">
        <w:rPr>
          <w:color w:val="000000"/>
          <w:lang w:val="es-ES_tradnl"/>
        </w:rPr>
        <w:t xml:space="preserve">. </w:t>
      </w:r>
    </w:p>
    <w:bookmarkEnd w:id="86"/>
    <w:p w14:paraId="5CABEE0B" w14:textId="11C5B777"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 xml:space="preserve">Las comunicaciones presentadas por escrito no deberán exceder las cinco páginas. El Comité podrá solicitar información complementaria, de ser necesario. La Parte </w:t>
      </w:r>
      <w:r w:rsidR="00E258C9" w:rsidRPr="002927A1">
        <w:rPr>
          <w:lang w:val="es-ES_tradnl"/>
        </w:rPr>
        <w:t>de que se trate</w:t>
      </w:r>
      <w:r w:rsidRPr="002927A1">
        <w:rPr>
          <w:lang w:val="es-ES_tradnl"/>
        </w:rPr>
        <w:t xml:space="preserve"> podrá presentar, por conducto de la Secretaría, toda información complementaria a la atención del Comité dentro de las dos semanas siguientes a la recepción de la solicitud del Comité. En caso de que la información complementaria sea presentada en uno de los idiomas oficiales de las </w:t>
      </w:r>
      <w:r w:rsidR="0034570C" w:rsidRPr="002927A1">
        <w:rPr>
          <w:lang w:val="es-ES_tradnl"/>
        </w:rPr>
        <w:t>Naciones Unidas</w:t>
      </w:r>
      <w:r w:rsidRPr="002927A1">
        <w:rPr>
          <w:lang w:val="es-ES_tradnl"/>
        </w:rPr>
        <w:t xml:space="preserve"> distintos del inglés y no pueda ser traducida antes de la reunión en la que será examinada, la información puede presentarse en la reunión, en cuyo caso podrá interpretarse al inglés, de conformidad con lo dispuesto en el artículo 39 del reglamento del Comité.</w:t>
      </w:r>
      <w:bookmarkStart w:id="87" w:name="_Hlk19193486"/>
      <w:bookmarkStart w:id="88" w:name="_Hlk19193637"/>
      <w:bookmarkStart w:id="89" w:name="_Hlk19193847"/>
      <w:bookmarkEnd w:id="87"/>
      <w:bookmarkEnd w:id="88"/>
      <w:bookmarkEnd w:id="89"/>
    </w:p>
    <w:p w14:paraId="4AD811A2" w14:textId="77777777"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 xml:space="preserve">La Parte de que se trate podrá presentar también información pertinente adicional por iniciativa propia, al menos cinco semanas antes de la apertura de la reunión en la que se ha de examinar su comunicación. Esa información adicional debería incluir un resumen en inglés de un máximo de dos páginas. </w:t>
      </w:r>
    </w:p>
    <w:p w14:paraId="5E29546F" w14:textId="77777777" w:rsidR="009E6D38" w:rsidRPr="002927A1" w:rsidRDefault="009E6D38" w:rsidP="00A524DB">
      <w:pPr>
        <w:pStyle w:val="Normal-pool"/>
        <w:numPr>
          <w:ilvl w:val="0"/>
          <w:numId w:val="59"/>
        </w:numPr>
        <w:tabs>
          <w:tab w:val="clear" w:pos="4082"/>
        </w:tabs>
        <w:spacing w:after="120"/>
        <w:ind w:left="1247" w:firstLine="0"/>
        <w:rPr>
          <w:lang w:val="es-ES_tradnl"/>
        </w:rPr>
      </w:pPr>
      <w:r w:rsidRPr="002927A1">
        <w:rPr>
          <w:lang w:val="es-ES_tradnl"/>
        </w:rPr>
        <w:t xml:space="preserve">El Comité podrá decidir no dar curso a un documento que considere </w:t>
      </w:r>
      <w:r w:rsidRPr="002927A1">
        <w:rPr>
          <w:i/>
          <w:lang w:val="es-ES_tradnl"/>
        </w:rPr>
        <w:t>de minimis</w:t>
      </w:r>
      <w:r w:rsidRPr="002927A1">
        <w:rPr>
          <w:lang w:val="es-ES_tradnl"/>
        </w:rPr>
        <w:t xml:space="preserve"> o evidentemente infundado.</w:t>
      </w:r>
    </w:p>
    <w:p w14:paraId="187B5C55" w14:textId="72990555" w:rsidR="00A35F55"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El Comité podrá proporcionar a la Parte de que se trate, tras la celebración de consultas con esa Parte, el resultado de su examen, recomendaciones u otras informaciones pertinentes relativas a la cuestión que se examina en relación con</w:t>
      </w:r>
      <w:r w:rsidR="00A35F55" w:rsidRPr="002927A1">
        <w:rPr>
          <w:lang w:val="es-ES_tradnl"/>
        </w:rPr>
        <w:t>:</w:t>
      </w:r>
    </w:p>
    <w:p w14:paraId="695DAF5B" w14:textId="77777777" w:rsidR="009E6D38" w:rsidRPr="002927A1" w:rsidRDefault="009E6D38" w:rsidP="00A524D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El establecimiento o fortalecimiento de sus regímenes reglamentarios nacionales o regionales;</w:t>
      </w:r>
    </w:p>
    <w:p w14:paraId="4A1D312A" w14:textId="77777777" w:rsidR="009E6D38" w:rsidRPr="002927A1" w:rsidRDefault="009E6D38" w:rsidP="00A524D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La prestación de asistencia, en particular a las Partes que son países en desarrollo y las Partes con economías en transición, sobre la forma de acceder al apoyo financiero y técnico, así como a la transferencia de tecnología y la creación de capacidad;</w:t>
      </w:r>
    </w:p>
    <w:p w14:paraId="5CF402CE" w14:textId="0A9267D6" w:rsidR="009E6D38" w:rsidRPr="002927A1" w:rsidRDefault="009E6D38" w:rsidP="00A524D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La elaboración, según corresponda y en consulta con la Parte </w:t>
      </w:r>
      <w:r w:rsidR="00641BF9" w:rsidRPr="002927A1">
        <w:rPr>
          <w:lang w:val="es-ES_tradnl"/>
        </w:rPr>
        <w:t>a la que concierne la comunicación</w:t>
      </w:r>
      <w:r w:rsidRPr="002927A1">
        <w:rPr>
          <w:lang w:val="es-ES_tradnl"/>
        </w:rPr>
        <w:t xml:space="preserve">, de una estrategia para lograr el cumplimiento, asociada a una propuesta de calendario y la presentación de informes sobre la aplicación de esa estrategia al Comité; </w:t>
      </w:r>
    </w:p>
    <w:p w14:paraId="72494B96" w14:textId="31D0624F" w:rsidR="00A35F55" w:rsidRPr="002927A1" w:rsidRDefault="009E6D38" w:rsidP="00A524DB">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Todo mecanismo de seguimiento para la presentación de informes al Comité. sobre los progresos alcanzados</w:t>
      </w:r>
      <w:r w:rsidR="00A35F55" w:rsidRPr="002927A1">
        <w:rPr>
          <w:color w:val="000000"/>
          <w:lang w:val="es-ES_tradnl"/>
        </w:rPr>
        <w:t>.</w:t>
      </w:r>
    </w:p>
    <w:p w14:paraId="00E5BB0C" w14:textId="4F11DA76" w:rsidR="00A35F55"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Si el Comité lo considerase necesario, después de aplicar el procedimiento anterior, y teniendo en cuenta la causa, el tipo, el grado y la frecuencia de las dificultades relacionadas con el cumplimiento, así como la capacidad de la Parte, podrá formular recomendaciones, según corresponda, a la Conferencia de las Partes, de conformidad con la sección V del presente mandato</w:t>
      </w:r>
      <w:r w:rsidR="00A35F55" w:rsidRPr="002927A1">
        <w:rPr>
          <w:lang w:val="es-ES_tradnl"/>
        </w:rPr>
        <w:t>.</w:t>
      </w:r>
    </w:p>
    <w:p w14:paraId="08457116" w14:textId="6A7518F9" w:rsidR="00A35F55" w:rsidRPr="002927A1" w:rsidRDefault="0088695B" w:rsidP="00A35F55">
      <w:pPr>
        <w:pStyle w:val="CH2"/>
        <w:rPr>
          <w:lang w:val="es-ES_tradnl"/>
        </w:rPr>
      </w:pPr>
      <w:r w:rsidRPr="002927A1">
        <w:rPr>
          <w:lang w:val="es-ES_tradnl"/>
        </w:rPr>
        <w:tab/>
      </w:r>
      <w:r w:rsidR="00A35F55" w:rsidRPr="002927A1">
        <w:rPr>
          <w:lang w:val="es-ES_tradnl"/>
        </w:rPr>
        <w:t>B.</w:t>
      </w:r>
      <w:r w:rsidR="00A35F55" w:rsidRPr="002927A1">
        <w:rPr>
          <w:lang w:val="es-ES_tradnl"/>
        </w:rPr>
        <w:tab/>
      </w:r>
      <w:r w:rsidR="009E6D38" w:rsidRPr="002927A1">
        <w:rPr>
          <w:bCs/>
          <w:lang w:val="es-ES_tradnl"/>
        </w:rPr>
        <w:t>Examinar cuestiones sobre la base de los informes nacionales presentados de</w:t>
      </w:r>
      <w:r w:rsidR="003E180A" w:rsidRPr="002927A1">
        <w:rPr>
          <w:bCs/>
          <w:lang w:val="es-ES_tradnl"/>
        </w:rPr>
        <w:t> </w:t>
      </w:r>
      <w:r w:rsidR="009E6D38" w:rsidRPr="002927A1">
        <w:rPr>
          <w:bCs/>
          <w:lang w:val="es-ES_tradnl"/>
        </w:rPr>
        <w:t>conformidad con el artículo 21, con arreglo al párrafo 4 b) del artículo 15, así como las solicitudes de la Conferencia de las Partes con arreglo al párrafo</w:t>
      </w:r>
      <w:r w:rsidR="00FB3567" w:rsidRPr="002927A1">
        <w:rPr>
          <w:bCs/>
          <w:lang w:val="es-ES_tradnl"/>
        </w:rPr>
        <w:t> </w:t>
      </w:r>
      <w:r w:rsidR="009E6D38" w:rsidRPr="002927A1">
        <w:rPr>
          <w:bCs/>
          <w:lang w:val="es-ES_tradnl"/>
        </w:rPr>
        <w:t>4 c) del artículo 15</w:t>
      </w:r>
    </w:p>
    <w:p w14:paraId="59096963" w14:textId="77777777" w:rsidR="009E6D38"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 xml:space="preserve">Al examinar las dificultades individuales y sistémicas relacionadas con la aplicación y el cumplimiento, sobre la base de los informes nacionales presentados de conformidad con el artículo 21, con arreglo al párrafo 4 b) del artículo 15, y las solicitudes de la Conferencia de las Partes, de conformidad con el párrafo 4 c) del artículo 15, el Comité procurará promover la aplicación del Convenio y examinar el cumplimiento de todas sus disposiciones, en una forma facilitadora y prestando especial atención a las respectivas circunstancias y capacidades nacionales de las Partes. </w:t>
      </w:r>
    </w:p>
    <w:p w14:paraId="591CEFA1" w14:textId="50D0C7D8" w:rsidR="009E6D38"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La Secretaría remitirá al Comité, para su examen, los informes nacionales presentados con arreglo al artículo 21, de conformidad con el artículo 40 del reglamento, así como sus informes preparados con arreglo a los párrafos 2</w:t>
      </w:r>
      <w:r w:rsidR="00F61D30">
        <w:rPr>
          <w:lang w:val="es-ES_tradnl"/>
        </w:rPr>
        <w:t>5</w:t>
      </w:r>
      <w:r w:rsidRPr="002927A1">
        <w:rPr>
          <w:lang w:val="es-ES_tradnl"/>
        </w:rPr>
        <w:t xml:space="preserve"> b) y 2</w:t>
      </w:r>
      <w:r w:rsidR="00F61D30">
        <w:rPr>
          <w:lang w:val="es-ES_tradnl"/>
        </w:rPr>
        <w:t>5</w:t>
      </w:r>
      <w:r w:rsidRPr="002927A1">
        <w:rPr>
          <w:lang w:val="es-ES_tradnl"/>
        </w:rPr>
        <w:t xml:space="preserve"> c) de la sección VI del presente mandato. </w:t>
      </w:r>
    </w:p>
    <w:p w14:paraId="4621C636" w14:textId="77777777" w:rsidR="009E6D38"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 xml:space="preserve">La Secretaría remitirá al Comité cualquier solicitud formulada por la Conferencia de las Partes de conformidad con el párrafo 4 c) del artículo 15 en un plazo de dos meses a partir de la clausura de </w:t>
      </w:r>
      <w:r w:rsidRPr="002927A1">
        <w:rPr>
          <w:lang w:val="es-ES_tradnl"/>
        </w:rPr>
        <w:lastRenderedPageBreak/>
        <w:t xml:space="preserve">la reunión de la Conferencia de las Partes en la que se envió la solicitud. Tales solicitudes serán examinadas por el Comité en su primera reunión después de recibida la solicitud. </w:t>
      </w:r>
    </w:p>
    <w:p w14:paraId="0C71F081" w14:textId="5E9232E6" w:rsidR="00A35F55" w:rsidRPr="002927A1" w:rsidRDefault="009E6D38" w:rsidP="00A524DB">
      <w:pPr>
        <w:pStyle w:val="Normal-pool"/>
        <w:numPr>
          <w:ilvl w:val="0"/>
          <w:numId w:val="24"/>
        </w:numPr>
        <w:tabs>
          <w:tab w:val="clear" w:pos="4082"/>
        </w:tabs>
        <w:spacing w:after="120"/>
        <w:ind w:left="1247" w:firstLine="0"/>
        <w:rPr>
          <w:lang w:val="es-ES_tradnl"/>
        </w:rPr>
      </w:pPr>
      <w:r w:rsidRPr="002927A1">
        <w:rPr>
          <w:lang w:val="es-ES_tradnl"/>
        </w:rPr>
        <w:t>El Comité podrá dar a conocer a una Parte o a varias Partes, tras haber celebrado consultas con la Parte o las Partes de que se trate, el resultado de su examen, recomendaciones e información adicional pertinente sobre el asunto objeto de examen, y formulará recomendaciones, según proceda, a la Conferencia de las Partes, tal como se indica en la sección V del presente mandato</w:t>
      </w:r>
      <w:r w:rsidR="00A35F55" w:rsidRPr="002927A1">
        <w:rPr>
          <w:lang w:val="es-ES_tradnl"/>
        </w:rPr>
        <w:t xml:space="preserve">. </w:t>
      </w:r>
    </w:p>
    <w:p w14:paraId="0A244647" w14:textId="7235CD76" w:rsidR="00A35F55" w:rsidRPr="002927A1" w:rsidRDefault="0088695B" w:rsidP="00A35F55">
      <w:pPr>
        <w:pStyle w:val="CH2"/>
        <w:rPr>
          <w:lang w:val="es-ES_tradnl"/>
        </w:rPr>
      </w:pPr>
      <w:r w:rsidRPr="002927A1">
        <w:rPr>
          <w:lang w:val="es-ES_tradnl"/>
        </w:rPr>
        <w:tab/>
      </w:r>
      <w:r w:rsidR="009E6D38" w:rsidRPr="002927A1">
        <w:rPr>
          <w:lang w:val="es-ES_tradnl"/>
        </w:rPr>
        <w:t>C.</w:t>
      </w:r>
      <w:r w:rsidR="009E6D38" w:rsidRPr="002927A1">
        <w:rPr>
          <w:lang w:val="es-ES_tradnl"/>
        </w:rPr>
        <w:tab/>
      </w:r>
      <w:r w:rsidR="009E6D38" w:rsidRPr="002927A1">
        <w:rPr>
          <w:bCs/>
          <w:lang w:val="es-ES_tradnl"/>
        </w:rPr>
        <w:t>Examinar dificultades sistémicas relacionadas con la aplicación y el cumplimiento</w:t>
      </w:r>
    </w:p>
    <w:p w14:paraId="7C9EFD2C" w14:textId="77777777" w:rsidR="009E6D38" w:rsidRPr="002927A1" w:rsidRDefault="009E6D38" w:rsidP="00A524DB">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Comité podrá determinar y examinar dificultades sistémicas relacionadas con la aplicación y el cumplimiento, además de su examen de las comunicaciones presentadas por escrito por las Partes con respecto a su propio cumplimiento, los informes nacionales presentados con arreglo al artículo 21, o las solicitudes de la Conferencia de las Partes.</w:t>
      </w:r>
    </w:p>
    <w:p w14:paraId="64EEF3D8" w14:textId="7A6381A2" w:rsidR="00A35F55" w:rsidRPr="002927A1" w:rsidRDefault="009E6D38" w:rsidP="00A524DB">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A fin de resolver esas dificultades sistémicas, el Comité podrá formular recomendaciones a la Conferencia de las Partes</w:t>
      </w:r>
      <w:r w:rsidR="00A35F55" w:rsidRPr="002927A1">
        <w:rPr>
          <w:lang w:val="es-ES_tradnl"/>
        </w:rPr>
        <w:t>.</w:t>
      </w:r>
    </w:p>
    <w:p w14:paraId="3E0D9304" w14:textId="1518206E" w:rsidR="00A35F55" w:rsidRPr="002927A1" w:rsidRDefault="0088695B" w:rsidP="00A35F55">
      <w:pPr>
        <w:pStyle w:val="CH2"/>
        <w:rPr>
          <w:lang w:val="es-ES_tradnl"/>
        </w:rPr>
      </w:pPr>
      <w:r w:rsidRPr="002927A1">
        <w:rPr>
          <w:lang w:val="es-ES_tradnl"/>
        </w:rPr>
        <w:tab/>
      </w:r>
      <w:r w:rsidR="009E6D38" w:rsidRPr="002927A1">
        <w:rPr>
          <w:lang w:val="es-ES_tradnl"/>
        </w:rPr>
        <w:t>D.</w:t>
      </w:r>
      <w:r w:rsidR="009E6D38" w:rsidRPr="002927A1">
        <w:rPr>
          <w:lang w:val="es-ES_tradnl"/>
        </w:rPr>
        <w:tab/>
      </w:r>
      <w:r w:rsidR="009E6D38" w:rsidRPr="002927A1">
        <w:rPr>
          <w:bCs/>
          <w:lang w:val="es-ES_tradnl"/>
        </w:rPr>
        <w:t>Presentación de informes a la Conferencia de las Partes</w:t>
      </w:r>
    </w:p>
    <w:p w14:paraId="7EB94D1B" w14:textId="77777777" w:rsidR="009E6D38" w:rsidRPr="002927A1" w:rsidRDefault="009E6D38" w:rsidP="00A524DB">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Comité presentará un informe a cada una de las reuniones ordinarias de la Conferencia de las Partes en el Convenio de Minamata sobre la labor que haya realizado para desempeñar sus funciones, conforme a lo dispuesto en el Convenio, en el reglamento del Comité y en el presente mandato. Ese informe podrá incluir recomendaciones para su examen por la Conferencia de las Partes.</w:t>
      </w:r>
    </w:p>
    <w:p w14:paraId="56B29E25" w14:textId="25D00550" w:rsidR="00A35F55" w:rsidRPr="002927A1" w:rsidRDefault="009E6D38" w:rsidP="00A524DB">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Comité presentará su informe a la Secretaría, a más tardar, 12 semanas antes de la apertura de la reunión de la Conferencia de las Partes en la que será examinado</w:t>
      </w:r>
      <w:r w:rsidR="00A35F55" w:rsidRPr="002927A1">
        <w:rPr>
          <w:lang w:val="es-ES_tradnl"/>
        </w:rPr>
        <w:t>.</w:t>
      </w:r>
    </w:p>
    <w:p w14:paraId="1D69D579" w14:textId="59A0D97A" w:rsidR="00A35F55" w:rsidRPr="002927A1" w:rsidRDefault="0088695B" w:rsidP="00A35F55">
      <w:pPr>
        <w:pStyle w:val="CH1"/>
        <w:rPr>
          <w:sz w:val="24"/>
          <w:lang w:val="es-ES_tradnl"/>
        </w:rPr>
      </w:pPr>
      <w:r w:rsidRPr="002927A1">
        <w:rPr>
          <w:lang w:val="es-ES_tradnl"/>
        </w:rPr>
        <w:tab/>
      </w:r>
      <w:r w:rsidR="009E6D38" w:rsidRPr="002927A1">
        <w:rPr>
          <w:lang w:val="es-ES_tradnl"/>
        </w:rPr>
        <w:t>IV.</w:t>
      </w:r>
      <w:r w:rsidR="009E6D38" w:rsidRPr="002927A1">
        <w:rPr>
          <w:lang w:val="es-ES_tradnl"/>
        </w:rPr>
        <w:tab/>
      </w:r>
      <w:r w:rsidR="009E6D38" w:rsidRPr="002927A1">
        <w:rPr>
          <w:bCs/>
          <w:lang w:val="es-ES_tradnl"/>
        </w:rPr>
        <w:t>Información, expertos o consultas adicionales a los que el Comité podría recurrir</w:t>
      </w:r>
    </w:p>
    <w:p w14:paraId="70ABD4B4" w14:textId="77777777" w:rsidR="009E6D38" w:rsidRPr="002927A1" w:rsidRDefault="009E6D38" w:rsidP="00A524DB">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A los fines del cumplimiento de sus funciones, el Comité, de acuerdo con el programa de trabajo y presupuesto, entre otras cosas, podrá:</w:t>
      </w:r>
    </w:p>
    <w:p w14:paraId="0B0BE6BE" w14:textId="77777777"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Basarse en los informes, las decisiones y las recomendaciones de la Conferencia de las Partes, así como en los informes y las recomendaciones de los órganos subsidiarios del Convenio, inclusive con respecto a la evaluación de la eficacia con arreglo al artículo 22;</w:t>
      </w:r>
    </w:p>
    <w:p w14:paraId="629FC97C" w14:textId="77777777"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Solicitar información adicional, por conducto de la Secretaría, de una Parte que haya hecho una comunicación por escrito en relación con su propio cumplimiento y de todas las Partes sobre dificultades sistémicas relacionadas con la aplicación y el cumplimiento que esté examinando;</w:t>
      </w:r>
    </w:p>
    <w:p w14:paraId="2701784F" w14:textId="77777777"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Celebrar consultas con otros órganos subsidiarios del Convenio;</w:t>
      </w:r>
    </w:p>
    <w:p w14:paraId="7E713581" w14:textId="77777777"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En el caso de las dificultades sistémicas relacionadas con la aplicación y el cumplimiento, solicitar información adicional a la presentada con arreglo a los apartados a) a c), y recurrir a expertos externos, si así lo considera necesario y apropiado, por conducto de la Secretaría;</w:t>
      </w:r>
    </w:p>
    <w:p w14:paraId="581E88A7" w14:textId="77777777"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En el caso de dificultades individuales relacionadas con la aplicación y el cumplimiento sobre la base de las comunicaciones por escrito de las Partes con respecto a su propio cumplimiento, solicitar información adicional a la presentada con arreglo a los apartados a) a c), y recurrir a expertos externos, si así lo considera necesario y apropiado, por conducto de la Secretaría, con el consentimiento previo de la Parte de que se trate;</w:t>
      </w:r>
    </w:p>
    <w:p w14:paraId="266D5300" w14:textId="77777777"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En el caso de dificultades individuales relacionadas con la aplicación y el cumplimiento sobre la base de una solicitud formulada por la Conferencia de las Partes, solicitar información adicional a la presentada con arreglo a los apartados a) a c), y recurrir a expertos externos, si así lo considera necesario y apropiado, por conducto de la Secretaría, con el consentimiento previo de la Parte de que se trate o según lo dispuesto por la Conferencia de las Partes;</w:t>
      </w:r>
    </w:p>
    <w:p w14:paraId="4B15E2CB" w14:textId="441B6E25" w:rsidR="009E6D38"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Previa invitación de la Parte </w:t>
      </w:r>
      <w:r w:rsidR="00641BF9" w:rsidRPr="002927A1">
        <w:rPr>
          <w:lang w:val="es-ES_tradnl"/>
        </w:rPr>
        <w:t>a la que concierne la comunicación</w:t>
      </w:r>
      <w:r w:rsidRPr="002927A1">
        <w:rPr>
          <w:lang w:val="es-ES_tradnl"/>
        </w:rPr>
        <w:t xml:space="preserve">, facilitar la recopilación de información en el territorio de esa Parte a fin de cumplir sus funciones; </w:t>
      </w:r>
    </w:p>
    <w:p w14:paraId="6F082599" w14:textId="76879D6A" w:rsidR="00A35F55" w:rsidRPr="002927A1" w:rsidRDefault="009E6D38" w:rsidP="00A524DB">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Celebrar consultas con la Secretaría y aprovechar su experiencia y su base de conocimientos desarrollada conforme al artículo 24 del Convenio y solicitar información a la Secretaría, cuando proceda, en forma de</w:t>
      </w:r>
      <w:r w:rsidR="00FA6A30" w:rsidRPr="002927A1">
        <w:rPr>
          <w:lang w:val="es-ES_tradnl"/>
        </w:rPr>
        <w:t xml:space="preserve"> </w:t>
      </w:r>
      <w:r w:rsidRPr="002927A1">
        <w:rPr>
          <w:lang w:val="es-ES_tradnl"/>
        </w:rPr>
        <w:t>informe, sobre las cuestiones que esté examinando el Comité</w:t>
      </w:r>
      <w:r w:rsidR="00A35F55" w:rsidRPr="002927A1">
        <w:rPr>
          <w:lang w:val="es-ES_tradnl"/>
        </w:rPr>
        <w:t>.</w:t>
      </w:r>
      <w:bookmarkStart w:id="90" w:name="_Hlk7038431"/>
      <w:bookmarkStart w:id="91" w:name="_Hlk7598289"/>
    </w:p>
    <w:bookmarkEnd w:id="90"/>
    <w:bookmarkEnd w:id="91"/>
    <w:p w14:paraId="269749CE" w14:textId="0AC3FC09" w:rsidR="00A35F55" w:rsidRPr="002927A1" w:rsidRDefault="0088695B" w:rsidP="00FB4230">
      <w:pPr>
        <w:pStyle w:val="CH1"/>
        <w:rPr>
          <w:sz w:val="24"/>
          <w:lang w:val="es-ES_tradnl"/>
        </w:rPr>
      </w:pPr>
      <w:r w:rsidRPr="002927A1">
        <w:rPr>
          <w:lang w:val="es-ES_tradnl"/>
        </w:rPr>
        <w:lastRenderedPageBreak/>
        <w:tab/>
      </w:r>
      <w:r w:rsidR="009E6D38" w:rsidRPr="002927A1">
        <w:rPr>
          <w:lang w:val="es-ES_tradnl"/>
        </w:rPr>
        <w:t>V.</w:t>
      </w:r>
      <w:r w:rsidR="009E6D38" w:rsidRPr="002927A1">
        <w:rPr>
          <w:lang w:val="es-ES_tradnl"/>
        </w:rPr>
        <w:tab/>
      </w:r>
      <w:r w:rsidR="009E6D38" w:rsidRPr="002927A1">
        <w:rPr>
          <w:bCs/>
          <w:lang w:val="es-ES_tradnl"/>
        </w:rPr>
        <w:t>Tipos de recomendaciones a la Conferencia de las Partes que el Comité podría tener en cuenta a fin de promover la aplicación del Convenio y examinar el cumplimiento de todas sus disposiciones</w:t>
      </w:r>
    </w:p>
    <w:p w14:paraId="756A14A8" w14:textId="77777777" w:rsidR="009E6D38" w:rsidRPr="002927A1" w:rsidRDefault="009E6D38" w:rsidP="00A524DB">
      <w:pPr>
        <w:pStyle w:val="Normal-pool"/>
        <w:keepNext/>
        <w:keepLines/>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 xml:space="preserve">Las recomendaciones del Comité a la Conferencia de las Partes tendrán por objeto promover la aplicación del Convenio y examinar el cumplimiento de sus disposiciones. Estas tendrán un carácter facilitador y prestarán especial atención a las capacidades y circunstancias nacionales de cada una de las Partes. </w:t>
      </w:r>
    </w:p>
    <w:p w14:paraId="01A76AF2" w14:textId="77777777" w:rsidR="009E6D38" w:rsidRPr="002927A1" w:rsidRDefault="009E6D38" w:rsidP="00A524DB">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Las recomendaciones relativas a dificultades individuales y sistémicas relacionadas con la aplicación y el cumplimiento podrán incluir, aunque no exclusivamente:</w:t>
      </w:r>
    </w:p>
    <w:p w14:paraId="0EBE6769" w14:textId="77777777" w:rsidR="009E6D38" w:rsidRPr="002927A1" w:rsidRDefault="009E6D38" w:rsidP="00A524DB">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Medidas para apoyar a las Partes en la aplicación de las disposiciones del Convenio, por ejemplo, con respecto a arreglos legislativos, procedimentales o institucionales que puedan ser necesarios;</w:t>
      </w:r>
    </w:p>
    <w:p w14:paraId="3991E20A" w14:textId="77777777" w:rsidR="009E6D38" w:rsidRPr="002927A1" w:rsidRDefault="009E6D38" w:rsidP="00A524DB">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La necesidad de que la Parte o las Partes interesadas elaboren y presenten al Comité una estrategia para lograr la aplicación y el cumplimiento, asociada a una propuesta de calendario, y que informen acerca de la aplicación de dicha estrategia;</w:t>
      </w:r>
    </w:p>
    <w:p w14:paraId="2C997622" w14:textId="77777777" w:rsidR="009E6D38" w:rsidRPr="002927A1" w:rsidRDefault="009E6D38" w:rsidP="00A524DB">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Asistencia de expertos, entre otras cosas, sobre cuestiones jurídicas, institucionales o técnicas; </w:t>
      </w:r>
    </w:p>
    <w:p w14:paraId="1655C614" w14:textId="77777777" w:rsidR="009E6D38" w:rsidRPr="002927A1" w:rsidRDefault="009E6D38" w:rsidP="00A524DB">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Actividades específicas de creación de capacidad, asistencia financiera y técnica, así como transferencia de tecnología.</w:t>
      </w:r>
    </w:p>
    <w:p w14:paraId="3556E8C9" w14:textId="739CAAEE" w:rsidR="00A35F55" w:rsidRPr="002927A1" w:rsidRDefault="009E6D38" w:rsidP="00A524DB">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Cuando sea necesario, el Comité podrá, como último recurso, recomendar a la Conferencia de las Partes que emita una declaración relativa al cumplimiento y preste asesoramiento para ayudar a la Parte o las Partes de que se trate a aplicar las disposiciones del Convenio y promover la cooperación entre todas las Partes</w:t>
      </w:r>
      <w:r w:rsidR="00A35F55" w:rsidRPr="002927A1">
        <w:rPr>
          <w:lang w:val="es-ES_tradnl"/>
        </w:rPr>
        <w:t>.</w:t>
      </w:r>
    </w:p>
    <w:p w14:paraId="622D25E2" w14:textId="1BA8892A" w:rsidR="00A35F55" w:rsidRPr="002927A1" w:rsidRDefault="0088695B" w:rsidP="00A35F55">
      <w:pPr>
        <w:pStyle w:val="CH1"/>
        <w:rPr>
          <w:sz w:val="24"/>
          <w:lang w:val="es-ES_tradnl"/>
        </w:rPr>
      </w:pPr>
      <w:r w:rsidRPr="002927A1">
        <w:rPr>
          <w:lang w:val="es-ES_tradnl"/>
        </w:rPr>
        <w:tab/>
      </w:r>
      <w:r w:rsidR="009E6D38" w:rsidRPr="002927A1">
        <w:rPr>
          <w:lang w:val="es-ES_tradnl"/>
        </w:rPr>
        <w:t>VI.</w:t>
      </w:r>
      <w:r w:rsidR="009E6D38" w:rsidRPr="002927A1">
        <w:rPr>
          <w:lang w:val="es-ES_tradnl"/>
        </w:rPr>
        <w:tab/>
        <w:t>Func</w:t>
      </w:r>
      <w:r w:rsidR="00A35F55" w:rsidRPr="002927A1">
        <w:rPr>
          <w:lang w:val="es-ES_tradnl"/>
        </w:rPr>
        <w:t>ion</w:t>
      </w:r>
      <w:r w:rsidR="009E6D38" w:rsidRPr="002927A1">
        <w:rPr>
          <w:lang w:val="es-ES_tradnl"/>
        </w:rPr>
        <w:t>e</w:t>
      </w:r>
      <w:r w:rsidR="00A35F55" w:rsidRPr="002927A1">
        <w:rPr>
          <w:lang w:val="es-ES_tradnl"/>
        </w:rPr>
        <w:t xml:space="preserve">s </w:t>
      </w:r>
      <w:r w:rsidR="009E6D38" w:rsidRPr="002927A1">
        <w:rPr>
          <w:lang w:val="es-ES_tradnl"/>
        </w:rPr>
        <w:t>de la S</w:t>
      </w:r>
      <w:r w:rsidR="00A35F55" w:rsidRPr="002927A1">
        <w:rPr>
          <w:lang w:val="es-ES_tradnl"/>
        </w:rPr>
        <w:t>ecretar</w:t>
      </w:r>
      <w:r w:rsidR="00641BF9" w:rsidRPr="002927A1">
        <w:rPr>
          <w:lang w:val="es-ES_tradnl"/>
        </w:rPr>
        <w:t>ía</w:t>
      </w:r>
      <w:r w:rsidR="00A35F55" w:rsidRPr="002927A1">
        <w:rPr>
          <w:sz w:val="24"/>
          <w:lang w:val="es-ES_tradnl"/>
        </w:rPr>
        <w:t xml:space="preserve"> </w:t>
      </w:r>
    </w:p>
    <w:p w14:paraId="08F589E3" w14:textId="77777777" w:rsidR="009E6D38" w:rsidRPr="002927A1" w:rsidRDefault="009E6D38" w:rsidP="00A524DB">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En consonancia con las funciones especificadas en el artículo 24 del Convenio y en el reglamento del Comité, y de acuerdo con el programa de trabajo y presupuesto, la Secretaría, además de las funciones mencionadas en otras partes del presente mandato:</w:t>
      </w:r>
    </w:p>
    <w:p w14:paraId="4EB7797F" w14:textId="77777777" w:rsidR="009E6D38" w:rsidRPr="002927A1" w:rsidRDefault="009E6D38" w:rsidP="00A524DB">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Reunirá las comunicaciones por escrito de las Partes en relación con su propio cumplimiento de conformidad con el párrafo 4 a) del artículo 15, hará los arreglos necesarios para su traducción al inglés, y las distribuirá al Comité de conformidad con el artículo 23 del reglamento, así como cualquier información adicional facilitada por la Parte. Las comunicaciones presentadas en inglés se remitirán al Comité en un plazo de dos semanas a partir de su recepción, y la traducción al inglés de los documentos recibidos en uno de los idiomas oficiales de las Naciones Unidas distintos del inglés se remitirá al Comité en un plazo de cuatro semanas a partir de su recepción;</w:t>
      </w:r>
    </w:p>
    <w:p w14:paraId="6FBCCCAC" w14:textId="77777777" w:rsidR="009E6D38" w:rsidRPr="002927A1" w:rsidRDefault="009E6D38" w:rsidP="00A524DB">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Recopilará los informes nacionales presentados de conformidad con el artículo 21 y, cuando haya cuestiones que deban ser examinadas por el Comité basándose en ellos, de conformidad con el párrafo 4 b) del artículo 15, preparará los informes pertinentes para que sean examinados por el Comité. Esos informes deberán incluir, aunque no exclusivamente, información sobre el desempeño de las Partes a la hora de presentar informes y la determinación de cuestiones concretas que puedan surgir de los informes y que puedan ser de interés para el Comité;</w:t>
      </w:r>
    </w:p>
    <w:p w14:paraId="3904C83D" w14:textId="77777777" w:rsidR="009E6D38" w:rsidRPr="002927A1" w:rsidRDefault="009E6D38" w:rsidP="00A524DB">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Dispondrá lo necesario para la traducción al inglés de los informes nacionales y su distribución, completa o parcial, de conformidad con el artículo 40 del reglamento;</w:t>
      </w:r>
    </w:p>
    <w:p w14:paraId="0782996A" w14:textId="77777777" w:rsidR="009E6D38" w:rsidRPr="002927A1" w:rsidRDefault="009E6D38" w:rsidP="00A524DB">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Remitirá al Comité toda solicitud formulada por la Conferencia de las Partes en un plazo de dos meses a partir de la clausura de la reunión de la Conferencia de las Partes en la que se haya formulado la solicitud;</w:t>
      </w:r>
    </w:p>
    <w:p w14:paraId="38443566" w14:textId="77777777" w:rsidR="009E6D38" w:rsidRPr="002927A1" w:rsidRDefault="009E6D38" w:rsidP="00A524DB">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 xml:space="preserve">Conforme a lo solicitado por el Comité a fin de facilitar la realización de su labor, buscará y reunirá más información de las Partes y de otras fuentes y preparará un informe o documento justificativo; </w:t>
      </w:r>
    </w:p>
    <w:p w14:paraId="048C5EB6" w14:textId="2BC1653E" w:rsidR="00A35F55" w:rsidRPr="002927A1" w:rsidRDefault="009E6D38" w:rsidP="00A524DB">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Desempeñará las demás funciones que le asigne el Comité o la Conferencia de las Partes con respecto a la labor del Comité</w:t>
      </w:r>
      <w:r w:rsidR="00A35F55" w:rsidRPr="002927A1">
        <w:rPr>
          <w:lang w:val="es-ES_tradnl"/>
        </w:rPr>
        <w:t>.</w:t>
      </w:r>
    </w:p>
    <w:p w14:paraId="181A21D8" w14:textId="2BA2C3F6" w:rsidR="00A35F55" w:rsidRPr="002927A1" w:rsidRDefault="0088695B" w:rsidP="00A35F55">
      <w:pPr>
        <w:pStyle w:val="CH1"/>
        <w:rPr>
          <w:b w:val="0"/>
          <w:lang w:val="es-ES_tradnl"/>
        </w:rPr>
      </w:pPr>
      <w:r w:rsidRPr="002927A1">
        <w:rPr>
          <w:lang w:val="es-ES_tradnl"/>
        </w:rPr>
        <w:lastRenderedPageBreak/>
        <w:tab/>
      </w:r>
      <w:r w:rsidR="009E6D38" w:rsidRPr="002927A1">
        <w:rPr>
          <w:lang w:val="es-ES_tradnl"/>
        </w:rPr>
        <w:t>VII.</w:t>
      </w:r>
      <w:r w:rsidR="009E6D38" w:rsidRPr="002927A1">
        <w:rPr>
          <w:lang w:val="es-ES_tradnl"/>
        </w:rPr>
        <w:tab/>
      </w:r>
      <w:r w:rsidR="009E6D38" w:rsidRPr="002927A1">
        <w:rPr>
          <w:bCs/>
          <w:lang w:val="es-ES_tradnl"/>
        </w:rPr>
        <w:t>Relación con la solución de controversias, de conformidad con el artículo 25 del Convenio</w:t>
      </w:r>
    </w:p>
    <w:p w14:paraId="3D911803" w14:textId="69188EC7" w:rsidR="00A35F55" w:rsidRPr="002927A1" w:rsidRDefault="009E6D38" w:rsidP="00A524DB">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funcionamiento del mecanismo de aplicación y cumplimiento y la labor del Comité serán diferentes y no menoscabarán lo dispuesto en el artículo 25 del Convenio sobre la solución de controversias</w:t>
      </w:r>
      <w:r w:rsidR="00A35F55" w:rsidRPr="002927A1">
        <w:rPr>
          <w:lang w:val="es-ES_tradnl"/>
        </w:rPr>
        <w:t>.</w:t>
      </w:r>
    </w:p>
    <w:p w14:paraId="0252FBF1" w14:textId="1E447495" w:rsidR="00A35F55" w:rsidRPr="002927A1" w:rsidRDefault="0088695B" w:rsidP="00A35F55">
      <w:pPr>
        <w:pStyle w:val="CH1"/>
        <w:rPr>
          <w:sz w:val="24"/>
          <w:lang w:val="es-ES_tradnl"/>
        </w:rPr>
      </w:pPr>
      <w:r w:rsidRPr="002927A1">
        <w:rPr>
          <w:lang w:val="es-ES_tradnl"/>
        </w:rPr>
        <w:tab/>
      </w:r>
      <w:r w:rsidR="009E6D38" w:rsidRPr="002927A1">
        <w:rPr>
          <w:lang w:val="es-ES_tradnl"/>
        </w:rPr>
        <w:t>VIII.</w:t>
      </w:r>
      <w:r w:rsidR="009E6D38" w:rsidRPr="002927A1">
        <w:rPr>
          <w:lang w:val="es-ES_tradnl"/>
        </w:rPr>
        <w:tab/>
      </w:r>
      <w:r w:rsidR="009E6D38" w:rsidRPr="002927A1">
        <w:rPr>
          <w:bCs/>
          <w:lang w:val="es-ES_tradnl"/>
        </w:rPr>
        <w:t>Protección de la confidencialidad</w:t>
      </w:r>
    </w:p>
    <w:p w14:paraId="16377EDE" w14:textId="22B923A0" w:rsidR="00A35F55" w:rsidRPr="002927A1" w:rsidRDefault="009E6D38" w:rsidP="00A524DB">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 xml:space="preserve">Como regla general, los informes y las recomendaciones del Comité no serán considerados confidenciales. Sin embargo, la información proporcionada al Comité en confianza, en particular </w:t>
      </w:r>
      <w:r w:rsidR="00815E75" w:rsidRPr="002927A1">
        <w:rPr>
          <w:lang w:val="es-ES_tradnl"/>
        </w:rPr>
        <w:t xml:space="preserve">la facilitada por </w:t>
      </w:r>
      <w:r w:rsidRPr="002927A1">
        <w:rPr>
          <w:lang w:val="es-ES_tradnl"/>
        </w:rPr>
        <w:t>una Parte en relación con su propio cumplimiento, será tratada confidencialmente</w:t>
      </w:r>
      <w:r w:rsidR="00A35F55" w:rsidRPr="002927A1">
        <w:rPr>
          <w:lang w:val="es-ES_tradnl"/>
        </w:rPr>
        <w:t>.</w:t>
      </w:r>
    </w:p>
    <w:p w14:paraId="28DDDE05" w14:textId="61B725D1" w:rsidR="00FF7DB4" w:rsidRPr="002927A1" w:rsidRDefault="008A104A" w:rsidP="00417FE2">
      <w:pPr>
        <w:pStyle w:val="CH1"/>
        <w:rPr>
          <w:rFonts w:eastAsia="SimSun"/>
          <w:lang w:val="es-ES_tradnl"/>
        </w:rPr>
      </w:pPr>
      <w:r w:rsidRPr="002927A1">
        <w:rPr>
          <w:rFonts w:eastAsia="SimSun"/>
          <w:lang w:val="es-ES_tradnl"/>
        </w:rPr>
        <w:tab/>
      </w:r>
      <w:r w:rsidRPr="002927A1">
        <w:rPr>
          <w:rFonts w:eastAsia="SimSun"/>
          <w:lang w:val="es-ES_tradnl"/>
        </w:rPr>
        <w:tab/>
      </w:r>
      <w:r w:rsidR="00FF7DB4" w:rsidRPr="002927A1">
        <w:rPr>
          <w:rFonts w:eastAsia="SimSun"/>
          <w:lang w:val="es-ES_tradnl"/>
        </w:rPr>
        <w:t>Anex</w:t>
      </w:r>
      <w:r w:rsidR="00901194" w:rsidRPr="002927A1">
        <w:rPr>
          <w:rFonts w:eastAsia="SimSun"/>
          <w:lang w:val="es-ES_tradnl"/>
        </w:rPr>
        <w:t>o</w:t>
      </w:r>
      <w:r w:rsidR="00FF7DB4" w:rsidRPr="002927A1">
        <w:rPr>
          <w:rFonts w:eastAsia="SimSun"/>
          <w:lang w:val="es-ES_tradnl"/>
        </w:rPr>
        <w:t xml:space="preserve"> II </w:t>
      </w:r>
      <w:r w:rsidR="00901194" w:rsidRPr="002927A1">
        <w:rPr>
          <w:rFonts w:eastAsia="SimSun"/>
          <w:lang w:val="es-ES_tradnl"/>
        </w:rPr>
        <w:t>de la decisión</w:t>
      </w:r>
      <w:r w:rsidR="00FF7DB4" w:rsidRPr="002927A1">
        <w:rPr>
          <w:rFonts w:eastAsia="SimSun"/>
          <w:lang w:val="es-ES_tradnl"/>
        </w:rPr>
        <w:t xml:space="preserve"> MC-3/9 </w:t>
      </w:r>
    </w:p>
    <w:p w14:paraId="46056505" w14:textId="1549FF22" w:rsidR="00901194" w:rsidRPr="002927A1" w:rsidRDefault="008A104A" w:rsidP="00901194">
      <w:pPr>
        <w:pStyle w:val="CH2"/>
        <w:rPr>
          <w:rFonts w:eastAsia="SimSun"/>
          <w:bCs/>
          <w:lang w:val="es-ES_tradnl"/>
        </w:rPr>
      </w:pPr>
      <w:r w:rsidRPr="002927A1">
        <w:rPr>
          <w:rFonts w:eastAsia="SimSun"/>
          <w:bCs/>
          <w:lang w:val="es-ES_tradnl"/>
        </w:rPr>
        <w:tab/>
      </w:r>
      <w:r w:rsidRPr="002927A1">
        <w:rPr>
          <w:rFonts w:eastAsia="SimSun"/>
          <w:bCs/>
          <w:lang w:val="es-ES_tradnl"/>
        </w:rPr>
        <w:tab/>
      </w:r>
      <w:r w:rsidR="00901194" w:rsidRPr="002927A1">
        <w:rPr>
          <w:rFonts w:eastAsia="SimSun"/>
          <w:bCs/>
          <w:lang w:val="es-ES_tradnl"/>
        </w:rPr>
        <w:t>Plantilla para las comunicaciones por escrito de las Partes con respecto a su propio cumplimiento (artículo 15, párrafo 4 a))</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39"/>
      </w:tblGrid>
      <w:tr w:rsidR="00C433AC" w:rsidRPr="00997BCE" w14:paraId="52080274" w14:textId="77777777" w:rsidTr="00997BCE">
        <w:trPr>
          <w:trHeight w:val="8580"/>
        </w:trPr>
        <w:tc>
          <w:tcPr>
            <w:tcW w:w="8239" w:type="dxa"/>
            <w:shd w:val="clear" w:color="auto" w:fill="D9D9D9" w:themeFill="background1" w:themeFillShade="D9"/>
          </w:tcPr>
          <w:p w14:paraId="69DC074F" w14:textId="54DA33E1" w:rsidR="00901194" w:rsidRPr="00997BCE" w:rsidRDefault="00901194" w:rsidP="00901194">
            <w:pPr>
              <w:spacing w:after="120"/>
              <w:rPr>
                <w:b/>
                <w:bCs/>
                <w:color w:val="000000"/>
              </w:rPr>
            </w:pPr>
            <w:r w:rsidRPr="00997BCE">
              <w:rPr>
                <w:b/>
                <w:bCs/>
              </w:rPr>
              <w:t>Notas:</w:t>
            </w:r>
          </w:p>
          <w:p w14:paraId="39114AAD" w14:textId="77777777" w:rsidR="00901194" w:rsidRPr="00997BCE" w:rsidRDefault="00901194" w:rsidP="00901194">
            <w:pPr>
              <w:spacing w:after="120"/>
              <w:rPr>
                <w:color w:val="000000"/>
              </w:rPr>
            </w:pPr>
            <w:r w:rsidRPr="00997BCE">
              <w:rPr>
                <w:color w:val="000000"/>
              </w:rPr>
              <w:t>Las comunicaciones formuladas por escrito por una Parte en relación con su propio cumplimiento, de conformidad con el párrafo 4 a) del artículo 15 del Convenio de Minamata, se dirigirán al Comité de Aplicación y Cumplimiento, por conducto de la Secretaría, a:</w:t>
            </w:r>
          </w:p>
          <w:p w14:paraId="676A94AE" w14:textId="77777777" w:rsidR="00901194" w:rsidRPr="00997BCE" w:rsidRDefault="00901194" w:rsidP="00901194">
            <w:pPr>
              <w:pStyle w:val="Pardfaut"/>
              <w:tabs>
                <w:tab w:val="center" w:pos="4320"/>
                <w:tab w:val="right" w:pos="8640"/>
              </w:tabs>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Secretaría del Convenio de Minamata sobre el Mercurio </w:t>
            </w:r>
          </w:p>
          <w:p w14:paraId="7ED6BC23" w14:textId="734582BC" w:rsidR="00901194" w:rsidRPr="00997BCE" w:rsidRDefault="00901194" w:rsidP="00901194">
            <w:pPr>
              <w:pStyle w:val="Pardfaut"/>
              <w:tabs>
                <w:tab w:val="center" w:pos="4320"/>
                <w:tab w:val="right" w:pos="8640"/>
              </w:tabs>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Programa de las </w:t>
            </w:r>
            <w:r w:rsidR="0034570C" w:rsidRPr="00997BCE">
              <w:rPr>
                <w:rFonts w:ascii="Times New Roman" w:eastAsia="Times New Roman" w:hAnsi="Times New Roman" w:cs="Times New Roman"/>
                <w:sz w:val="20"/>
                <w:szCs w:val="20"/>
                <w:bdr w:val="none" w:sz="0" w:space="0" w:color="auto"/>
                <w:lang w:val="es-ES_tradnl" w:eastAsia="en-US"/>
              </w:rPr>
              <w:t>Naciones Unidas</w:t>
            </w:r>
            <w:r w:rsidRPr="00997BCE">
              <w:rPr>
                <w:rFonts w:ascii="Times New Roman" w:eastAsia="Times New Roman" w:hAnsi="Times New Roman" w:cs="Times New Roman"/>
                <w:sz w:val="20"/>
                <w:szCs w:val="20"/>
                <w:bdr w:val="none" w:sz="0" w:space="0" w:color="auto"/>
                <w:lang w:val="es-ES_tradnl" w:eastAsia="en-US"/>
              </w:rPr>
              <w:t xml:space="preserve"> para el Medio Ambiente </w:t>
            </w:r>
          </w:p>
          <w:p w14:paraId="0EFC7E42" w14:textId="50C38E79" w:rsidR="00901194" w:rsidRPr="00997BCE" w:rsidRDefault="00901194" w:rsidP="00901194">
            <w:pPr>
              <w:pStyle w:val="Pardfaut"/>
              <w:tabs>
                <w:tab w:val="center" w:pos="4320"/>
                <w:tab w:val="right" w:pos="8640"/>
              </w:tabs>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Dirección postal: Avenue de la Paix 8-14, 1211 Geneva 10</w:t>
            </w:r>
            <w:r w:rsidR="00997BCE">
              <w:rPr>
                <w:rFonts w:ascii="Times New Roman" w:eastAsia="Times New Roman" w:hAnsi="Times New Roman" w:cs="Times New Roman"/>
                <w:sz w:val="20"/>
                <w:szCs w:val="20"/>
                <w:bdr w:val="none" w:sz="0" w:space="0" w:color="auto"/>
                <w:lang w:val="es-ES_tradnl" w:eastAsia="en-US"/>
              </w:rPr>
              <w:t xml:space="preserve"> (</w:t>
            </w:r>
            <w:r w:rsidRPr="00997BCE">
              <w:rPr>
                <w:rFonts w:ascii="Times New Roman" w:eastAsia="Times New Roman" w:hAnsi="Times New Roman" w:cs="Times New Roman"/>
                <w:sz w:val="20"/>
                <w:szCs w:val="20"/>
                <w:bdr w:val="none" w:sz="0" w:space="0" w:color="auto"/>
                <w:lang w:val="es-ES_tradnl" w:eastAsia="en-US"/>
              </w:rPr>
              <w:t>Suiza</w:t>
            </w:r>
            <w:r w:rsidR="00997BCE">
              <w:rPr>
                <w:rFonts w:ascii="Times New Roman" w:eastAsia="Times New Roman" w:hAnsi="Times New Roman" w:cs="Times New Roman"/>
                <w:sz w:val="20"/>
                <w:szCs w:val="20"/>
                <w:bdr w:val="none" w:sz="0" w:space="0" w:color="auto"/>
                <w:lang w:val="es-ES_tradnl" w:eastAsia="en-US"/>
              </w:rPr>
              <w:t>)</w:t>
            </w:r>
          </w:p>
          <w:p w14:paraId="0784610D" w14:textId="6FB5B5EA" w:rsidR="00901194" w:rsidRPr="00997BCE" w:rsidRDefault="00901194" w:rsidP="00901194">
            <w:pPr>
              <w:pStyle w:val="Corps"/>
              <w:spacing w:after="120"/>
              <w:rPr>
                <w:rFonts w:eastAsia="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Correo electrónico: </w:t>
            </w:r>
            <w:hyperlink r:id="rId18" w:history="1">
              <w:r w:rsidR="00CA2744" w:rsidRPr="00997BCE">
                <w:rPr>
                  <w:rStyle w:val="Hyperlink"/>
                  <w:rFonts w:eastAsia="Times New Roman" w:cs="Times New Roman"/>
                  <w:bdr w:val="none" w:sz="0" w:space="0" w:color="auto"/>
                  <w:lang w:val="es-ES_tradnl" w:eastAsia="en-US"/>
                </w:rPr>
                <w:t>mea-minamatasecretariat@un.org</w:t>
              </w:r>
            </w:hyperlink>
          </w:p>
          <w:p w14:paraId="7C8BF69A" w14:textId="77777777" w:rsidR="00901194" w:rsidRPr="00997BCE" w:rsidRDefault="00901194" w:rsidP="00901194">
            <w:pPr>
              <w:spacing w:after="120"/>
              <w:rPr>
                <w:color w:val="000000"/>
              </w:rPr>
            </w:pPr>
            <w:r w:rsidRPr="00997BCE">
              <w:rPr>
                <w:color w:val="000000"/>
              </w:rPr>
              <w:t xml:space="preserve">Las comunicaciones por escrito se harán en uno de los seis idiomas oficiales de las Naciones Unidas, de preferencia utilizando medios electrónicos, y contendrán los elementos establecidos en la plantilla que figura en el anexo. </w:t>
            </w:r>
          </w:p>
          <w:p w14:paraId="20806BB5" w14:textId="77777777" w:rsidR="00901194" w:rsidRPr="00997BCE" w:rsidRDefault="00901194" w:rsidP="00901194">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Tendrán una extensión máxima de cinco páginas. </w:t>
            </w:r>
          </w:p>
          <w:p w14:paraId="79B0B8AC" w14:textId="77777777" w:rsidR="00901194" w:rsidRPr="00997BCE" w:rsidRDefault="00901194" w:rsidP="00901194">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Para ser incluidos en el programa de la reunión siguiente del Comité, los documentos deberían llegar a la Secretaría por lo menos ocho semanas antes del primer día de esa reunión. </w:t>
            </w:r>
          </w:p>
          <w:p w14:paraId="0BA987FD" w14:textId="77777777" w:rsidR="00901194" w:rsidRPr="00997BCE" w:rsidRDefault="00901194" w:rsidP="00901194">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Cuando el Comité esté examinando una cuestión sobre la base de una comunicación específica relativa al cumplimiento de una Parte determinada, se invitará a la Parte de que se trate a participar en el examen de la cuestión por el Comité. Esas sesiones no estarán abiertas a la participación de observadores, a menos que el Comité y la Parte de que se trate acuerden otra cosa. Los observadores no tendrán acceso a las sesiones de deliberaciones que tengan por objeto preparar recomendaciones o en las que se lleven a cabo votaciones sobre posibles recomendaciones.</w:t>
            </w:r>
          </w:p>
          <w:p w14:paraId="01D29ECD" w14:textId="03B72D4F" w:rsidR="00901194" w:rsidRPr="00997BCE" w:rsidRDefault="00901194" w:rsidP="00901194">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El Comité podrá solicitar información complementaria, de ser necesario. La Parte </w:t>
            </w:r>
            <w:r w:rsidR="00E258C9" w:rsidRPr="00997BCE">
              <w:rPr>
                <w:rFonts w:ascii="Times New Roman" w:eastAsia="Times New Roman" w:hAnsi="Times New Roman" w:cs="Times New Roman"/>
                <w:sz w:val="20"/>
                <w:szCs w:val="20"/>
                <w:bdr w:val="none" w:sz="0" w:space="0" w:color="auto"/>
                <w:lang w:val="es-ES_tradnl" w:eastAsia="en-US"/>
              </w:rPr>
              <w:t>de que se trate</w:t>
            </w:r>
            <w:r w:rsidRPr="00997BCE">
              <w:rPr>
                <w:rFonts w:ascii="Times New Roman" w:eastAsia="Times New Roman" w:hAnsi="Times New Roman" w:cs="Times New Roman"/>
                <w:sz w:val="20"/>
                <w:szCs w:val="20"/>
                <w:bdr w:val="none" w:sz="0" w:space="0" w:color="auto"/>
                <w:lang w:val="es-ES_tradnl" w:eastAsia="en-US"/>
              </w:rPr>
              <w:t xml:space="preserve"> podrá presentar, por conducto de la Secretaría, toda información complementaria a la atención del Comité dentro de las dos semanas siguientes a la recepción de la solicitud del Comité. </w:t>
            </w:r>
          </w:p>
          <w:p w14:paraId="0822C032" w14:textId="61EB7F21" w:rsidR="00901194" w:rsidRPr="00997BCE" w:rsidRDefault="00901194" w:rsidP="00901194">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En caso de que la información complementaria sea presentada en uno de los idiomas oficiales </w:t>
            </w:r>
            <w:r w:rsidR="00E258C9" w:rsidRPr="00997BCE">
              <w:rPr>
                <w:rFonts w:ascii="Times New Roman" w:eastAsia="Times New Roman" w:hAnsi="Times New Roman" w:cs="Times New Roman"/>
                <w:sz w:val="20"/>
                <w:szCs w:val="20"/>
                <w:bdr w:val="none" w:sz="0" w:space="0" w:color="auto"/>
                <w:lang w:val="es-ES_tradnl" w:eastAsia="en-US"/>
              </w:rPr>
              <w:t xml:space="preserve">de las </w:t>
            </w:r>
            <w:r w:rsidR="0034570C" w:rsidRPr="00997BCE">
              <w:rPr>
                <w:rFonts w:ascii="Times New Roman" w:eastAsia="Times New Roman" w:hAnsi="Times New Roman" w:cs="Times New Roman"/>
                <w:sz w:val="20"/>
                <w:szCs w:val="20"/>
                <w:bdr w:val="none" w:sz="0" w:space="0" w:color="auto"/>
                <w:lang w:val="es-ES_tradnl" w:eastAsia="en-US"/>
              </w:rPr>
              <w:t>Naciones Unidas</w:t>
            </w:r>
            <w:r w:rsidR="00E258C9" w:rsidRPr="00997BCE">
              <w:rPr>
                <w:rFonts w:ascii="Times New Roman" w:eastAsia="Times New Roman" w:hAnsi="Times New Roman" w:cs="Times New Roman"/>
                <w:sz w:val="20"/>
                <w:szCs w:val="20"/>
                <w:bdr w:val="none" w:sz="0" w:space="0" w:color="auto"/>
                <w:lang w:val="es-ES_tradnl" w:eastAsia="en-US"/>
              </w:rPr>
              <w:t xml:space="preserve"> distinto</w:t>
            </w:r>
            <w:r w:rsidRPr="00997BCE">
              <w:rPr>
                <w:rFonts w:ascii="Times New Roman" w:eastAsia="Times New Roman" w:hAnsi="Times New Roman" w:cs="Times New Roman"/>
                <w:sz w:val="20"/>
                <w:szCs w:val="20"/>
                <w:bdr w:val="none" w:sz="0" w:space="0" w:color="auto"/>
                <w:lang w:val="es-ES_tradnl" w:eastAsia="en-US"/>
              </w:rPr>
              <w:t xml:space="preserve"> del inglés y no pueda ser traducida antes de la reunión en la que será examinada, la información podrá presentarse en la reunión, en cuyo caso podrá interpretarse al inglés, de conformidad con lo dispuesto en el artículo 39 del reglamento.</w:t>
            </w:r>
          </w:p>
          <w:p w14:paraId="3833E79A" w14:textId="770B9DD9" w:rsidR="00901194" w:rsidRPr="00997BCE" w:rsidRDefault="00901194" w:rsidP="00901194">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La Parte </w:t>
            </w:r>
            <w:r w:rsidR="00E258C9" w:rsidRPr="00997BCE">
              <w:rPr>
                <w:rFonts w:ascii="Times New Roman" w:eastAsia="Times New Roman" w:hAnsi="Times New Roman" w:cs="Times New Roman"/>
                <w:sz w:val="20"/>
                <w:szCs w:val="20"/>
                <w:bdr w:val="none" w:sz="0" w:space="0" w:color="auto"/>
                <w:lang w:val="es-ES_tradnl" w:eastAsia="en-US"/>
              </w:rPr>
              <w:t>de que se trate</w:t>
            </w:r>
            <w:r w:rsidRPr="00997BCE">
              <w:rPr>
                <w:rFonts w:ascii="Times New Roman" w:eastAsia="Times New Roman" w:hAnsi="Times New Roman" w:cs="Times New Roman"/>
                <w:sz w:val="20"/>
                <w:szCs w:val="20"/>
                <w:bdr w:val="none" w:sz="0" w:space="0" w:color="auto"/>
                <w:lang w:val="es-ES_tradnl" w:eastAsia="en-US"/>
              </w:rPr>
              <w:t xml:space="preserve"> podrá presentar también información adicional pertinente por iniciativa propia, al menos cinco semanas antes de la apertura de la reunión en </w:t>
            </w:r>
            <w:r w:rsidR="008834F4" w:rsidRPr="00997BCE">
              <w:rPr>
                <w:rFonts w:ascii="Times New Roman" w:eastAsia="Times New Roman" w:hAnsi="Times New Roman" w:cs="Times New Roman"/>
                <w:sz w:val="20"/>
                <w:szCs w:val="20"/>
                <w:bdr w:val="none" w:sz="0" w:space="0" w:color="auto"/>
                <w:lang w:val="es-ES_tradnl" w:eastAsia="en-US"/>
              </w:rPr>
              <w:t xml:space="preserve">la </w:t>
            </w:r>
            <w:r w:rsidRPr="00997BCE">
              <w:rPr>
                <w:rFonts w:ascii="Times New Roman" w:eastAsia="Times New Roman" w:hAnsi="Times New Roman" w:cs="Times New Roman"/>
                <w:sz w:val="20"/>
                <w:szCs w:val="20"/>
                <w:bdr w:val="none" w:sz="0" w:space="0" w:color="auto"/>
                <w:lang w:val="es-ES_tradnl" w:eastAsia="en-US"/>
              </w:rPr>
              <w:t xml:space="preserve">que se ha de examinar su comunicación. Esa información adicional debería incluir un resumen en inglés de un máximo de dos páginas. </w:t>
            </w:r>
          </w:p>
          <w:p w14:paraId="64880A82" w14:textId="47B11C74" w:rsidR="00C433AC" w:rsidRPr="00997BCE" w:rsidRDefault="00901194" w:rsidP="00787827">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Para más información sobre el examen por el Comité de las comunicaciones </w:t>
            </w:r>
            <w:r w:rsidR="00E258C9" w:rsidRPr="00997BCE">
              <w:rPr>
                <w:rFonts w:ascii="Times New Roman" w:eastAsia="Times New Roman" w:hAnsi="Times New Roman" w:cs="Times New Roman"/>
                <w:sz w:val="20"/>
                <w:szCs w:val="20"/>
                <w:bdr w:val="none" w:sz="0" w:space="0" w:color="auto"/>
                <w:lang w:val="es-ES_tradnl" w:eastAsia="en-US"/>
              </w:rPr>
              <w:t>por escrito</w:t>
            </w:r>
            <w:r w:rsidRPr="00997BCE">
              <w:rPr>
                <w:rFonts w:ascii="Times New Roman" w:eastAsia="Times New Roman" w:hAnsi="Times New Roman" w:cs="Times New Roman"/>
                <w:sz w:val="20"/>
                <w:szCs w:val="20"/>
                <w:bdr w:val="none" w:sz="0" w:space="0" w:color="auto"/>
                <w:lang w:val="es-ES_tradnl" w:eastAsia="en-US"/>
              </w:rPr>
              <w:t xml:space="preserve"> de una Parte en relación con su propio cumplimiento, sírvase remitirse al reglamento y el mandato del Comité, que se pueden consultar en: </w:t>
            </w:r>
            <w:hyperlink r:id="rId19" w:history="1">
              <w:r w:rsidR="00CA2744" w:rsidRPr="00997BCE">
                <w:rPr>
                  <w:rStyle w:val="Hyperlink"/>
                  <w:rFonts w:eastAsia="Times New Roman" w:cs="Times New Roman"/>
                  <w:bdr w:val="none" w:sz="0" w:space="0" w:color="auto"/>
                  <w:lang w:val="es-ES_tradnl" w:eastAsia="en-US"/>
                </w:rPr>
                <w:t>www.mercuryconvention.org</w:t>
              </w:r>
            </w:hyperlink>
            <w:r w:rsidRPr="00997BCE">
              <w:rPr>
                <w:rFonts w:ascii="Times New Roman" w:eastAsia="Times New Roman" w:hAnsi="Times New Roman" w:cs="Times New Roman"/>
                <w:sz w:val="20"/>
                <w:szCs w:val="20"/>
                <w:bdr w:val="none" w:sz="0" w:space="0" w:color="auto"/>
                <w:lang w:val="es-ES_tradnl" w:eastAsia="en-US"/>
              </w:rPr>
              <w:t>.</w:t>
            </w:r>
          </w:p>
        </w:tc>
      </w:tr>
    </w:tbl>
    <w:p w14:paraId="18530531" w14:textId="77777777" w:rsidR="00C433AC" w:rsidRPr="00997BCE" w:rsidRDefault="00C433AC" w:rsidP="00C433AC">
      <w:pPr>
        <w:pStyle w:val="Normal-pool"/>
        <w:rPr>
          <w:rFonts w:eastAsia="SimSun"/>
          <w:lang w:val="es-ES_tradnl"/>
        </w:rPr>
      </w:pPr>
    </w:p>
    <w:p w14:paraId="43FAF59A" w14:textId="77777777" w:rsidR="00C433AC" w:rsidRPr="002927A1" w:rsidRDefault="00C433AC" w:rsidP="00C433AC">
      <w:pPr>
        <w:pStyle w:val="Normal-pool"/>
        <w:rPr>
          <w:lang w:val="es-ES_tradnl"/>
        </w:rPr>
      </w:pPr>
      <w:r w:rsidRPr="002927A1">
        <w:rPr>
          <w:lang w:val="es-ES_tradnl"/>
        </w:rPr>
        <w:br w:type="page"/>
      </w:r>
    </w:p>
    <w:p w14:paraId="0DACF5C2" w14:textId="543E7560" w:rsidR="00C433AC" w:rsidRPr="002927A1" w:rsidRDefault="00C433AC" w:rsidP="00C433AC">
      <w:pPr>
        <w:pStyle w:val="CH1"/>
        <w:rPr>
          <w:lang w:val="es-ES_tradnl"/>
        </w:rPr>
      </w:pPr>
      <w:r w:rsidRPr="002927A1">
        <w:rPr>
          <w:lang w:val="es-ES_tradnl"/>
        </w:rPr>
        <w:lastRenderedPageBreak/>
        <w:tab/>
        <w:t>I.</w:t>
      </w:r>
      <w:r w:rsidRPr="002927A1">
        <w:rPr>
          <w:lang w:val="es-ES_tradnl"/>
        </w:rPr>
        <w:tab/>
      </w:r>
      <w:r w:rsidR="00901194" w:rsidRPr="002927A1">
        <w:rPr>
          <w:lang w:val="es-ES_tradnl"/>
        </w:rPr>
        <w:t>Parte e información de contacto</w:t>
      </w:r>
    </w:p>
    <w:p w14:paraId="3F5CBAAA" w14:textId="47836F10" w:rsidR="00C433AC" w:rsidRPr="002927A1" w:rsidRDefault="00C433AC" w:rsidP="00C433AC">
      <w:pPr>
        <w:tabs>
          <w:tab w:val="left" w:pos="4082"/>
        </w:tabs>
        <w:spacing w:after="120"/>
        <w:ind w:left="1247"/>
        <w:rPr>
          <w:iCs/>
        </w:rPr>
      </w:pPr>
      <w:r w:rsidRPr="002927A1">
        <w:rPr>
          <w:i/>
          <w:iCs/>
        </w:rPr>
        <w:t>[</w:t>
      </w:r>
      <w:r w:rsidR="00901194" w:rsidRPr="002927A1">
        <w:rPr>
          <w:i/>
          <w:iCs/>
        </w:rPr>
        <w:t xml:space="preserve">Indicar a continuación el nombre de la Parte </w:t>
      </w:r>
      <w:r w:rsidR="00641BF9" w:rsidRPr="002927A1">
        <w:rPr>
          <w:i/>
          <w:iCs/>
        </w:rPr>
        <w:t>a la que concierne la comunicación</w:t>
      </w:r>
      <w:r w:rsidR="00901194" w:rsidRPr="002927A1">
        <w:rPr>
          <w:i/>
          <w:iCs/>
        </w:rPr>
        <w:t xml:space="preserve"> y los datos de contacto del coordinador nacional u otra autoridad pertinente de la Parte que transmite la comunicación relacionada con su propio cumplimiento</w:t>
      </w:r>
      <w:r w:rsidRPr="002927A1">
        <w:rPr>
          <w:i/>
          <w:iCs/>
        </w:rPr>
        <w:t xml:space="preserve">.] </w:t>
      </w:r>
    </w:p>
    <w:tbl>
      <w:tblPr>
        <w:tblW w:w="835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1559"/>
        <w:gridCol w:w="841"/>
        <w:gridCol w:w="1711"/>
        <w:gridCol w:w="1012"/>
        <w:gridCol w:w="2097"/>
      </w:tblGrid>
      <w:tr w:rsidR="00901194" w:rsidRPr="002927A1" w14:paraId="5CA45D1C" w14:textId="77777777" w:rsidTr="009E027F">
        <w:trPr>
          <w:trHeight w:val="4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6371E585" w14:textId="7910137B"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2927A1">
              <w:rPr>
                <w:i/>
                <w:color w:val="FFFFFF" w:themeColor="background1"/>
                <w:sz w:val="18"/>
                <w:szCs w:val="18"/>
              </w:rPr>
              <w:t xml:space="preserve">PARTE: </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7F1063" w14:textId="3668F03F" w:rsidR="00901194" w:rsidRPr="002927A1" w:rsidRDefault="00901194" w:rsidP="00901194">
            <w:pPr>
              <w:rPr>
                <w:i/>
                <w:iCs/>
                <w:color w:val="000000"/>
                <w:sz w:val="18"/>
                <w:szCs w:val="18"/>
              </w:rPr>
            </w:pPr>
            <w:r w:rsidRPr="002927A1">
              <w:rPr>
                <w:i/>
                <w:iCs/>
                <w:sz w:val="18"/>
                <w:szCs w:val="18"/>
              </w:rPr>
              <w:t>[</w:t>
            </w:r>
            <w:r w:rsidRPr="002927A1">
              <w:rPr>
                <w:i/>
                <w:sz w:val="18"/>
                <w:szCs w:val="18"/>
              </w:rPr>
              <w:t>indicar el nombre de la Parte a la que concierna la comunicación presentada]</w:t>
            </w:r>
          </w:p>
        </w:tc>
      </w:tr>
      <w:tr w:rsidR="00901194" w:rsidRPr="002927A1" w14:paraId="74B0783C" w14:textId="77777777" w:rsidTr="009E027F">
        <w:trPr>
          <w:trHeight w:val="25"/>
          <w:jc w:val="right"/>
        </w:trPr>
        <w:tc>
          <w:tcPr>
            <w:tcW w:w="8354"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2894EF63" w14:textId="03507D8E"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2927A1">
              <w:rPr>
                <w:i/>
                <w:color w:val="FFFFFF" w:themeColor="background1"/>
                <w:sz w:val="18"/>
                <w:szCs w:val="18"/>
              </w:rPr>
              <w:t>DATOS DE CONTACTO DEL COORDINADOR NACIONAL DEL CONVENIO DE MINAMATA U OTRA AUTORIDAD PERTINENTE DE LA PARTE QUE TRANSMITE LA COMUNICACIÓN</w:t>
            </w:r>
          </w:p>
        </w:tc>
      </w:tr>
      <w:tr w:rsidR="00901194" w:rsidRPr="002927A1" w14:paraId="2A956CE8" w14:textId="77777777" w:rsidTr="009E027F">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1019CBE" w14:textId="4CAB79E6"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Nombre/Apellido</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E7041C" w14:textId="77777777"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901194" w:rsidRPr="002927A1" w14:paraId="54902FF4" w14:textId="77777777" w:rsidTr="009E027F">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417FC5BD" w14:textId="1329C3CA"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Cargo:</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D1CC1C" w14:textId="77777777"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901194" w:rsidRPr="002927A1" w14:paraId="18529128" w14:textId="77777777" w:rsidTr="009E027F">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A8C7F0E" w14:textId="4B833A36" w:rsidR="00901194" w:rsidRPr="002927A1" w:rsidRDefault="00E258C9" w:rsidP="00901194">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Sección</w:t>
            </w:r>
            <w:r w:rsidR="00901194" w:rsidRPr="002927A1">
              <w:rPr>
                <w:i/>
                <w:sz w:val="18"/>
                <w:szCs w:val="18"/>
              </w:rPr>
              <w:t>/Departamento:</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F306A4" w14:textId="77777777"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901194" w:rsidRPr="002927A1" w14:paraId="328FF0EA" w14:textId="77777777" w:rsidTr="009E027F">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2975B43" w14:textId="4F406C89"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Organización/Institución</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94E7DD" w14:textId="77777777"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901194" w:rsidRPr="002927A1" w14:paraId="3CEDBA6D" w14:textId="77777777" w:rsidTr="009E027F">
        <w:trPr>
          <w:trHeight w:val="25"/>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5719FC93" w14:textId="4BB2B089"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Dirección:</w:t>
            </w:r>
          </w:p>
        </w:tc>
        <w:tc>
          <w:tcPr>
            <w:tcW w:w="722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1AFB7CC1" w14:textId="77777777" w:rsidR="00901194" w:rsidRPr="002927A1" w:rsidRDefault="00901194" w:rsidP="00901194">
            <w:pPr>
              <w:rPr>
                <w:i/>
                <w:iCs/>
                <w:color w:val="404040"/>
                <w:sz w:val="18"/>
                <w:szCs w:val="18"/>
              </w:rPr>
            </w:pPr>
          </w:p>
        </w:tc>
      </w:tr>
      <w:tr w:rsidR="00901194" w:rsidRPr="002927A1" w14:paraId="3A029891" w14:textId="77777777" w:rsidTr="00F83BF2">
        <w:trPr>
          <w:trHeight w:val="294"/>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0715B7ED" w14:textId="1864C2A3" w:rsidR="00901194" w:rsidRPr="002927A1" w:rsidRDefault="00901194" w:rsidP="00901194">
            <w:pPr>
              <w:rPr>
                <w:i/>
                <w:iCs/>
                <w:color w:val="404040"/>
                <w:sz w:val="18"/>
                <w:szCs w:val="18"/>
              </w:rPr>
            </w:pPr>
            <w:r w:rsidRPr="002927A1">
              <w:rPr>
                <w:i/>
                <w:sz w:val="18"/>
                <w:szCs w:val="18"/>
              </w:rPr>
              <w:t>Código postal: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673DA7C8" w14:textId="77777777" w:rsidR="00901194" w:rsidRPr="002927A1" w:rsidRDefault="00901194" w:rsidP="00901194">
            <w:pPr>
              <w:rPr>
                <w:i/>
                <w:iCs/>
                <w:color w:val="404040"/>
                <w:sz w:val="18"/>
                <w:szCs w:val="18"/>
              </w:rPr>
            </w:pPr>
          </w:p>
        </w:tc>
        <w:tc>
          <w:tcPr>
            <w:tcW w:w="841" w:type="dxa"/>
            <w:tcBorders>
              <w:top w:val="single" w:sz="8" w:space="0" w:color="000000"/>
              <w:left w:val="single" w:sz="8" w:space="0" w:color="000000"/>
              <w:bottom w:val="single" w:sz="8" w:space="0" w:color="000000"/>
              <w:right w:val="single" w:sz="8" w:space="0" w:color="000000"/>
            </w:tcBorders>
            <w:shd w:val="clear" w:color="auto" w:fill="D5D5D5"/>
            <w:hideMark/>
          </w:tcPr>
          <w:p w14:paraId="435A95B2" w14:textId="438940A9" w:rsidR="00901194" w:rsidRPr="002927A1" w:rsidRDefault="00901194" w:rsidP="00901194">
            <w:pPr>
              <w:rPr>
                <w:i/>
                <w:iCs/>
                <w:color w:val="404040"/>
                <w:sz w:val="18"/>
                <w:szCs w:val="18"/>
              </w:rPr>
            </w:pPr>
            <w:r w:rsidRPr="002927A1">
              <w:rPr>
                <w:i/>
                <w:sz w:val="18"/>
                <w:szCs w:val="18"/>
              </w:rPr>
              <w:t>Ciudad:</w:t>
            </w:r>
          </w:p>
        </w:tc>
        <w:tc>
          <w:tcPr>
            <w:tcW w:w="1711" w:type="dxa"/>
            <w:tcBorders>
              <w:top w:val="single" w:sz="8" w:space="0" w:color="000000"/>
              <w:left w:val="single" w:sz="8" w:space="0" w:color="000000"/>
              <w:bottom w:val="single" w:sz="8" w:space="0" w:color="000000"/>
              <w:right w:val="single" w:sz="8" w:space="0" w:color="000000"/>
            </w:tcBorders>
            <w:shd w:val="clear" w:color="auto" w:fill="FFFFFF"/>
            <w:hideMark/>
          </w:tcPr>
          <w:p w14:paraId="052DB90A" w14:textId="77777777" w:rsidR="00901194" w:rsidRPr="002927A1" w:rsidRDefault="00901194" w:rsidP="00901194">
            <w:pPr>
              <w:rPr>
                <w:i/>
                <w:iCs/>
                <w:color w:val="404040"/>
                <w:sz w:val="18"/>
                <w:szCs w:val="18"/>
              </w:rPr>
            </w:pPr>
          </w:p>
        </w:tc>
        <w:tc>
          <w:tcPr>
            <w:tcW w:w="1012" w:type="dxa"/>
            <w:tcBorders>
              <w:top w:val="single" w:sz="8" w:space="0" w:color="000000"/>
              <w:left w:val="single" w:sz="8" w:space="0" w:color="000000"/>
              <w:bottom w:val="single" w:sz="8" w:space="0" w:color="000000"/>
              <w:right w:val="single" w:sz="8" w:space="0" w:color="000000"/>
            </w:tcBorders>
            <w:shd w:val="clear" w:color="auto" w:fill="D5D5D5"/>
            <w:hideMark/>
          </w:tcPr>
          <w:p w14:paraId="46207346" w14:textId="3F20D766" w:rsidR="00901194" w:rsidRPr="002927A1" w:rsidRDefault="00901194" w:rsidP="00901194">
            <w:pPr>
              <w:rPr>
                <w:i/>
                <w:iCs/>
                <w:color w:val="404040"/>
                <w:sz w:val="18"/>
                <w:szCs w:val="18"/>
              </w:rPr>
            </w:pPr>
            <w:r w:rsidRPr="002927A1">
              <w:rPr>
                <w:i/>
                <w:sz w:val="18"/>
                <w:szCs w:val="18"/>
              </w:rPr>
              <w:t>País:</w:t>
            </w:r>
          </w:p>
        </w:tc>
        <w:tc>
          <w:tcPr>
            <w:tcW w:w="2097" w:type="dxa"/>
            <w:tcBorders>
              <w:top w:val="single" w:sz="8" w:space="0" w:color="000000"/>
              <w:left w:val="single" w:sz="8" w:space="0" w:color="000000"/>
              <w:bottom w:val="single" w:sz="8" w:space="0" w:color="000000"/>
              <w:right w:val="single" w:sz="8" w:space="0" w:color="000000"/>
            </w:tcBorders>
            <w:shd w:val="clear" w:color="auto" w:fill="FFFFFF"/>
            <w:hideMark/>
          </w:tcPr>
          <w:p w14:paraId="65F31892" w14:textId="77777777" w:rsidR="00901194" w:rsidRPr="002927A1" w:rsidRDefault="00901194" w:rsidP="00901194">
            <w:pPr>
              <w:rPr>
                <w:i/>
                <w:iCs/>
                <w:color w:val="404040"/>
                <w:sz w:val="18"/>
                <w:szCs w:val="18"/>
              </w:rPr>
            </w:pPr>
          </w:p>
        </w:tc>
      </w:tr>
      <w:tr w:rsidR="00901194" w:rsidRPr="002927A1" w14:paraId="6333CA11" w14:textId="77777777" w:rsidTr="009E027F">
        <w:trPr>
          <w:trHeight w:val="25"/>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10A3D25D" w14:textId="58DD9889"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927A1">
              <w:rPr>
                <w:i/>
                <w:sz w:val="18"/>
                <w:szCs w:val="18"/>
              </w:rPr>
              <w:t>Teléfono (incluir código de país y ciudad):</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77C9EB89" w14:textId="34D5A534"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927A1">
              <w:rPr>
                <w:i/>
                <w:sz w:val="18"/>
                <w:szCs w:val="18"/>
              </w:rPr>
              <w:t>Fax (incluir código de país y ciudad):</w:t>
            </w:r>
          </w:p>
        </w:tc>
        <w:tc>
          <w:tcPr>
            <w:tcW w:w="3109"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185DD7FD" w14:textId="516DD12D" w:rsidR="00901194" w:rsidRPr="002927A1" w:rsidRDefault="00901194" w:rsidP="00901194">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927A1">
              <w:rPr>
                <w:i/>
                <w:sz w:val="18"/>
                <w:szCs w:val="18"/>
              </w:rPr>
              <w:t>Correo electrónico:</w:t>
            </w:r>
          </w:p>
        </w:tc>
      </w:tr>
      <w:tr w:rsidR="00C433AC" w:rsidRPr="002927A1" w14:paraId="0EE4379C" w14:textId="77777777" w:rsidTr="009E027F">
        <w:trPr>
          <w:trHeight w:val="25"/>
          <w:jc w:val="right"/>
        </w:trPr>
        <w:tc>
          <w:tcPr>
            <w:tcW w:w="2693"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hideMark/>
          </w:tcPr>
          <w:p w14:paraId="54DBE11D" w14:textId="77777777" w:rsidR="00C433AC" w:rsidRPr="002927A1"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bookmarkStart w:id="92" w:name="_Hlk13837024"/>
          </w:p>
        </w:tc>
        <w:tc>
          <w:tcPr>
            <w:tcW w:w="2552" w:type="dxa"/>
            <w:gridSpan w:val="2"/>
            <w:tcBorders>
              <w:top w:val="single" w:sz="8" w:space="0" w:color="000000"/>
              <w:left w:val="single" w:sz="8" w:space="0" w:color="000000"/>
              <w:bottom w:val="single" w:sz="2" w:space="0" w:color="000000"/>
              <w:right w:val="single" w:sz="8" w:space="0" w:color="000000"/>
            </w:tcBorders>
            <w:hideMark/>
          </w:tcPr>
          <w:p w14:paraId="125807CE" w14:textId="77777777" w:rsidR="00C433AC" w:rsidRPr="002927A1"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c>
          <w:tcPr>
            <w:tcW w:w="3109" w:type="dxa"/>
            <w:gridSpan w:val="2"/>
            <w:tcBorders>
              <w:top w:val="single" w:sz="8" w:space="0" w:color="000000"/>
              <w:left w:val="single" w:sz="8" w:space="0" w:color="000000"/>
              <w:bottom w:val="single" w:sz="2" w:space="0" w:color="000000"/>
              <w:right w:val="single" w:sz="8" w:space="0" w:color="000000"/>
            </w:tcBorders>
            <w:hideMark/>
          </w:tcPr>
          <w:p w14:paraId="56301D63" w14:textId="77777777" w:rsidR="00C433AC" w:rsidRPr="002927A1"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r>
    </w:tbl>
    <w:bookmarkEnd w:id="92"/>
    <w:p w14:paraId="64360A93" w14:textId="36A0FC11" w:rsidR="00C433AC" w:rsidRPr="002927A1" w:rsidRDefault="00C433AC" w:rsidP="00C433AC">
      <w:pPr>
        <w:pStyle w:val="CH1"/>
        <w:rPr>
          <w:lang w:val="es-ES_tradnl"/>
        </w:rPr>
      </w:pPr>
      <w:r w:rsidRPr="002927A1">
        <w:rPr>
          <w:lang w:val="es-ES_tradnl"/>
        </w:rPr>
        <w:tab/>
        <w:t>II.</w:t>
      </w:r>
      <w:r w:rsidRPr="002927A1">
        <w:rPr>
          <w:lang w:val="es-ES_tradnl"/>
        </w:rPr>
        <w:tab/>
      </w:r>
      <w:r w:rsidR="00901194" w:rsidRPr="002927A1">
        <w:rPr>
          <w:lang w:val="es-ES_tradnl"/>
        </w:rPr>
        <w:t>Cuestión que suscita preocupación</w:t>
      </w:r>
      <w:r w:rsidRPr="002927A1">
        <w:rPr>
          <w:lang w:val="es-ES_tradnl"/>
        </w:rPr>
        <w:t xml:space="preserve"> </w:t>
      </w:r>
    </w:p>
    <w:p w14:paraId="08409E5E" w14:textId="3FADCE1E" w:rsidR="00C433AC" w:rsidRPr="002927A1" w:rsidRDefault="00C433AC" w:rsidP="00F83BF2">
      <w:pPr>
        <w:tabs>
          <w:tab w:val="left" w:pos="4082"/>
        </w:tabs>
        <w:spacing w:after="120"/>
        <w:ind w:left="1247"/>
        <w:rPr>
          <w:i/>
          <w:iCs/>
        </w:rPr>
      </w:pPr>
      <w:r w:rsidRPr="002927A1">
        <w:rPr>
          <w:i/>
          <w:iCs/>
        </w:rPr>
        <w:t>[</w:t>
      </w:r>
      <w:r w:rsidR="00901194" w:rsidRPr="002927A1">
        <w:rPr>
          <w:i/>
          <w:iCs/>
        </w:rPr>
        <w:t>Proporcionar información de antecedentes y describir el motivo de preocupación, a saber, la cuestión relativa al cumplimiento que se presenta. Indicar las capacidades y circunstancias nacionales de la Parte en lo que se refiere a este asunto</w:t>
      </w:r>
      <w:r w:rsidRPr="002927A1">
        <w:rPr>
          <w:i/>
          <w:iCs/>
        </w:rPr>
        <w:t>]</w:t>
      </w:r>
    </w:p>
    <w:p w14:paraId="32084461" w14:textId="162FE446" w:rsidR="00C433AC" w:rsidRPr="002927A1" w:rsidRDefault="00C433AC" w:rsidP="00C433AC">
      <w:pPr>
        <w:pStyle w:val="CH1"/>
        <w:rPr>
          <w:lang w:val="es-ES_tradnl"/>
        </w:rPr>
      </w:pPr>
      <w:r w:rsidRPr="002927A1">
        <w:rPr>
          <w:lang w:val="es-ES_tradnl"/>
        </w:rPr>
        <w:tab/>
        <w:t>III.</w:t>
      </w:r>
      <w:r w:rsidRPr="002927A1">
        <w:rPr>
          <w:lang w:val="es-ES_tradnl"/>
        </w:rPr>
        <w:tab/>
      </w:r>
      <w:r w:rsidR="00901194" w:rsidRPr="002927A1">
        <w:rPr>
          <w:lang w:val="es-ES_tradnl"/>
        </w:rPr>
        <w:t>Disposiciones pertinentes del Convenio</w:t>
      </w:r>
    </w:p>
    <w:p w14:paraId="02341AFA" w14:textId="13C35B52" w:rsidR="00C433AC" w:rsidRPr="002927A1" w:rsidRDefault="00C433AC" w:rsidP="00C433AC">
      <w:pPr>
        <w:tabs>
          <w:tab w:val="left" w:pos="4082"/>
        </w:tabs>
        <w:spacing w:after="120"/>
        <w:ind w:left="1247"/>
        <w:rPr>
          <w:i/>
          <w:iCs/>
        </w:rPr>
      </w:pPr>
      <w:r w:rsidRPr="002927A1">
        <w:rPr>
          <w:i/>
          <w:iCs/>
        </w:rPr>
        <w:t>[</w:t>
      </w:r>
      <w:r w:rsidR="00901194" w:rsidRPr="002927A1">
        <w:rPr>
          <w:i/>
          <w:iCs/>
        </w:rPr>
        <w:t>Indicar la disposición o las disposiciones pertinentes del Convenio a que se refiere la cuestión relativa al cumplimiento. Especificar los artículos, párrafos, apartados o anexos correspondientes, según proceda</w:t>
      </w:r>
      <w:r w:rsidRPr="002927A1">
        <w:rPr>
          <w:i/>
          <w:iCs/>
        </w:rPr>
        <w:t>.]</w:t>
      </w:r>
    </w:p>
    <w:p w14:paraId="23FBA537" w14:textId="04F930E3" w:rsidR="00C433AC" w:rsidRPr="002927A1" w:rsidRDefault="00C433AC" w:rsidP="00C433AC">
      <w:pPr>
        <w:pStyle w:val="CH1"/>
        <w:rPr>
          <w:lang w:val="es-ES_tradnl"/>
        </w:rPr>
      </w:pPr>
      <w:r w:rsidRPr="002927A1">
        <w:rPr>
          <w:lang w:val="es-ES_tradnl"/>
        </w:rPr>
        <w:tab/>
        <w:t>IV.</w:t>
      </w:r>
      <w:r w:rsidRPr="002927A1">
        <w:rPr>
          <w:lang w:val="es-ES_tradnl"/>
        </w:rPr>
        <w:tab/>
        <w:t>E</w:t>
      </w:r>
      <w:r w:rsidR="00901194" w:rsidRPr="002927A1">
        <w:rPr>
          <w:lang w:val="es-ES_tradnl"/>
        </w:rPr>
        <w:t>sfuerzos por resolver las cuestiones que hayan suscitado preocupación</w:t>
      </w:r>
    </w:p>
    <w:p w14:paraId="07FDF1E6" w14:textId="4C1CC4A5" w:rsidR="00C433AC" w:rsidRPr="002927A1" w:rsidRDefault="00C433AC" w:rsidP="00C433AC">
      <w:pPr>
        <w:tabs>
          <w:tab w:val="left" w:pos="4082"/>
        </w:tabs>
        <w:spacing w:after="120"/>
        <w:ind w:left="1247"/>
        <w:rPr>
          <w:i/>
        </w:rPr>
      </w:pPr>
      <w:r w:rsidRPr="002927A1">
        <w:rPr>
          <w:i/>
        </w:rPr>
        <w:t>[</w:t>
      </w:r>
      <w:r w:rsidR="00901194" w:rsidRPr="002927A1">
        <w:rPr>
          <w:i/>
        </w:rPr>
        <w:t>Proporcionar información sobre las medidas adoptadas o en curso de adopción para resolver el asunto que ha suscitado preocupación; de no haberse adoptado ninguna medida, explicar el motivo</w:t>
      </w:r>
      <w:r w:rsidRPr="002927A1">
        <w:rPr>
          <w:i/>
        </w:rPr>
        <w:t>.]</w:t>
      </w:r>
    </w:p>
    <w:p w14:paraId="3435B08A" w14:textId="2AF17290" w:rsidR="00C433AC" w:rsidRPr="002927A1" w:rsidRDefault="00C433AC" w:rsidP="00C433AC">
      <w:pPr>
        <w:pStyle w:val="CH1"/>
        <w:rPr>
          <w:lang w:val="es-ES_tradnl"/>
        </w:rPr>
      </w:pPr>
      <w:r w:rsidRPr="002927A1">
        <w:rPr>
          <w:lang w:val="es-ES_tradnl"/>
        </w:rPr>
        <w:tab/>
        <w:t>V.</w:t>
      </w:r>
      <w:r w:rsidRPr="002927A1">
        <w:rPr>
          <w:lang w:val="es-ES_tradnl"/>
        </w:rPr>
        <w:tab/>
      </w:r>
      <w:r w:rsidR="00901194" w:rsidRPr="002927A1">
        <w:rPr>
          <w:color w:val="404040"/>
          <w:lang w:val="es-ES_tradnl"/>
        </w:rPr>
        <w:t>Información confidencial o protegida</w:t>
      </w:r>
    </w:p>
    <w:p w14:paraId="0AC26984" w14:textId="56FF9598" w:rsidR="00C433AC" w:rsidRPr="002927A1" w:rsidRDefault="00C433AC" w:rsidP="00C433AC">
      <w:pPr>
        <w:tabs>
          <w:tab w:val="left" w:pos="4082"/>
        </w:tabs>
        <w:spacing w:after="120"/>
        <w:ind w:left="1247"/>
        <w:rPr>
          <w:i/>
        </w:rPr>
      </w:pPr>
      <w:r w:rsidRPr="002927A1">
        <w:rPr>
          <w:i/>
        </w:rPr>
        <w:t>[</w:t>
      </w:r>
      <w:r w:rsidR="00901194" w:rsidRPr="002927A1">
        <w:rPr>
          <w:i/>
        </w:rPr>
        <w:t>La información proporcionada al Comité en confianza, en particular de una Parte en relación con su propio cumplimiento, será tratada confidencialmente. Sin embargo, sírvase especificar toda solicitud concreta relativa a información confidencial o protegida, por ejemplo, la información que no debería divulgarse en los informes y las recomendaciones del Comité</w:t>
      </w:r>
      <w:r w:rsidRPr="002927A1">
        <w:rPr>
          <w:i/>
        </w:rPr>
        <w:t>.]</w:t>
      </w:r>
    </w:p>
    <w:p w14:paraId="5F569616" w14:textId="1F67053D" w:rsidR="00C433AC" w:rsidRPr="002927A1" w:rsidRDefault="00C433AC" w:rsidP="00C433AC">
      <w:pPr>
        <w:pStyle w:val="CH1"/>
        <w:rPr>
          <w:lang w:val="es-ES_tradnl"/>
        </w:rPr>
      </w:pPr>
      <w:r w:rsidRPr="002927A1">
        <w:rPr>
          <w:lang w:val="es-ES_tradnl"/>
        </w:rPr>
        <w:tab/>
        <w:t>VI.</w:t>
      </w:r>
      <w:r w:rsidRPr="002927A1">
        <w:rPr>
          <w:lang w:val="es-ES_tradnl"/>
        </w:rPr>
        <w:tab/>
      </w:r>
      <w:r w:rsidR="00901194" w:rsidRPr="002927A1">
        <w:rPr>
          <w:lang w:val="es-ES_tradnl"/>
        </w:rPr>
        <w:t>Firma</w:t>
      </w:r>
    </w:p>
    <w:p w14:paraId="17C8BF7C" w14:textId="0DEB3372" w:rsidR="00C433AC" w:rsidRPr="002927A1" w:rsidRDefault="00C433AC" w:rsidP="00C433AC">
      <w:pPr>
        <w:tabs>
          <w:tab w:val="left" w:pos="4082"/>
        </w:tabs>
        <w:spacing w:after="120"/>
        <w:ind w:left="1247"/>
        <w:rPr>
          <w:i/>
        </w:rPr>
      </w:pPr>
      <w:r w:rsidRPr="002927A1">
        <w:rPr>
          <w:i/>
        </w:rPr>
        <w:t>[</w:t>
      </w:r>
      <w:r w:rsidR="00901194" w:rsidRPr="002927A1">
        <w:rPr>
          <w:i/>
        </w:rPr>
        <w:t>La comunicación será firmada por el coordinador nacional del Convenio de Minamata o, si es transmitida por otra autoridad pertinente de la Parte, por la persona autorizada a firmar en su nombre</w:t>
      </w:r>
      <w:r w:rsidRPr="002927A1">
        <w:rPr>
          <w:i/>
        </w:rPr>
        <w:t>.]</w:t>
      </w:r>
    </w:p>
    <w:p w14:paraId="7458E9B4" w14:textId="77777777" w:rsidR="00C433AC" w:rsidRPr="002927A1" w:rsidRDefault="00C433AC">
      <w:pPr>
        <w:tabs>
          <w:tab w:val="clear" w:pos="1247"/>
          <w:tab w:val="clear" w:pos="1814"/>
          <w:tab w:val="clear" w:pos="2381"/>
          <w:tab w:val="clear" w:pos="2948"/>
          <w:tab w:val="clear" w:pos="3515"/>
        </w:tabs>
        <w:rPr>
          <w:b/>
          <w:bCs/>
          <w:sz w:val="24"/>
          <w:szCs w:val="24"/>
        </w:rPr>
      </w:pPr>
      <w:bookmarkStart w:id="93" w:name="_Toc27124751"/>
      <w:r w:rsidRPr="002927A1">
        <w:rPr>
          <w:bCs/>
        </w:rPr>
        <w:br w:type="page"/>
      </w:r>
    </w:p>
    <w:p w14:paraId="0E66D733" w14:textId="0597D651" w:rsidR="003F4DA7" w:rsidRPr="002752CA" w:rsidRDefault="008A104A" w:rsidP="00546E2E">
      <w:pPr>
        <w:pStyle w:val="CH2"/>
        <w:rPr>
          <w:bCs/>
          <w:sz w:val="28"/>
          <w:szCs w:val="28"/>
          <w:lang w:val="es-ES_tradnl"/>
        </w:rPr>
      </w:pPr>
      <w:r w:rsidRPr="002927A1">
        <w:rPr>
          <w:bCs/>
          <w:lang w:val="es-ES_tradnl"/>
        </w:rPr>
        <w:lastRenderedPageBreak/>
        <w:tab/>
      </w:r>
      <w:r w:rsidRPr="002927A1">
        <w:rPr>
          <w:bCs/>
          <w:lang w:val="es-ES_tradnl"/>
        </w:rPr>
        <w:tab/>
      </w:r>
      <w:r w:rsidR="003F4DA7" w:rsidRPr="002752CA">
        <w:rPr>
          <w:bCs/>
          <w:sz w:val="28"/>
          <w:szCs w:val="28"/>
          <w:lang w:val="es-ES_tradnl"/>
        </w:rPr>
        <w:t xml:space="preserve">MC-3/10: </w:t>
      </w:r>
      <w:bookmarkEnd w:id="93"/>
      <w:r w:rsidR="00425C72" w:rsidRPr="002752CA">
        <w:rPr>
          <w:bCs/>
          <w:sz w:val="28"/>
          <w:szCs w:val="28"/>
          <w:lang w:val="es-ES_tradnl"/>
        </w:rPr>
        <w:t>Arreglos para la primera evaluación de la eficacia del Convenio de Minamata sobre el Mercurio</w:t>
      </w:r>
    </w:p>
    <w:p w14:paraId="1A5A6FC9" w14:textId="4C03E59E" w:rsidR="003F4DA7" w:rsidRPr="002927A1" w:rsidRDefault="00144683" w:rsidP="0088695B">
      <w:pPr>
        <w:tabs>
          <w:tab w:val="clear" w:pos="1247"/>
          <w:tab w:val="clear" w:pos="1814"/>
          <w:tab w:val="clear" w:pos="2381"/>
          <w:tab w:val="clear" w:pos="2948"/>
          <w:tab w:val="clear" w:pos="3515"/>
        </w:tabs>
        <w:spacing w:before="120" w:after="120"/>
        <w:ind w:left="1247" w:firstLine="624"/>
        <w:rPr>
          <w:i/>
        </w:rPr>
      </w:pPr>
      <w:r w:rsidRPr="002927A1">
        <w:rPr>
          <w:i/>
        </w:rPr>
        <w:t xml:space="preserve">La </w:t>
      </w:r>
      <w:r w:rsidR="003F4DA7" w:rsidRPr="002927A1">
        <w:rPr>
          <w:i/>
        </w:rPr>
        <w:t>Conferenc</w:t>
      </w:r>
      <w:r w:rsidRPr="002927A1">
        <w:rPr>
          <w:i/>
        </w:rPr>
        <w:t>ia de las</w:t>
      </w:r>
      <w:r w:rsidR="003F4DA7" w:rsidRPr="002927A1">
        <w:rPr>
          <w:i/>
        </w:rPr>
        <w:t xml:space="preserve"> Partes, </w:t>
      </w:r>
    </w:p>
    <w:p w14:paraId="1A7F2499" w14:textId="5AE9DC9B" w:rsidR="003F4DA7" w:rsidRPr="002927A1" w:rsidRDefault="00144683" w:rsidP="0088695B">
      <w:pPr>
        <w:tabs>
          <w:tab w:val="clear" w:pos="1247"/>
          <w:tab w:val="clear" w:pos="1814"/>
          <w:tab w:val="clear" w:pos="2381"/>
          <w:tab w:val="clear" w:pos="2948"/>
          <w:tab w:val="clear" w:pos="3515"/>
        </w:tabs>
        <w:spacing w:before="120" w:after="120"/>
        <w:ind w:left="1247" w:firstLine="624"/>
        <w:rPr>
          <w:rFonts w:eastAsia="Calibri Light"/>
        </w:rPr>
      </w:pPr>
      <w:r w:rsidRPr="002927A1">
        <w:rPr>
          <w:i/>
        </w:rPr>
        <w:t>Acogiendo</w:t>
      </w:r>
      <w:r w:rsidRPr="002927A1">
        <w:rPr>
          <w:i/>
          <w:iCs/>
        </w:rPr>
        <w:t xml:space="preserve"> con beneplácito</w:t>
      </w:r>
      <w:r w:rsidR="003F4DA7" w:rsidRPr="002927A1">
        <w:rPr>
          <w:i/>
          <w:iCs/>
        </w:rPr>
        <w:t xml:space="preserve"> </w:t>
      </w:r>
      <w:r w:rsidRPr="002927A1">
        <w:t xml:space="preserve">el informe sobre el marco propuesto para la evaluación de la eficacia y las disposiciones en materia de vigilancia en el marco del Convenio de </w:t>
      </w:r>
      <w:r w:rsidR="003F4DA7" w:rsidRPr="002927A1">
        <w:t>Minamata</w:t>
      </w:r>
      <w:r w:rsidR="00CE502E" w:rsidRPr="002927A1">
        <w:rPr>
          <w:rFonts w:eastAsia="Calibri Light"/>
          <w:vertAlign w:val="superscript"/>
        </w:rPr>
        <w:footnoteReference w:id="9"/>
      </w:r>
      <w:r w:rsidRPr="002927A1">
        <w:t>,</w:t>
      </w:r>
      <w:r w:rsidR="003F4DA7" w:rsidRPr="002927A1">
        <w:t xml:space="preserve"> </w:t>
      </w:r>
      <w:r w:rsidRPr="002927A1">
        <w:t xml:space="preserve">y la información complementaria reunida por el grupo especial de expertos técnicos sobre la base de los mandatos recogidos en las decisiones </w:t>
      </w:r>
      <w:r w:rsidR="003F4DA7" w:rsidRPr="002927A1">
        <w:t>MC</w:t>
      </w:r>
      <w:r w:rsidR="00787827" w:rsidRPr="002927A1">
        <w:t>-</w:t>
      </w:r>
      <w:r w:rsidR="003F4DA7" w:rsidRPr="002927A1">
        <w:t xml:space="preserve">1/9 </w:t>
      </w:r>
      <w:r w:rsidRPr="002927A1">
        <w:t>y</w:t>
      </w:r>
      <w:r w:rsidR="003F4DA7" w:rsidRPr="002927A1">
        <w:t xml:space="preserve"> MC-2/10</w:t>
      </w:r>
      <w:r w:rsidR="003F4DA7" w:rsidRPr="002927A1">
        <w:rPr>
          <w:rFonts w:eastAsia="Calibri Light"/>
          <w:vertAlign w:val="superscript"/>
        </w:rPr>
        <w:footnoteReference w:id="10"/>
      </w:r>
      <w:r w:rsidRPr="002927A1">
        <w:t>,</w:t>
      </w:r>
      <w:r w:rsidR="003F4DA7" w:rsidRPr="002927A1">
        <w:t xml:space="preserve"> </w:t>
      </w:r>
    </w:p>
    <w:p w14:paraId="1AABCC5D" w14:textId="7CA7D370" w:rsidR="003F4DA7" w:rsidRPr="002927A1" w:rsidRDefault="003F4DA7" w:rsidP="0088695B">
      <w:pPr>
        <w:tabs>
          <w:tab w:val="clear" w:pos="1247"/>
          <w:tab w:val="clear" w:pos="1814"/>
          <w:tab w:val="clear" w:pos="2381"/>
          <w:tab w:val="clear" w:pos="2948"/>
          <w:tab w:val="clear" w:pos="3515"/>
        </w:tabs>
        <w:spacing w:before="120" w:after="120"/>
        <w:ind w:left="1247" w:firstLine="624"/>
        <w:rPr>
          <w:i/>
        </w:rPr>
      </w:pPr>
      <w:r w:rsidRPr="002927A1">
        <w:rPr>
          <w:i/>
        </w:rPr>
        <w:t>Reco</w:t>
      </w:r>
      <w:r w:rsidR="00144683" w:rsidRPr="002927A1">
        <w:rPr>
          <w:i/>
        </w:rPr>
        <w:t>nociendo</w:t>
      </w:r>
      <w:r w:rsidRPr="002927A1">
        <w:rPr>
          <w:bCs/>
          <w:i/>
        </w:rPr>
        <w:t xml:space="preserve"> </w:t>
      </w:r>
      <w:r w:rsidR="00144683" w:rsidRPr="002927A1">
        <w:t>los esfuerzos desplegados por hacer avanzar la labor sobre la evaluación de la eficacia en la tercera reunión de la Conferencia de las P</w:t>
      </w:r>
      <w:r w:rsidRPr="002927A1">
        <w:t>artes,</w:t>
      </w:r>
    </w:p>
    <w:p w14:paraId="4BCBC9E6" w14:textId="598D7201" w:rsidR="003F4DA7" w:rsidRPr="002927A1" w:rsidRDefault="003F4DA7" w:rsidP="00A524DB">
      <w:pPr>
        <w:numPr>
          <w:ilvl w:val="0"/>
          <w:numId w:val="21"/>
        </w:numPr>
        <w:tabs>
          <w:tab w:val="clear" w:pos="1247"/>
          <w:tab w:val="clear" w:pos="1814"/>
          <w:tab w:val="clear" w:pos="2381"/>
          <w:tab w:val="clear" w:pos="2948"/>
          <w:tab w:val="clear" w:pos="3515"/>
        </w:tabs>
        <w:spacing w:before="120" w:after="120"/>
        <w:ind w:left="1247" w:firstLine="624"/>
      </w:pPr>
      <w:r w:rsidRPr="002927A1">
        <w:rPr>
          <w:i/>
          <w:iCs/>
        </w:rPr>
        <w:t>Invit</w:t>
      </w:r>
      <w:r w:rsidR="00144683" w:rsidRPr="002927A1">
        <w:rPr>
          <w:i/>
          <w:iCs/>
        </w:rPr>
        <w:t>a</w:t>
      </w:r>
      <w:r w:rsidRPr="002927A1">
        <w:t xml:space="preserve"> </w:t>
      </w:r>
      <w:r w:rsidR="00144683" w:rsidRPr="002927A1">
        <w:t xml:space="preserve">a las Partes a que den a conocer sus </w:t>
      </w:r>
      <w:r w:rsidR="00A60CBD" w:rsidRPr="002927A1">
        <w:t>opiniones</w:t>
      </w:r>
      <w:r w:rsidR="00144683" w:rsidRPr="002927A1">
        <w:t xml:space="preserve"> sobre los indicadores recogidos en el anexo </w:t>
      </w:r>
      <w:r w:rsidR="00CE502E" w:rsidRPr="002927A1">
        <w:t>I</w:t>
      </w:r>
      <w:r w:rsidRPr="002927A1">
        <w:t xml:space="preserve"> </w:t>
      </w:r>
      <w:r w:rsidR="00144683" w:rsidRPr="002927A1">
        <w:t xml:space="preserve">de la </w:t>
      </w:r>
      <w:r w:rsidR="00CE502E" w:rsidRPr="002927A1">
        <w:t>present</w:t>
      </w:r>
      <w:r w:rsidR="00144683" w:rsidRPr="002927A1">
        <w:t>e</w:t>
      </w:r>
      <w:r w:rsidRPr="002927A1">
        <w:t xml:space="preserve"> decisi</w:t>
      </w:r>
      <w:r w:rsidR="00144683" w:rsidRPr="002927A1">
        <w:t>ón y solicita a la Secretarí</w:t>
      </w:r>
      <w:r w:rsidRPr="002927A1">
        <w:t>a</w:t>
      </w:r>
      <w:r w:rsidR="00144683" w:rsidRPr="002927A1">
        <w:t xml:space="preserve"> que </w:t>
      </w:r>
      <w:r w:rsidRPr="002927A1">
        <w:t xml:space="preserve">compile </w:t>
      </w:r>
      <w:r w:rsidR="00144683" w:rsidRPr="002927A1">
        <w:t xml:space="preserve">dichas opiniones antes de la cuarta reunión de la </w:t>
      </w:r>
      <w:r w:rsidRPr="002927A1">
        <w:t>Conferenc</w:t>
      </w:r>
      <w:r w:rsidR="00144683" w:rsidRPr="002927A1">
        <w:t>ia de las</w:t>
      </w:r>
      <w:r w:rsidRPr="002927A1">
        <w:t xml:space="preserve"> Partes;</w:t>
      </w:r>
    </w:p>
    <w:p w14:paraId="640D6CA5" w14:textId="0D61FCB8" w:rsidR="003F4DA7" w:rsidRPr="002927A1" w:rsidRDefault="00C23C6D" w:rsidP="00A524DB">
      <w:pPr>
        <w:numPr>
          <w:ilvl w:val="0"/>
          <w:numId w:val="21"/>
        </w:numPr>
        <w:tabs>
          <w:tab w:val="clear" w:pos="1247"/>
          <w:tab w:val="clear" w:pos="1814"/>
          <w:tab w:val="clear" w:pos="2381"/>
          <w:tab w:val="clear" w:pos="2948"/>
          <w:tab w:val="clear" w:pos="3515"/>
        </w:tabs>
        <w:spacing w:before="120" w:after="120"/>
        <w:ind w:left="1247" w:firstLine="624"/>
      </w:pPr>
      <w:r w:rsidRPr="002927A1">
        <w:rPr>
          <w:i/>
        </w:rPr>
        <w:t>Solicita</w:t>
      </w:r>
      <w:r w:rsidR="003F4DA7" w:rsidRPr="002927A1">
        <w:t xml:space="preserve"> </w:t>
      </w:r>
      <w:r w:rsidRPr="002927A1">
        <w:t>a la S</w:t>
      </w:r>
      <w:r w:rsidR="00851014" w:rsidRPr="002927A1">
        <w:t>ecretar</w:t>
      </w:r>
      <w:r w:rsidRPr="002927A1">
        <w:t>ía que promueva la labor garantizando los servicios necesarios para la preparación de</w:t>
      </w:r>
      <w:r w:rsidR="003F4DA7" w:rsidRPr="002927A1">
        <w:t>:</w:t>
      </w:r>
    </w:p>
    <w:p w14:paraId="720DEBF3" w14:textId="1D85B9E0" w:rsidR="003F4DA7" w:rsidRPr="002927A1" w:rsidRDefault="00C23C6D" w:rsidP="00A524DB">
      <w:pPr>
        <w:numPr>
          <w:ilvl w:val="0"/>
          <w:numId w:val="22"/>
        </w:numPr>
        <w:tabs>
          <w:tab w:val="clear" w:pos="848"/>
          <w:tab w:val="clear" w:pos="1247"/>
          <w:tab w:val="clear" w:pos="1814"/>
          <w:tab w:val="clear" w:pos="2381"/>
          <w:tab w:val="clear" w:pos="2948"/>
          <w:tab w:val="clear" w:pos="3515"/>
        </w:tabs>
        <w:spacing w:before="120" w:after="120"/>
        <w:ind w:left="1247" w:firstLine="624"/>
      </w:pPr>
      <w:r w:rsidRPr="002927A1">
        <w:t xml:space="preserve">Orientaciones en materia de vigilancia que hagan posible obtener información armonizada y comparable sobre los niveles de mercurio en el medio ambiente, tomando en consideración el proyecto de estructura recogido en la nota sobre la información </w:t>
      </w:r>
      <w:r w:rsidR="00F61D30">
        <w:t>de contexto</w:t>
      </w:r>
      <w:r w:rsidRPr="002927A1">
        <w:t xml:space="preserve"> relativa a la vigilancia del mercurio</w:t>
      </w:r>
      <w:r w:rsidR="00CE502E" w:rsidRPr="002927A1">
        <w:rPr>
          <w:rStyle w:val="FootnoteReference"/>
        </w:rPr>
        <w:footnoteReference w:id="11"/>
      </w:r>
      <w:r w:rsidRPr="002927A1">
        <w:t>,</w:t>
      </w:r>
      <w:r w:rsidR="003F4DA7" w:rsidRPr="002927A1">
        <w:t xml:space="preserve"> </w:t>
      </w:r>
    </w:p>
    <w:p w14:paraId="1B21CCB4" w14:textId="2C5BACA5" w:rsidR="003F4DA7" w:rsidRPr="002927A1" w:rsidRDefault="00C23C6D" w:rsidP="00A524DB">
      <w:pPr>
        <w:numPr>
          <w:ilvl w:val="0"/>
          <w:numId w:val="22"/>
        </w:numPr>
        <w:tabs>
          <w:tab w:val="clear" w:pos="848"/>
          <w:tab w:val="clear" w:pos="1247"/>
          <w:tab w:val="clear" w:pos="1814"/>
          <w:tab w:val="clear" w:pos="2381"/>
          <w:tab w:val="clear" w:pos="2948"/>
          <w:tab w:val="clear" w:pos="3515"/>
        </w:tabs>
        <w:spacing w:before="120" w:after="120"/>
        <w:ind w:left="1247" w:firstLine="624"/>
      </w:pPr>
      <w:r w:rsidRPr="002927A1">
        <w:t xml:space="preserve">Informes con arreglo al marco estipulado en el anexo </w:t>
      </w:r>
      <w:r w:rsidR="00CE502E" w:rsidRPr="002927A1">
        <w:t xml:space="preserve">II </w:t>
      </w:r>
      <w:r w:rsidRPr="002927A1">
        <w:t xml:space="preserve">de la presente </w:t>
      </w:r>
      <w:r w:rsidR="00A60CBD" w:rsidRPr="002927A1">
        <w:t>decisión</w:t>
      </w:r>
      <w:r w:rsidRPr="002927A1">
        <w:t>, con excepción de los informes sobre las emisiones y liberaciones, el informe de vigilancia y el informe sobre la modelización.</w:t>
      </w:r>
    </w:p>
    <w:p w14:paraId="37F323A8" w14:textId="166F22F1" w:rsidR="00CE502E" w:rsidRPr="002927A1" w:rsidRDefault="008A104A" w:rsidP="00417FE2">
      <w:pPr>
        <w:pStyle w:val="CH1"/>
        <w:rPr>
          <w:rFonts w:eastAsia="SimSun"/>
          <w:i/>
          <w:lang w:val="es-ES_tradnl"/>
        </w:rPr>
      </w:pPr>
      <w:r w:rsidRPr="002927A1">
        <w:rPr>
          <w:rFonts w:eastAsia="SimSun"/>
          <w:lang w:val="es-ES_tradnl"/>
        </w:rPr>
        <w:tab/>
      </w:r>
      <w:r w:rsidRPr="002927A1">
        <w:rPr>
          <w:rFonts w:eastAsia="SimSun"/>
          <w:lang w:val="es-ES_tradnl"/>
        </w:rPr>
        <w:tab/>
      </w:r>
      <w:r w:rsidR="00CE502E" w:rsidRPr="002927A1">
        <w:rPr>
          <w:rFonts w:eastAsia="SimSun"/>
          <w:lang w:val="es-ES_tradnl"/>
        </w:rPr>
        <w:t>Anex</w:t>
      </w:r>
      <w:r w:rsidR="00C23C6D" w:rsidRPr="002927A1">
        <w:rPr>
          <w:rFonts w:eastAsia="SimSun"/>
          <w:lang w:val="es-ES_tradnl"/>
        </w:rPr>
        <w:t>o</w:t>
      </w:r>
      <w:r w:rsidR="00CE502E" w:rsidRPr="002927A1">
        <w:rPr>
          <w:rFonts w:eastAsia="SimSun"/>
          <w:lang w:val="es-ES_tradnl"/>
        </w:rPr>
        <w:t xml:space="preserve"> I </w:t>
      </w:r>
      <w:r w:rsidR="00144683" w:rsidRPr="002927A1">
        <w:rPr>
          <w:rFonts w:eastAsia="SimSun"/>
          <w:lang w:val="es-ES_tradnl"/>
        </w:rPr>
        <w:t>de</w:t>
      </w:r>
      <w:r w:rsidR="0055392D" w:rsidRPr="002927A1">
        <w:rPr>
          <w:rFonts w:eastAsia="SimSun"/>
          <w:lang w:val="es-ES_tradnl"/>
        </w:rPr>
        <w:t xml:space="preserve"> la </w:t>
      </w:r>
      <w:r w:rsidR="00CE502E" w:rsidRPr="002927A1">
        <w:rPr>
          <w:rFonts w:eastAsia="SimSun"/>
          <w:lang w:val="es-ES_tradnl"/>
        </w:rPr>
        <w:t>decisi</w:t>
      </w:r>
      <w:r w:rsidR="0055392D" w:rsidRPr="002927A1">
        <w:rPr>
          <w:rFonts w:eastAsia="SimSun"/>
          <w:lang w:val="es-ES_tradnl"/>
        </w:rPr>
        <w:t>ó</w:t>
      </w:r>
      <w:r w:rsidR="00CE502E" w:rsidRPr="002927A1">
        <w:rPr>
          <w:rFonts w:eastAsia="SimSun"/>
          <w:lang w:val="es-ES_tradnl"/>
        </w:rPr>
        <w:t>n MC-3/10</w:t>
      </w:r>
      <w:r w:rsidR="00CE502E" w:rsidRPr="002927A1">
        <w:rPr>
          <w:rFonts w:eastAsia="SimSun"/>
          <w:i/>
          <w:lang w:val="es-ES_tradnl"/>
        </w:rPr>
        <w:t xml:space="preserve"> </w:t>
      </w:r>
    </w:p>
    <w:p w14:paraId="7B4C1BE9" w14:textId="448CE1CC" w:rsidR="006D667A" w:rsidRPr="002927A1" w:rsidRDefault="008A104A" w:rsidP="004E0AB7">
      <w:pPr>
        <w:pStyle w:val="CH2"/>
        <w:rPr>
          <w:lang w:val="es-ES_tradnl"/>
        </w:rPr>
      </w:pPr>
      <w:r w:rsidRPr="002927A1">
        <w:rPr>
          <w:bCs/>
          <w:lang w:val="es-ES_tradnl"/>
        </w:rPr>
        <w:tab/>
      </w:r>
      <w:r w:rsidRPr="002927A1">
        <w:rPr>
          <w:bCs/>
          <w:lang w:val="es-ES_tradnl"/>
        </w:rPr>
        <w:tab/>
      </w:r>
      <w:r w:rsidR="0055392D" w:rsidRPr="002927A1">
        <w:rPr>
          <w:bCs/>
          <w:lang w:val="es-ES_tradnl"/>
        </w:rPr>
        <w:t>Indicadores propuestos para evaluar la eficacia del Convenio de Minamata, por artículo</w:t>
      </w:r>
    </w:p>
    <w:tbl>
      <w:tblPr>
        <w:tblW w:w="8307" w:type="dxa"/>
        <w:jc w:val="right"/>
        <w:shd w:val="clear" w:color="auto" w:fill="CDD4E9"/>
        <w:tblLayout w:type="fixed"/>
        <w:tblLook w:val="04A0" w:firstRow="1" w:lastRow="0" w:firstColumn="1" w:lastColumn="0" w:noHBand="0" w:noVBand="1"/>
      </w:tblPr>
      <w:tblGrid>
        <w:gridCol w:w="1763"/>
        <w:gridCol w:w="38"/>
        <w:gridCol w:w="18"/>
        <w:gridCol w:w="6"/>
        <w:gridCol w:w="18"/>
        <w:gridCol w:w="34"/>
        <w:gridCol w:w="6"/>
        <w:gridCol w:w="3078"/>
        <w:gridCol w:w="15"/>
        <w:gridCol w:w="16"/>
        <w:gridCol w:w="14"/>
        <w:gridCol w:w="8"/>
        <w:gridCol w:w="1481"/>
        <w:gridCol w:w="215"/>
        <w:gridCol w:w="11"/>
        <w:gridCol w:w="10"/>
        <w:gridCol w:w="47"/>
        <w:gridCol w:w="567"/>
        <w:gridCol w:w="962"/>
      </w:tblGrid>
      <w:tr w:rsidR="0055392D" w:rsidRPr="002927A1" w14:paraId="744093F1" w14:textId="77777777" w:rsidTr="00A85708">
        <w:trPr>
          <w:trHeight w:val="57"/>
          <w:jc w:val="right"/>
        </w:trPr>
        <w:tc>
          <w:tcPr>
            <w:tcW w:w="5009" w:type="dxa"/>
            <w:gridSpan w:val="11"/>
            <w:tcBorders>
              <w:top w:val="single" w:sz="4" w:space="0" w:color="auto"/>
              <w:bottom w:val="single" w:sz="12" w:space="0" w:color="auto"/>
            </w:tcBorders>
            <w:shd w:val="clear" w:color="auto" w:fill="auto"/>
            <w:tcMar>
              <w:top w:w="80" w:type="dxa"/>
              <w:left w:w="80" w:type="dxa"/>
              <w:bottom w:w="80" w:type="dxa"/>
              <w:right w:w="80" w:type="dxa"/>
            </w:tcMar>
          </w:tcPr>
          <w:p w14:paraId="24DA330F" w14:textId="77777777" w:rsidR="0055392D" w:rsidRPr="002927A1" w:rsidRDefault="0055392D" w:rsidP="0055392D">
            <w:pPr>
              <w:rPr>
                <w:rStyle w:val="dn"/>
                <w:rFonts w:eastAsia="Roboto"/>
                <w:i/>
                <w:sz w:val="18"/>
                <w:szCs w:val="18"/>
              </w:rPr>
            </w:pPr>
            <w:r w:rsidRPr="002927A1">
              <w:rPr>
                <w:bCs/>
                <w:i/>
                <w:sz w:val="18"/>
                <w:szCs w:val="18"/>
              </w:rPr>
              <w:t>A: Artículo 1 (objetivo)</w:t>
            </w:r>
          </w:p>
          <w:p w14:paraId="3C5D8771" w14:textId="3A1266E1" w:rsidR="0055392D" w:rsidRPr="002927A1" w:rsidRDefault="0055392D" w:rsidP="00270A6E">
            <w:pPr>
              <w:pStyle w:val="Text"/>
              <w:tabs>
                <w:tab w:val="left" w:pos="1247"/>
                <w:tab w:val="left" w:pos="1814"/>
                <w:tab w:val="left" w:pos="2381"/>
                <w:tab w:val="left" w:pos="2948"/>
                <w:tab w:val="left" w:pos="3515"/>
              </w:tabs>
              <w:spacing w:after="0" w:line="240" w:lineRule="auto"/>
              <w:ind w:left="486"/>
              <w:rPr>
                <w:rFonts w:ascii="Times New Roman" w:hAnsi="Times New Roman" w:cs="Times New Roman"/>
                <w:lang w:val="es-ES_tradnl"/>
              </w:rPr>
            </w:pPr>
            <w:r w:rsidRPr="002927A1">
              <w:rPr>
                <w:rFonts w:ascii="Times New Roman" w:hAnsi="Times New Roman" w:cs="Times New Roman"/>
                <w:sz w:val="18"/>
                <w:szCs w:val="18"/>
                <w:lang w:val="es-ES_tradnl"/>
              </w:rPr>
              <w:t>(El indicador rela</w:t>
            </w:r>
            <w:r w:rsidR="00C31551" w:rsidRPr="002927A1">
              <w:rPr>
                <w:rFonts w:ascii="Times New Roman" w:hAnsi="Times New Roman" w:cs="Times New Roman"/>
                <w:sz w:val="18"/>
                <w:szCs w:val="18"/>
                <w:lang w:val="es-ES_tradnl"/>
              </w:rPr>
              <w:t xml:space="preserve">cionado con el artículo 1 debe </w:t>
            </w:r>
            <w:r w:rsidR="00270A6E" w:rsidRPr="002927A1">
              <w:rPr>
                <w:rFonts w:ascii="Times New Roman" w:hAnsi="Times New Roman" w:cs="Times New Roman"/>
                <w:sz w:val="18"/>
                <w:szCs w:val="18"/>
                <w:lang w:val="es-ES_tradnl"/>
              </w:rPr>
              <w:t>leerse</w:t>
            </w:r>
            <w:r w:rsidRPr="002927A1">
              <w:rPr>
                <w:rFonts w:ascii="Times New Roman" w:hAnsi="Times New Roman" w:cs="Times New Roman"/>
                <w:sz w:val="18"/>
                <w:szCs w:val="18"/>
                <w:lang w:val="es-ES_tradnl"/>
              </w:rPr>
              <w:t xml:space="preserve"> </w:t>
            </w:r>
            <w:r w:rsidR="00C31551" w:rsidRPr="002927A1">
              <w:rPr>
                <w:rFonts w:ascii="Times New Roman" w:hAnsi="Times New Roman" w:cs="Times New Roman"/>
                <w:sz w:val="18"/>
                <w:szCs w:val="18"/>
                <w:lang w:val="es-ES_tradnl"/>
              </w:rPr>
              <w:t>de consuno</w:t>
            </w:r>
            <w:r w:rsidRPr="002927A1">
              <w:rPr>
                <w:rFonts w:ascii="Times New Roman" w:hAnsi="Times New Roman" w:cs="Times New Roman"/>
                <w:sz w:val="18"/>
                <w:szCs w:val="18"/>
                <w:lang w:val="es-ES_tradnl"/>
              </w:rPr>
              <w:t xml:space="preserve"> con el indicador sobre vigilancia </w:t>
            </w:r>
            <w:r w:rsidR="00F61D30">
              <w:rPr>
                <w:rFonts w:ascii="Times New Roman" w:hAnsi="Times New Roman" w:cs="Times New Roman"/>
                <w:sz w:val="18"/>
                <w:szCs w:val="18"/>
                <w:lang w:val="es-ES_tradnl"/>
              </w:rPr>
              <w:t xml:space="preserve">establecido en </w:t>
            </w:r>
            <w:r w:rsidRPr="002927A1">
              <w:rPr>
                <w:rFonts w:ascii="Times New Roman" w:hAnsi="Times New Roman" w:cs="Times New Roman"/>
                <w:sz w:val="18"/>
                <w:szCs w:val="18"/>
                <w:lang w:val="es-ES_tradnl"/>
              </w:rPr>
              <w:t>el cuadro 4</w:t>
            </w:r>
            <w:r w:rsidR="00F61D30">
              <w:rPr>
                <w:rFonts w:ascii="Times New Roman" w:hAnsi="Times New Roman" w:cs="Times New Roman"/>
                <w:sz w:val="18"/>
                <w:szCs w:val="18"/>
                <w:lang w:val="es-ES_tradnl"/>
              </w:rPr>
              <w:t xml:space="preserve"> del documento </w:t>
            </w:r>
            <w:r w:rsidR="00F61D30" w:rsidRPr="00F61D30">
              <w:rPr>
                <w:rFonts w:ascii="Times New Roman" w:hAnsi="Times New Roman" w:cs="Times New Roman"/>
                <w:sz w:val="18"/>
                <w:szCs w:val="18"/>
                <w:lang w:val="es-ES_tradnl"/>
              </w:rPr>
              <w:t>UNEP/MC/COP.3/14</w:t>
            </w:r>
            <w:r w:rsidRPr="002927A1">
              <w:rPr>
                <w:rFonts w:ascii="Times New Roman" w:hAnsi="Times New Roman" w:cs="Times New Roman"/>
                <w:sz w:val="18"/>
                <w:szCs w:val="18"/>
                <w:lang w:val="es-ES_tradnl"/>
              </w:rPr>
              <w:t>).</w:t>
            </w:r>
          </w:p>
        </w:tc>
        <w:tc>
          <w:tcPr>
            <w:tcW w:w="1490" w:type="dxa"/>
            <w:gridSpan w:val="2"/>
            <w:tcBorders>
              <w:top w:val="single" w:sz="4" w:space="0" w:color="auto"/>
              <w:bottom w:val="single" w:sz="12" w:space="0" w:color="auto"/>
            </w:tcBorders>
            <w:shd w:val="clear" w:color="auto" w:fill="auto"/>
            <w:tcMar>
              <w:top w:w="80" w:type="dxa"/>
              <w:left w:w="80" w:type="dxa"/>
              <w:bottom w:w="80" w:type="dxa"/>
              <w:right w:w="80" w:type="dxa"/>
            </w:tcMar>
          </w:tcPr>
          <w:p w14:paraId="6B21C99F" w14:textId="3E54B41B" w:rsidR="0055392D" w:rsidRPr="002927A1" w:rsidRDefault="0055392D" w:rsidP="0055392D">
            <w:pPr>
              <w:pStyle w:val="Text"/>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bCs/>
                <w:i/>
                <w:sz w:val="18"/>
                <w:szCs w:val="18"/>
                <w:lang w:val="es-ES_tradnl"/>
              </w:rPr>
              <w:t>Fuente de información sobre el indicador</w:t>
            </w:r>
          </w:p>
        </w:tc>
        <w:tc>
          <w:tcPr>
            <w:tcW w:w="1808" w:type="dxa"/>
            <w:gridSpan w:val="6"/>
            <w:tcBorders>
              <w:top w:val="single" w:sz="4" w:space="0" w:color="auto"/>
              <w:bottom w:val="single" w:sz="12" w:space="0" w:color="auto"/>
            </w:tcBorders>
            <w:shd w:val="clear" w:color="auto" w:fill="auto"/>
            <w:tcMar>
              <w:top w:w="80" w:type="dxa"/>
              <w:left w:w="80" w:type="dxa"/>
              <w:bottom w:w="80" w:type="dxa"/>
              <w:right w:w="80" w:type="dxa"/>
            </w:tcMar>
          </w:tcPr>
          <w:p w14:paraId="0A40D539" w14:textId="2BEA80DD" w:rsidR="0055392D" w:rsidRPr="002927A1" w:rsidRDefault="0055392D" w:rsidP="0055392D">
            <w:pPr>
              <w:pStyle w:val="Text"/>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bCs/>
                <w:i/>
                <w:sz w:val="18"/>
                <w:szCs w:val="18"/>
                <w:lang w:val="es-ES_tradnl"/>
              </w:rPr>
              <w:t>Parámetro de referencia del indicador</w:t>
            </w:r>
          </w:p>
        </w:tc>
      </w:tr>
      <w:tr w:rsidR="0055392D" w:rsidRPr="002927A1" w14:paraId="15630D72" w14:textId="77777777" w:rsidTr="00A85708">
        <w:trPr>
          <w:trHeight w:val="57"/>
          <w:jc w:val="right"/>
        </w:trPr>
        <w:tc>
          <w:tcPr>
            <w:tcW w:w="1826" w:type="dxa"/>
            <w:gridSpan w:val="4"/>
            <w:tcBorders>
              <w:top w:val="single" w:sz="12" w:space="0" w:color="auto"/>
            </w:tcBorders>
            <w:shd w:val="clear" w:color="auto" w:fill="auto"/>
            <w:tcMar>
              <w:top w:w="80" w:type="dxa"/>
              <w:left w:w="80" w:type="dxa"/>
              <w:bottom w:w="80" w:type="dxa"/>
              <w:right w:w="80" w:type="dxa"/>
            </w:tcMar>
          </w:tcPr>
          <w:p w14:paraId="6C787324" w14:textId="0EDBDAE6" w:rsidR="0055392D" w:rsidRPr="002927A1" w:rsidRDefault="0055392D" w:rsidP="0055392D">
            <w:pPr>
              <w:pStyle w:val="Text"/>
              <w:tabs>
                <w:tab w:val="left" w:pos="1247"/>
                <w:tab w:val="left" w:pos="1814"/>
                <w:tab w:val="left" w:pos="2381"/>
                <w:tab w:val="left" w:pos="2948"/>
                <w:tab w:val="left" w:pos="3515"/>
              </w:tabs>
              <w:spacing w:after="0" w:line="240" w:lineRule="auto"/>
              <w:rPr>
                <w:rFonts w:asciiTheme="majorBidi" w:hAnsiTheme="majorBidi" w:cstheme="majorBidi"/>
                <w:lang w:val="es-ES_tradnl"/>
              </w:rPr>
            </w:pPr>
            <w:r w:rsidRPr="002927A1">
              <w:rPr>
                <w:rFonts w:asciiTheme="majorBidi" w:hAnsiTheme="majorBidi" w:cstheme="majorBidi"/>
                <w:sz w:val="18"/>
                <w:szCs w:val="18"/>
                <w:lang w:val="es-ES_tradnl"/>
              </w:rPr>
              <w:t>A1. Indicador de vigilancia intersectorial</w:t>
            </w:r>
          </w:p>
        </w:tc>
        <w:tc>
          <w:tcPr>
            <w:tcW w:w="3183" w:type="dxa"/>
            <w:gridSpan w:val="7"/>
            <w:tcBorders>
              <w:top w:val="single" w:sz="12" w:space="0" w:color="auto"/>
            </w:tcBorders>
            <w:shd w:val="clear" w:color="auto" w:fill="auto"/>
            <w:tcMar>
              <w:top w:w="80" w:type="dxa"/>
              <w:left w:w="80" w:type="dxa"/>
              <w:bottom w:w="80" w:type="dxa"/>
              <w:right w:w="80" w:type="dxa"/>
            </w:tcMar>
          </w:tcPr>
          <w:p w14:paraId="63E6302D" w14:textId="73AE6DB7" w:rsidR="0055392D" w:rsidRPr="002927A1" w:rsidRDefault="0055392D" w:rsidP="00270A6E">
            <w:pPr>
              <w:pStyle w:val="Text"/>
              <w:tabs>
                <w:tab w:val="left" w:pos="1247"/>
                <w:tab w:val="left" w:pos="1814"/>
                <w:tab w:val="left" w:pos="2381"/>
                <w:tab w:val="left" w:pos="2948"/>
                <w:tab w:val="left" w:pos="3515"/>
              </w:tabs>
              <w:spacing w:after="0" w:line="240" w:lineRule="auto"/>
              <w:rPr>
                <w:rFonts w:asciiTheme="majorBidi" w:hAnsiTheme="majorBidi" w:cstheme="majorBidi"/>
                <w:lang w:val="es-ES_tradnl"/>
              </w:rPr>
            </w:pPr>
            <w:r w:rsidRPr="002927A1">
              <w:rPr>
                <w:rFonts w:asciiTheme="majorBidi" w:hAnsiTheme="majorBidi" w:cstheme="majorBidi"/>
                <w:sz w:val="18"/>
                <w:szCs w:val="18"/>
                <w:lang w:val="es-ES_tradnl"/>
              </w:rPr>
              <w:t>Niveles de mercurio en el medio ambiente y los seres humanos debidos a las</w:t>
            </w:r>
            <w:r w:rsidR="00270A6E" w:rsidRPr="002927A1">
              <w:rPr>
                <w:rFonts w:asciiTheme="majorBidi" w:hAnsiTheme="majorBidi" w:cstheme="majorBidi"/>
                <w:sz w:val="18"/>
                <w:szCs w:val="18"/>
                <w:lang w:val="es-ES_tradnl"/>
              </w:rPr>
              <w:t xml:space="preserve"> emisiones y liberaciones antroprógenas</w:t>
            </w:r>
          </w:p>
        </w:tc>
        <w:tc>
          <w:tcPr>
            <w:tcW w:w="1490" w:type="dxa"/>
            <w:gridSpan w:val="2"/>
            <w:tcBorders>
              <w:top w:val="single" w:sz="12" w:space="0" w:color="auto"/>
            </w:tcBorders>
            <w:shd w:val="clear" w:color="auto" w:fill="auto"/>
            <w:tcMar>
              <w:top w:w="80" w:type="dxa"/>
              <w:left w:w="80" w:type="dxa"/>
              <w:bottom w:w="80" w:type="dxa"/>
              <w:right w:w="80" w:type="dxa"/>
            </w:tcMar>
          </w:tcPr>
          <w:p w14:paraId="5A9698DD" w14:textId="77777777" w:rsidR="0055392D" w:rsidRPr="002927A1" w:rsidRDefault="0055392D" w:rsidP="0055392D">
            <w:pPr>
              <w:rPr>
                <w:sz w:val="18"/>
                <w:szCs w:val="18"/>
              </w:rPr>
            </w:pPr>
            <w:r w:rsidRPr="002927A1">
              <w:rPr>
                <w:sz w:val="18"/>
                <w:szCs w:val="18"/>
              </w:rPr>
              <w:t>Modelización de la atribución</w:t>
            </w:r>
          </w:p>
          <w:p w14:paraId="10D3112E" w14:textId="5DA6945D" w:rsidR="0055392D" w:rsidRPr="002927A1" w:rsidRDefault="0055392D" w:rsidP="0055392D">
            <w:pPr>
              <w:pStyle w:val="Text"/>
              <w:tabs>
                <w:tab w:val="left" w:pos="1247"/>
                <w:tab w:val="left" w:pos="1814"/>
                <w:tab w:val="left" w:pos="2381"/>
                <w:tab w:val="left" w:pos="2948"/>
                <w:tab w:val="left" w:pos="3515"/>
              </w:tabs>
              <w:spacing w:after="0" w:line="240" w:lineRule="auto"/>
              <w:rPr>
                <w:rFonts w:asciiTheme="majorBidi" w:hAnsiTheme="majorBidi" w:cstheme="majorBidi"/>
                <w:lang w:val="es-ES_tradnl"/>
              </w:rPr>
            </w:pPr>
          </w:p>
        </w:tc>
        <w:tc>
          <w:tcPr>
            <w:tcW w:w="1808" w:type="dxa"/>
            <w:gridSpan w:val="6"/>
            <w:tcBorders>
              <w:top w:val="single" w:sz="12" w:space="0" w:color="auto"/>
            </w:tcBorders>
            <w:shd w:val="clear" w:color="auto" w:fill="auto"/>
            <w:tcMar>
              <w:top w:w="80" w:type="dxa"/>
              <w:left w:w="80" w:type="dxa"/>
              <w:bottom w:w="80" w:type="dxa"/>
              <w:right w:w="80" w:type="dxa"/>
            </w:tcMar>
          </w:tcPr>
          <w:p w14:paraId="0C46DB98" w14:textId="7D7C2955" w:rsidR="0055392D" w:rsidRPr="002927A1" w:rsidRDefault="0055392D" w:rsidP="00100D97">
            <w:pPr>
              <w:pStyle w:val="Text"/>
              <w:tabs>
                <w:tab w:val="left" w:pos="1247"/>
                <w:tab w:val="left" w:pos="1814"/>
                <w:tab w:val="left" w:pos="2381"/>
                <w:tab w:val="left" w:pos="2948"/>
                <w:tab w:val="left" w:pos="3515"/>
              </w:tabs>
              <w:spacing w:after="0" w:line="240" w:lineRule="auto"/>
              <w:rPr>
                <w:rFonts w:asciiTheme="majorBidi" w:hAnsiTheme="majorBidi" w:cstheme="majorBidi"/>
                <w:lang w:val="es-ES_tradnl"/>
              </w:rPr>
            </w:pPr>
            <w:r w:rsidRPr="002927A1">
              <w:rPr>
                <w:rFonts w:asciiTheme="majorBidi" w:hAnsiTheme="majorBidi" w:cstheme="majorBidi"/>
                <w:sz w:val="18"/>
                <w:szCs w:val="18"/>
                <w:lang w:val="es-ES_tradnl"/>
              </w:rPr>
              <w:t>Cantidad en la primera evaluación (</w:t>
            </w:r>
            <w:r w:rsidR="00100D97" w:rsidRPr="002927A1">
              <w:rPr>
                <w:rFonts w:asciiTheme="majorBidi" w:hAnsiTheme="majorBidi" w:cstheme="majorBidi"/>
                <w:sz w:val="18"/>
                <w:szCs w:val="18"/>
                <w:lang w:val="es-ES_tradnl"/>
              </w:rPr>
              <w:t>en caso de que se hayan elaborado</w:t>
            </w:r>
            <w:r w:rsidRPr="002927A1">
              <w:rPr>
                <w:rFonts w:asciiTheme="majorBidi" w:hAnsiTheme="majorBidi" w:cstheme="majorBidi"/>
                <w:sz w:val="18"/>
                <w:szCs w:val="18"/>
                <w:lang w:val="es-ES_tradnl"/>
              </w:rPr>
              <w:t xml:space="preserve"> modelos)</w:t>
            </w:r>
          </w:p>
        </w:tc>
      </w:tr>
      <w:tr w:rsidR="0055392D" w:rsidRPr="002927A1" w14:paraId="522577DB" w14:textId="77777777" w:rsidTr="00A85708">
        <w:trPr>
          <w:trHeight w:val="57"/>
          <w:jc w:val="right"/>
        </w:trPr>
        <w:tc>
          <w:tcPr>
            <w:tcW w:w="1826" w:type="dxa"/>
            <w:gridSpan w:val="4"/>
            <w:tcBorders>
              <w:bottom w:val="single" w:sz="12" w:space="0" w:color="auto"/>
            </w:tcBorders>
            <w:shd w:val="clear" w:color="auto" w:fill="auto"/>
            <w:tcMar>
              <w:top w:w="80" w:type="dxa"/>
              <w:left w:w="80" w:type="dxa"/>
              <w:bottom w:w="80" w:type="dxa"/>
              <w:right w:w="80" w:type="dxa"/>
            </w:tcMar>
          </w:tcPr>
          <w:p w14:paraId="14077CDF" w14:textId="54F58081" w:rsidR="0055392D" w:rsidRPr="002927A1" w:rsidRDefault="0055392D" w:rsidP="0055392D">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b/>
                <w:bCs/>
                <w:sz w:val="18"/>
                <w:szCs w:val="18"/>
                <w:lang w:val="es-ES_tradnl"/>
              </w:rPr>
              <w:t>Notas</w:t>
            </w:r>
          </w:p>
        </w:tc>
        <w:tc>
          <w:tcPr>
            <w:tcW w:w="6481" w:type="dxa"/>
            <w:gridSpan w:val="15"/>
            <w:tcBorders>
              <w:bottom w:val="single" w:sz="12" w:space="0" w:color="auto"/>
            </w:tcBorders>
            <w:shd w:val="clear" w:color="auto" w:fill="auto"/>
            <w:tcMar>
              <w:top w:w="80" w:type="dxa"/>
              <w:left w:w="80" w:type="dxa"/>
              <w:bottom w:w="80" w:type="dxa"/>
              <w:right w:w="80" w:type="dxa"/>
            </w:tcMar>
          </w:tcPr>
          <w:p w14:paraId="337A83B5" w14:textId="77777777" w:rsidR="0055392D" w:rsidRPr="002927A1" w:rsidRDefault="0055392D" w:rsidP="00A524DB">
            <w:pPr>
              <w:pStyle w:val="ListParagraph"/>
              <w:numPr>
                <w:ilvl w:val="0"/>
                <w:numId w:val="52"/>
              </w:numPr>
              <w:pBdr>
                <w:top w:val="nil"/>
                <w:left w:val="nil"/>
                <w:bottom w:val="nil"/>
                <w:right w:val="nil"/>
                <w:between w:val="nil"/>
                <w:bar w:val="nil"/>
              </w:pBdr>
              <w:ind w:left="202" w:hanging="202"/>
              <w:rPr>
                <w:sz w:val="18"/>
                <w:szCs w:val="18"/>
              </w:rPr>
            </w:pPr>
            <w:r w:rsidRPr="002927A1">
              <w:rPr>
                <w:sz w:val="18"/>
                <w:szCs w:val="18"/>
              </w:rPr>
              <w:t>La atribución se habrá de estimar a partir de modelos que no se han elaborado todavía; por tanto, es posible que la información para este indicador esté o no esté disponible durante el primer ciclo de evaluación de la eficacia.</w:t>
            </w:r>
          </w:p>
          <w:p w14:paraId="7E1B8161" w14:textId="77777777" w:rsidR="0055392D" w:rsidRPr="002927A1" w:rsidRDefault="0055392D" w:rsidP="00A524DB">
            <w:pPr>
              <w:pStyle w:val="ListParagraph"/>
              <w:numPr>
                <w:ilvl w:val="0"/>
                <w:numId w:val="52"/>
              </w:numPr>
              <w:pBdr>
                <w:top w:val="nil"/>
                <w:left w:val="nil"/>
                <w:bottom w:val="nil"/>
                <w:right w:val="nil"/>
                <w:between w:val="nil"/>
                <w:bar w:val="nil"/>
              </w:pBdr>
              <w:ind w:left="202" w:hanging="202"/>
              <w:rPr>
                <w:sz w:val="18"/>
                <w:szCs w:val="18"/>
              </w:rPr>
            </w:pPr>
            <w:r w:rsidRPr="002927A1">
              <w:rPr>
                <w:sz w:val="18"/>
                <w:szCs w:val="18"/>
              </w:rPr>
              <w:t>Las estimaciones obtenidas de los modelos irán acompañadas de las correspondientes notas sobre las incertidumbres en la modelización.</w:t>
            </w:r>
          </w:p>
          <w:p w14:paraId="79BFE79D" w14:textId="6BAC6A26" w:rsidR="0055392D" w:rsidRPr="002927A1" w:rsidRDefault="0055392D" w:rsidP="00A524DB">
            <w:pPr>
              <w:pStyle w:val="Text"/>
              <w:numPr>
                <w:ilvl w:val="0"/>
                <w:numId w:val="27"/>
              </w:numPr>
              <w:spacing w:after="0" w:line="240" w:lineRule="auto"/>
              <w:rPr>
                <w:rFonts w:asciiTheme="majorBidi" w:hAnsiTheme="majorBidi" w:cstheme="majorBidi"/>
                <w:sz w:val="18"/>
                <w:szCs w:val="18"/>
                <w:lang w:val="es-ES_tradnl"/>
              </w:rPr>
            </w:pPr>
            <w:r w:rsidRPr="002927A1">
              <w:rPr>
                <w:rFonts w:ascii="Times New Roman" w:hAnsi="Times New Roman" w:cs="Times New Roman"/>
                <w:sz w:val="18"/>
                <w:szCs w:val="18"/>
                <w:lang w:val="es-ES_tradnl"/>
              </w:rPr>
              <w:t>En caso de que no se disponga de información de</w:t>
            </w:r>
            <w:r w:rsidR="00100D97" w:rsidRPr="002927A1">
              <w:rPr>
                <w:rFonts w:ascii="Times New Roman" w:hAnsi="Times New Roman" w:cs="Times New Roman"/>
                <w:sz w:val="18"/>
                <w:szCs w:val="18"/>
                <w:lang w:val="es-ES_tradnl"/>
              </w:rPr>
              <w:t>rivada de</w:t>
            </w:r>
            <w:r w:rsidRPr="002927A1">
              <w:rPr>
                <w:rFonts w:ascii="Times New Roman" w:hAnsi="Times New Roman" w:cs="Times New Roman"/>
                <w:sz w:val="18"/>
                <w:szCs w:val="18"/>
                <w:lang w:val="es-ES_tradnl"/>
              </w:rPr>
              <w:t xml:space="preserve"> los modelos, los niveles de mercurio y las tendencias en los niveles de mercurio (cambios en el transcurso del tiempo) podrían utilizarse a los efectos de la atribución.</w:t>
            </w:r>
          </w:p>
        </w:tc>
      </w:tr>
      <w:tr w:rsidR="0055392D" w:rsidRPr="002927A1" w14:paraId="7108B733"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812"/>
          <w:tblHeader/>
          <w:jc w:val="right"/>
        </w:trPr>
        <w:tc>
          <w:tcPr>
            <w:tcW w:w="5017" w:type="dxa"/>
            <w:gridSpan w:val="12"/>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75BE45A4" w14:textId="77777777" w:rsidR="0055392D" w:rsidRPr="002927A1" w:rsidRDefault="0055392D" w:rsidP="008B3EED">
            <w:pPr>
              <w:keepNext/>
              <w:keepLines/>
              <w:rPr>
                <w:rStyle w:val="dn"/>
                <w:rFonts w:eastAsia="Roboto"/>
                <w:i/>
                <w:sz w:val="18"/>
                <w:szCs w:val="18"/>
              </w:rPr>
            </w:pPr>
            <w:r w:rsidRPr="002927A1">
              <w:rPr>
                <w:bCs/>
                <w:i/>
                <w:sz w:val="18"/>
                <w:szCs w:val="18"/>
              </w:rPr>
              <w:lastRenderedPageBreak/>
              <w:t>B: Grupo sobre suministro</w:t>
            </w:r>
            <w:r w:rsidRPr="002927A1">
              <w:rPr>
                <w:i/>
                <w:sz w:val="18"/>
                <w:szCs w:val="18"/>
              </w:rPr>
              <w:t xml:space="preserve"> </w:t>
            </w:r>
          </w:p>
          <w:p w14:paraId="57B4ED95" w14:textId="1F82A5D5"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ind w:left="486"/>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Artículo 3 (fuentes de suministro y comercio de mercurio);</w:t>
            </w:r>
            <w:r w:rsidRPr="002927A1">
              <w:rPr>
                <w:rFonts w:ascii="Times New Roman" w:hAnsi="Times New Roman" w:cs="Times New Roman"/>
                <w:i/>
                <w:sz w:val="18"/>
                <w:szCs w:val="18"/>
                <w:lang w:val="es-ES_tradnl"/>
              </w:rPr>
              <w:t xml:space="preserve"> </w:t>
            </w:r>
            <w:r w:rsidRPr="002927A1">
              <w:rPr>
                <w:rFonts w:ascii="Times New Roman" w:hAnsi="Times New Roman" w:cs="Times New Roman"/>
                <w:bCs/>
                <w:i/>
                <w:sz w:val="18"/>
                <w:szCs w:val="18"/>
                <w:lang w:val="es-ES_tradnl"/>
              </w:rPr>
              <w:t>artículo 10 (almacenamiento provisional ambientalmente racional de mercurio, distinto del mercurio de desecho);</w:t>
            </w:r>
            <w:r w:rsidRPr="002927A1">
              <w:rPr>
                <w:rFonts w:ascii="Times New Roman" w:hAnsi="Times New Roman" w:cs="Times New Roman"/>
                <w:i/>
                <w:sz w:val="18"/>
                <w:szCs w:val="18"/>
                <w:lang w:val="es-ES_tradnl"/>
              </w:rPr>
              <w:t xml:space="preserve"> </w:t>
            </w:r>
            <w:r w:rsidRPr="002927A1">
              <w:rPr>
                <w:rFonts w:ascii="Times New Roman" w:hAnsi="Times New Roman" w:cs="Times New Roman"/>
                <w:bCs/>
                <w:i/>
                <w:sz w:val="18"/>
                <w:szCs w:val="18"/>
                <w:lang w:val="es-ES_tradnl"/>
              </w:rPr>
              <w:t>artículo 11 (desechos de mercurio)</w:t>
            </w:r>
            <w:r w:rsidRPr="002927A1">
              <w:rPr>
                <w:rFonts w:ascii="Times New Roman" w:hAnsi="Times New Roman" w:cs="Times New Roman"/>
                <w:i/>
                <w:sz w:val="18"/>
                <w:szCs w:val="18"/>
                <w:lang w:val="es-ES_tradnl"/>
              </w:rPr>
              <w:t xml:space="preserve"> </w:t>
            </w:r>
          </w:p>
        </w:tc>
        <w:tc>
          <w:tcPr>
            <w:tcW w:w="2332" w:type="dxa"/>
            <w:gridSpan w:val="6"/>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530B447F" w14:textId="6824403E"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 el indicador</w:t>
            </w:r>
          </w:p>
        </w:tc>
        <w:tc>
          <w:tcPr>
            <w:tcW w:w="958" w:type="dxa"/>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724F8E08" w14:textId="0761655A"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ind w:left="-57"/>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 para el indicador</w:t>
            </w:r>
          </w:p>
        </w:tc>
      </w:tr>
      <w:tr w:rsidR="0055392D" w:rsidRPr="002927A1" w14:paraId="1D50F762"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jc w:val="right"/>
        </w:trPr>
        <w:tc>
          <w:tcPr>
            <w:tcW w:w="1802" w:type="dxa"/>
            <w:gridSpan w:val="2"/>
            <w:tcBorders>
              <w:top w:val="single" w:sz="12" w:space="0" w:color="000000" w:themeColor="text1"/>
              <w:left w:val="nil"/>
              <w:bottom w:val="nil"/>
              <w:right w:val="nil"/>
            </w:tcBorders>
            <w:shd w:val="clear" w:color="auto" w:fill="auto"/>
            <w:tcMar>
              <w:top w:w="80" w:type="dxa"/>
              <w:left w:w="80" w:type="dxa"/>
              <w:bottom w:w="80" w:type="dxa"/>
              <w:right w:w="80" w:type="dxa"/>
            </w:tcMar>
          </w:tcPr>
          <w:p w14:paraId="766907C0" w14:textId="4BA37560"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B1. Indicador general de procesos para los artículos 3, 10 y 11</w:t>
            </w:r>
          </w:p>
        </w:tc>
        <w:tc>
          <w:tcPr>
            <w:tcW w:w="3215" w:type="dxa"/>
            <w:gridSpan w:val="10"/>
            <w:tcBorders>
              <w:top w:val="single" w:sz="12" w:space="0" w:color="000000" w:themeColor="text1"/>
              <w:left w:val="nil"/>
              <w:bottom w:val="nil"/>
              <w:right w:val="nil"/>
            </w:tcBorders>
            <w:shd w:val="clear" w:color="auto" w:fill="auto"/>
            <w:tcMar>
              <w:top w:w="80" w:type="dxa"/>
              <w:left w:w="80" w:type="dxa"/>
              <w:bottom w:w="80" w:type="dxa"/>
              <w:right w:w="80" w:type="dxa"/>
            </w:tcMar>
          </w:tcPr>
          <w:p w14:paraId="365B4411" w14:textId="5BC69A7A" w:rsidR="0055392D" w:rsidRPr="002927A1" w:rsidRDefault="0055392D" w:rsidP="008B3EED">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Proporción de Partes que han aplicado disposiciones fundamentales en relación con este grupo temático (que abarca todos los indicadores de procesos, es decir, B5. B6, B7, B8, B9 y B13)</w:t>
            </w:r>
          </w:p>
        </w:tc>
        <w:tc>
          <w:tcPr>
            <w:tcW w:w="2332" w:type="dxa"/>
            <w:gridSpan w:val="6"/>
            <w:tcBorders>
              <w:top w:val="single" w:sz="12" w:space="0" w:color="000000" w:themeColor="text1"/>
              <w:left w:val="nil"/>
              <w:bottom w:val="nil"/>
              <w:right w:val="nil"/>
            </w:tcBorders>
            <w:shd w:val="clear" w:color="auto" w:fill="auto"/>
            <w:tcMar>
              <w:top w:w="80" w:type="dxa"/>
              <w:left w:w="80" w:type="dxa"/>
              <w:bottom w:w="80" w:type="dxa"/>
              <w:right w:w="80" w:type="dxa"/>
            </w:tcMar>
          </w:tcPr>
          <w:p w14:paraId="2BB59C0C" w14:textId="77777777" w:rsidR="0055392D" w:rsidRPr="002927A1" w:rsidRDefault="0055392D" w:rsidP="008B3EED">
            <w:pPr>
              <w:keepNext/>
              <w:keepLines/>
              <w:pBdr>
                <w:top w:val="nil"/>
                <w:left w:val="nil"/>
                <w:bottom w:val="nil"/>
                <w:right w:val="nil"/>
                <w:between w:val="nil"/>
                <w:bar w:val="nil"/>
              </w:pBdr>
              <w:tabs>
                <w:tab w:val="left" w:pos="1163"/>
              </w:tabs>
              <w:ind w:right="-1192"/>
              <w:rPr>
                <w:iCs/>
                <w:sz w:val="18"/>
                <w:szCs w:val="18"/>
              </w:rPr>
            </w:pPr>
            <w:r w:rsidRPr="002927A1">
              <w:rPr>
                <w:sz w:val="18"/>
                <w:szCs w:val="18"/>
              </w:rPr>
              <w:t>- Presentación de informes con</w:t>
            </w:r>
            <w:r w:rsidRPr="002927A1">
              <w:rPr>
                <w:sz w:val="18"/>
                <w:szCs w:val="18"/>
              </w:rPr>
              <w:br/>
              <w:t>arreglo al artículo 21</w:t>
            </w:r>
          </w:p>
          <w:p w14:paraId="664F08A1" w14:textId="6D2125D7" w:rsidR="0055392D" w:rsidRPr="002927A1" w:rsidRDefault="0055392D" w:rsidP="008B3EED">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p>
        </w:tc>
        <w:tc>
          <w:tcPr>
            <w:tcW w:w="958"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010AFB22" w14:textId="63BD57FE"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55392D" w:rsidRPr="002927A1" w14:paraId="38A521A5"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single" w:sz="4" w:space="0" w:color="000000" w:themeColor="text1"/>
              <w:right w:val="nil"/>
            </w:tcBorders>
            <w:shd w:val="clear" w:color="auto" w:fill="auto"/>
            <w:tcMar>
              <w:top w:w="80" w:type="dxa"/>
              <w:left w:w="80" w:type="dxa"/>
              <w:bottom w:w="80" w:type="dxa"/>
              <w:right w:w="80" w:type="dxa"/>
            </w:tcMar>
          </w:tcPr>
          <w:p w14:paraId="462F2EA3" w14:textId="118BC908"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B2. Otros indicadores de resultados intersectoriales para los artículos 3, 10 y 11</w:t>
            </w:r>
          </w:p>
        </w:tc>
        <w:tc>
          <w:tcPr>
            <w:tcW w:w="3215" w:type="dxa"/>
            <w:gridSpan w:val="10"/>
            <w:tcBorders>
              <w:top w:val="nil"/>
              <w:left w:val="nil"/>
              <w:bottom w:val="single" w:sz="4" w:space="0" w:color="000000" w:themeColor="text1"/>
              <w:right w:val="nil"/>
            </w:tcBorders>
            <w:shd w:val="clear" w:color="auto" w:fill="auto"/>
            <w:tcMar>
              <w:top w:w="80" w:type="dxa"/>
              <w:left w:w="80" w:type="dxa"/>
              <w:bottom w:w="80" w:type="dxa"/>
              <w:right w:w="80" w:type="dxa"/>
            </w:tcMar>
          </w:tcPr>
          <w:p w14:paraId="723DCB94" w14:textId="77777777" w:rsidR="0055392D" w:rsidRPr="002927A1" w:rsidRDefault="0055392D" w:rsidP="008B3EED">
            <w:pPr>
              <w:keepNext/>
              <w:keepLines/>
              <w:pBdr>
                <w:top w:val="nil"/>
                <w:left w:val="nil"/>
                <w:bottom w:val="nil"/>
                <w:right w:val="nil"/>
                <w:between w:val="nil"/>
                <w:bar w:val="nil"/>
              </w:pBdr>
              <w:rPr>
                <w:rFonts w:eastAsia="Roboto"/>
                <w:sz w:val="18"/>
                <w:szCs w:val="18"/>
              </w:rPr>
            </w:pPr>
            <w:r w:rsidRPr="002927A1">
              <w:rPr>
                <w:sz w:val="18"/>
                <w:szCs w:val="18"/>
              </w:rPr>
              <w:t>Estimación del suministro de mercurio a nivel mundial, en toneladas por año</w:t>
            </w:r>
          </w:p>
          <w:p w14:paraId="1B1D05DC" w14:textId="3AABF75F"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p>
        </w:tc>
        <w:tc>
          <w:tcPr>
            <w:tcW w:w="2332" w:type="dxa"/>
            <w:gridSpan w:val="6"/>
            <w:tcBorders>
              <w:top w:val="nil"/>
              <w:left w:val="nil"/>
              <w:bottom w:val="single" w:sz="4" w:space="0" w:color="000000" w:themeColor="text1"/>
              <w:right w:val="nil"/>
            </w:tcBorders>
            <w:shd w:val="clear" w:color="auto" w:fill="auto"/>
            <w:tcMar>
              <w:top w:w="80" w:type="dxa"/>
              <w:left w:w="80" w:type="dxa"/>
              <w:bottom w:w="80" w:type="dxa"/>
              <w:right w:w="80" w:type="dxa"/>
            </w:tcMar>
          </w:tcPr>
          <w:p w14:paraId="43769499" w14:textId="74E58507"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Información sintetizada de los distintos indicadores para los artículos 3, 10 y 11</w:t>
            </w:r>
          </w:p>
        </w:tc>
        <w:tc>
          <w:tcPr>
            <w:tcW w:w="95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72F9CF5" w14:textId="7C2D11A6" w:rsidR="0055392D" w:rsidRPr="002927A1" w:rsidRDefault="0055392D" w:rsidP="008B3EED">
            <w:pPr>
              <w:pStyle w:val="Text"/>
              <w:keepNext/>
              <w:keepLines/>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55392D" w:rsidRPr="002927A1" w14:paraId="30D309F0"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59"/>
          <w:jc w:val="right"/>
        </w:trPr>
        <w:tc>
          <w:tcPr>
            <w:tcW w:w="1802"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2088B16" w14:textId="06C8F5E5" w:rsidR="0055392D" w:rsidRPr="002927A1" w:rsidRDefault="0055392D"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w:t>
            </w:r>
            <w:r w:rsidR="006D017C" w:rsidRPr="002927A1">
              <w:rPr>
                <w:rFonts w:ascii="Times New Roman" w:hAnsi="Times New Roman" w:cs="Times New Roman"/>
                <w:b/>
                <w:bCs/>
                <w:sz w:val="18"/>
                <w:szCs w:val="18"/>
                <w:lang w:val="es-ES_tradnl"/>
              </w:rPr>
              <w:t>ículo</w:t>
            </w:r>
            <w:r w:rsidRPr="002927A1">
              <w:rPr>
                <w:rFonts w:ascii="Times New Roman" w:hAnsi="Times New Roman" w:cs="Times New Roman"/>
                <w:b/>
                <w:bCs/>
                <w:sz w:val="18"/>
                <w:szCs w:val="18"/>
                <w:lang w:val="es-ES_tradnl"/>
              </w:rPr>
              <w:t xml:space="preserve"> 3</w:t>
            </w:r>
          </w:p>
        </w:tc>
        <w:tc>
          <w:tcPr>
            <w:tcW w:w="3215" w:type="dxa"/>
            <w:gridSpan w:val="10"/>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CCCA429" w14:textId="77777777" w:rsidR="0055392D" w:rsidRPr="002927A1" w:rsidRDefault="0055392D" w:rsidP="0055392D">
            <w:pPr>
              <w:keepNext/>
              <w:keepLines/>
              <w:rPr>
                <w:sz w:val="18"/>
                <w:szCs w:val="18"/>
              </w:rPr>
            </w:pPr>
          </w:p>
        </w:tc>
        <w:tc>
          <w:tcPr>
            <w:tcW w:w="2332" w:type="dxa"/>
            <w:gridSpan w:val="6"/>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21C27238" w14:textId="77777777" w:rsidR="0055392D" w:rsidRPr="002927A1" w:rsidRDefault="0055392D" w:rsidP="0055392D">
            <w:pPr>
              <w:rPr>
                <w:sz w:val="18"/>
                <w:szCs w:val="18"/>
              </w:rPr>
            </w:pPr>
          </w:p>
        </w:tc>
        <w:tc>
          <w:tcPr>
            <w:tcW w:w="95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BA48019" w14:textId="77777777" w:rsidR="0055392D" w:rsidRPr="002927A1" w:rsidRDefault="0055392D" w:rsidP="00421405">
            <w:pPr>
              <w:ind w:left="-57"/>
              <w:rPr>
                <w:sz w:val="18"/>
                <w:szCs w:val="18"/>
              </w:rPr>
            </w:pPr>
          </w:p>
        </w:tc>
      </w:tr>
      <w:tr w:rsidR="006D017C" w:rsidRPr="002927A1" w14:paraId="1DB8B3E3"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single" w:sz="4" w:space="0" w:color="000000" w:themeColor="text1"/>
              <w:left w:val="nil"/>
              <w:bottom w:val="nil"/>
              <w:right w:val="nil"/>
            </w:tcBorders>
            <w:shd w:val="clear" w:color="auto" w:fill="auto"/>
            <w:tcMar>
              <w:top w:w="80" w:type="dxa"/>
              <w:left w:w="80" w:type="dxa"/>
              <w:bottom w:w="80" w:type="dxa"/>
              <w:right w:w="80" w:type="dxa"/>
            </w:tcMar>
          </w:tcPr>
          <w:p w14:paraId="2B310146" w14:textId="56AC7129" w:rsidR="006D017C" w:rsidRPr="002927A1" w:rsidRDefault="006D017C"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B3. Indicador de resultados para el artículo 3</w:t>
            </w:r>
          </w:p>
        </w:tc>
        <w:tc>
          <w:tcPr>
            <w:tcW w:w="3215" w:type="dxa"/>
            <w:gridSpan w:val="10"/>
            <w:tcBorders>
              <w:top w:val="single" w:sz="4" w:space="0" w:color="000000" w:themeColor="text1"/>
              <w:left w:val="nil"/>
              <w:bottom w:val="nil"/>
              <w:right w:val="nil"/>
            </w:tcBorders>
            <w:shd w:val="clear" w:color="auto" w:fill="auto"/>
            <w:tcMar>
              <w:top w:w="80" w:type="dxa"/>
              <w:left w:w="80" w:type="dxa"/>
              <w:bottom w:w="80" w:type="dxa"/>
              <w:right w:w="80" w:type="dxa"/>
            </w:tcMar>
          </w:tcPr>
          <w:p w14:paraId="6DF6E414" w14:textId="77777777" w:rsidR="006D017C" w:rsidRPr="002927A1" w:rsidRDefault="006D017C" w:rsidP="006D017C">
            <w:pPr>
              <w:pBdr>
                <w:top w:val="nil"/>
                <w:left w:val="nil"/>
                <w:bottom w:val="nil"/>
                <w:right w:val="nil"/>
                <w:between w:val="nil"/>
                <w:bar w:val="nil"/>
              </w:pBdr>
              <w:tabs>
                <w:tab w:val="left" w:pos="1163"/>
              </w:tabs>
              <w:rPr>
                <w:rStyle w:val="dn"/>
                <w:rFonts w:eastAsia="Roboto"/>
                <w:b/>
                <w:bCs/>
                <w:sz w:val="18"/>
                <w:szCs w:val="18"/>
              </w:rPr>
            </w:pPr>
            <w:r w:rsidRPr="002927A1">
              <w:rPr>
                <w:sz w:val="18"/>
                <w:szCs w:val="18"/>
              </w:rPr>
              <w:t>Cantidad total de mercurio extraído de minas de extracción primaria</w:t>
            </w:r>
          </w:p>
          <w:p w14:paraId="120AA00B" w14:textId="307E079D" w:rsidR="006D017C" w:rsidRPr="002927A1" w:rsidRDefault="006D017C" w:rsidP="006D017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p>
        </w:tc>
        <w:tc>
          <w:tcPr>
            <w:tcW w:w="2332" w:type="dxa"/>
            <w:gridSpan w:val="6"/>
            <w:tcBorders>
              <w:top w:val="single" w:sz="4" w:space="0" w:color="000000" w:themeColor="text1"/>
              <w:left w:val="nil"/>
              <w:bottom w:val="nil"/>
              <w:right w:val="nil"/>
            </w:tcBorders>
            <w:shd w:val="clear" w:color="auto" w:fill="auto"/>
            <w:tcMar>
              <w:top w:w="80" w:type="dxa"/>
              <w:left w:w="80" w:type="dxa"/>
              <w:bottom w:w="80" w:type="dxa"/>
              <w:right w:w="80" w:type="dxa"/>
            </w:tcMar>
          </w:tcPr>
          <w:p w14:paraId="085D1B46" w14:textId="50711C41" w:rsidR="006D017C" w:rsidRPr="002927A1" w:rsidRDefault="006D017C" w:rsidP="006D017C">
            <w:pPr>
              <w:pBdr>
                <w:top w:val="nil"/>
                <w:left w:val="nil"/>
                <w:bottom w:val="nil"/>
                <w:right w:val="nil"/>
                <w:between w:val="nil"/>
                <w:bar w:val="nil"/>
              </w:pBdr>
              <w:rPr>
                <w:sz w:val="18"/>
                <w:szCs w:val="18"/>
              </w:rPr>
            </w:pPr>
            <w:r w:rsidRPr="002927A1">
              <w:rPr>
                <w:sz w:val="18"/>
                <w:szCs w:val="18"/>
              </w:rPr>
              <w:t>- Informe de 2017 sobre el suministro, el comercio y la demanda de mercurio</w:t>
            </w:r>
            <w:r w:rsidR="00100D97" w:rsidRPr="002927A1">
              <w:rPr>
                <w:sz w:val="18"/>
                <w:szCs w:val="18"/>
              </w:rPr>
              <w:t xml:space="preserve"> a nivel mundial</w:t>
            </w:r>
          </w:p>
          <w:p w14:paraId="76EC01A0" w14:textId="77777777" w:rsidR="006D017C" w:rsidRPr="002927A1" w:rsidRDefault="006D017C" w:rsidP="006D017C">
            <w:pPr>
              <w:pBdr>
                <w:top w:val="nil"/>
                <w:left w:val="nil"/>
                <w:bottom w:val="nil"/>
                <w:right w:val="nil"/>
                <w:between w:val="nil"/>
                <w:bar w:val="nil"/>
              </w:pBdr>
              <w:tabs>
                <w:tab w:val="left" w:pos="1163"/>
              </w:tabs>
              <w:ind w:right="-1192"/>
              <w:rPr>
                <w:iCs/>
                <w:sz w:val="18"/>
                <w:szCs w:val="18"/>
              </w:rPr>
            </w:pPr>
            <w:r w:rsidRPr="002927A1">
              <w:rPr>
                <w:sz w:val="18"/>
                <w:szCs w:val="18"/>
              </w:rPr>
              <w:t>- Presentación de informes con</w:t>
            </w:r>
            <w:r w:rsidRPr="002927A1">
              <w:rPr>
                <w:sz w:val="18"/>
                <w:szCs w:val="18"/>
              </w:rPr>
              <w:br/>
              <w:t>arreglo al artículo 21</w:t>
            </w:r>
          </w:p>
          <w:p w14:paraId="639B1233" w14:textId="570755FA" w:rsidR="006D017C" w:rsidRPr="002927A1" w:rsidRDefault="006D017C"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Informes sobre el plan de acción nacional para la extracción de oro artesanal y en pequeña escala</w:t>
            </w:r>
          </w:p>
        </w:tc>
        <w:tc>
          <w:tcPr>
            <w:tcW w:w="95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F16188D" w14:textId="20CC8FAB" w:rsidR="006D017C" w:rsidRPr="002927A1" w:rsidRDefault="006D017C"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6D017C" w:rsidRPr="002927A1" w14:paraId="661E5AC9"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nil"/>
              <w:right w:val="nil"/>
            </w:tcBorders>
            <w:shd w:val="clear" w:color="auto" w:fill="auto"/>
            <w:tcMar>
              <w:top w:w="80" w:type="dxa"/>
              <w:left w:w="80" w:type="dxa"/>
              <w:bottom w:w="80" w:type="dxa"/>
              <w:right w:w="80" w:type="dxa"/>
            </w:tcMar>
          </w:tcPr>
          <w:p w14:paraId="51D9DD10" w14:textId="22207B14" w:rsidR="006D017C" w:rsidRPr="002927A1" w:rsidRDefault="006D017C"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B4. Indicador de resultados para el artículo 3</w:t>
            </w:r>
          </w:p>
        </w:tc>
        <w:tc>
          <w:tcPr>
            <w:tcW w:w="3215" w:type="dxa"/>
            <w:gridSpan w:val="10"/>
            <w:tcBorders>
              <w:top w:val="nil"/>
              <w:left w:val="nil"/>
              <w:bottom w:val="nil"/>
              <w:right w:val="nil"/>
            </w:tcBorders>
            <w:shd w:val="clear" w:color="auto" w:fill="auto"/>
            <w:tcMar>
              <w:top w:w="80" w:type="dxa"/>
              <w:left w:w="80" w:type="dxa"/>
              <w:bottom w:w="80" w:type="dxa"/>
              <w:right w:w="80" w:type="dxa"/>
            </w:tcMar>
          </w:tcPr>
          <w:p w14:paraId="2E02813C" w14:textId="5186F173" w:rsidR="006D017C" w:rsidRPr="002927A1" w:rsidRDefault="006D017C" w:rsidP="006D017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de mercurio comercializado, desglosada por finalidad específica</w:t>
            </w:r>
          </w:p>
        </w:tc>
        <w:tc>
          <w:tcPr>
            <w:tcW w:w="2332" w:type="dxa"/>
            <w:gridSpan w:val="6"/>
            <w:tcBorders>
              <w:top w:val="nil"/>
              <w:left w:val="nil"/>
              <w:bottom w:val="nil"/>
              <w:right w:val="nil"/>
            </w:tcBorders>
            <w:shd w:val="clear" w:color="auto" w:fill="auto"/>
            <w:tcMar>
              <w:top w:w="80" w:type="dxa"/>
              <w:left w:w="80" w:type="dxa"/>
              <w:bottom w:w="80" w:type="dxa"/>
              <w:right w:w="80" w:type="dxa"/>
            </w:tcMar>
          </w:tcPr>
          <w:p w14:paraId="3124AD25" w14:textId="6101772F" w:rsidR="006D017C" w:rsidRPr="002927A1" w:rsidRDefault="006D017C"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Formularios del artículo 3</w:t>
            </w:r>
          </w:p>
        </w:tc>
        <w:tc>
          <w:tcPr>
            <w:tcW w:w="958" w:type="dxa"/>
            <w:tcBorders>
              <w:top w:val="nil"/>
              <w:left w:val="nil"/>
              <w:bottom w:val="nil"/>
              <w:right w:val="nil"/>
            </w:tcBorders>
            <w:shd w:val="clear" w:color="auto" w:fill="auto"/>
            <w:tcMar>
              <w:top w:w="80" w:type="dxa"/>
              <w:left w:w="80" w:type="dxa"/>
              <w:bottom w:w="80" w:type="dxa"/>
              <w:right w:w="80" w:type="dxa"/>
            </w:tcMar>
          </w:tcPr>
          <w:p w14:paraId="67132FD1" w14:textId="721CEDCF" w:rsidR="006D017C" w:rsidRPr="002927A1" w:rsidRDefault="006D017C"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6D017C" w:rsidRPr="002927A1" w14:paraId="5011BF77"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nil"/>
              <w:right w:val="nil"/>
            </w:tcBorders>
            <w:shd w:val="clear" w:color="auto" w:fill="auto"/>
            <w:tcMar>
              <w:top w:w="80" w:type="dxa"/>
              <w:left w:w="80" w:type="dxa"/>
              <w:bottom w:w="80" w:type="dxa"/>
              <w:right w:w="80" w:type="dxa"/>
            </w:tcMar>
          </w:tcPr>
          <w:p w14:paraId="358DC682" w14:textId="384766A0" w:rsidR="006D017C" w:rsidRPr="002927A1" w:rsidRDefault="006D017C"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B5. Indicador de procesos del artículo 3</w:t>
            </w:r>
          </w:p>
        </w:tc>
        <w:tc>
          <w:tcPr>
            <w:tcW w:w="3215" w:type="dxa"/>
            <w:gridSpan w:val="10"/>
            <w:tcBorders>
              <w:top w:val="nil"/>
              <w:left w:val="nil"/>
              <w:bottom w:val="nil"/>
              <w:right w:val="nil"/>
            </w:tcBorders>
            <w:shd w:val="clear" w:color="auto" w:fill="auto"/>
            <w:tcMar>
              <w:top w:w="80" w:type="dxa"/>
              <w:left w:w="80" w:type="dxa"/>
              <w:bottom w:w="80" w:type="dxa"/>
              <w:right w:w="80" w:type="dxa"/>
            </w:tcMar>
          </w:tcPr>
          <w:p w14:paraId="1B053BE0" w14:textId="6D1C8B1A" w:rsidR="006D017C" w:rsidRPr="002927A1" w:rsidRDefault="006D017C" w:rsidP="006D017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puesto empeño en indicar las existencias y fuentes de suministro</w:t>
            </w:r>
          </w:p>
        </w:tc>
        <w:tc>
          <w:tcPr>
            <w:tcW w:w="2332" w:type="dxa"/>
            <w:gridSpan w:val="6"/>
            <w:tcBorders>
              <w:top w:val="nil"/>
              <w:left w:val="nil"/>
              <w:bottom w:val="nil"/>
              <w:right w:val="nil"/>
            </w:tcBorders>
            <w:shd w:val="clear" w:color="auto" w:fill="auto"/>
            <w:tcMar>
              <w:top w:w="80" w:type="dxa"/>
              <w:left w:w="80" w:type="dxa"/>
              <w:bottom w:w="80" w:type="dxa"/>
              <w:right w:w="80" w:type="dxa"/>
            </w:tcMar>
          </w:tcPr>
          <w:p w14:paraId="32D6C144" w14:textId="1176228C" w:rsidR="006D017C" w:rsidRPr="002927A1" w:rsidRDefault="006D017C" w:rsidP="006D017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w:t>
            </w:r>
            <w:r w:rsidR="001F1C70" w:rsidRPr="002927A1">
              <w:rPr>
                <w:rFonts w:ascii="Times New Roman" w:hAnsi="Times New Roman" w:cs="Times New Roman"/>
                <w:sz w:val="18"/>
                <w:szCs w:val="18"/>
                <w:lang w:val="es-ES_tradnl"/>
              </w:rPr>
              <w:t xml:space="preserve"> </w:t>
            </w:r>
            <w:r w:rsidRPr="002927A1">
              <w:rPr>
                <w:rFonts w:ascii="Times New Roman" w:hAnsi="Times New Roman" w:cs="Times New Roman"/>
                <w:sz w:val="18"/>
                <w:szCs w:val="18"/>
                <w:lang w:val="es-ES_tradnl"/>
              </w:rPr>
              <w:t>arreglo al artículo 21</w:t>
            </w:r>
          </w:p>
        </w:tc>
        <w:tc>
          <w:tcPr>
            <w:tcW w:w="958" w:type="dxa"/>
            <w:tcBorders>
              <w:top w:val="nil"/>
              <w:left w:val="nil"/>
              <w:bottom w:val="nil"/>
              <w:right w:val="nil"/>
            </w:tcBorders>
            <w:shd w:val="clear" w:color="auto" w:fill="auto"/>
            <w:tcMar>
              <w:top w:w="80" w:type="dxa"/>
              <w:left w:w="80" w:type="dxa"/>
              <w:bottom w:w="80" w:type="dxa"/>
              <w:right w:w="80" w:type="dxa"/>
            </w:tcMar>
          </w:tcPr>
          <w:p w14:paraId="73C10CB7" w14:textId="2B1C5332" w:rsidR="006D017C" w:rsidRPr="002927A1" w:rsidRDefault="006D017C"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6D017C" w:rsidRPr="002927A1" w14:paraId="72D6E83A"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nil"/>
              <w:right w:val="nil"/>
            </w:tcBorders>
            <w:shd w:val="clear" w:color="auto" w:fill="auto"/>
            <w:tcMar>
              <w:top w:w="80" w:type="dxa"/>
              <w:left w:w="80" w:type="dxa"/>
              <w:bottom w:w="80" w:type="dxa"/>
              <w:right w:w="80" w:type="dxa"/>
            </w:tcMar>
          </w:tcPr>
          <w:p w14:paraId="53EB2327" w14:textId="59B7A555" w:rsidR="006D017C" w:rsidRPr="002927A1" w:rsidRDefault="006D017C" w:rsidP="006D017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B6. Indicador de procesos del artículo 3</w:t>
            </w:r>
          </w:p>
        </w:tc>
        <w:tc>
          <w:tcPr>
            <w:tcW w:w="3215" w:type="dxa"/>
            <w:gridSpan w:val="10"/>
            <w:tcBorders>
              <w:top w:val="nil"/>
              <w:left w:val="nil"/>
              <w:bottom w:val="nil"/>
              <w:right w:val="nil"/>
            </w:tcBorders>
            <w:shd w:val="clear" w:color="auto" w:fill="auto"/>
            <w:tcMar>
              <w:top w:w="80" w:type="dxa"/>
              <w:left w:w="80" w:type="dxa"/>
              <w:bottom w:w="80" w:type="dxa"/>
              <w:right w:w="80" w:type="dxa"/>
            </w:tcMar>
          </w:tcPr>
          <w:p w14:paraId="7EB070B9" w14:textId="58C11188" w:rsidR="006D017C" w:rsidRPr="002927A1" w:rsidRDefault="0019203B" w:rsidP="00336482">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eastAsia="Times New Roman" w:hAnsi="Times New Roman" w:cs="Times New Roman"/>
                <w:color w:val="auto"/>
                <w:sz w:val="18"/>
                <w:szCs w:val="18"/>
                <w:lang w:val="es-ES_tradnl"/>
              </w:rPr>
              <w:t>Para las Partes que hayan determinado la existencia de exceso de mercurio</w:t>
            </w:r>
            <w:r w:rsidR="006D017C" w:rsidRPr="002927A1">
              <w:rPr>
                <w:rFonts w:ascii="Times New Roman" w:eastAsia="Times New Roman" w:hAnsi="Times New Roman" w:cs="Times New Roman"/>
                <w:color w:val="auto"/>
                <w:sz w:val="18"/>
                <w:szCs w:val="18"/>
                <w:lang w:val="es-ES_tradnl"/>
              </w:rPr>
              <w:t xml:space="preserve">, </w:t>
            </w:r>
            <w:r w:rsidRPr="002927A1">
              <w:rPr>
                <w:rFonts w:ascii="Times New Roman" w:eastAsia="Times New Roman" w:hAnsi="Times New Roman" w:cs="Times New Roman"/>
                <w:color w:val="auto"/>
                <w:sz w:val="18"/>
                <w:szCs w:val="18"/>
                <w:lang w:val="es-ES_tradnl"/>
              </w:rPr>
              <w:t>hayan adoptado o no las medidas estipuladas en el párrafo</w:t>
            </w:r>
            <w:r w:rsidR="00FA6A30" w:rsidRPr="002927A1">
              <w:rPr>
                <w:rFonts w:ascii="Times New Roman" w:eastAsia="Times New Roman" w:hAnsi="Times New Roman" w:cs="Times New Roman"/>
                <w:color w:val="auto"/>
                <w:sz w:val="18"/>
                <w:szCs w:val="18"/>
                <w:lang w:val="es-ES_tradnl"/>
              </w:rPr>
              <w:t xml:space="preserve"> </w:t>
            </w:r>
            <w:r w:rsidR="006D017C" w:rsidRPr="002927A1">
              <w:rPr>
                <w:rFonts w:ascii="Times New Roman" w:eastAsia="Times New Roman" w:hAnsi="Times New Roman" w:cs="Times New Roman"/>
                <w:color w:val="auto"/>
                <w:sz w:val="18"/>
                <w:szCs w:val="18"/>
                <w:lang w:val="es-ES_tradnl"/>
              </w:rPr>
              <w:t>5</w:t>
            </w:r>
            <w:r w:rsidR="00787827" w:rsidRPr="002927A1">
              <w:rPr>
                <w:rFonts w:ascii="Times New Roman" w:eastAsia="Times New Roman" w:hAnsi="Times New Roman" w:cs="Times New Roman"/>
                <w:color w:val="auto"/>
                <w:sz w:val="18"/>
                <w:szCs w:val="18"/>
                <w:lang w:val="es-ES_tradnl"/>
              </w:rPr>
              <w:t xml:space="preserve"> </w:t>
            </w:r>
            <w:r w:rsidR="006D017C" w:rsidRPr="002927A1">
              <w:rPr>
                <w:rFonts w:ascii="Times New Roman" w:eastAsia="Times New Roman" w:hAnsi="Times New Roman" w:cs="Times New Roman"/>
                <w:color w:val="auto"/>
                <w:sz w:val="18"/>
                <w:szCs w:val="18"/>
                <w:lang w:val="es-ES_tradnl"/>
              </w:rPr>
              <w:t>b)</w:t>
            </w:r>
            <w:r w:rsidRPr="002927A1">
              <w:rPr>
                <w:rFonts w:ascii="Times New Roman" w:eastAsia="Times New Roman" w:hAnsi="Times New Roman" w:cs="Times New Roman"/>
                <w:color w:val="auto"/>
                <w:sz w:val="18"/>
                <w:szCs w:val="18"/>
                <w:lang w:val="es-ES_tradnl"/>
              </w:rPr>
              <w:t xml:space="preserve"> del artículo 3</w:t>
            </w:r>
            <w:r w:rsidR="006D017C" w:rsidRPr="002927A1">
              <w:rPr>
                <w:rFonts w:ascii="Times New Roman" w:eastAsia="Times New Roman" w:hAnsi="Times New Roman" w:cs="Times New Roman"/>
                <w:color w:val="auto"/>
                <w:sz w:val="18"/>
                <w:szCs w:val="18"/>
                <w:lang w:val="es-ES_tradnl"/>
              </w:rPr>
              <w:t xml:space="preserve">, </w:t>
            </w:r>
            <w:r w:rsidRPr="002927A1">
              <w:rPr>
                <w:rFonts w:ascii="Times New Roman" w:eastAsia="Times New Roman" w:hAnsi="Times New Roman" w:cs="Times New Roman"/>
                <w:color w:val="auto"/>
                <w:sz w:val="18"/>
                <w:szCs w:val="18"/>
                <w:lang w:val="es-ES_tradnl"/>
              </w:rPr>
              <w:t xml:space="preserve">y la cantidad de mercurio </w:t>
            </w:r>
            <w:r w:rsidR="00336482" w:rsidRPr="002927A1">
              <w:rPr>
                <w:rFonts w:ascii="Times New Roman" w:eastAsia="Times New Roman" w:hAnsi="Times New Roman" w:cs="Times New Roman"/>
                <w:color w:val="auto"/>
                <w:sz w:val="18"/>
                <w:szCs w:val="18"/>
                <w:lang w:val="es-ES_tradnl"/>
              </w:rPr>
              <w:t>eliminado</w:t>
            </w:r>
            <w:r w:rsidRPr="002927A1">
              <w:rPr>
                <w:rFonts w:ascii="Times New Roman" w:eastAsia="Times New Roman" w:hAnsi="Times New Roman" w:cs="Times New Roman"/>
                <w:color w:val="auto"/>
                <w:sz w:val="18"/>
                <w:szCs w:val="18"/>
                <w:lang w:val="es-ES_tradnl"/>
              </w:rPr>
              <w:t xml:space="preserve"> en virtud de esas medidas, si se conociese</w:t>
            </w:r>
          </w:p>
        </w:tc>
        <w:tc>
          <w:tcPr>
            <w:tcW w:w="2332" w:type="dxa"/>
            <w:gridSpan w:val="6"/>
            <w:tcBorders>
              <w:top w:val="nil"/>
              <w:left w:val="nil"/>
              <w:bottom w:val="nil"/>
              <w:right w:val="nil"/>
            </w:tcBorders>
            <w:shd w:val="clear" w:color="auto" w:fill="auto"/>
            <w:tcMar>
              <w:top w:w="80" w:type="dxa"/>
              <w:left w:w="80" w:type="dxa"/>
              <w:bottom w:w="80" w:type="dxa"/>
              <w:right w:w="80" w:type="dxa"/>
            </w:tcMar>
          </w:tcPr>
          <w:p w14:paraId="1CF0641D" w14:textId="77777777" w:rsidR="006D017C" w:rsidRPr="002927A1" w:rsidRDefault="006D017C" w:rsidP="006D017C">
            <w:pPr>
              <w:rPr>
                <w:iCs/>
                <w:sz w:val="18"/>
                <w:szCs w:val="18"/>
              </w:rPr>
            </w:pPr>
            <w:r w:rsidRPr="002927A1">
              <w:rPr>
                <w:sz w:val="18"/>
                <w:szCs w:val="18"/>
              </w:rPr>
              <w:t xml:space="preserve">- Presentación de informes con arreglo al artículo 21 </w:t>
            </w:r>
          </w:p>
          <w:p w14:paraId="4CB01442" w14:textId="4D3D6DA6" w:rsidR="006D017C" w:rsidRPr="002927A1" w:rsidRDefault="006D017C" w:rsidP="006D017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Informes del Consejo Mundial del Cloro</w:t>
            </w:r>
          </w:p>
        </w:tc>
        <w:tc>
          <w:tcPr>
            <w:tcW w:w="958" w:type="dxa"/>
            <w:tcBorders>
              <w:top w:val="nil"/>
              <w:left w:val="nil"/>
              <w:bottom w:val="nil"/>
              <w:right w:val="nil"/>
            </w:tcBorders>
            <w:shd w:val="clear" w:color="auto" w:fill="auto"/>
            <w:tcMar>
              <w:top w:w="80" w:type="dxa"/>
              <w:left w:w="80" w:type="dxa"/>
              <w:bottom w:w="80" w:type="dxa"/>
              <w:right w:w="80" w:type="dxa"/>
            </w:tcMar>
          </w:tcPr>
          <w:p w14:paraId="1A05FD66" w14:textId="62336E54" w:rsidR="006D017C" w:rsidRPr="002927A1" w:rsidRDefault="006D017C"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en la primera evaluación</w:t>
            </w:r>
          </w:p>
        </w:tc>
      </w:tr>
      <w:tr w:rsidR="0019203B" w:rsidRPr="002927A1" w14:paraId="792586B1"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nil"/>
              <w:right w:val="nil"/>
            </w:tcBorders>
            <w:shd w:val="clear" w:color="auto" w:fill="auto"/>
            <w:tcMar>
              <w:top w:w="80" w:type="dxa"/>
              <w:left w:w="80" w:type="dxa"/>
              <w:bottom w:w="80" w:type="dxa"/>
              <w:right w:w="80" w:type="dxa"/>
            </w:tcMar>
          </w:tcPr>
          <w:p w14:paraId="3997DF6C" w14:textId="603A45A6"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B7. Indicador de procesos del artículo 3</w:t>
            </w:r>
          </w:p>
        </w:tc>
        <w:tc>
          <w:tcPr>
            <w:tcW w:w="3215" w:type="dxa"/>
            <w:gridSpan w:val="10"/>
            <w:tcBorders>
              <w:top w:val="nil"/>
              <w:left w:val="nil"/>
              <w:bottom w:val="nil"/>
              <w:right w:val="nil"/>
            </w:tcBorders>
            <w:shd w:val="clear" w:color="auto" w:fill="auto"/>
            <w:tcMar>
              <w:top w:w="80" w:type="dxa"/>
              <w:left w:w="80" w:type="dxa"/>
              <w:bottom w:w="80" w:type="dxa"/>
              <w:right w:w="80" w:type="dxa"/>
            </w:tcMar>
          </w:tcPr>
          <w:p w14:paraId="126310DF" w14:textId="2294F3C4"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y proporción de Partes que comercian con mercurio</w:t>
            </w:r>
          </w:p>
        </w:tc>
        <w:tc>
          <w:tcPr>
            <w:tcW w:w="2332" w:type="dxa"/>
            <w:gridSpan w:val="6"/>
            <w:tcBorders>
              <w:top w:val="nil"/>
              <w:left w:val="nil"/>
              <w:bottom w:val="nil"/>
              <w:right w:val="nil"/>
            </w:tcBorders>
            <w:shd w:val="clear" w:color="auto" w:fill="auto"/>
            <w:tcMar>
              <w:top w:w="80" w:type="dxa"/>
              <w:left w:w="80" w:type="dxa"/>
              <w:bottom w:w="80" w:type="dxa"/>
              <w:right w:w="80" w:type="dxa"/>
            </w:tcMar>
          </w:tcPr>
          <w:p w14:paraId="262CDA96" w14:textId="77777777" w:rsidR="0019203B" w:rsidRPr="002927A1" w:rsidRDefault="0019203B" w:rsidP="0019203B">
            <w:pPr>
              <w:pBdr>
                <w:top w:val="nil"/>
                <w:left w:val="nil"/>
                <w:bottom w:val="nil"/>
                <w:right w:val="nil"/>
                <w:between w:val="nil"/>
                <w:bar w:val="nil"/>
              </w:pBdr>
              <w:tabs>
                <w:tab w:val="left" w:pos="1163"/>
              </w:tabs>
              <w:ind w:right="-1192"/>
              <w:rPr>
                <w:rStyle w:val="dn"/>
                <w:rFonts w:eastAsia="Roboto"/>
                <w:sz w:val="18"/>
                <w:szCs w:val="18"/>
              </w:rPr>
            </w:pPr>
            <w:r w:rsidRPr="002927A1">
              <w:rPr>
                <w:sz w:val="18"/>
                <w:szCs w:val="18"/>
              </w:rPr>
              <w:t>- Presentación de informes con</w:t>
            </w:r>
            <w:r w:rsidRPr="002927A1">
              <w:rPr>
                <w:sz w:val="18"/>
                <w:szCs w:val="18"/>
              </w:rPr>
              <w:br/>
              <w:t xml:space="preserve">arreglo al artículo 21 </w:t>
            </w:r>
          </w:p>
          <w:p w14:paraId="584A87CB" w14:textId="21CA8609"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Formularios del artículo 3</w:t>
            </w:r>
          </w:p>
        </w:tc>
        <w:tc>
          <w:tcPr>
            <w:tcW w:w="958" w:type="dxa"/>
            <w:tcBorders>
              <w:top w:val="nil"/>
              <w:left w:val="nil"/>
              <w:bottom w:val="nil"/>
              <w:right w:val="nil"/>
            </w:tcBorders>
            <w:shd w:val="clear" w:color="auto" w:fill="auto"/>
            <w:tcMar>
              <w:top w:w="80" w:type="dxa"/>
              <w:left w:w="80" w:type="dxa"/>
              <w:bottom w:w="80" w:type="dxa"/>
              <w:right w:w="80" w:type="dxa"/>
            </w:tcMar>
          </w:tcPr>
          <w:p w14:paraId="3E485D06" w14:textId="209C7378" w:rsidR="0019203B" w:rsidRPr="002927A1" w:rsidRDefault="00F61D30"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Pr>
                <w:rFonts w:ascii="Times New Roman" w:hAnsi="Times New Roman" w:cs="Times New Roman"/>
                <w:sz w:val="18"/>
                <w:szCs w:val="18"/>
                <w:lang w:val="es-ES_tradnl"/>
              </w:rPr>
              <w:t>Número</w:t>
            </w:r>
            <w:r w:rsidR="0019203B" w:rsidRPr="002927A1">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 xml:space="preserve">y porcentaje </w:t>
            </w:r>
            <w:r w:rsidR="0019203B" w:rsidRPr="002927A1">
              <w:rPr>
                <w:rFonts w:ascii="Times New Roman" w:hAnsi="Times New Roman" w:cs="Times New Roman"/>
                <w:sz w:val="18"/>
                <w:szCs w:val="18"/>
                <w:lang w:val="es-ES_tradnl"/>
              </w:rPr>
              <w:t>en la primera evaluación</w:t>
            </w:r>
          </w:p>
        </w:tc>
      </w:tr>
      <w:tr w:rsidR="0019203B" w:rsidRPr="002927A1" w14:paraId="3B0BB0BD"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single" w:sz="4" w:space="0" w:color="000000" w:themeColor="text1"/>
              <w:right w:val="nil"/>
            </w:tcBorders>
            <w:shd w:val="clear" w:color="auto" w:fill="auto"/>
            <w:tcMar>
              <w:top w:w="80" w:type="dxa"/>
              <w:left w:w="80" w:type="dxa"/>
              <w:bottom w:w="80" w:type="dxa"/>
              <w:right w:w="80" w:type="dxa"/>
            </w:tcMar>
          </w:tcPr>
          <w:p w14:paraId="2FAD3A80" w14:textId="28CDD554"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B8. Indicador de procesos del artículo 3</w:t>
            </w:r>
          </w:p>
        </w:tc>
        <w:tc>
          <w:tcPr>
            <w:tcW w:w="3215" w:type="dxa"/>
            <w:gridSpan w:val="10"/>
            <w:tcBorders>
              <w:top w:val="nil"/>
              <w:left w:val="nil"/>
              <w:bottom w:val="single" w:sz="4" w:space="0" w:color="000000" w:themeColor="text1"/>
              <w:right w:val="nil"/>
            </w:tcBorders>
            <w:shd w:val="clear" w:color="auto" w:fill="auto"/>
            <w:tcMar>
              <w:top w:w="80" w:type="dxa"/>
              <w:left w:w="80" w:type="dxa"/>
              <w:bottom w:w="80" w:type="dxa"/>
              <w:right w:w="80" w:type="dxa"/>
            </w:tcMar>
          </w:tcPr>
          <w:p w14:paraId="23AA0044" w14:textId="5C6E7CD8"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Volumen de mercurio </w:t>
            </w:r>
            <w:r w:rsidR="00100D97" w:rsidRPr="002927A1">
              <w:rPr>
                <w:rFonts w:ascii="Times New Roman" w:hAnsi="Times New Roman" w:cs="Times New Roman"/>
                <w:sz w:val="18"/>
                <w:szCs w:val="18"/>
                <w:lang w:val="es-ES_tradnl"/>
              </w:rPr>
              <w:t xml:space="preserve">que está siendo </w:t>
            </w:r>
            <w:r w:rsidRPr="002927A1">
              <w:rPr>
                <w:rFonts w:ascii="Times New Roman" w:hAnsi="Times New Roman" w:cs="Times New Roman"/>
                <w:sz w:val="18"/>
                <w:szCs w:val="18"/>
                <w:lang w:val="es-ES_tradnl"/>
              </w:rPr>
              <w:t>comercializado</w:t>
            </w:r>
          </w:p>
        </w:tc>
        <w:tc>
          <w:tcPr>
            <w:tcW w:w="2332" w:type="dxa"/>
            <w:gridSpan w:val="6"/>
            <w:tcBorders>
              <w:top w:val="nil"/>
              <w:left w:val="nil"/>
              <w:bottom w:val="single" w:sz="4" w:space="0" w:color="000000" w:themeColor="text1"/>
              <w:right w:val="nil"/>
            </w:tcBorders>
            <w:shd w:val="clear" w:color="auto" w:fill="auto"/>
            <w:tcMar>
              <w:top w:w="80" w:type="dxa"/>
              <w:left w:w="80" w:type="dxa"/>
              <w:bottom w:w="80" w:type="dxa"/>
              <w:right w:w="80" w:type="dxa"/>
            </w:tcMar>
          </w:tcPr>
          <w:p w14:paraId="4BD8FA48" w14:textId="44DEA903"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 Presentación de informes con arreglo al artículo 21 </w:t>
            </w:r>
          </w:p>
        </w:tc>
        <w:tc>
          <w:tcPr>
            <w:tcW w:w="95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5E06843B" w14:textId="76C7B367" w:rsidR="0019203B" w:rsidRPr="002927A1" w:rsidRDefault="0019203B"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19203B" w:rsidRPr="002927A1" w14:paraId="75355B7E"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139"/>
          <w:jc w:val="right"/>
        </w:trPr>
        <w:tc>
          <w:tcPr>
            <w:tcW w:w="1802"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A880C50" w14:textId="639C32B6"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Artículo 10</w:t>
            </w:r>
          </w:p>
        </w:tc>
        <w:tc>
          <w:tcPr>
            <w:tcW w:w="3215" w:type="dxa"/>
            <w:gridSpan w:val="10"/>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04D481B" w14:textId="77777777" w:rsidR="0019203B" w:rsidRPr="002927A1" w:rsidRDefault="0019203B" w:rsidP="0019203B">
            <w:pPr>
              <w:rPr>
                <w:sz w:val="18"/>
                <w:szCs w:val="18"/>
              </w:rPr>
            </w:pPr>
          </w:p>
        </w:tc>
        <w:tc>
          <w:tcPr>
            <w:tcW w:w="2332" w:type="dxa"/>
            <w:gridSpan w:val="6"/>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FD414FE" w14:textId="77777777" w:rsidR="0019203B" w:rsidRPr="002927A1" w:rsidRDefault="0019203B" w:rsidP="0019203B">
            <w:pPr>
              <w:rPr>
                <w:sz w:val="18"/>
                <w:szCs w:val="18"/>
              </w:rPr>
            </w:pPr>
          </w:p>
        </w:tc>
        <w:tc>
          <w:tcPr>
            <w:tcW w:w="95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6361E4D" w14:textId="77777777" w:rsidR="0019203B" w:rsidRPr="002927A1" w:rsidRDefault="0019203B" w:rsidP="00421405">
            <w:pPr>
              <w:ind w:left="-57"/>
              <w:rPr>
                <w:sz w:val="18"/>
                <w:szCs w:val="18"/>
              </w:rPr>
            </w:pPr>
          </w:p>
        </w:tc>
      </w:tr>
      <w:tr w:rsidR="0019203B" w:rsidRPr="002927A1" w14:paraId="422A18A2"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single" w:sz="4" w:space="0" w:color="000000" w:themeColor="text1"/>
              <w:left w:val="nil"/>
              <w:bottom w:val="nil"/>
              <w:right w:val="nil"/>
            </w:tcBorders>
            <w:shd w:val="clear" w:color="auto" w:fill="auto"/>
            <w:tcMar>
              <w:top w:w="80" w:type="dxa"/>
              <w:left w:w="80" w:type="dxa"/>
              <w:bottom w:w="80" w:type="dxa"/>
              <w:right w:w="80" w:type="dxa"/>
            </w:tcMar>
          </w:tcPr>
          <w:p w14:paraId="1B03E3B7" w14:textId="5EA1A5C5"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B9. Indicador de procesos en relación con el artículo 10</w:t>
            </w:r>
          </w:p>
        </w:tc>
        <w:tc>
          <w:tcPr>
            <w:tcW w:w="3215" w:type="dxa"/>
            <w:gridSpan w:val="10"/>
            <w:tcBorders>
              <w:top w:val="single" w:sz="4" w:space="0" w:color="000000" w:themeColor="text1"/>
              <w:left w:val="nil"/>
              <w:bottom w:val="nil"/>
              <w:right w:val="nil"/>
            </w:tcBorders>
            <w:shd w:val="clear" w:color="auto" w:fill="auto"/>
            <w:tcMar>
              <w:top w:w="80" w:type="dxa"/>
              <w:left w:w="80" w:type="dxa"/>
              <w:bottom w:w="80" w:type="dxa"/>
              <w:right w:w="80" w:type="dxa"/>
            </w:tcMar>
          </w:tcPr>
          <w:p w14:paraId="7F43AF87" w14:textId="04E01A3B" w:rsidR="0019203B" w:rsidRPr="002927A1" w:rsidRDefault="0019203B" w:rsidP="0019203B">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y proporción de Partes que han adoptado medidas para garantizar un almacenamiento provisional ambientalmente racional</w:t>
            </w:r>
          </w:p>
        </w:tc>
        <w:tc>
          <w:tcPr>
            <w:tcW w:w="2332" w:type="dxa"/>
            <w:gridSpan w:val="6"/>
            <w:tcBorders>
              <w:top w:val="single" w:sz="4" w:space="0" w:color="000000" w:themeColor="text1"/>
              <w:left w:val="nil"/>
              <w:bottom w:val="nil"/>
              <w:right w:val="nil"/>
            </w:tcBorders>
            <w:shd w:val="clear" w:color="auto" w:fill="auto"/>
            <w:tcMar>
              <w:top w:w="80" w:type="dxa"/>
              <w:left w:w="80" w:type="dxa"/>
              <w:bottom w:w="80" w:type="dxa"/>
              <w:right w:w="80" w:type="dxa"/>
            </w:tcMar>
          </w:tcPr>
          <w:p w14:paraId="62B1DC41" w14:textId="4CA3AF58" w:rsidR="0019203B" w:rsidRPr="002927A1" w:rsidRDefault="0019203B" w:rsidP="0019203B">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w:t>
            </w:r>
            <w:r w:rsidR="00787827" w:rsidRPr="002927A1">
              <w:rPr>
                <w:rFonts w:ascii="Times New Roman" w:hAnsi="Times New Roman" w:cs="Times New Roman"/>
                <w:sz w:val="18"/>
                <w:szCs w:val="18"/>
                <w:lang w:val="es-ES_tradnl"/>
              </w:rPr>
              <w:t xml:space="preserve"> </w:t>
            </w:r>
            <w:r w:rsidRPr="002927A1">
              <w:rPr>
                <w:rFonts w:ascii="Times New Roman" w:hAnsi="Times New Roman" w:cs="Times New Roman"/>
                <w:sz w:val="18"/>
                <w:szCs w:val="18"/>
                <w:lang w:val="es-ES_tradnl"/>
              </w:rPr>
              <w:t>arreglo al artículo 21</w:t>
            </w:r>
          </w:p>
        </w:tc>
        <w:tc>
          <w:tcPr>
            <w:tcW w:w="95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C5BA086" w14:textId="52D6CE58" w:rsidR="0019203B" w:rsidRPr="002927A1" w:rsidRDefault="00F61D30"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Pr>
                <w:rFonts w:ascii="Times New Roman" w:hAnsi="Times New Roman" w:cs="Times New Roman"/>
                <w:sz w:val="18"/>
                <w:szCs w:val="18"/>
                <w:lang w:val="es-ES_tradnl"/>
              </w:rPr>
              <w:t>Número y porcentaje</w:t>
            </w:r>
            <w:r w:rsidR="00504FD4" w:rsidRPr="002927A1">
              <w:rPr>
                <w:rFonts w:ascii="Times New Roman" w:hAnsi="Times New Roman" w:cs="Times New Roman"/>
                <w:sz w:val="18"/>
                <w:szCs w:val="18"/>
                <w:lang w:val="es-ES_tradnl"/>
              </w:rPr>
              <w:t xml:space="preserve"> en la primera evaluación</w:t>
            </w:r>
          </w:p>
        </w:tc>
      </w:tr>
      <w:tr w:rsidR="0019203B" w:rsidRPr="002927A1" w14:paraId="524B3A73"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single" w:sz="4" w:space="0" w:color="000000" w:themeColor="text1"/>
              <w:right w:val="nil"/>
            </w:tcBorders>
            <w:shd w:val="clear" w:color="auto" w:fill="auto"/>
            <w:tcMar>
              <w:top w:w="80" w:type="dxa"/>
              <w:left w:w="80" w:type="dxa"/>
              <w:bottom w:w="80" w:type="dxa"/>
              <w:right w:w="80" w:type="dxa"/>
            </w:tcMar>
          </w:tcPr>
          <w:p w14:paraId="63FFE487" w14:textId="31B6DA24" w:rsidR="0019203B" w:rsidRPr="002927A1" w:rsidRDefault="0019203B" w:rsidP="0019203B">
            <w:pPr>
              <w:pStyle w:val="Text"/>
              <w:tabs>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B10. Indicador de resultados para el artículo 10</w:t>
            </w:r>
          </w:p>
        </w:tc>
        <w:tc>
          <w:tcPr>
            <w:tcW w:w="3215" w:type="dxa"/>
            <w:gridSpan w:val="10"/>
            <w:tcBorders>
              <w:top w:val="nil"/>
              <w:left w:val="nil"/>
              <w:bottom w:val="single" w:sz="4" w:space="0" w:color="000000" w:themeColor="text1"/>
              <w:right w:val="nil"/>
            </w:tcBorders>
            <w:shd w:val="clear" w:color="auto" w:fill="auto"/>
            <w:tcMar>
              <w:top w:w="80" w:type="dxa"/>
              <w:left w:w="80" w:type="dxa"/>
              <w:bottom w:w="80" w:type="dxa"/>
              <w:right w:w="80" w:type="dxa"/>
            </w:tcMar>
          </w:tcPr>
          <w:p w14:paraId="6AEEFB89" w14:textId="502F1F95"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de mercurio almacenado de manera ambientalmente racional (indicada en el inventario de las existencias)</w:t>
            </w:r>
          </w:p>
        </w:tc>
        <w:tc>
          <w:tcPr>
            <w:tcW w:w="2332" w:type="dxa"/>
            <w:gridSpan w:val="6"/>
            <w:tcBorders>
              <w:top w:val="nil"/>
              <w:left w:val="nil"/>
              <w:bottom w:val="single" w:sz="4" w:space="0" w:color="000000" w:themeColor="text1"/>
              <w:right w:val="nil"/>
            </w:tcBorders>
            <w:shd w:val="clear" w:color="auto" w:fill="auto"/>
            <w:tcMar>
              <w:top w:w="80" w:type="dxa"/>
              <w:left w:w="80" w:type="dxa"/>
              <w:bottom w:w="80" w:type="dxa"/>
              <w:right w:w="80" w:type="dxa"/>
            </w:tcMar>
          </w:tcPr>
          <w:p w14:paraId="6D34B792" w14:textId="6677FC54"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w:t>
            </w:r>
            <w:r w:rsidR="00787827" w:rsidRPr="002927A1">
              <w:rPr>
                <w:rFonts w:ascii="Times New Roman" w:hAnsi="Times New Roman" w:cs="Times New Roman"/>
                <w:sz w:val="18"/>
                <w:szCs w:val="18"/>
                <w:lang w:val="es-ES_tradnl"/>
              </w:rPr>
              <w:t xml:space="preserve"> </w:t>
            </w:r>
            <w:r w:rsidRPr="002927A1">
              <w:rPr>
                <w:rFonts w:ascii="Times New Roman" w:hAnsi="Times New Roman" w:cs="Times New Roman"/>
                <w:sz w:val="18"/>
                <w:szCs w:val="18"/>
                <w:lang w:val="es-ES_tradnl"/>
              </w:rPr>
              <w:t>arreglo al artículo 21</w:t>
            </w:r>
          </w:p>
        </w:tc>
        <w:tc>
          <w:tcPr>
            <w:tcW w:w="95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A733F2C" w14:textId="29203072" w:rsidR="0019203B" w:rsidRPr="002927A1" w:rsidRDefault="0019203B"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19203B" w:rsidRPr="002927A1" w14:paraId="0D327148"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single" w:sz="4" w:space="0" w:color="000000" w:themeColor="text1"/>
              <w:left w:val="nil"/>
              <w:bottom w:val="nil"/>
              <w:right w:val="nil"/>
            </w:tcBorders>
            <w:shd w:val="clear" w:color="auto" w:fill="auto"/>
            <w:tcMar>
              <w:top w:w="80" w:type="dxa"/>
              <w:left w:w="80" w:type="dxa"/>
              <w:bottom w:w="80" w:type="dxa"/>
              <w:right w:w="80" w:type="dxa"/>
            </w:tcMar>
          </w:tcPr>
          <w:p w14:paraId="2B0E21D9" w14:textId="02FFBDC6" w:rsidR="0019203B" w:rsidRPr="002927A1" w:rsidRDefault="0019203B" w:rsidP="00421405">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lastRenderedPageBreak/>
              <w:t>Artículo 11</w:t>
            </w:r>
          </w:p>
        </w:tc>
        <w:tc>
          <w:tcPr>
            <w:tcW w:w="3215" w:type="dxa"/>
            <w:gridSpan w:val="10"/>
            <w:tcBorders>
              <w:top w:val="single" w:sz="4" w:space="0" w:color="000000" w:themeColor="text1"/>
              <w:left w:val="nil"/>
              <w:bottom w:val="nil"/>
              <w:right w:val="nil"/>
            </w:tcBorders>
            <w:shd w:val="clear" w:color="auto" w:fill="auto"/>
            <w:tcMar>
              <w:top w:w="80" w:type="dxa"/>
              <w:left w:w="80" w:type="dxa"/>
              <w:bottom w:w="80" w:type="dxa"/>
              <w:right w:w="80" w:type="dxa"/>
            </w:tcMar>
          </w:tcPr>
          <w:p w14:paraId="58355407" w14:textId="77777777" w:rsidR="0019203B" w:rsidRPr="002927A1" w:rsidRDefault="0019203B" w:rsidP="00421405">
            <w:pPr>
              <w:keepNext/>
              <w:keepLines/>
              <w:rPr>
                <w:sz w:val="18"/>
                <w:szCs w:val="18"/>
              </w:rPr>
            </w:pPr>
          </w:p>
        </w:tc>
        <w:tc>
          <w:tcPr>
            <w:tcW w:w="2332" w:type="dxa"/>
            <w:gridSpan w:val="6"/>
            <w:tcBorders>
              <w:top w:val="single" w:sz="4" w:space="0" w:color="000000" w:themeColor="text1"/>
              <w:left w:val="nil"/>
              <w:bottom w:val="nil"/>
              <w:right w:val="nil"/>
            </w:tcBorders>
            <w:shd w:val="clear" w:color="auto" w:fill="auto"/>
            <w:tcMar>
              <w:top w:w="80" w:type="dxa"/>
              <w:left w:w="80" w:type="dxa"/>
              <w:bottom w:w="80" w:type="dxa"/>
              <w:right w:w="80" w:type="dxa"/>
            </w:tcMar>
          </w:tcPr>
          <w:p w14:paraId="10E5745A" w14:textId="77777777" w:rsidR="0019203B" w:rsidRPr="002927A1" w:rsidRDefault="0019203B" w:rsidP="00421405">
            <w:pPr>
              <w:keepNext/>
              <w:keepLines/>
              <w:rPr>
                <w:sz w:val="18"/>
                <w:szCs w:val="18"/>
              </w:rPr>
            </w:pPr>
          </w:p>
        </w:tc>
        <w:tc>
          <w:tcPr>
            <w:tcW w:w="95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DAD5213" w14:textId="77777777" w:rsidR="0019203B" w:rsidRPr="002927A1" w:rsidRDefault="0019203B" w:rsidP="00421405">
            <w:pPr>
              <w:keepNext/>
              <w:keepLines/>
              <w:ind w:left="-57"/>
              <w:rPr>
                <w:sz w:val="18"/>
                <w:szCs w:val="18"/>
              </w:rPr>
            </w:pPr>
          </w:p>
        </w:tc>
      </w:tr>
      <w:tr w:rsidR="0019203B" w:rsidRPr="002927A1" w14:paraId="6ABAFC37"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nil"/>
              <w:right w:val="nil"/>
            </w:tcBorders>
            <w:tcMar>
              <w:top w:w="80" w:type="dxa"/>
              <w:left w:w="80" w:type="dxa"/>
              <w:bottom w:w="80" w:type="dxa"/>
              <w:right w:w="80" w:type="dxa"/>
            </w:tcMar>
          </w:tcPr>
          <w:p w14:paraId="63308A7B" w14:textId="3F322DEC" w:rsidR="0019203B" w:rsidRPr="002927A1" w:rsidRDefault="0019203B" w:rsidP="00421405">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B11. Indicador de resultados para el artículo 11</w:t>
            </w:r>
          </w:p>
        </w:tc>
        <w:tc>
          <w:tcPr>
            <w:tcW w:w="3215" w:type="dxa"/>
            <w:gridSpan w:val="10"/>
            <w:tcBorders>
              <w:top w:val="nil"/>
              <w:left w:val="nil"/>
              <w:bottom w:val="nil"/>
              <w:right w:val="nil"/>
            </w:tcBorders>
            <w:tcMar>
              <w:top w:w="80" w:type="dxa"/>
              <w:left w:w="80" w:type="dxa"/>
              <w:bottom w:w="80" w:type="dxa"/>
              <w:right w:w="80" w:type="dxa"/>
            </w:tcMar>
          </w:tcPr>
          <w:p w14:paraId="583D7AC8" w14:textId="5DCBA777" w:rsidR="0019203B" w:rsidRPr="002927A1" w:rsidRDefault="0019203B" w:rsidP="00421405">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de desechos que contienen mercurio o compuestos de mercurio objeto de eliminación definitiva</w:t>
            </w:r>
          </w:p>
        </w:tc>
        <w:tc>
          <w:tcPr>
            <w:tcW w:w="2332" w:type="dxa"/>
            <w:gridSpan w:val="6"/>
            <w:tcBorders>
              <w:top w:val="nil"/>
              <w:left w:val="nil"/>
              <w:bottom w:val="nil"/>
              <w:right w:val="nil"/>
            </w:tcBorders>
            <w:tcMar>
              <w:top w:w="80" w:type="dxa"/>
              <w:left w:w="80" w:type="dxa"/>
              <w:bottom w:w="80" w:type="dxa"/>
              <w:right w:w="80" w:type="dxa"/>
            </w:tcMar>
          </w:tcPr>
          <w:p w14:paraId="499C2C4A" w14:textId="1CB65DD4" w:rsidR="0019203B" w:rsidRPr="002927A1" w:rsidRDefault="0019203B" w:rsidP="00421405">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w:t>
            </w:r>
            <w:r w:rsidRPr="002927A1">
              <w:rPr>
                <w:rFonts w:ascii="Times New Roman" w:hAnsi="Times New Roman" w:cs="Times New Roman"/>
                <w:sz w:val="18"/>
                <w:szCs w:val="18"/>
                <w:lang w:val="es-ES_tradnl"/>
              </w:rPr>
              <w:br/>
              <w:t>arreglo al artículo 21</w:t>
            </w:r>
          </w:p>
        </w:tc>
        <w:tc>
          <w:tcPr>
            <w:tcW w:w="958" w:type="dxa"/>
            <w:tcBorders>
              <w:top w:val="nil"/>
              <w:left w:val="nil"/>
              <w:bottom w:val="nil"/>
              <w:right w:val="nil"/>
            </w:tcBorders>
            <w:tcMar>
              <w:top w:w="80" w:type="dxa"/>
              <w:left w:w="80" w:type="dxa"/>
              <w:bottom w:w="80" w:type="dxa"/>
              <w:right w:w="80" w:type="dxa"/>
            </w:tcMar>
          </w:tcPr>
          <w:p w14:paraId="075BE05D" w14:textId="24C15284" w:rsidR="0019203B" w:rsidRPr="002927A1" w:rsidRDefault="0019203B" w:rsidP="00421405">
            <w:pPr>
              <w:pStyle w:val="Text"/>
              <w:keepNext/>
              <w:keepLines/>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19203B" w:rsidRPr="002927A1" w14:paraId="27E65C92"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nil"/>
              <w:right w:val="nil"/>
            </w:tcBorders>
            <w:tcMar>
              <w:top w:w="80" w:type="dxa"/>
              <w:left w:w="80" w:type="dxa"/>
              <w:bottom w:w="80" w:type="dxa"/>
              <w:right w:w="80" w:type="dxa"/>
            </w:tcMar>
          </w:tcPr>
          <w:p w14:paraId="226ABF2C" w14:textId="0F8FEFD2"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B12. Indicador de resultados para el artículo 11</w:t>
            </w:r>
          </w:p>
        </w:tc>
        <w:tc>
          <w:tcPr>
            <w:tcW w:w="3215" w:type="dxa"/>
            <w:gridSpan w:val="10"/>
            <w:tcBorders>
              <w:top w:val="nil"/>
              <w:left w:val="nil"/>
              <w:bottom w:val="nil"/>
              <w:right w:val="nil"/>
            </w:tcBorders>
            <w:tcMar>
              <w:top w:w="80" w:type="dxa"/>
              <w:left w:w="80" w:type="dxa"/>
              <w:bottom w:w="80" w:type="dxa"/>
              <w:right w:w="80" w:type="dxa"/>
            </w:tcMar>
          </w:tcPr>
          <w:p w14:paraId="7434B1C1" w14:textId="55A2F026" w:rsidR="0019203B" w:rsidRPr="002927A1" w:rsidRDefault="0019203B" w:rsidP="0019203B">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con instalaciones para la eliminación definitiva de los desechos que contienen mercurio o compuestos de mercurio</w:t>
            </w:r>
          </w:p>
        </w:tc>
        <w:tc>
          <w:tcPr>
            <w:tcW w:w="2332" w:type="dxa"/>
            <w:gridSpan w:val="6"/>
            <w:tcBorders>
              <w:top w:val="nil"/>
              <w:left w:val="nil"/>
              <w:bottom w:val="nil"/>
              <w:right w:val="nil"/>
            </w:tcBorders>
            <w:tcMar>
              <w:top w:w="80" w:type="dxa"/>
              <w:left w:w="80" w:type="dxa"/>
              <w:bottom w:w="80" w:type="dxa"/>
              <w:right w:w="80" w:type="dxa"/>
            </w:tcMar>
          </w:tcPr>
          <w:p w14:paraId="249430DA" w14:textId="4BF29FF9" w:rsidR="0019203B" w:rsidRPr="002927A1" w:rsidRDefault="0019203B" w:rsidP="0019203B">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w:t>
            </w:r>
            <w:r w:rsidRPr="002927A1">
              <w:rPr>
                <w:rFonts w:ascii="Times New Roman" w:hAnsi="Times New Roman" w:cs="Times New Roman"/>
                <w:sz w:val="18"/>
                <w:szCs w:val="18"/>
                <w:lang w:val="es-ES_tradnl"/>
              </w:rPr>
              <w:br/>
              <w:t>arreglo al artículo 21</w:t>
            </w:r>
          </w:p>
        </w:tc>
        <w:tc>
          <w:tcPr>
            <w:tcW w:w="958" w:type="dxa"/>
            <w:tcBorders>
              <w:top w:val="nil"/>
              <w:left w:val="nil"/>
              <w:bottom w:val="nil"/>
              <w:right w:val="nil"/>
            </w:tcBorders>
            <w:tcMar>
              <w:top w:w="80" w:type="dxa"/>
              <w:left w:w="80" w:type="dxa"/>
              <w:bottom w:w="80" w:type="dxa"/>
              <w:right w:w="80" w:type="dxa"/>
            </w:tcMar>
          </w:tcPr>
          <w:p w14:paraId="6422D8DC" w14:textId="750524C1" w:rsidR="0019203B" w:rsidRPr="002927A1" w:rsidRDefault="00F61D30"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Pr>
                <w:rFonts w:ascii="Times New Roman" w:hAnsi="Times New Roman" w:cs="Times New Roman"/>
                <w:sz w:val="18"/>
                <w:szCs w:val="18"/>
                <w:lang w:val="es-ES_tradnl"/>
              </w:rPr>
              <w:t>Número</w:t>
            </w:r>
            <w:r w:rsidR="0019203B" w:rsidRPr="002927A1">
              <w:rPr>
                <w:rFonts w:ascii="Times New Roman" w:hAnsi="Times New Roman" w:cs="Times New Roman"/>
                <w:sz w:val="18"/>
                <w:szCs w:val="18"/>
                <w:lang w:val="es-ES_tradnl"/>
              </w:rPr>
              <w:t xml:space="preserve"> en la primera evaluación</w:t>
            </w:r>
          </w:p>
        </w:tc>
      </w:tr>
      <w:tr w:rsidR="0019203B" w:rsidRPr="002927A1" w14:paraId="0D870C0D"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8"/>
          <w:jc w:val="right"/>
        </w:trPr>
        <w:tc>
          <w:tcPr>
            <w:tcW w:w="1802" w:type="dxa"/>
            <w:gridSpan w:val="2"/>
            <w:tcBorders>
              <w:top w:val="nil"/>
              <w:left w:val="nil"/>
              <w:bottom w:val="nil"/>
              <w:right w:val="nil"/>
            </w:tcBorders>
            <w:tcMar>
              <w:top w:w="80" w:type="dxa"/>
              <w:left w:w="80" w:type="dxa"/>
              <w:bottom w:w="80" w:type="dxa"/>
              <w:right w:w="80" w:type="dxa"/>
            </w:tcMar>
          </w:tcPr>
          <w:p w14:paraId="4B7A0F0D" w14:textId="0D6DAF7D" w:rsidR="0019203B" w:rsidRPr="002927A1" w:rsidRDefault="0019203B" w:rsidP="0019203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B13. Indicador de procesos del artículo 11</w:t>
            </w:r>
          </w:p>
        </w:tc>
        <w:tc>
          <w:tcPr>
            <w:tcW w:w="3215" w:type="dxa"/>
            <w:gridSpan w:val="10"/>
            <w:tcBorders>
              <w:top w:val="nil"/>
              <w:left w:val="nil"/>
              <w:bottom w:val="nil"/>
              <w:right w:val="nil"/>
            </w:tcBorders>
            <w:tcMar>
              <w:top w:w="80" w:type="dxa"/>
              <w:left w:w="80" w:type="dxa"/>
              <w:bottom w:w="80" w:type="dxa"/>
              <w:right w:w="80" w:type="dxa"/>
            </w:tcMar>
          </w:tcPr>
          <w:p w14:paraId="24A0408A" w14:textId="37A3A31A" w:rsidR="0019203B" w:rsidRPr="002927A1" w:rsidRDefault="0019203B" w:rsidP="0019203B">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adoptado medidas para gestionar los desechos de mercurio de manera ambientalmente racional</w:t>
            </w:r>
          </w:p>
        </w:tc>
        <w:tc>
          <w:tcPr>
            <w:tcW w:w="2332" w:type="dxa"/>
            <w:gridSpan w:val="6"/>
            <w:tcBorders>
              <w:top w:val="nil"/>
              <w:left w:val="nil"/>
              <w:bottom w:val="nil"/>
              <w:right w:val="nil"/>
            </w:tcBorders>
            <w:tcMar>
              <w:top w:w="80" w:type="dxa"/>
              <w:left w:w="80" w:type="dxa"/>
              <w:bottom w:w="80" w:type="dxa"/>
              <w:right w:w="80" w:type="dxa"/>
            </w:tcMar>
          </w:tcPr>
          <w:p w14:paraId="32D8A74E" w14:textId="0670762E" w:rsidR="0019203B" w:rsidRPr="002927A1" w:rsidRDefault="0019203B" w:rsidP="0019203B">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w:t>
            </w:r>
            <w:r w:rsidRPr="002927A1">
              <w:rPr>
                <w:rFonts w:ascii="Times New Roman" w:hAnsi="Times New Roman" w:cs="Times New Roman"/>
                <w:sz w:val="18"/>
                <w:szCs w:val="18"/>
                <w:lang w:val="es-ES_tradnl"/>
              </w:rPr>
              <w:br/>
              <w:t>arreglo al artículo 21</w:t>
            </w:r>
          </w:p>
        </w:tc>
        <w:tc>
          <w:tcPr>
            <w:tcW w:w="958" w:type="dxa"/>
            <w:tcBorders>
              <w:top w:val="nil"/>
              <w:left w:val="nil"/>
              <w:bottom w:val="nil"/>
              <w:right w:val="nil"/>
            </w:tcBorders>
            <w:tcMar>
              <w:top w:w="80" w:type="dxa"/>
              <w:left w:w="80" w:type="dxa"/>
              <w:bottom w:w="80" w:type="dxa"/>
              <w:right w:w="80" w:type="dxa"/>
            </w:tcMar>
          </w:tcPr>
          <w:p w14:paraId="3C972584" w14:textId="68653158" w:rsidR="0019203B" w:rsidRPr="002927A1" w:rsidRDefault="00F61D30" w:rsidP="00421405">
            <w:pPr>
              <w:pStyle w:val="Text"/>
              <w:tabs>
                <w:tab w:val="left" w:pos="1247"/>
                <w:tab w:val="left" w:pos="1814"/>
                <w:tab w:val="left" w:pos="2381"/>
                <w:tab w:val="left" w:pos="2948"/>
                <w:tab w:val="left" w:pos="3515"/>
              </w:tabs>
              <w:spacing w:after="0" w:line="240" w:lineRule="auto"/>
              <w:ind w:left="-57"/>
              <w:rPr>
                <w:rFonts w:ascii="Times New Roman" w:hAnsi="Times New Roman" w:cs="Times New Roman"/>
                <w:sz w:val="18"/>
                <w:szCs w:val="18"/>
                <w:lang w:val="es-ES_tradnl"/>
              </w:rPr>
            </w:pPr>
            <w:r>
              <w:rPr>
                <w:rFonts w:ascii="Times New Roman" w:hAnsi="Times New Roman" w:cs="Times New Roman"/>
                <w:sz w:val="18"/>
                <w:szCs w:val="18"/>
                <w:lang w:val="es-ES_tradnl"/>
              </w:rPr>
              <w:t>Número</w:t>
            </w:r>
            <w:r w:rsidR="0019203B" w:rsidRPr="002927A1">
              <w:rPr>
                <w:rFonts w:ascii="Times New Roman" w:hAnsi="Times New Roman" w:cs="Times New Roman"/>
                <w:sz w:val="18"/>
                <w:szCs w:val="18"/>
                <w:lang w:val="es-ES_tradnl"/>
              </w:rPr>
              <w:t xml:space="preserve"> en la primera evaluación</w:t>
            </w:r>
          </w:p>
        </w:tc>
      </w:tr>
      <w:tr w:rsidR="0019203B" w:rsidRPr="002927A1" w14:paraId="78FBFF50" w14:textId="77777777" w:rsidTr="00A857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7"/>
          <w:jc w:val="right"/>
        </w:trPr>
        <w:tc>
          <w:tcPr>
            <w:tcW w:w="1802" w:type="dxa"/>
            <w:gridSpan w:val="2"/>
            <w:tcBorders>
              <w:top w:val="nil"/>
              <w:left w:val="nil"/>
              <w:bottom w:val="single" w:sz="2" w:space="0" w:color="auto"/>
              <w:right w:val="nil"/>
            </w:tcBorders>
            <w:shd w:val="clear" w:color="auto" w:fill="auto"/>
            <w:tcMar>
              <w:top w:w="80" w:type="dxa"/>
              <w:left w:w="80" w:type="dxa"/>
              <w:bottom w:w="80" w:type="dxa"/>
              <w:right w:w="80" w:type="dxa"/>
            </w:tcMar>
          </w:tcPr>
          <w:p w14:paraId="10E6130F" w14:textId="43772491" w:rsidR="0019203B" w:rsidRPr="002927A1" w:rsidRDefault="0019203B" w:rsidP="00CF5AF9">
            <w:pPr>
              <w:pStyle w:val="Text"/>
              <w:pBdr>
                <w:right w:val="none" w:sz="0" w:space="0" w:color="auto"/>
              </w:pBdr>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505" w:type="dxa"/>
            <w:gridSpan w:val="17"/>
            <w:tcBorders>
              <w:top w:val="nil"/>
              <w:left w:val="nil"/>
              <w:bottom w:val="single" w:sz="2" w:space="0" w:color="auto"/>
              <w:right w:val="nil"/>
            </w:tcBorders>
            <w:tcMar>
              <w:top w:w="80" w:type="dxa"/>
              <w:left w:w="80" w:type="dxa"/>
              <w:bottom w:w="80" w:type="dxa"/>
              <w:right w:w="80" w:type="dxa"/>
            </w:tcMar>
          </w:tcPr>
          <w:p w14:paraId="6575F319" w14:textId="63295D3A" w:rsidR="0019203B" w:rsidRPr="002927A1" w:rsidRDefault="0019203B" w:rsidP="00A524DB">
            <w:pPr>
              <w:pStyle w:val="Text"/>
              <w:numPr>
                <w:ilvl w:val="0"/>
                <w:numId w:val="28"/>
              </w:numPr>
              <w:pBdr>
                <w:left w:val="none" w:sz="0" w:space="0" w:color="auto"/>
              </w:pBdr>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Los datos de entidades que no son Partes también podrían ser importantes en algunos casos.</w:t>
            </w:r>
          </w:p>
        </w:tc>
      </w:tr>
      <w:tr w:rsidR="00E77018" w:rsidRPr="002927A1" w14:paraId="5DF53AEA" w14:textId="77777777" w:rsidTr="00A85708">
        <w:tblPrEx>
          <w:shd w:val="clear" w:color="auto" w:fill="auto"/>
        </w:tblPrEx>
        <w:trPr>
          <w:trHeight w:val="57"/>
          <w:jc w:val="right"/>
        </w:trPr>
        <w:tc>
          <w:tcPr>
            <w:tcW w:w="4995" w:type="dxa"/>
            <w:gridSpan w:val="10"/>
            <w:tcBorders>
              <w:top w:val="single" w:sz="2" w:space="0" w:color="auto"/>
              <w:bottom w:val="single" w:sz="12" w:space="0" w:color="000000" w:themeColor="text1"/>
            </w:tcBorders>
            <w:shd w:val="clear" w:color="auto" w:fill="auto"/>
            <w:tcMar>
              <w:top w:w="80" w:type="dxa"/>
              <w:left w:w="80" w:type="dxa"/>
              <w:bottom w:w="80" w:type="dxa"/>
              <w:right w:w="80" w:type="dxa"/>
            </w:tcMar>
          </w:tcPr>
          <w:p w14:paraId="1817DBD1" w14:textId="2DA44DC5"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 xml:space="preserve">C: Grupo sobre la demanda </w:t>
            </w:r>
            <w:r w:rsidRPr="002927A1">
              <w:rPr>
                <w:rFonts w:ascii="Times New Roman" w:hAnsi="Times New Roman" w:cs="Times New Roman"/>
                <w:bCs/>
                <w:i/>
                <w:sz w:val="18"/>
                <w:szCs w:val="18"/>
                <w:lang w:val="es-ES_tradnl"/>
              </w:rPr>
              <w:br/>
              <w:t xml:space="preserve">Artículo 4 (productos con mercurio añadido); artículo 5 (procesos de producción en los que se utiliza mercurio o compuestos de mercurio); artículo 7 (extracción de oro artesanal y en pequeña escala) </w:t>
            </w:r>
          </w:p>
        </w:tc>
        <w:tc>
          <w:tcPr>
            <w:tcW w:w="1719" w:type="dxa"/>
            <w:gridSpan w:val="4"/>
            <w:tcBorders>
              <w:top w:val="single" w:sz="2" w:space="0" w:color="auto"/>
              <w:bottom w:val="single" w:sz="12" w:space="0" w:color="000000" w:themeColor="text1"/>
            </w:tcBorders>
            <w:shd w:val="clear" w:color="auto" w:fill="auto"/>
            <w:tcMar>
              <w:top w:w="80" w:type="dxa"/>
              <w:left w:w="80" w:type="dxa"/>
              <w:bottom w:w="80" w:type="dxa"/>
              <w:right w:w="80" w:type="dxa"/>
            </w:tcMar>
          </w:tcPr>
          <w:p w14:paraId="6658AE53" w14:textId="5549EF6F"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w:t>
            </w:r>
            <w:r w:rsidRPr="002927A1">
              <w:rPr>
                <w:rFonts w:ascii="Times New Roman" w:hAnsi="Times New Roman" w:cs="Times New Roman"/>
                <w:bCs/>
                <w:i/>
                <w:sz w:val="18"/>
                <w:szCs w:val="18"/>
                <w:lang w:val="es-ES_tradnl"/>
              </w:rPr>
              <w:br/>
              <w:t>el indicador</w:t>
            </w:r>
          </w:p>
        </w:tc>
        <w:tc>
          <w:tcPr>
            <w:tcW w:w="1593" w:type="dxa"/>
            <w:gridSpan w:val="5"/>
            <w:tcBorders>
              <w:top w:val="single" w:sz="2" w:space="0" w:color="auto"/>
              <w:bottom w:val="single" w:sz="12" w:space="0" w:color="000000" w:themeColor="text1"/>
            </w:tcBorders>
            <w:shd w:val="clear" w:color="auto" w:fill="auto"/>
            <w:tcMar>
              <w:top w:w="80" w:type="dxa"/>
              <w:left w:w="80" w:type="dxa"/>
              <w:bottom w:w="80" w:type="dxa"/>
              <w:right w:w="80" w:type="dxa"/>
            </w:tcMar>
          </w:tcPr>
          <w:p w14:paraId="73249857" w14:textId="31C7FA68"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w:t>
            </w:r>
            <w:r w:rsidRPr="002927A1">
              <w:rPr>
                <w:rFonts w:ascii="Times New Roman" w:hAnsi="Times New Roman" w:cs="Times New Roman"/>
                <w:bCs/>
                <w:i/>
                <w:sz w:val="18"/>
                <w:szCs w:val="18"/>
                <w:lang w:val="es-ES_tradnl"/>
              </w:rPr>
              <w:br/>
              <w:t>del indicador</w:t>
            </w:r>
          </w:p>
        </w:tc>
      </w:tr>
      <w:tr w:rsidR="00E77018" w:rsidRPr="002927A1" w14:paraId="4150B19E"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23E1FFD9" w14:textId="3DD294D3"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C1. Indicador intersectorial de procesos para los artículos 4, 5 y 7</w:t>
            </w:r>
          </w:p>
        </w:tc>
        <w:tc>
          <w:tcPr>
            <w:tcW w:w="3117" w:type="dxa"/>
            <w:gridSpan w:val="4"/>
            <w:tcMar>
              <w:top w:w="80" w:type="dxa"/>
              <w:left w:w="80" w:type="dxa"/>
              <w:bottom w:w="80" w:type="dxa"/>
              <w:right w:w="80" w:type="dxa"/>
            </w:tcMar>
          </w:tcPr>
          <w:p w14:paraId="7FBD55F2" w14:textId="77777777" w:rsidR="00E77018" w:rsidRPr="002927A1" w:rsidRDefault="00E77018" w:rsidP="00E77018">
            <w:pPr>
              <w:pBdr>
                <w:top w:val="nil"/>
                <w:left w:val="nil"/>
                <w:bottom w:val="nil"/>
                <w:right w:val="nil"/>
                <w:between w:val="nil"/>
                <w:bar w:val="nil"/>
              </w:pBdr>
              <w:rPr>
                <w:rStyle w:val="dn"/>
                <w:rFonts w:eastAsia="Roboto"/>
                <w:sz w:val="18"/>
                <w:szCs w:val="18"/>
              </w:rPr>
            </w:pPr>
            <w:r w:rsidRPr="002927A1">
              <w:rPr>
                <w:sz w:val="18"/>
                <w:szCs w:val="18"/>
              </w:rPr>
              <w:t>Proporción de Partes que han aplicado disposiciones fundamentales en relación con este grupo</w:t>
            </w:r>
          </w:p>
          <w:p w14:paraId="3020DD55" w14:textId="52A42F74"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p>
        </w:tc>
        <w:tc>
          <w:tcPr>
            <w:tcW w:w="1719" w:type="dxa"/>
            <w:gridSpan w:val="4"/>
            <w:tcMar>
              <w:top w:w="80" w:type="dxa"/>
              <w:left w:w="80" w:type="dxa"/>
              <w:bottom w:w="80" w:type="dxa"/>
              <w:right w:w="80" w:type="dxa"/>
            </w:tcMar>
          </w:tcPr>
          <w:p w14:paraId="77D7D3E0" w14:textId="48A056DB"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Información sintetizada de los distintos indicadores para los artículos 4, 5 y 7</w:t>
            </w:r>
          </w:p>
        </w:tc>
        <w:tc>
          <w:tcPr>
            <w:tcW w:w="1593" w:type="dxa"/>
            <w:gridSpan w:val="5"/>
            <w:tcMar>
              <w:top w:w="80" w:type="dxa"/>
              <w:left w:w="80" w:type="dxa"/>
              <w:bottom w:w="80" w:type="dxa"/>
              <w:right w:w="80" w:type="dxa"/>
            </w:tcMar>
          </w:tcPr>
          <w:p w14:paraId="2DE83BF3" w14:textId="503D6DD3"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en la primera evaluación</w:t>
            </w:r>
          </w:p>
        </w:tc>
      </w:tr>
      <w:tr w:rsidR="00E77018" w:rsidRPr="002927A1" w14:paraId="4D0295B9"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4FBADA28" w14:textId="3F0D547E"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C2. Indicador intersectorial de resultados para los artículos 4, 5 y 7</w:t>
            </w:r>
          </w:p>
        </w:tc>
        <w:tc>
          <w:tcPr>
            <w:tcW w:w="3117" w:type="dxa"/>
            <w:gridSpan w:val="4"/>
            <w:tcMar>
              <w:top w:w="80" w:type="dxa"/>
              <w:left w:w="80" w:type="dxa"/>
              <w:bottom w:w="80" w:type="dxa"/>
              <w:right w:w="80" w:type="dxa"/>
            </w:tcMar>
          </w:tcPr>
          <w:p w14:paraId="4E500F9D" w14:textId="2DD473A2"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Uso mundial del mercurio en la fabricación de productos o procesos, en toneladas por aplicación </w:t>
            </w:r>
          </w:p>
        </w:tc>
        <w:tc>
          <w:tcPr>
            <w:tcW w:w="1719" w:type="dxa"/>
            <w:gridSpan w:val="4"/>
            <w:tcMar>
              <w:top w:w="80" w:type="dxa"/>
              <w:left w:w="80" w:type="dxa"/>
              <w:bottom w:w="80" w:type="dxa"/>
              <w:right w:w="80" w:type="dxa"/>
            </w:tcMar>
          </w:tcPr>
          <w:p w14:paraId="7073E721" w14:textId="1B500C07"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información de fuentes de la industria</w:t>
            </w:r>
          </w:p>
        </w:tc>
        <w:tc>
          <w:tcPr>
            <w:tcW w:w="1593" w:type="dxa"/>
            <w:gridSpan w:val="5"/>
            <w:tcMar>
              <w:top w:w="80" w:type="dxa"/>
              <w:left w:w="80" w:type="dxa"/>
              <w:bottom w:w="80" w:type="dxa"/>
              <w:right w:w="80" w:type="dxa"/>
            </w:tcMar>
          </w:tcPr>
          <w:p w14:paraId="2976C8D0" w14:textId="7B2D1BDC"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E77018" w:rsidRPr="002927A1" w14:paraId="333BF4D1" w14:textId="77777777" w:rsidTr="00A85708">
        <w:tblPrEx>
          <w:shd w:val="clear" w:color="auto" w:fill="auto"/>
        </w:tblPrEx>
        <w:trPr>
          <w:trHeight w:val="57"/>
          <w:jc w:val="right"/>
        </w:trPr>
        <w:tc>
          <w:tcPr>
            <w:tcW w:w="1878" w:type="dxa"/>
            <w:gridSpan w:val="6"/>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736C2F4" w14:textId="6E6F9A68"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Artículo 4</w:t>
            </w:r>
          </w:p>
        </w:tc>
        <w:tc>
          <w:tcPr>
            <w:tcW w:w="3117"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AE2084D" w14:textId="77777777" w:rsidR="00E77018" w:rsidRPr="002927A1" w:rsidRDefault="00E77018" w:rsidP="00E77018">
            <w:pPr>
              <w:rPr>
                <w:sz w:val="18"/>
                <w:szCs w:val="18"/>
              </w:rPr>
            </w:pPr>
          </w:p>
        </w:tc>
        <w:tc>
          <w:tcPr>
            <w:tcW w:w="1719"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C65169D" w14:textId="77777777" w:rsidR="00E77018" w:rsidRPr="002927A1" w:rsidRDefault="00E77018" w:rsidP="00E77018">
            <w:pPr>
              <w:rPr>
                <w:sz w:val="18"/>
                <w:szCs w:val="18"/>
              </w:rPr>
            </w:pPr>
          </w:p>
        </w:tc>
        <w:tc>
          <w:tcPr>
            <w:tcW w:w="1593" w:type="dxa"/>
            <w:gridSpan w:val="5"/>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D21580E" w14:textId="77777777" w:rsidR="00E77018" w:rsidRPr="002927A1" w:rsidRDefault="00E77018" w:rsidP="00E77018">
            <w:pPr>
              <w:rPr>
                <w:sz w:val="18"/>
                <w:szCs w:val="18"/>
              </w:rPr>
            </w:pPr>
          </w:p>
        </w:tc>
      </w:tr>
      <w:tr w:rsidR="00E77018" w:rsidRPr="002927A1" w14:paraId="01CBD570"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1E2BC6C7" w14:textId="66FB15CE"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C3. Indicador de procesos en relación con el artículo 4</w:t>
            </w:r>
          </w:p>
        </w:tc>
        <w:tc>
          <w:tcPr>
            <w:tcW w:w="3117" w:type="dxa"/>
            <w:gridSpan w:val="4"/>
            <w:tcMar>
              <w:top w:w="80" w:type="dxa"/>
              <w:left w:w="80" w:type="dxa"/>
              <w:bottom w:w="80" w:type="dxa"/>
              <w:right w:w="80" w:type="dxa"/>
            </w:tcMar>
          </w:tcPr>
          <w:p w14:paraId="10757366" w14:textId="60D3FBC7"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aplican medidas adecuadas para impedir la fabricación, exportación o importación de productos con mercurio añadido incluidos en la parte I del anexo A</w:t>
            </w:r>
          </w:p>
        </w:tc>
        <w:tc>
          <w:tcPr>
            <w:tcW w:w="1719" w:type="dxa"/>
            <w:gridSpan w:val="4"/>
            <w:tcMar>
              <w:top w:w="80" w:type="dxa"/>
              <w:left w:w="80" w:type="dxa"/>
              <w:bottom w:w="80" w:type="dxa"/>
              <w:right w:w="80" w:type="dxa"/>
            </w:tcMar>
          </w:tcPr>
          <w:p w14:paraId="04D8BEE4" w14:textId="432B9091" w:rsidR="00E77018" w:rsidRPr="002927A1" w:rsidRDefault="00E77018" w:rsidP="00CF5AF9">
            <w:pPr>
              <w:pBdr>
                <w:top w:val="nil"/>
                <w:left w:val="nil"/>
                <w:bottom w:val="nil"/>
                <w:right w:val="nil"/>
                <w:between w:val="nil"/>
                <w:bar w:val="nil"/>
              </w:pBdr>
              <w:rPr>
                <w:sz w:val="18"/>
                <w:szCs w:val="18"/>
              </w:rPr>
            </w:pPr>
            <w:r w:rsidRPr="002927A1">
              <w:rPr>
                <w:sz w:val="18"/>
                <w:szCs w:val="18"/>
              </w:rPr>
              <w:t>- Presentación de informes con arreglo al artículo 21</w:t>
            </w:r>
          </w:p>
        </w:tc>
        <w:tc>
          <w:tcPr>
            <w:tcW w:w="1593" w:type="dxa"/>
            <w:gridSpan w:val="5"/>
            <w:tcMar>
              <w:top w:w="80" w:type="dxa"/>
              <w:left w:w="80" w:type="dxa"/>
              <w:bottom w:w="80" w:type="dxa"/>
              <w:right w:w="80" w:type="dxa"/>
            </w:tcMar>
          </w:tcPr>
          <w:p w14:paraId="0A1FD21A" w14:textId="6FCAAAD7"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E77018" w:rsidRPr="002927A1" w14:paraId="32EBD9A0"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03C7E0B0" w14:textId="68080D74"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C4. Indicador de procesos en relación con el artículo 4</w:t>
            </w:r>
          </w:p>
        </w:tc>
        <w:tc>
          <w:tcPr>
            <w:tcW w:w="3117" w:type="dxa"/>
            <w:gridSpan w:val="4"/>
            <w:tcMar>
              <w:top w:w="80" w:type="dxa"/>
              <w:left w:w="80" w:type="dxa"/>
              <w:bottom w:w="80" w:type="dxa"/>
              <w:right w:w="80" w:type="dxa"/>
            </w:tcMar>
          </w:tcPr>
          <w:p w14:paraId="26037FDB" w14:textId="4745170D"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exenciones por categoría de productos que siguen siendo válidas</w:t>
            </w:r>
          </w:p>
        </w:tc>
        <w:tc>
          <w:tcPr>
            <w:tcW w:w="1719" w:type="dxa"/>
            <w:gridSpan w:val="4"/>
            <w:tcMar>
              <w:top w:w="80" w:type="dxa"/>
              <w:left w:w="80" w:type="dxa"/>
              <w:bottom w:w="80" w:type="dxa"/>
              <w:right w:w="80" w:type="dxa"/>
            </w:tcMar>
          </w:tcPr>
          <w:p w14:paraId="6F4CBCB4" w14:textId="41667819"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Registro de exenciones</w:t>
            </w:r>
          </w:p>
        </w:tc>
        <w:tc>
          <w:tcPr>
            <w:tcW w:w="1593" w:type="dxa"/>
            <w:gridSpan w:val="5"/>
            <w:tcMar>
              <w:top w:w="80" w:type="dxa"/>
              <w:left w:w="80" w:type="dxa"/>
              <w:bottom w:w="80" w:type="dxa"/>
              <w:right w:w="80" w:type="dxa"/>
            </w:tcMar>
          </w:tcPr>
          <w:p w14:paraId="6DF03345" w14:textId="6E3B4642"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E77018" w:rsidRPr="002927A1" w14:paraId="4EB8E9EC"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1D0896D5" w14:textId="5F9FF576"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C5. Indicador de procesos en relación con el artículo 4</w:t>
            </w:r>
          </w:p>
        </w:tc>
        <w:tc>
          <w:tcPr>
            <w:tcW w:w="3117" w:type="dxa"/>
            <w:gridSpan w:val="4"/>
            <w:tcMar>
              <w:top w:w="80" w:type="dxa"/>
              <w:left w:w="80" w:type="dxa"/>
              <w:bottom w:w="80" w:type="dxa"/>
              <w:right w:w="80" w:type="dxa"/>
            </w:tcMar>
          </w:tcPr>
          <w:p w14:paraId="6D8F3CB2" w14:textId="77C79551"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adoptado dos medidas o más en relación con los productos con mercurio añadido incluidos en la parte II del anexo A</w:t>
            </w:r>
          </w:p>
        </w:tc>
        <w:tc>
          <w:tcPr>
            <w:tcW w:w="1719" w:type="dxa"/>
            <w:gridSpan w:val="4"/>
            <w:tcMar>
              <w:top w:w="80" w:type="dxa"/>
              <w:left w:w="80" w:type="dxa"/>
              <w:bottom w:w="80" w:type="dxa"/>
              <w:right w:w="80" w:type="dxa"/>
            </w:tcMar>
          </w:tcPr>
          <w:p w14:paraId="2B187845" w14:textId="3B3C881E"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64CAAF6E" w14:textId="3043AF83" w:rsidR="00E77018" w:rsidRPr="002927A1" w:rsidRDefault="00E77018" w:rsidP="00E77018">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E77018" w:rsidRPr="002927A1" w14:paraId="0FD5F264" w14:textId="77777777" w:rsidTr="00A85708">
        <w:tblPrEx>
          <w:shd w:val="clear" w:color="auto" w:fill="auto"/>
        </w:tblPrEx>
        <w:trPr>
          <w:trHeight w:val="57"/>
          <w:jc w:val="right"/>
        </w:trPr>
        <w:tc>
          <w:tcPr>
            <w:tcW w:w="1878" w:type="dxa"/>
            <w:gridSpan w:val="6"/>
            <w:tcBorders>
              <w:bottom w:val="single" w:sz="12" w:space="0" w:color="auto"/>
            </w:tcBorders>
            <w:tcMar>
              <w:top w:w="80" w:type="dxa"/>
              <w:left w:w="80" w:type="dxa"/>
              <w:bottom w:w="80" w:type="dxa"/>
              <w:right w:w="80" w:type="dxa"/>
            </w:tcMar>
          </w:tcPr>
          <w:p w14:paraId="26F2F035" w14:textId="40F52999"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C6. Indicador adicional de resultados en relación con el artículo</w:t>
            </w:r>
            <w:r w:rsidR="00421405" w:rsidRPr="002927A1">
              <w:rPr>
                <w:rFonts w:ascii="Times New Roman" w:hAnsi="Times New Roman" w:cs="Times New Roman"/>
                <w:sz w:val="18"/>
                <w:szCs w:val="18"/>
                <w:lang w:val="es-ES_tradnl"/>
              </w:rPr>
              <w:t> </w:t>
            </w:r>
            <w:r w:rsidRPr="002927A1">
              <w:rPr>
                <w:rFonts w:ascii="Times New Roman" w:hAnsi="Times New Roman" w:cs="Times New Roman"/>
                <w:sz w:val="18"/>
                <w:szCs w:val="18"/>
                <w:lang w:val="es-ES_tradnl"/>
              </w:rPr>
              <w:t>4</w:t>
            </w:r>
          </w:p>
        </w:tc>
        <w:tc>
          <w:tcPr>
            <w:tcW w:w="3117" w:type="dxa"/>
            <w:gridSpan w:val="4"/>
            <w:tcBorders>
              <w:bottom w:val="single" w:sz="12" w:space="0" w:color="auto"/>
            </w:tcBorders>
            <w:tcMar>
              <w:top w:w="80" w:type="dxa"/>
              <w:left w:w="80" w:type="dxa"/>
              <w:bottom w:w="80" w:type="dxa"/>
              <w:right w:w="80" w:type="dxa"/>
            </w:tcMar>
          </w:tcPr>
          <w:p w14:paraId="50F5E331" w14:textId="1EC543EB"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Volumen, en toneladas de productos con mercurio añadido a) importados y b) exportados, en unidades por año, para cada categoría de productos incluidos en la parte I del anexo A</w:t>
            </w:r>
          </w:p>
        </w:tc>
        <w:tc>
          <w:tcPr>
            <w:tcW w:w="1719" w:type="dxa"/>
            <w:gridSpan w:val="4"/>
            <w:tcBorders>
              <w:bottom w:val="single" w:sz="12" w:space="0" w:color="auto"/>
            </w:tcBorders>
            <w:tcMar>
              <w:top w:w="80" w:type="dxa"/>
              <w:left w:w="80" w:type="dxa"/>
              <w:bottom w:w="80" w:type="dxa"/>
              <w:right w:w="80" w:type="dxa"/>
            </w:tcMar>
          </w:tcPr>
          <w:p w14:paraId="0419A2A6" w14:textId="60EC1087"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Comercio y datos de aduana</w:t>
            </w:r>
          </w:p>
        </w:tc>
        <w:tc>
          <w:tcPr>
            <w:tcW w:w="1593" w:type="dxa"/>
            <w:gridSpan w:val="5"/>
            <w:tcBorders>
              <w:bottom w:val="single" w:sz="12" w:space="0" w:color="auto"/>
            </w:tcBorders>
            <w:tcMar>
              <w:top w:w="80" w:type="dxa"/>
              <w:left w:w="80" w:type="dxa"/>
              <w:bottom w:w="80" w:type="dxa"/>
              <w:right w:w="80" w:type="dxa"/>
            </w:tcMar>
          </w:tcPr>
          <w:p w14:paraId="66817798" w14:textId="334D4181"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E77018" w:rsidRPr="002927A1" w14:paraId="3C2FA366" w14:textId="77777777" w:rsidTr="00A85708">
        <w:tblPrEx>
          <w:shd w:val="clear" w:color="auto" w:fill="auto"/>
        </w:tblPrEx>
        <w:trPr>
          <w:trHeight w:val="57"/>
          <w:jc w:val="right"/>
        </w:trPr>
        <w:tc>
          <w:tcPr>
            <w:tcW w:w="1878" w:type="dxa"/>
            <w:gridSpan w:val="6"/>
            <w:tcBorders>
              <w:top w:val="single" w:sz="12" w:space="0" w:color="auto"/>
              <w:bottom w:val="single" w:sz="4" w:space="0" w:color="000000" w:themeColor="text1"/>
            </w:tcBorders>
            <w:shd w:val="clear" w:color="auto" w:fill="auto"/>
            <w:tcMar>
              <w:top w:w="80" w:type="dxa"/>
              <w:left w:w="80" w:type="dxa"/>
              <w:bottom w:w="80" w:type="dxa"/>
              <w:right w:w="80" w:type="dxa"/>
            </w:tcMar>
          </w:tcPr>
          <w:p w14:paraId="1DC09696" w14:textId="5E1AEF0D"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Artículo 5</w:t>
            </w:r>
          </w:p>
        </w:tc>
        <w:tc>
          <w:tcPr>
            <w:tcW w:w="3117" w:type="dxa"/>
            <w:gridSpan w:val="4"/>
            <w:tcBorders>
              <w:top w:val="single" w:sz="12" w:space="0" w:color="auto"/>
              <w:bottom w:val="single" w:sz="4" w:space="0" w:color="000000" w:themeColor="text1"/>
            </w:tcBorders>
            <w:shd w:val="clear" w:color="auto" w:fill="auto"/>
            <w:tcMar>
              <w:top w:w="80" w:type="dxa"/>
              <w:left w:w="80" w:type="dxa"/>
              <w:bottom w:w="80" w:type="dxa"/>
              <w:right w:w="80" w:type="dxa"/>
            </w:tcMar>
          </w:tcPr>
          <w:p w14:paraId="005DAB13" w14:textId="77777777" w:rsidR="00E77018" w:rsidRPr="002927A1" w:rsidRDefault="00E77018" w:rsidP="00104A4B">
            <w:pPr>
              <w:rPr>
                <w:sz w:val="18"/>
                <w:szCs w:val="18"/>
              </w:rPr>
            </w:pPr>
          </w:p>
        </w:tc>
        <w:tc>
          <w:tcPr>
            <w:tcW w:w="1719" w:type="dxa"/>
            <w:gridSpan w:val="4"/>
            <w:tcBorders>
              <w:top w:val="single" w:sz="12" w:space="0" w:color="auto"/>
              <w:bottom w:val="single" w:sz="4" w:space="0" w:color="000000" w:themeColor="text1"/>
            </w:tcBorders>
            <w:shd w:val="clear" w:color="auto" w:fill="auto"/>
            <w:tcMar>
              <w:top w:w="80" w:type="dxa"/>
              <w:left w:w="80" w:type="dxa"/>
              <w:bottom w:w="80" w:type="dxa"/>
              <w:right w:w="80" w:type="dxa"/>
            </w:tcMar>
          </w:tcPr>
          <w:p w14:paraId="24789C52" w14:textId="77777777" w:rsidR="00E77018" w:rsidRPr="002927A1" w:rsidRDefault="00E77018" w:rsidP="00104A4B">
            <w:pPr>
              <w:rPr>
                <w:sz w:val="18"/>
                <w:szCs w:val="18"/>
              </w:rPr>
            </w:pPr>
          </w:p>
        </w:tc>
        <w:tc>
          <w:tcPr>
            <w:tcW w:w="1593" w:type="dxa"/>
            <w:gridSpan w:val="5"/>
            <w:tcBorders>
              <w:top w:val="single" w:sz="12" w:space="0" w:color="auto"/>
              <w:bottom w:val="single" w:sz="4" w:space="0" w:color="000000" w:themeColor="text1"/>
            </w:tcBorders>
            <w:shd w:val="clear" w:color="auto" w:fill="auto"/>
            <w:tcMar>
              <w:top w:w="80" w:type="dxa"/>
              <w:left w:w="80" w:type="dxa"/>
              <w:bottom w:w="80" w:type="dxa"/>
              <w:right w:w="80" w:type="dxa"/>
            </w:tcMar>
          </w:tcPr>
          <w:p w14:paraId="4211B3E8" w14:textId="77777777" w:rsidR="00E77018" w:rsidRPr="002927A1" w:rsidRDefault="00E77018" w:rsidP="00104A4B">
            <w:pPr>
              <w:rPr>
                <w:sz w:val="18"/>
                <w:szCs w:val="18"/>
              </w:rPr>
            </w:pPr>
          </w:p>
        </w:tc>
      </w:tr>
      <w:tr w:rsidR="00E77018" w:rsidRPr="002927A1" w14:paraId="2B9C93DB"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0A9C4AE9" w14:textId="7F850346"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C7. Indicador de procesos en relación con el artículo 5</w:t>
            </w:r>
          </w:p>
        </w:tc>
        <w:tc>
          <w:tcPr>
            <w:tcW w:w="3117" w:type="dxa"/>
            <w:gridSpan w:val="4"/>
            <w:tcMar>
              <w:top w:w="80" w:type="dxa"/>
              <w:left w:w="80" w:type="dxa"/>
              <w:bottom w:w="80" w:type="dxa"/>
              <w:right w:w="80" w:type="dxa"/>
            </w:tcMar>
          </w:tcPr>
          <w:p w14:paraId="28F291BB" w14:textId="7EED5C14"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con exenciones en relación con procesos incluidos en la parte I del anexo B, que siguen siendo válidas</w:t>
            </w:r>
          </w:p>
        </w:tc>
        <w:tc>
          <w:tcPr>
            <w:tcW w:w="1719" w:type="dxa"/>
            <w:gridSpan w:val="4"/>
            <w:tcMar>
              <w:top w:w="80" w:type="dxa"/>
              <w:left w:w="80" w:type="dxa"/>
              <w:bottom w:w="80" w:type="dxa"/>
              <w:right w:w="80" w:type="dxa"/>
            </w:tcMar>
          </w:tcPr>
          <w:p w14:paraId="7CCD788A" w14:textId="57935D9D"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Registro de exenciones</w:t>
            </w:r>
          </w:p>
        </w:tc>
        <w:tc>
          <w:tcPr>
            <w:tcW w:w="1593" w:type="dxa"/>
            <w:gridSpan w:val="5"/>
            <w:tcMar>
              <w:top w:w="80" w:type="dxa"/>
              <w:left w:w="80" w:type="dxa"/>
              <w:bottom w:w="80" w:type="dxa"/>
              <w:right w:w="80" w:type="dxa"/>
            </w:tcMar>
          </w:tcPr>
          <w:p w14:paraId="71963C84" w14:textId="52B11DA1"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E77018" w:rsidRPr="002927A1" w14:paraId="7A5649C7" w14:textId="77777777" w:rsidTr="00A85708">
        <w:tblPrEx>
          <w:shd w:val="clear" w:color="auto" w:fill="auto"/>
        </w:tblPrEx>
        <w:trPr>
          <w:trHeight w:val="57"/>
          <w:jc w:val="right"/>
        </w:trPr>
        <w:tc>
          <w:tcPr>
            <w:tcW w:w="1878" w:type="dxa"/>
            <w:gridSpan w:val="6"/>
            <w:tcBorders>
              <w:bottom w:val="single" w:sz="2" w:space="0" w:color="auto"/>
            </w:tcBorders>
            <w:tcMar>
              <w:top w:w="80" w:type="dxa"/>
              <w:left w:w="80" w:type="dxa"/>
              <w:bottom w:w="80" w:type="dxa"/>
              <w:right w:w="80" w:type="dxa"/>
            </w:tcMar>
          </w:tcPr>
          <w:p w14:paraId="30E114CC" w14:textId="706B7F44"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C8</w:t>
            </w:r>
            <w:r w:rsidR="00CF5AF9" w:rsidRPr="002927A1">
              <w:rPr>
                <w:rFonts w:ascii="Times New Roman" w:hAnsi="Times New Roman" w:cs="Times New Roman"/>
                <w:sz w:val="18"/>
                <w:szCs w:val="18"/>
                <w:lang w:val="es-ES_tradnl"/>
              </w:rPr>
              <w:t>.</w:t>
            </w:r>
            <w:r w:rsidRPr="002927A1">
              <w:rPr>
                <w:rFonts w:ascii="Times New Roman" w:hAnsi="Times New Roman" w:cs="Times New Roman"/>
                <w:sz w:val="18"/>
                <w:szCs w:val="18"/>
                <w:lang w:val="es-ES_tradnl"/>
              </w:rPr>
              <w:t xml:space="preserve"> Indicador de procesos en relación con el artículo 5</w:t>
            </w:r>
          </w:p>
        </w:tc>
        <w:tc>
          <w:tcPr>
            <w:tcW w:w="3117" w:type="dxa"/>
            <w:gridSpan w:val="4"/>
            <w:tcBorders>
              <w:bottom w:val="single" w:sz="2" w:space="0" w:color="auto"/>
            </w:tcBorders>
            <w:tcMar>
              <w:top w:w="80" w:type="dxa"/>
              <w:left w:w="80" w:type="dxa"/>
              <w:bottom w:w="80" w:type="dxa"/>
              <w:right w:w="80" w:type="dxa"/>
            </w:tcMar>
          </w:tcPr>
          <w:p w14:paraId="45E7A097" w14:textId="4A67F2B1"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cuentan con medidas para impedir el uso de mercurio o compuestos de mercurio en los procesos de fabricación incluidos en la parte I del anexo B</w:t>
            </w:r>
          </w:p>
        </w:tc>
        <w:tc>
          <w:tcPr>
            <w:tcW w:w="1719" w:type="dxa"/>
            <w:gridSpan w:val="4"/>
            <w:tcBorders>
              <w:bottom w:val="single" w:sz="2" w:space="0" w:color="auto"/>
            </w:tcBorders>
            <w:tcMar>
              <w:top w:w="80" w:type="dxa"/>
              <w:left w:w="80" w:type="dxa"/>
              <w:bottom w:w="80" w:type="dxa"/>
              <w:right w:w="80" w:type="dxa"/>
            </w:tcMar>
          </w:tcPr>
          <w:p w14:paraId="62088976" w14:textId="09120B4E"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Borders>
              <w:bottom w:val="single" w:sz="2" w:space="0" w:color="auto"/>
            </w:tcBorders>
            <w:tcMar>
              <w:top w:w="80" w:type="dxa"/>
              <w:left w:w="80" w:type="dxa"/>
              <w:bottom w:w="80" w:type="dxa"/>
              <w:right w:w="80" w:type="dxa"/>
            </w:tcMar>
          </w:tcPr>
          <w:p w14:paraId="7C8E4E14" w14:textId="36F56364" w:rsidR="00E77018" w:rsidRPr="002927A1" w:rsidRDefault="00E77018" w:rsidP="00104A4B">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E77018" w:rsidRPr="002927A1" w14:paraId="01399745" w14:textId="77777777" w:rsidTr="00A85708">
        <w:tblPrEx>
          <w:shd w:val="clear" w:color="auto" w:fill="auto"/>
        </w:tblPrEx>
        <w:trPr>
          <w:trHeight w:val="57"/>
          <w:jc w:val="right"/>
        </w:trPr>
        <w:tc>
          <w:tcPr>
            <w:tcW w:w="1878" w:type="dxa"/>
            <w:gridSpan w:val="6"/>
            <w:tcBorders>
              <w:top w:val="single" w:sz="2" w:space="0" w:color="auto"/>
            </w:tcBorders>
            <w:tcMar>
              <w:top w:w="80" w:type="dxa"/>
              <w:left w:w="80" w:type="dxa"/>
              <w:bottom w:w="80" w:type="dxa"/>
              <w:right w:w="80" w:type="dxa"/>
            </w:tcMar>
          </w:tcPr>
          <w:p w14:paraId="5B594284" w14:textId="4434369A"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lastRenderedPageBreak/>
              <w:t>C9. Indicador de procesos en relación con el artículo 5</w:t>
            </w:r>
          </w:p>
        </w:tc>
        <w:tc>
          <w:tcPr>
            <w:tcW w:w="3117" w:type="dxa"/>
            <w:gridSpan w:val="4"/>
            <w:tcBorders>
              <w:top w:val="single" w:sz="2" w:space="0" w:color="auto"/>
            </w:tcBorders>
            <w:tcMar>
              <w:top w:w="80" w:type="dxa"/>
              <w:left w:w="80" w:type="dxa"/>
              <w:bottom w:w="80" w:type="dxa"/>
              <w:right w:w="80" w:type="dxa"/>
            </w:tcMar>
          </w:tcPr>
          <w:p w14:paraId="0A599919" w14:textId="30C95E1B"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Proporción de Partes que tienen procesos sujetos al artículo 5, párr. 3, y que han adoptado todas las medidas necesarias en relación con los respectivos procesos incluidos en la parte II del anexo B</w:t>
            </w:r>
          </w:p>
        </w:tc>
        <w:tc>
          <w:tcPr>
            <w:tcW w:w="1719" w:type="dxa"/>
            <w:gridSpan w:val="4"/>
            <w:tcBorders>
              <w:top w:val="single" w:sz="2" w:space="0" w:color="auto"/>
            </w:tcBorders>
            <w:tcMar>
              <w:top w:w="80" w:type="dxa"/>
              <w:left w:w="80" w:type="dxa"/>
              <w:bottom w:w="80" w:type="dxa"/>
              <w:right w:w="80" w:type="dxa"/>
            </w:tcMar>
          </w:tcPr>
          <w:p w14:paraId="2A531113" w14:textId="09359A1B"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Borders>
              <w:top w:val="single" w:sz="2" w:space="0" w:color="auto"/>
            </w:tcBorders>
            <w:tcMar>
              <w:top w:w="80" w:type="dxa"/>
              <w:left w:w="80" w:type="dxa"/>
              <w:bottom w:w="80" w:type="dxa"/>
              <w:right w:w="80" w:type="dxa"/>
            </w:tcMar>
          </w:tcPr>
          <w:p w14:paraId="4FC2DA32" w14:textId="2129855D"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en la primera evaluación</w:t>
            </w:r>
          </w:p>
        </w:tc>
      </w:tr>
      <w:tr w:rsidR="00E77018" w:rsidRPr="002927A1" w14:paraId="7C944016" w14:textId="77777777" w:rsidTr="00A85708">
        <w:tblPrEx>
          <w:shd w:val="clear" w:color="auto" w:fill="auto"/>
        </w:tblPrEx>
        <w:trPr>
          <w:trHeight w:val="57"/>
          <w:jc w:val="right"/>
        </w:trPr>
        <w:tc>
          <w:tcPr>
            <w:tcW w:w="1878" w:type="dxa"/>
            <w:gridSpan w:val="6"/>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96CE326" w14:textId="2B7FCC1B"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Artículo 7</w:t>
            </w:r>
          </w:p>
        </w:tc>
        <w:tc>
          <w:tcPr>
            <w:tcW w:w="3117"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152DB50" w14:textId="77777777" w:rsidR="00E77018" w:rsidRPr="002927A1" w:rsidRDefault="00E77018" w:rsidP="00E77018">
            <w:pPr>
              <w:rPr>
                <w:sz w:val="18"/>
                <w:szCs w:val="18"/>
              </w:rPr>
            </w:pPr>
          </w:p>
        </w:tc>
        <w:tc>
          <w:tcPr>
            <w:tcW w:w="1719"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2B43502" w14:textId="77777777" w:rsidR="00E77018" w:rsidRPr="002927A1" w:rsidRDefault="00E77018" w:rsidP="00E77018">
            <w:pPr>
              <w:rPr>
                <w:sz w:val="18"/>
                <w:szCs w:val="18"/>
              </w:rPr>
            </w:pPr>
          </w:p>
        </w:tc>
        <w:tc>
          <w:tcPr>
            <w:tcW w:w="1593" w:type="dxa"/>
            <w:gridSpan w:val="5"/>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66284FA" w14:textId="77777777" w:rsidR="00E77018" w:rsidRPr="002927A1" w:rsidRDefault="00E77018" w:rsidP="00E77018">
            <w:pPr>
              <w:rPr>
                <w:sz w:val="18"/>
                <w:szCs w:val="18"/>
              </w:rPr>
            </w:pPr>
          </w:p>
        </w:tc>
      </w:tr>
      <w:tr w:rsidR="00E77018" w:rsidRPr="002927A1" w14:paraId="1E7404F2"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5E6B80F4" w14:textId="6589C643"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C10. Indicador de resultados para el artículo 7</w:t>
            </w:r>
          </w:p>
        </w:tc>
        <w:tc>
          <w:tcPr>
            <w:tcW w:w="3117" w:type="dxa"/>
            <w:gridSpan w:val="4"/>
            <w:tcMar>
              <w:top w:w="80" w:type="dxa"/>
              <w:left w:w="80" w:type="dxa"/>
              <w:bottom w:w="80" w:type="dxa"/>
              <w:right w:w="80" w:type="dxa"/>
            </w:tcMar>
          </w:tcPr>
          <w:p w14:paraId="03887586" w14:textId="77777777" w:rsidR="00E77018" w:rsidRPr="002927A1" w:rsidRDefault="00E77018" w:rsidP="00E77018">
            <w:pPr>
              <w:pBdr>
                <w:top w:val="nil"/>
                <w:left w:val="nil"/>
                <w:bottom w:val="nil"/>
                <w:right w:val="nil"/>
                <w:between w:val="nil"/>
                <w:bar w:val="nil"/>
              </w:pBdr>
              <w:tabs>
                <w:tab w:val="left" w:pos="1163"/>
              </w:tabs>
              <w:rPr>
                <w:rStyle w:val="dn"/>
                <w:rFonts w:eastAsia="Roboto"/>
                <w:sz w:val="18"/>
                <w:szCs w:val="18"/>
              </w:rPr>
            </w:pPr>
            <w:r w:rsidRPr="002927A1">
              <w:rPr>
                <w:sz w:val="18"/>
                <w:szCs w:val="18"/>
              </w:rPr>
              <w:t xml:space="preserve">Cantidad total de mercurio usado en la extracción de oro artesanal y en pequeña escala en todo el mundo, en toneladas por año </w:t>
            </w:r>
          </w:p>
          <w:p w14:paraId="5D3EFF4F" w14:textId="7187D878"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p>
        </w:tc>
        <w:tc>
          <w:tcPr>
            <w:tcW w:w="1719" w:type="dxa"/>
            <w:gridSpan w:val="4"/>
            <w:tcMar>
              <w:top w:w="80" w:type="dxa"/>
              <w:left w:w="80" w:type="dxa"/>
              <w:bottom w:w="80" w:type="dxa"/>
              <w:right w:w="80" w:type="dxa"/>
            </w:tcMar>
          </w:tcPr>
          <w:p w14:paraId="23025746" w14:textId="77777777" w:rsidR="00E77018" w:rsidRPr="002927A1" w:rsidRDefault="00E77018" w:rsidP="00E77018">
            <w:pPr>
              <w:pBdr>
                <w:top w:val="nil"/>
                <w:left w:val="nil"/>
                <w:bottom w:val="nil"/>
                <w:right w:val="nil"/>
                <w:between w:val="nil"/>
                <w:bar w:val="nil"/>
              </w:pBdr>
              <w:tabs>
                <w:tab w:val="left" w:pos="1163"/>
              </w:tabs>
              <w:rPr>
                <w:rStyle w:val="dn"/>
                <w:rFonts w:eastAsia="Roboto"/>
                <w:sz w:val="18"/>
                <w:szCs w:val="18"/>
              </w:rPr>
            </w:pPr>
            <w:r w:rsidRPr="002927A1">
              <w:rPr>
                <w:sz w:val="18"/>
                <w:szCs w:val="18"/>
              </w:rPr>
              <w:t>- Presentación de informes con arreglo al artículo 21</w:t>
            </w:r>
          </w:p>
          <w:p w14:paraId="2BDAE708" w14:textId="77777777" w:rsidR="00E77018" w:rsidRPr="002927A1" w:rsidRDefault="00E77018" w:rsidP="00E77018">
            <w:pPr>
              <w:pBdr>
                <w:top w:val="nil"/>
                <w:left w:val="nil"/>
                <w:bottom w:val="nil"/>
                <w:right w:val="nil"/>
                <w:between w:val="nil"/>
                <w:bar w:val="nil"/>
              </w:pBdr>
              <w:tabs>
                <w:tab w:val="left" w:pos="1163"/>
              </w:tabs>
              <w:rPr>
                <w:rStyle w:val="dn"/>
                <w:rFonts w:eastAsia="Roboto"/>
                <w:sz w:val="18"/>
                <w:szCs w:val="18"/>
              </w:rPr>
            </w:pPr>
            <w:r w:rsidRPr="002927A1">
              <w:rPr>
                <w:sz w:val="18"/>
                <w:szCs w:val="18"/>
              </w:rPr>
              <w:t>- Planes de acción nacionales sobre extracción de oro artesanal en pequeña escala y su examen</w:t>
            </w:r>
          </w:p>
          <w:p w14:paraId="6BD8005F" w14:textId="07DDE624"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Notificaciones</w:t>
            </w:r>
          </w:p>
        </w:tc>
        <w:tc>
          <w:tcPr>
            <w:tcW w:w="1593" w:type="dxa"/>
            <w:gridSpan w:val="5"/>
            <w:tcMar>
              <w:top w:w="80" w:type="dxa"/>
              <w:left w:w="80" w:type="dxa"/>
              <w:bottom w:w="80" w:type="dxa"/>
              <w:right w:w="80" w:type="dxa"/>
            </w:tcMar>
          </w:tcPr>
          <w:p w14:paraId="58931AB2" w14:textId="3AE1E089" w:rsidR="00E77018" w:rsidRPr="002927A1" w:rsidRDefault="00E77018" w:rsidP="00E77018">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496F1C" w:rsidRPr="002927A1" w14:paraId="543522E6" w14:textId="77777777" w:rsidTr="00A85708">
        <w:tblPrEx>
          <w:shd w:val="clear" w:color="auto" w:fill="auto"/>
        </w:tblPrEx>
        <w:trPr>
          <w:trHeight w:val="57"/>
          <w:jc w:val="right"/>
        </w:trPr>
        <w:tc>
          <w:tcPr>
            <w:tcW w:w="1878" w:type="dxa"/>
            <w:gridSpan w:val="6"/>
            <w:tcMar>
              <w:top w:w="80" w:type="dxa"/>
              <w:left w:w="80" w:type="dxa"/>
              <w:bottom w:w="80" w:type="dxa"/>
              <w:right w:w="80" w:type="dxa"/>
            </w:tcMar>
          </w:tcPr>
          <w:p w14:paraId="63EE6911" w14:textId="7EA4AFDC"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C11. Indicador de procesos en relación con el artículo 7</w:t>
            </w:r>
          </w:p>
        </w:tc>
        <w:tc>
          <w:tcPr>
            <w:tcW w:w="3117" w:type="dxa"/>
            <w:gridSpan w:val="4"/>
            <w:tcMar>
              <w:top w:w="80" w:type="dxa"/>
              <w:left w:w="80" w:type="dxa"/>
              <w:bottom w:w="80" w:type="dxa"/>
              <w:right w:w="80" w:type="dxa"/>
            </w:tcMar>
          </w:tcPr>
          <w:p w14:paraId="4C419102" w14:textId="61DEAA56"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Proporción de Partes que declaran una extracción de oro artesanal y en pequeña escala poco más que insignificante y que hayan presentado un plan de acción nacional</w:t>
            </w:r>
          </w:p>
        </w:tc>
        <w:tc>
          <w:tcPr>
            <w:tcW w:w="1719" w:type="dxa"/>
            <w:gridSpan w:val="4"/>
            <w:tcMar>
              <w:top w:w="80" w:type="dxa"/>
              <w:left w:w="80" w:type="dxa"/>
              <w:bottom w:w="80" w:type="dxa"/>
              <w:right w:w="80" w:type="dxa"/>
            </w:tcMar>
          </w:tcPr>
          <w:p w14:paraId="0A64DFC8" w14:textId="5B3C8737"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Notificaciones</w:t>
            </w:r>
          </w:p>
        </w:tc>
        <w:tc>
          <w:tcPr>
            <w:tcW w:w="1593" w:type="dxa"/>
            <w:gridSpan w:val="5"/>
            <w:tcMar>
              <w:top w:w="80" w:type="dxa"/>
              <w:left w:w="80" w:type="dxa"/>
              <w:bottom w:w="80" w:type="dxa"/>
              <w:right w:w="80" w:type="dxa"/>
            </w:tcMar>
          </w:tcPr>
          <w:p w14:paraId="5AE9BE44" w14:textId="21A3DF1B"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en la primera evaluación</w:t>
            </w:r>
          </w:p>
        </w:tc>
      </w:tr>
      <w:tr w:rsidR="00496F1C" w:rsidRPr="002927A1" w14:paraId="1DFA61C5" w14:textId="77777777" w:rsidTr="00A85708">
        <w:tblPrEx>
          <w:shd w:val="clear" w:color="auto" w:fill="auto"/>
        </w:tblPrEx>
        <w:trPr>
          <w:trHeight w:val="57"/>
          <w:jc w:val="right"/>
        </w:trPr>
        <w:tc>
          <w:tcPr>
            <w:tcW w:w="1878" w:type="dxa"/>
            <w:gridSpan w:val="6"/>
            <w:shd w:val="clear" w:color="auto" w:fill="auto"/>
            <w:tcMar>
              <w:top w:w="80" w:type="dxa"/>
              <w:left w:w="80" w:type="dxa"/>
              <w:bottom w:w="80" w:type="dxa"/>
              <w:right w:w="80" w:type="dxa"/>
            </w:tcMar>
          </w:tcPr>
          <w:p w14:paraId="1588B67C" w14:textId="6D2E2172" w:rsidR="00496F1C" w:rsidRPr="002927A1" w:rsidRDefault="00DF3B97"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 </w:t>
            </w:r>
          </w:p>
        </w:tc>
        <w:tc>
          <w:tcPr>
            <w:tcW w:w="3117" w:type="dxa"/>
            <w:gridSpan w:val="4"/>
            <w:tcMar>
              <w:top w:w="80" w:type="dxa"/>
              <w:left w:w="80" w:type="dxa"/>
              <w:bottom w:w="80" w:type="dxa"/>
              <w:right w:w="80" w:type="dxa"/>
            </w:tcMar>
          </w:tcPr>
          <w:p w14:paraId="438EE5C1" w14:textId="77777777" w:rsidR="00496F1C" w:rsidRPr="002927A1" w:rsidRDefault="00496F1C" w:rsidP="00496F1C">
            <w:pPr>
              <w:pBdr>
                <w:top w:val="nil"/>
                <w:left w:val="nil"/>
                <w:bottom w:val="nil"/>
                <w:right w:val="nil"/>
                <w:between w:val="nil"/>
                <w:bar w:val="nil"/>
              </w:pBdr>
              <w:tabs>
                <w:tab w:val="left" w:pos="1163"/>
              </w:tabs>
              <w:rPr>
                <w:rFonts w:eastAsia="Roboto"/>
                <w:sz w:val="18"/>
                <w:szCs w:val="18"/>
              </w:rPr>
            </w:pPr>
            <w:r w:rsidRPr="002927A1">
              <w:rPr>
                <w:sz w:val="18"/>
                <w:szCs w:val="18"/>
              </w:rPr>
              <w:t>Proporción de Partes que han presentado un plan de acción nacional y lo han examinado</w:t>
            </w:r>
          </w:p>
          <w:p w14:paraId="38CD8039" w14:textId="599EFE4E"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p>
        </w:tc>
        <w:tc>
          <w:tcPr>
            <w:tcW w:w="1719" w:type="dxa"/>
            <w:gridSpan w:val="4"/>
            <w:tcMar>
              <w:top w:w="80" w:type="dxa"/>
              <w:left w:w="80" w:type="dxa"/>
              <w:bottom w:w="80" w:type="dxa"/>
              <w:right w:w="80" w:type="dxa"/>
            </w:tcMar>
          </w:tcPr>
          <w:p w14:paraId="3EBCE7FE" w14:textId="127159B8"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Exámenes previstos en el artículo 7</w:t>
            </w:r>
          </w:p>
        </w:tc>
        <w:tc>
          <w:tcPr>
            <w:tcW w:w="1593" w:type="dxa"/>
            <w:gridSpan w:val="5"/>
            <w:tcMar>
              <w:top w:w="80" w:type="dxa"/>
              <w:left w:w="80" w:type="dxa"/>
              <w:bottom w:w="80" w:type="dxa"/>
              <w:right w:w="80" w:type="dxa"/>
            </w:tcMar>
          </w:tcPr>
          <w:p w14:paraId="701CDA94" w14:textId="06C0A8B6" w:rsidR="00496F1C" w:rsidRPr="002927A1" w:rsidRDefault="00496F1C" w:rsidP="00496F1C">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en la primera evaluación</w:t>
            </w:r>
          </w:p>
        </w:tc>
      </w:tr>
      <w:tr w:rsidR="00496F1C" w:rsidRPr="002927A1" w14:paraId="7DE0CA33" w14:textId="77777777" w:rsidTr="00A85708">
        <w:tblPrEx>
          <w:shd w:val="clear" w:color="auto" w:fill="auto"/>
        </w:tblPrEx>
        <w:trPr>
          <w:trHeight w:val="57"/>
          <w:jc w:val="right"/>
        </w:trPr>
        <w:tc>
          <w:tcPr>
            <w:tcW w:w="1878" w:type="dxa"/>
            <w:gridSpan w:val="6"/>
            <w:tcBorders>
              <w:bottom w:val="single" w:sz="2" w:space="0" w:color="auto"/>
            </w:tcBorders>
            <w:shd w:val="clear" w:color="auto" w:fill="auto"/>
            <w:tcMar>
              <w:top w:w="80" w:type="dxa"/>
              <w:left w:w="80" w:type="dxa"/>
              <w:bottom w:w="80" w:type="dxa"/>
              <w:right w:w="80" w:type="dxa"/>
            </w:tcMar>
          </w:tcPr>
          <w:p w14:paraId="29857BBD" w14:textId="48A31920" w:rsidR="00496F1C" w:rsidRPr="002927A1" w:rsidRDefault="00496F1C" w:rsidP="00496F1C">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429" w:type="dxa"/>
            <w:gridSpan w:val="13"/>
            <w:tcBorders>
              <w:bottom w:val="single" w:sz="2" w:space="0" w:color="auto"/>
            </w:tcBorders>
            <w:tcMar>
              <w:top w:w="80" w:type="dxa"/>
              <w:left w:w="80" w:type="dxa"/>
              <w:bottom w:w="80" w:type="dxa"/>
              <w:right w:w="80" w:type="dxa"/>
            </w:tcMar>
          </w:tcPr>
          <w:p w14:paraId="00E8CBD8" w14:textId="25A92E80" w:rsidR="00496F1C" w:rsidRPr="002927A1" w:rsidRDefault="00496F1C" w:rsidP="00A524DB">
            <w:pPr>
              <w:pStyle w:val="Text"/>
              <w:numPr>
                <w:ilvl w:val="0"/>
                <w:numId w:val="29"/>
              </w:numPr>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Tal vez no sea fácil obtener algunos datos sobre los productos.</w:t>
            </w:r>
          </w:p>
        </w:tc>
      </w:tr>
      <w:tr w:rsidR="00DF3B97" w:rsidRPr="002927A1" w14:paraId="72DD73D8" w14:textId="77777777" w:rsidTr="00A85708">
        <w:tblPrEx>
          <w:shd w:val="clear" w:color="auto" w:fill="auto"/>
        </w:tblPrEx>
        <w:trPr>
          <w:trHeight w:val="57"/>
          <w:jc w:val="right"/>
        </w:trPr>
        <w:tc>
          <w:tcPr>
            <w:tcW w:w="4979" w:type="dxa"/>
            <w:gridSpan w:val="9"/>
            <w:tcBorders>
              <w:bottom w:val="single" w:sz="12" w:space="0" w:color="auto"/>
            </w:tcBorders>
            <w:shd w:val="clear" w:color="auto" w:fill="auto"/>
            <w:tcMar>
              <w:top w:w="80" w:type="dxa"/>
              <w:left w:w="80" w:type="dxa"/>
              <w:bottom w:w="80" w:type="dxa"/>
              <w:right w:w="80" w:type="dxa"/>
            </w:tcMar>
          </w:tcPr>
          <w:p w14:paraId="22003E39" w14:textId="7CDFD4AF"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 xml:space="preserve">D: Grupo temático sobre presión </w:t>
            </w:r>
            <w:r w:rsidRPr="002927A1">
              <w:rPr>
                <w:rFonts w:ascii="Times New Roman" w:hAnsi="Times New Roman" w:cs="Times New Roman"/>
                <w:bCs/>
                <w:i/>
                <w:sz w:val="18"/>
                <w:szCs w:val="18"/>
                <w:lang w:val="es-ES_tradnl"/>
              </w:rPr>
              <w:br/>
              <w:t xml:space="preserve">Artículo 8 (emisiones); artículo 9 (liberaciones); artículo 12 (sitios contaminados) </w:t>
            </w:r>
          </w:p>
        </w:tc>
        <w:tc>
          <w:tcPr>
            <w:tcW w:w="1735" w:type="dxa"/>
            <w:gridSpan w:val="5"/>
            <w:tcBorders>
              <w:bottom w:val="single" w:sz="12" w:space="0" w:color="auto"/>
            </w:tcBorders>
            <w:shd w:val="clear" w:color="auto" w:fill="auto"/>
            <w:tcMar>
              <w:top w:w="80" w:type="dxa"/>
              <w:left w:w="80" w:type="dxa"/>
              <w:bottom w:w="80" w:type="dxa"/>
              <w:right w:w="80" w:type="dxa"/>
            </w:tcMar>
          </w:tcPr>
          <w:p w14:paraId="7E5FD6B0" w14:textId="417B148A"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 el indicador</w:t>
            </w:r>
          </w:p>
        </w:tc>
        <w:tc>
          <w:tcPr>
            <w:tcW w:w="1593" w:type="dxa"/>
            <w:gridSpan w:val="5"/>
            <w:tcBorders>
              <w:bottom w:val="single" w:sz="12" w:space="0" w:color="auto"/>
            </w:tcBorders>
            <w:shd w:val="clear" w:color="auto" w:fill="auto"/>
            <w:tcMar>
              <w:top w:w="80" w:type="dxa"/>
              <w:left w:w="80" w:type="dxa"/>
              <w:bottom w:w="80" w:type="dxa"/>
              <w:right w:w="80" w:type="dxa"/>
            </w:tcMar>
          </w:tcPr>
          <w:p w14:paraId="3DBC10CE" w14:textId="261E269E"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 del indicador</w:t>
            </w:r>
          </w:p>
        </w:tc>
      </w:tr>
      <w:tr w:rsidR="00DF3B97" w:rsidRPr="002927A1" w14:paraId="185BE12D" w14:textId="77777777" w:rsidTr="00A85708">
        <w:tblPrEx>
          <w:shd w:val="clear" w:color="auto" w:fill="auto"/>
        </w:tblPrEx>
        <w:trPr>
          <w:trHeight w:val="57"/>
          <w:jc w:val="right"/>
        </w:trPr>
        <w:tc>
          <w:tcPr>
            <w:tcW w:w="1884" w:type="dxa"/>
            <w:gridSpan w:val="7"/>
            <w:tcBorders>
              <w:top w:val="single" w:sz="12" w:space="0" w:color="auto"/>
            </w:tcBorders>
            <w:tcMar>
              <w:top w:w="80" w:type="dxa"/>
              <w:left w:w="80" w:type="dxa"/>
              <w:bottom w:w="80" w:type="dxa"/>
              <w:right w:w="80" w:type="dxa"/>
            </w:tcMar>
          </w:tcPr>
          <w:p w14:paraId="34B20A79" w14:textId="21CF715B"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D1. Indicador general de procesos para los artículos 8, 9 y 12</w:t>
            </w:r>
          </w:p>
        </w:tc>
        <w:tc>
          <w:tcPr>
            <w:tcW w:w="3095" w:type="dxa"/>
            <w:gridSpan w:val="2"/>
            <w:tcBorders>
              <w:top w:val="single" w:sz="12" w:space="0" w:color="auto"/>
            </w:tcBorders>
            <w:tcMar>
              <w:top w:w="80" w:type="dxa"/>
              <w:left w:w="80" w:type="dxa"/>
              <w:bottom w:w="80" w:type="dxa"/>
              <w:right w:w="80" w:type="dxa"/>
            </w:tcMar>
          </w:tcPr>
          <w:p w14:paraId="2D48981A" w14:textId="5FD438A5"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de Partes que han aplicado disposiciones fundamentales en relación con este grupo</w:t>
            </w:r>
          </w:p>
        </w:tc>
        <w:tc>
          <w:tcPr>
            <w:tcW w:w="1735" w:type="dxa"/>
            <w:gridSpan w:val="5"/>
            <w:tcBorders>
              <w:top w:val="single" w:sz="12" w:space="0" w:color="auto"/>
            </w:tcBorders>
            <w:tcMar>
              <w:top w:w="80" w:type="dxa"/>
              <w:left w:w="80" w:type="dxa"/>
              <w:bottom w:w="80" w:type="dxa"/>
              <w:right w:w="80" w:type="dxa"/>
            </w:tcMar>
          </w:tcPr>
          <w:p w14:paraId="54FFF69C" w14:textId="3FE2DA96"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Borders>
              <w:top w:val="single" w:sz="12" w:space="0" w:color="auto"/>
            </w:tcBorders>
            <w:tcMar>
              <w:top w:w="80" w:type="dxa"/>
              <w:left w:w="80" w:type="dxa"/>
              <w:bottom w:w="80" w:type="dxa"/>
              <w:right w:w="80" w:type="dxa"/>
            </w:tcMar>
          </w:tcPr>
          <w:p w14:paraId="7AA49E5A" w14:textId="7DFACD9E"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en la primera evaluación</w:t>
            </w:r>
          </w:p>
        </w:tc>
      </w:tr>
      <w:tr w:rsidR="00DF3B97" w:rsidRPr="002927A1" w14:paraId="3F163B0B"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17DA4634" w14:textId="7065A84F"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D2. Indicador intersectorial de resultados para los artículos 8, 9 y 12</w:t>
            </w:r>
          </w:p>
        </w:tc>
        <w:tc>
          <w:tcPr>
            <w:tcW w:w="3095" w:type="dxa"/>
            <w:gridSpan w:val="2"/>
            <w:tcMar>
              <w:top w:w="80" w:type="dxa"/>
              <w:left w:w="80" w:type="dxa"/>
              <w:bottom w:w="80" w:type="dxa"/>
              <w:right w:w="80" w:type="dxa"/>
            </w:tcMar>
          </w:tcPr>
          <w:p w14:paraId="2BC3FDFA" w14:textId="4631487E"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Cantidad total de mercurio en emisiones y liberaciones </w:t>
            </w:r>
          </w:p>
        </w:tc>
        <w:tc>
          <w:tcPr>
            <w:tcW w:w="1735" w:type="dxa"/>
            <w:gridSpan w:val="5"/>
            <w:tcMar>
              <w:top w:w="80" w:type="dxa"/>
              <w:left w:w="80" w:type="dxa"/>
              <w:bottom w:w="80" w:type="dxa"/>
              <w:right w:w="80" w:type="dxa"/>
            </w:tcMar>
          </w:tcPr>
          <w:p w14:paraId="61DC747E" w14:textId="6087ADF3" w:rsidR="00DF3B97" w:rsidRPr="002927A1" w:rsidRDefault="00DF3B97" w:rsidP="00DF3B97">
            <w:pPr>
              <w:rPr>
                <w:rStyle w:val="dn"/>
                <w:rFonts w:eastAsia="Roboto"/>
                <w:sz w:val="18"/>
                <w:szCs w:val="18"/>
              </w:rPr>
            </w:pPr>
            <w:r w:rsidRPr="002927A1">
              <w:rPr>
                <w:sz w:val="18"/>
                <w:szCs w:val="18"/>
              </w:rPr>
              <w:t xml:space="preserve">- </w:t>
            </w:r>
            <w:r w:rsidR="00E258D1" w:rsidRPr="002927A1">
              <w:rPr>
                <w:i/>
                <w:iCs/>
                <w:sz w:val="18"/>
                <w:szCs w:val="18"/>
              </w:rPr>
              <w:t>Evaluación Mundial del Mercurio</w:t>
            </w:r>
            <w:r w:rsidRPr="002927A1">
              <w:rPr>
                <w:sz w:val="18"/>
                <w:szCs w:val="18"/>
              </w:rPr>
              <w:t xml:space="preserve"> 2018</w:t>
            </w:r>
          </w:p>
          <w:p w14:paraId="616DDE43" w14:textId="77777777" w:rsidR="00DF3B97" w:rsidRPr="002927A1" w:rsidRDefault="00DF3B97" w:rsidP="00DF3B97">
            <w:pPr>
              <w:rPr>
                <w:rStyle w:val="dn"/>
                <w:rFonts w:eastAsia="Roboto"/>
                <w:sz w:val="18"/>
                <w:szCs w:val="18"/>
              </w:rPr>
            </w:pPr>
            <w:r w:rsidRPr="002927A1">
              <w:rPr>
                <w:sz w:val="18"/>
                <w:szCs w:val="18"/>
              </w:rPr>
              <w:t>- Inventarios</w:t>
            </w:r>
          </w:p>
          <w:p w14:paraId="0231E917" w14:textId="4EF49E09"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Evaluaciones iniciales del Convenio de Minamata</w:t>
            </w:r>
          </w:p>
        </w:tc>
        <w:tc>
          <w:tcPr>
            <w:tcW w:w="1593" w:type="dxa"/>
            <w:gridSpan w:val="5"/>
            <w:tcMar>
              <w:top w:w="80" w:type="dxa"/>
              <w:left w:w="80" w:type="dxa"/>
              <w:bottom w:w="80" w:type="dxa"/>
              <w:right w:w="80" w:type="dxa"/>
            </w:tcMar>
          </w:tcPr>
          <w:p w14:paraId="4FC7CD27" w14:textId="030E9E05"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Cantidad en la primera evaluación</w:t>
            </w:r>
          </w:p>
        </w:tc>
      </w:tr>
      <w:tr w:rsidR="006D667A" w:rsidRPr="002927A1" w14:paraId="0EC9C859" w14:textId="77777777" w:rsidTr="00DF3B97">
        <w:tblPrEx>
          <w:shd w:val="clear" w:color="auto" w:fill="auto"/>
        </w:tblPrEx>
        <w:trPr>
          <w:trHeight w:val="57"/>
          <w:jc w:val="right"/>
        </w:trPr>
        <w:tc>
          <w:tcPr>
            <w:tcW w:w="8307" w:type="dxa"/>
            <w:gridSpan w:val="19"/>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2E3F8BA" w14:textId="39066F41" w:rsidR="006D667A" w:rsidRPr="002927A1" w:rsidRDefault="00E77018" w:rsidP="00100D97">
            <w:pPr>
              <w:pStyle w:val="Text"/>
              <w:tabs>
                <w:tab w:val="left" w:pos="1248"/>
                <w:tab w:val="left" w:pos="1814"/>
                <w:tab w:val="left" w:pos="1872"/>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Artículo</w:t>
            </w:r>
            <w:r w:rsidR="006D667A" w:rsidRPr="002927A1">
              <w:rPr>
                <w:rFonts w:ascii="Times New Roman" w:hAnsi="Times New Roman" w:cs="Times New Roman"/>
                <w:b/>
                <w:bCs/>
                <w:sz w:val="18"/>
                <w:szCs w:val="18"/>
                <w:lang w:val="es-ES_tradnl"/>
              </w:rPr>
              <w:t xml:space="preserve"> 8 </w:t>
            </w:r>
            <w:r w:rsidR="006D667A" w:rsidRPr="002927A1">
              <w:rPr>
                <w:rFonts w:ascii="Times New Roman" w:hAnsi="Times New Roman" w:cs="Times New Roman"/>
                <w:sz w:val="18"/>
                <w:szCs w:val="18"/>
                <w:lang w:val="es-ES_tradnl"/>
              </w:rPr>
              <w:t>(</w:t>
            </w:r>
            <w:r w:rsidR="00DF3B97" w:rsidRPr="002927A1">
              <w:rPr>
                <w:rFonts w:ascii="Times New Roman" w:hAnsi="Times New Roman" w:cs="Times New Roman"/>
                <w:sz w:val="18"/>
                <w:szCs w:val="18"/>
                <w:lang w:val="es-ES_tradnl"/>
              </w:rPr>
              <w:t xml:space="preserve">Los indicadores para el artículo 8 deben leerse </w:t>
            </w:r>
            <w:r w:rsidR="00100D97" w:rsidRPr="002927A1">
              <w:rPr>
                <w:rFonts w:ascii="Times New Roman" w:hAnsi="Times New Roman" w:cs="Times New Roman"/>
                <w:sz w:val="18"/>
                <w:szCs w:val="18"/>
                <w:lang w:val="es-ES_tradnl"/>
              </w:rPr>
              <w:t>de consuno</w:t>
            </w:r>
            <w:r w:rsidR="00DF3B97" w:rsidRPr="002927A1">
              <w:rPr>
                <w:rFonts w:ascii="Times New Roman" w:hAnsi="Times New Roman" w:cs="Times New Roman"/>
                <w:sz w:val="18"/>
                <w:szCs w:val="18"/>
                <w:lang w:val="es-ES_tradnl"/>
              </w:rPr>
              <w:t xml:space="preserve"> con los indicadores de vigilancia pertinentes en el cuadro 4).</w:t>
            </w:r>
          </w:p>
        </w:tc>
      </w:tr>
      <w:tr w:rsidR="00DF3B97" w:rsidRPr="002927A1" w14:paraId="626BF8E2"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6E17AA76" w14:textId="1A7300FA"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D3. Indicador de resultados para el artículo 8</w:t>
            </w:r>
          </w:p>
        </w:tc>
        <w:tc>
          <w:tcPr>
            <w:tcW w:w="3095" w:type="dxa"/>
            <w:gridSpan w:val="2"/>
            <w:tcMar>
              <w:top w:w="80" w:type="dxa"/>
              <w:left w:w="80" w:type="dxa"/>
              <w:bottom w:w="80" w:type="dxa"/>
              <w:right w:w="80" w:type="dxa"/>
            </w:tcMar>
          </w:tcPr>
          <w:p w14:paraId="1CF3708C" w14:textId="1A87CF65"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Cantidad total de mercurio en emisiones por cada categoría de fuente puntual del anexo D </w:t>
            </w:r>
          </w:p>
        </w:tc>
        <w:tc>
          <w:tcPr>
            <w:tcW w:w="1735" w:type="dxa"/>
            <w:gridSpan w:val="5"/>
            <w:tcMar>
              <w:top w:w="80" w:type="dxa"/>
              <w:left w:w="80" w:type="dxa"/>
              <w:bottom w:w="80" w:type="dxa"/>
              <w:right w:w="80" w:type="dxa"/>
            </w:tcMar>
          </w:tcPr>
          <w:p w14:paraId="21E98B75" w14:textId="77777777" w:rsidR="00DF3B97" w:rsidRPr="002927A1" w:rsidRDefault="00DF3B97" w:rsidP="00DF3B97">
            <w:pPr>
              <w:pBdr>
                <w:top w:val="nil"/>
                <w:left w:val="nil"/>
                <w:bottom w:val="nil"/>
                <w:right w:val="nil"/>
                <w:between w:val="nil"/>
                <w:bar w:val="nil"/>
              </w:pBdr>
              <w:tabs>
                <w:tab w:val="left" w:pos="1163"/>
              </w:tabs>
              <w:rPr>
                <w:rStyle w:val="dn"/>
                <w:rFonts w:eastAsia="Roboto"/>
                <w:sz w:val="18"/>
                <w:szCs w:val="18"/>
              </w:rPr>
            </w:pPr>
            <w:r w:rsidRPr="002927A1">
              <w:rPr>
                <w:sz w:val="18"/>
                <w:szCs w:val="18"/>
              </w:rPr>
              <w:t>- Presentación de informes con arreglo al artículo 21</w:t>
            </w:r>
          </w:p>
          <w:p w14:paraId="7DF3B8C5" w14:textId="1797BC42"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Inventarios</w:t>
            </w:r>
          </w:p>
        </w:tc>
        <w:tc>
          <w:tcPr>
            <w:tcW w:w="1593" w:type="dxa"/>
            <w:gridSpan w:val="5"/>
            <w:tcMar>
              <w:top w:w="80" w:type="dxa"/>
              <w:left w:w="80" w:type="dxa"/>
              <w:bottom w:w="80" w:type="dxa"/>
              <w:right w:w="80" w:type="dxa"/>
            </w:tcMar>
          </w:tcPr>
          <w:p w14:paraId="0A044F89" w14:textId="1BF3B318"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54CEA5C9"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6337E631" w14:textId="44FD3FE4"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D4. Indicador de procesos en relación con el artículo 8</w:t>
            </w:r>
          </w:p>
        </w:tc>
        <w:tc>
          <w:tcPr>
            <w:tcW w:w="3095" w:type="dxa"/>
            <w:gridSpan w:val="2"/>
            <w:tcMar>
              <w:top w:w="80" w:type="dxa"/>
              <w:left w:w="80" w:type="dxa"/>
              <w:bottom w:w="80" w:type="dxa"/>
              <w:right w:w="80" w:type="dxa"/>
            </w:tcMar>
          </w:tcPr>
          <w:p w14:paraId="7286DBCF" w14:textId="1657FD63"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requieren MTD/MPA o valores límite de las emisiones compatibles con la aplicación de las mejores técnicas disponibles</w:t>
            </w:r>
          </w:p>
        </w:tc>
        <w:tc>
          <w:tcPr>
            <w:tcW w:w="1735" w:type="dxa"/>
            <w:gridSpan w:val="5"/>
            <w:tcMar>
              <w:top w:w="80" w:type="dxa"/>
              <w:left w:w="80" w:type="dxa"/>
              <w:bottom w:w="80" w:type="dxa"/>
              <w:right w:w="80" w:type="dxa"/>
            </w:tcMar>
          </w:tcPr>
          <w:p w14:paraId="3AAB97A0" w14:textId="4EA966D8"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63E49FAD" w14:textId="1CCC25E5"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611AAEDB"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16BAE61D" w14:textId="63BABACF"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D5. Indicador de procesos en relación con el artículo 8</w:t>
            </w:r>
          </w:p>
        </w:tc>
        <w:tc>
          <w:tcPr>
            <w:tcW w:w="3095" w:type="dxa"/>
            <w:gridSpan w:val="2"/>
            <w:tcMar>
              <w:top w:w="80" w:type="dxa"/>
              <w:left w:w="80" w:type="dxa"/>
              <w:bottom w:w="80" w:type="dxa"/>
              <w:right w:w="80" w:type="dxa"/>
            </w:tcMar>
          </w:tcPr>
          <w:p w14:paraId="1B1AB510" w14:textId="71532FEA"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puesto en práctica medidas de control para las fuentes existentes (por cada una de las medidas previstas en el artículo 8, párr.</w:t>
            </w:r>
            <w:r w:rsidR="00CF5AF9" w:rsidRPr="002927A1">
              <w:rPr>
                <w:rFonts w:ascii="Times New Roman" w:hAnsi="Times New Roman" w:cs="Times New Roman"/>
                <w:sz w:val="18"/>
                <w:szCs w:val="18"/>
                <w:lang w:val="es-ES_tradnl"/>
              </w:rPr>
              <w:t> </w:t>
            </w:r>
            <w:r w:rsidRPr="002927A1">
              <w:rPr>
                <w:rFonts w:ascii="Times New Roman" w:hAnsi="Times New Roman" w:cs="Times New Roman"/>
                <w:sz w:val="18"/>
                <w:szCs w:val="18"/>
                <w:lang w:val="es-ES_tradnl"/>
              </w:rPr>
              <w:t>5)</w:t>
            </w:r>
          </w:p>
        </w:tc>
        <w:tc>
          <w:tcPr>
            <w:tcW w:w="1735" w:type="dxa"/>
            <w:gridSpan w:val="5"/>
            <w:tcMar>
              <w:top w:w="80" w:type="dxa"/>
              <w:left w:w="80" w:type="dxa"/>
              <w:bottom w:w="80" w:type="dxa"/>
              <w:right w:w="80" w:type="dxa"/>
            </w:tcMar>
          </w:tcPr>
          <w:p w14:paraId="6AA0E813" w14:textId="04C64431"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39F402C2" w14:textId="48D22217"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2EC33554" w14:textId="77777777" w:rsidTr="00A85708">
        <w:tblPrEx>
          <w:shd w:val="clear" w:color="auto" w:fill="auto"/>
        </w:tblPrEx>
        <w:trPr>
          <w:trHeight w:val="57"/>
          <w:jc w:val="right"/>
        </w:trPr>
        <w:tc>
          <w:tcPr>
            <w:tcW w:w="1884" w:type="dxa"/>
            <w:gridSpan w:val="7"/>
            <w:tcBorders>
              <w:bottom w:val="single" w:sz="2" w:space="0" w:color="auto"/>
            </w:tcBorders>
            <w:tcMar>
              <w:top w:w="80" w:type="dxa"/>
              <w:left w:w="80" w:type="dxa"/>
              <w:bottom w:w="80" w:type="dxa"/>
              <w:right w:w="80" w:type="dxa"/>
            </w:tcMar>
          </w:tcPr>
          <w:p w14:paraId="57B2F45A" w14:textId="0BB1A312"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D6. Indicador de procesos en relación con el artículo 8</w:t>
            </w:r>
          </w:p>
        </w:tc>
        <w:tc>
          <w:tcPr>
            <w:tcW w:w="3095" w:type="dxa"/>
            <w:gridSpan w:val="2"/>
            <w:tcBorders>
              <w:bottom w:val="single" w:sz="2" w:space="0" w:color="auto"/>
            </w:tcBorders>
            <w:tcMar>
              <w:top w:w="80" w:type="dxa"/>
              <w:left w:w="80" w:type="dxa"/>
              <w:bottom w:w="80" w:type="dxa"/>
              <w:right w:w="80" w:type="dxa"/>
            </w:tcMar>
          </w:tcPr>
          <w:p w14:paraId="07551703" w14:textId="2A9BBDF7" w:rsidR="00DF3B97" w:rsidRPr="002927A1" w:rsidRDefault="00DF3B97" w:rsidP="00270A6E">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Número de Partes que han </w:t>
            </w:r>
            <w:r w:rsidR="00270A6E" w:rsidRPr="002927A1">
              <w:rPr>
                <w:rFonts w:ascii="Times New Roman" w:hAnsi="Times New Roman" w:cs="Times New Roman"/>
                <w:sz w:val="18"/>
                <w:szCs w:val="18"/>
                <w:lang w:val="es-ES_tradnl"/>
              </w:rPr>
              <w:t>realizado</w:t>
            </w:r>
            <w:r w:rsidRPr="002927A1">
              <w:rPr>
                <w:rFonts w:ascii="Times New Roman" w:hAnsi="Times New Roman" w:cs="Times New Roman"/>
                <w:sz w:val="18"/>
                <w:szCs w:val="18"/>
                <w:lang w:val="es-ES_tradnl"/>
              </w:rPr>
              <w:t xml:space="preserve"> </w:t>
            </w:r>
            <w:r w:rsidR="00270A6E" w:rsidRPr="002927A1">
              <w:rPr>
                <w:rFonts w:ascii="Times New Roman" w:hAnsi="Times New Roman" w:cs="Times New Roman"/>
                <w:sz w:val="18"/>
                <w:szCs w:val="18"/>
                <w:lang w:val="es-ES_tradnl"/>
              </w:rPr>
              <w:t>-</w:t>
            </w:r>
            <w:r w:rsidRPr="002927A1">
              <w:rPr>
                <w:rFonts w:ascii="Times New Roman" w:hAnsi="Times New Roman" w:cs="Times New Roman"/>
                <w:sz w:val="18"/>
                <w:szCs w:val="18"/>
                <w:lang w:val="es-ES_tradnl"/>
              </w:rPr>
              <w:t>y mantenido</w:t>
            </w:r>
            <w:r w:rsidR="00270A6E" w:rsidRPr="002927A1">
              <w:rPr>
                <w:rFonts w:ascii="Times New Roman" w:hAnsi="Times New Roman" w:cs="Times New Roman"/>
                <w:sz w:val="18"/>
                <w:szCs w:val="18"/>
                <w:lang w:val="es-ES_tradnl"/>
              </w:rPr>
              <w:t>-</w:t>
            </w:r>
            <w:r w:rsidRPr="002927A1">
              <w:rPr>
                <w:rFonts w:ascii="Times New Roman" w:hAnsi="Times New Roman" w:cs="Times New Roman"/>
                <w:sz w:val="18"/>
                <w:szCs w:val="18"/>
                <w:lang w:val="es-ES_tradnl"/>
              </w:rPr>
              <w:t xml:space="preserve"> un inventario de las emisiones </w:t>
            </w:r>
          </w:p>
        </w:tc>
        <w:tc>
          <w:tcPr>
            <w:tcW w:w="1735" w:type="dxa"/>
            <w:gridSpan w:val="5"/>
            <w:tcBorders>
              <w:bottom w:val="single" w:sz="2" w:space="0" w:color="auto"/>
            </w:tcBorders>
            <w:tcMar>
              <w:top w:w="80" w:type="dxa"/>
              <w:left w:w="80" w:type="dxa"/>
              <w:bottom w:w="80" w:type="dxa"/>
              <w:right w:w="80" w:type="dxa"/>
            </w:tcMar>
          </w:tcPr>
          <w:p w14:paraId="66607A4C" w14:textId="6C38A2ED"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Borders>
              <w:bottom w:val="single" w:sz="2" w:space="0" w:color="auto"/>
            </w:tcBorders>
            <w:tcMar>
              <w:top w:w="80" w:type="dxa"/>
              <w:left w:w="80" w:type="dxa"/>
              <w:bottom w:w="80" w:type="dxa"/>
              <w:right w:w="80" w:type="dxa"/>
            </w:tcMar>
          </w:tcPr>
          <w:p w14:paraId="1E4095E5" w14:textId="514E1097"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6D667A" w:rsidRPr="002927A1" w14:paraId="18EDD249" w14:textId="77777777" w:rsidTr="00104A4B">
        <w:tblPrEx>
          <w:shd w:val="clear" w:color="auto" w:fill="auto"/>
        </w:tblPrEx>
        <w:trPr>
          <w:trHeight w:val="57"/>
          <w:jc w:val="right"/>
        </w:trPr>
        <w:tc>
          <w:tcPr>
            <w:tcW w:w="8307" w:type="dxa"/>
            <w:gridSpan w:val="19"/>
            <w:tcBorders>
              <w:top w:val="single" w:sz="2" w:space="0" w:color="auto"/>
              <w:bottom w:val="single" w:sz="4" w:space="0" w:color="000000" w:themeColor="text1"/>
            </w:tcBorders>
            <w:shd w:val="clear" w:color="auto" w:fill="auto"/>
            <w:tcMar>
              <w:top w:w="80" w:type="dxa"/>
              <w:left w:w="80" w:type="dxa"/>
              <w:bottom w:w="80" w:type="dxa"/>
              <w:right w:w="80" w:type="dxa"/>
            </w:tcMar>
          </w:tcPr>
          <w:p w14:paraId="11E1A7C4" w14:textId="0BA1466C" w:rsidR="006D667A" w:rsidRPr="002927A1" w:rsidRDefault="00E77018" w:rsidP="006D667A">
            <w:pPr>
              <w:pStyle w:val="Text"/>
              <w:tabs>
                <w:tab w:val="left" w:pos="1247"/>
                <w:tab w:val="left" w:pos="1814"/>
                <w:tab w:val="left" w:pos="1872"/>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lastRenderedPageBreak/>
              <w:t xml:space="preserve">Artículo </w:t>
            </w:r>
            <w:r w:rsidR="006D667A" w:rsidRPr="002927A1">
              <w:rPr>
                <w:rFonts w:ascii="Times New Roman" w:hAnsi="Times New Roman" w:cs="Times New Roman"/>
                <w:b/>
                <w:bCs/>
                <w:sz w:val="18"/>
                <w:szCs w:val="18"/>
                <w:lang w:val="es-ES_tradnl"/>
              </w:rPr>
              <w:t xml:space="preserve">9 </w:t>
            </w:r>
            <w:r w:rsidR="006D667A" w:rsidRPr="002927A1">
              <w:rPr>
                <w:rFonts w:ascii="Times New Roman" w:hAnsi="Times New Roman" w:cs="Times New Roman"/>
                <w:sz w:val="18"/>
                <w:szCs w:val="18"/>
                <w:lang w:val="es-ES_tradnl"/>
              </w:rPr>
              <w:t>(</w:t>
            </w:r>
            <w:r w:rsidR="00DF3B97" w:rsidRPr="002927A1">
              <w:rPr>
                <w:rFonts w:ascii="Times New Roman" w:hAnsi="Times New Roman" w:cs="Times New Roman"/>
                <w:sz w:val="18"/>
                <w:szCs w:val="18"/>
                <w:lang w:val="es-ES_tradnl"/>
              </w:rPr>
              <w:t>Los indicadores del artículo 9 deben leerse junto con los indicadores de vigilancia pertinentes en el cuadro 4)</w:t>
            </w:r>
            <w:r w:rsidR="008648D1" w:rsidRPr="002927A1">
              <w:rPr>
                <w:rFonts w:ascii="Times New Roman" w:hAnsi="Times New Roman" w:cs="Times New Roman"/>
                <w:sz w:val="18"/>
                <w:szCs w:val="18"/>
                <w:lang w:val="es-ES_tradnl"/>
              </w:rPr>
              <w:t>.</w:t>
            </w:r>
          </w:p>
        </w:tc>
      </w:tr>
      <w:tr w:rsidR="00DF3B97" w:rsidRPr="002927A1" w14:paraId="2FD858B7"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76A90A51" w14:textId="182C4326"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D7. Indicador de resultados en relación con el artículo 9</w:t>
            </w:r>
          </w:p>
        </w:tc>
        <w:tc>
          <w:tcPr>
            <w:tcW w:w="3095" w:type="dxa"/>
            <w:gridSpan w:val="2"/>
            <w:tcMar>
              <w:top w:w="80" w:type="dxa"/>
              <w:left w:w="80" w:type="dxa"/>
              <w:bottom w:w="80" w:type="dxa"/>
              <w:right w:w="80" w:type="dxa"/>
            </w:tcMar>
          </w:tcPr>
          <w:p w14:paraId="4DFDB06C" w14:textId="33D37F3A"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Cantidad total de las liberaciones de mercurio </w:t>
            </w:r>
            <w:r w:rsidR="00270A6E" w:rsidRPr="002927A1">
              <w:rPr>
                <w:rFonts w:ascii="Times New Roman" w:hAnsi="Times New Roman" w:cs="Times New Roman"/>
                <w:sz w:val="18"/>
                <w:szCs w:val="18"/>
                <w:lang w:val="es-ES_tradnl"/>
              </w:rPr>
              <w:t xml:space="preserve">recogida </w:t>
            </w:r>
            <w:r w:rsidRPr="002927A1">
              <w:rPr>
                <w:rFonts w:ascii="Times New Roman" w:hAnsi="Times New Roman" w:cs="Times New Roman"/>
                <w:sz w:val="18"/>
                <w:szCs w:val="18"/>
                <w:lang w:val="es-ES_tradnl"/>
              </w:rPr>
              <w:t xml:space="preserve">en el inventario de fuentes pertinentes </w:t>
            </w:r>
          </w:p>
        </w:tc>
        <w:tc>
          <w:tcPr>
            <w:tcW w:w="1735" w:type="dxa"/>
            <w:gridSpan w:val="5"/>
            <w:tcMar>
              <w:top w:w="80" w:type="dxa"/>
              <w:left w:w="80" w:type="dxa"/>
              <w:bottom w:w="80" w:type="dxa"/>
              <w:right w:w="80" w:type="dxa"/>
            </w:tcMar>
          </w:tcPr>
          <w:p w14:paraId="534F6E21" w14:textId="77777777" w:rsidR="00DF3B97" w:rsidRPr="002927A1" w:rsidRDefault="00DF3B97" w:rsidP="00DF3B97">
            <w:pPr>
              <w:pBdr>
                <w:top w:val="nil"/>
                <w:left w:val="nil"/>
                <w:bottom w:val="nil"/>
                <w:right w:val="nil"/>
                <w:between w:val="nil"/>
                <w:bar w:val="nil"/>
              </w:pBdr>
              <w:tabs>
                <w:tab w:val="left" w:pos="1163"/>
              </w:tabs>
              <w:rPr>
                <w:rStyle w:val="dn"/>
                <w:rFonts w:eastAsia="Roboto"/>
                <w:sz w:val="18"/>
                <w:szCs w:val="18"/>
              </w:rPr>
            </w:pPr>
            <w:r w:rsidRPr="002927A1">
              <w:rPr>
                <w:sz w:val="18"/>
                <w:szCs w:val="18"/>
              </w:rPr>
              <w:t>- Presentación de informes con arreglo al artículo 21</w:t>
            </w:r>
          </w:p>
          <w:p w14:paraId="1D44863B" w14:textId="2940D0D1"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Inventarios</w:t>
            </w:r>
          </w:p>
        </w:tc>
        <w:tc>
          <w:tcPr>
            <w:tcW w:w="1593" w:type="dxa"/>
            <w:gridSpan w:val="5"/>
            <w:tcMar>
              <w:top w:w="80" w:type="dxa"/>
              <w:left w:w="80" w:type="dxa"/>
              <w:bottom w:w="80" w:type="dxa"/>
              <w:right w:w="80" w:type="dxa"/>
            </w:tcMar>
          </w:tcPr>
          <w:p w14:paraId="68DE365C" w14:textId="72723B2A" w:rsidR="00DF3B97" w:rsidRPr="002927A1" w:rsidRDefault="00F61D30"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Pr>
                <w:rFonts w:ascii="Times New Roman" w:hAnsi="Times New Roman" w:cs="Times New Roman"/>
                <w:sz w:val="18"/>
                <w:szCs w:val="18"/>
                <w:lang w:val="es-ES_tradnl"/>
              </w:rPr>
              <w:t>Cantidad</w:t>
            </w:r>
            <w:r w:rsidR="00DF3B97" w:rsidRPr="002927A1">
              <w:rPr>
                <w:rFonts w:ascii="Times New Roman" w:hAnsi="Times New Roman" w:cs="Times New Roman"/>
                <w:sz w:val="18"/>
                <w:szCs w:val="18"/>
                <w:lang w:val="es-ES_tradnl"/>
              </w:rPr>
              <w:t xml:space="preserve"> en la primera evaluación</w:t>
            </w:r>
          </w:p>
        </w:tc>
      </w:tr>
      <w:tr w:rsidR="00DF3B97" w:rsidRPr="002927A1" w14:paraId="5C0F61BF"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19D03089" w14:textId="0E571A94"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D8. Indicador de procesos en relación con el artículo 9</w:t>
            </w:r>
          </w:p>
        </w:tc>
        <w:tc>
          <w:tcPr>
            <w:tcW w:w="3095" w:type="dxa"/>
            <w:gridSpan w:val="2"/>
            <w:tcMar>
              <w:top w:w="80" w:type="dxa"/>
              <w:left w:w="80" w:type="dxa"/>
              <w:bottom w:w="80" w:type="dxa"/>
              <w:right w:w="80" w:type="dxa"/>
            </w:tcMar>
          </w:tcPr>
          <w:p w14:paraId="62E2B941" w14:textId="1BFC6058"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detectado sitios contaminados</w:t>
            </w:r>
          </w:p>
        </w:tc>
        <w:tc>
          <w:tcPr>
            <w:tcW w:w="1735" w:type="dxa"/>
            <w:gridSpan w:val="5"/>
            <w:tcMar>
              <w:top w:w="80" w:type="dxa"/>
              <w:left w:w="80" w:type="dxa"/>
              <w:bottom w:w="80" w:type="dxa"/>
              <w:right w:w="80" w:type="dxa"/>
            </w:tcMar>
          </w:tcPr>
          <w:p w14:paraId="2EE9E960" w14:textId="39D10079"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5EAADDE4" w14:textId="3D43DB43"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54D87B3D"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5525C822" w14:textId="6DF6771E"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D9. Indicador de procesos en relación con el artículo 9</w:t>
            </w:r>
          </w:p>
        </w:tc>
        <w:tc>
          <w:tcPr>
            <w:tcW w:w="3095" w:type="dxa"/>
            <w:gridSpan w:val="2"/>
            <w:tcMar>
              <w:top w:w="80" w:type="dxa"/>
              <w:left w:w="80" w:type="dxa"/>
              <w:bottom w:w="80" w:type="dxa"/>
              <w:right w:w="80" w:type="dxa"/>
            </w:tcMar>
          </w:tcPr>
          <w:p w14:paraId="257BA1D6" w14:textId="078F9727" w:rsidR="00DF3B97" w:rsidRPr="002927A1" w:rsidRDefault="00DF3B97" w:rsidP="00270A6E">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Número de Partes que han </w:t>
            </w:r>
            <w:r w:rsidR="00270A6E" w:rsidRPr="002927A1">
              <w:rPr>
                <w:rFonts w:ascii="Times New Roman" w:hAnsi="Times New Roman" w:cs="Times New Roman"/>
                <w:sz w:val="18"/>
                <w:szCs w:val="18"/>
                <w:lang w:val="es-ES_tradnl"/>
              </w:rPr>
              <w:t>realizado -</w:t>
            </w:r>
            <w:r w:rsidRPr="002927A1">
              <w:rPr>
                <w:rFonts w:ascii="Times New Roman" w:hAnsi="Times New Roman" w:cs="Times New Roman"/>
                <w:sz w:val="18"/>
                <w:szCs w:val="18"/>
                <w:lang w:val="es-ES_tradnl"/>
              </w:rPr>
              <w:t>y mantenido</w:t>
            </w:r>
            <w:r w:rsidR="00270A6E" w:rsidRPr="002927A1">
              <w:rPr>
                <w:rFonts w:ascii="Times New Roman" w:hAnsi="Times New Roman" w:cs="Times New Roman"/>
                <w:sz w:val="18"/>
                <w:szCs w:val="18"/>
                <w:lang w:val="es-ES_tradnl"/>
              </w:rPr>
              <w:t>-</w:t>
            </w:r>
            <w:r w:rsidRPr="002927A1">
              <w:rPr>
                <w:rFonts w:ascii="Times New Roman" w:hAnsi="Times New Roman" w:cs="Times New Roman"/>
                <w:sz w:val="18"/>
                <w:szCs w:val="18"/>
                <w:lang w:val="es-ES_tradnl"/>
              </w:rPr>
              <w:t xml:space="preserve"> un inventario de liberaciones procedentes de fuentes importantes</w:t>
            </w:r>
          </w:p>
        </w:tc>
        <w:tc>
          <w:tcPr>
            <w:tcW w:w="1735" w:type="dxa"/>
            <w:gridSpan w:val="5"/>
            <w:tcMar>
              <w:top w:w="80" w:type="dxa"/>
              <w:left w:w="80" w:type="dxa"/>
              <w:bottom w:w="80" w:type="dxa"/>
              <w:right w:w="80" w:type="dxa"/>
            </w:tcMar>
          </w:tcPr>
          <w:p w14:paraId="12FC4E49" w14:textId="1508164E"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7453FB31" w14:textId="798780C1"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6D667A" w:rsidRPr="002927A1" w14:paraId="1731333B" w14:textId="77777777" w:rsidTr="00A85708">
        <w:tblPrEx>
          <w:shd w:val="clear" w:color="auto" w:fill="auto"/>
        </w:tblPrEx>
        <w:trPr>
          <w:trHeight w:val="57"/>
          <w:jc w:val="right"/>
        </w:trPr>
        <w:tc>
          <w:tcPr>
            <w:tcW w:w="1884" w:type="dxa"/>
            <w:gridSpan w:val="7"/>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FFCB77E" w14:textId="5D068C10" w:rsidR="006D667A" w:rsidRPr="002927A1" w:rsidRDefault="00E77018" w:rsidP="006D667A">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 xml:space="preserve">Artículo </w:t>
            </w:r>
            <w:r w:rsidR="006D667A" w:rsidRPr="002927A1">
              <w:rPr>
                <w:rFonts w:ascii="Times New Roman" w:hAnsi="Times New Roman" w:cs="Times New Roman"/>
                <w:b/>
                <w:bCs/>
                <w:sz w:val="18"/>
                <w:szCs w:val="18"/>
                <w:lang w:val="es-ES_tradnl"/>
              </w:rPr>
              <w:t>12</w:t>
            </w:r>
          </w:p>
        </w:tc>
        <w:tc>
          <w:tcPr>
            <w:tcW w:w="3095" w:type="dxa"/>
            <w:gridSpan w:val="2"/>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D181890" w14:textId="77777777" w:rsidR="006D667A" w:rsidRPr="002927A1" w:rsidRDefault="006D667A" w:rsidP="006D667A">
            <w:pPr>
              <w:rPr>
                <w:sz w:val="18"/>
                <w:szCs w:val="18"/>
              </w:rPr>
            </w:pPr>
          </w:p>
        </w:tc>
        <w:tc>
          <w:tcPr>
            <w:tcW w:w="1735" w:type="dxa"/>
            <w:gridSpan w:val="5"/>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0734A91" w14:textId="77777777" w:rsidR="006D667A" w:rsidRPr="002927A1" w:rsidRDefault="006D667A" w:rsidP="006D667A">
            <w:pPr>
              <w:rPr>
                <w:sz w:val="18"/>
                <w:szCs w:val="18"/>
              </w:rPr>
            </w:pPr>
          </w:p>
        </w:tc>
        <w:tc>
          <w:tcPr>
            <w:tcW w:w="1593" w:type="dxa"/>
            <w:gridSpan w:val="5"/>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200790F" w14:textId="77777777" w:rsidR="006D667A" w:rsidRPr="002927A1" w:rsidRDefault="006D667A" w:rsidP="006D667A">
            <w:pPr>
              <w:rPr>
                <w:sz w:val="18"/>
                <w:szCs w:val="18"/>
              </w:rPr>
            </w:pPr>
          </w:p>
        </w:tc>
      </w:tr>
      <w:tr w:rsidR="00DF3B97" w:rsidRPr="002927A1" w14:paraId="497F6063"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55871ECC" w14:textId="6B98D31D"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D10. Indicador de procesos en relación con el artículo 12</w:t>
            </w:r>
          </w:p>
        </w:tc>
        <w:tc>
          <w:tcPr>
            <w:tcW w:w="3095" w:type="dxa"/>
            <w:gridSpan w:val="2"/>
            <w:tcMar>
              <w:top w:w="80" w:type="dxa"/>
              <w:left w:w="80" w:type="dxa"/>
              <w:bottom w:w="80" w:type="dxa"/>
              <w:right w:w="80" w:type="dxa"/>
            </w:tcMar>
          </w:tcPr>
          <w:p w14:paraId="3BB55313" w14:textId="3D4B1E6D"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elaborado estrategias para detectar y evaluar sitios contaminados con mercurio o compuestos de mercurio</w:t>
            </w:r>
          </w:p>
        </w:tc>
        <w:tc>
          <w:tcPr>
            <w:tcW w:w="1735" w:type="dxa"/>
            <w:gridSpan w:val="5"/>
            <w:tcMar>
              <w:top w:w="80" w:type="dxa"/>
              <w:left w:w="80" w:type="dxa"/>
              <w:bottom w:w="80" w:type="dxa"/>
              <w:right w:w="80" w:type="dxa"/>
            </w:tcMar>
          </w:tcPr>
          <w:p w14:paraId="3640C703" w14:textId="427E8817"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6E1F8006" w14:textId="72EED4FF"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56C88474" w14:textId="77777777" w:rsidTr="00A85708">
        <w:tblPrEx>
          <w:shd w:val="clear" w:color="auto" w:fill="auto"/>
        </w:tblPrEx>
        <w:trPr>
          <w:trHeight w:val="57"/>
          <w:jc w:val="right"/>
        </w:trPr>
        <w:tc>
          <w:tcPr>
            <w:tcW w:w="1884" w:type="dxa"/>
            <w:gridSpan w:val="7"/>
            <w:tcMar>
              <w:top w:w="80" w:type="dxa"/>
              <w:left w:w="80" w:type="dxa"/>
              <w:bottom w:w="80" w:type="dxa"/>
              <w:right w:w="80" w:type="dxa"/>
            </w:tcMar>
          </w:tcPr>
          <w:p w14:paraId="36A199B2" w14:textId="5291FEC0"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D11. Indicador de procesos en relación con el artículo 12</w:t>
            </w:r>
          </w:p>
        </w:tc>
        <w:tc>
          <w:tcPr>
            <w:tcW w:w="3095" w:type="dxa"/>
            <w:gridSpan w:val="2"/>
            <w:tcMar>
              <w:top w:w="80" w:type="dxa"/>
              <w:left w:w="80" w:type="dxa"/>
              <w:bottom w:w="80" w:type="dxa"/>
              <w:right w:w="80" w:type="dxa"/>
            </w:tcMar>
          </w:tcPr>
          <w:p w14:paraId="7092126F" w14:textId="48A62523"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de Partes que han elaborado un inventario de los sitios contaminados</w:t>
            </w:r>
          </w:p>
        </w:tc>
        <w:tc>
          <w:tcPr>
            <w:tcW w:w="1735" w:type="dxa"/>
            <w:gridSpan w:val="5"/>
            <w:tcMar>
              <w:top w:w="80" w:type="dxa"/>
              <w:left w:w="80" w:type="dxa"/>
              <w:bottom w:w="80" w:type="dxa"/>
              <w:right w:w="80" w:type="dxa"/>
            </w:tcMar>
          </w:tcPr>
          <w:p w14:paraId="2EDA252F" w14:textId="6D904F32"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93" w:type="dxa"/>
            <w:gridSpan w:val="5"/>
            <w:tcMar>
              <w:top w:w="80" w:type="dxa"/>
              <w:left w:w="80" w:type="dxa"/>
              <w:bottom w:w="80" w:type="dxa"/>
              <w:right w:w="80" w:type="dxa"/>
            </w:tcMar>
          </w:tcPr>
          <w:p w14:paraId="01D15578" w14:textId="7E3AD0F5"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53BA04D2" w14:textId="77777777" w:rsidTr="00A85708">
        <w:tblPrEx>
          <w:shd w:val="clear" w:color="auto" w:fill="auto"/>
        </w:tblPrEx>
        <w:trPr>
          <w:trHeight w:val="57"/>
          <w:jc w:val="right"/>
        </w:trPr>
        <w:tc>
          <w:tcPr>
            <w:tcW w:w="1884" w:type="dxa"/>
            <w:gridSpan w:val="7"/>
            <w:tcBorders>
              <w:bottom w:val="single" w:sz="2" w:space="0" w:color="auto"/>
            </w:tcBorders>
            <w:shd w:val="clear" w:color="auto" w:fill="auto"/>
            <w:tcMar>
              <w:top w:w="80" w:type="dxa"/>
              <w:left w:w="80" w:type="dxa"/>
              <w:bottom w:w="80" w:type="dxa"/>
              <w:right w:w="80" w:type="dxa"/>
            </w:tcMar>
          </w:tcPr>
          <w:p w14:paraId="658E4842" w14:textId="152B2CA8"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423" w:type="dxa"/>
            <w:gridSpan w:val="12"/>
            <w:tcBorders>
              <w:bottom w:val="single" w:sz="2" w:space="0" w:color="auto"/>
            </w:tcBorders>
            <w:tcMar>
              <w:top w:w="80" w:type="dxa"/>
              <w:left w:w="80" w:type="dxa"/>
              <w:bottom w:w="80" w:type="dxa"/>
              <w:right w:w="80" w:type="dxa"/>
            </w:tcMar>
          </w:tcPr>
          <w:p w14:paraId="1E76EEF6" w14:textId="6A7E4DA5" w:rsidR="00DF3B97" w:rsidRPr="002927A1" w:rsidRDefault="00DF3B97" w:rsidP="00A524DB">
            <w:pPr>
              <w:pStyle w:val="Text"/>
              <w:numPr>
                <w:ilvl w:val="0"/>
                <w:numId w:val="30"/>
              </w:numPr>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Es posible que haya algunas deficiencias en los datos, ya que las Partes no están obligadas a compartir la información recopilada como parte de su inventario.</w:t>
            </w:r>
          </w:p>
        </w:tc>
      </w:tr>
      <w:tr w:rsidR="00DF3B97" w:rsidRPr="002927A1" w14:paraId="39A82834" w14:textId="77777777" w:rsidTr="00A85708">
        <w:tblPrEx>
          <w:shd w:val="clear" w:color="auto" w:fill="auto"/>
        </w:tblPrEx>
        <w:trPr>
          <w:trHeight w:val="57"/>
          <w:jc w:val="right"/>
        </w:trPr>
        <w:tc>
          <w:tcPr>
            <w:tcW w:w="4979" w:type="dxa"/>
            <w:gridSpan w:val="9"/>
            <w:tcBorders>
              <w:top w:val="single" w:sz="2" w:space="0" w:color="auto"/>
            </w:tcBorders>
            <w:shd w:val="clear" w:color="auto" w:fill="auto"/>
            <w:tcMar>
              <w:top w:w="80" w:type="dxa"/>
              <w:left w:w="80" w:type="dxa"/>
              <w:bottom w:w="80" w:type="dxa"/>
              <w:right w:w="80" w:type="dxa"/>
            </w:tcMar>
          </w:tcPr>
          <w:p w14:paraId="27FE1615" w14:textId="61E843D7" w:rsidR="00DF3B97" w:rsidRPr="002927A1" w:rsidRDefault="00DF3B97" w:rsidP="00DF3B97">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 xml:space="preserve">E: Grupo sobre apoyo </w:t>
            </w:r>
            <w:r w:rsidRPr="002927A1">
              <w:rPr>
                <w:rFonts w:ascii="Times New Roman" w:hAnsi="Times New Roman" w:cs="Times New Roman"/>
                <w:bCs/>
                <w:i/>
                <w:sz w:val="18"/>
                <w:szCs w:val="18"/>
                <w:lang w:val="es-ES_tradnl"/>
              </w:rPr>
              <w:br/>
              <w:t xml:space="preserve">Artículo 13 (recursos financieros y mecanismo financiero); artículo 14 (creación de capacidad, asistencia técnica y transferencia de tecnología) </w:t>
            </w:r>
          </w:p>
        </w:tc>
        <w:tc>
          <w:tcPr>
            <w:tcW w:w="1746" w:type="dxa"/>
            <w:gridSpan w:val="6"/>
            <w:tcBorders>
              <w:top w:val="single" w:sz="2" w:space="0" w:color="auto"/>
            </w:tcBorders>
            <w:shd w:val="clear" w:color="auto" w:fill="auto"/>
            <w:tcMar>
              <w:top w:w="80" w:type="dxa"/>
              <w:left w:w="80" w:type="dxa"/>
              <w:bottom w:w="80" w:type="dxa"/>
              <w:right w:w="80" w:type="dxa"/>
            </w:tcMar>
          </w:tcPr>
          <w:p w14:paraId="59A1DC80" w14:textId="00C47F45" w:rsidR="00DF3B97" w:rsidRPr="002927A1" w:rsidRDefault="00DF3B97" w:rsidP="00DF3B97">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 el indicador</w:t>
            </w:r>
          </w:p>
        </w:tc>
        <w:tc>
          <w:tcPr>
            <w:tcW w:w="1582" w:type="dxa"/>
            <w:gridSpan w:val="4"/>
            <w:tcBorders>
              <w:top w:val="single" w:sz="2" w:space="0" w:color="auto"/>
            </w:tcBorders>
            <w:shd w:val="clear" w:color="auto" w:fill="auto"/>
            <w:tcMar>
              <w:top w:w="80" w:type="dxa"/>
              <w:left w:w="80" w:type="dxa"/>
              <w:bottom w:w="80" w:type="dxa"/>
              <w:right w:w="80" w:type="dxa"/>
            </w:tcMar>
          </w:tcPr>
          <w:p w14:paraId="3194EF2C" w14:textId="4D3D45B1" w:rsidR="00DF3B97" w:rsidRPr="002927A1" w:rsidRDefault="00DF3B97" w:rsidP="00DF3B97">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 para el indicador</w:t>
            </w:r>
          </w:p>
        </w:tc>
      </w:tr>
      <w:tr w:rsidR="006D667A" w:rsidRPr="002927A1" w14:paraId="25F34262" w14:textId="77777777" w:rsidTr="00A85708">
        <w:tblPrEx>
          <w:shd w:val="clear" w:color="auto" w:fill="auto"/>
        </w:tblPrEx>
        <w:trPr>
          <w:trHeight w:val="57"/>
          <w:jc w:val="right"/>
        </w:trPr>
        <w:tc>
          <w:tcPr>
            <w:tcW w:w="1802" w:type="dxa"/>
            <w:gridSpan w:val="2"/>
            <w:tcBorders>
              <w:top w:val="single" w:sz="12" w:space="0" w:color="auto"/>
            </w:tcBorders>
            <w:shd w:val="clear" w:color="auto" w:fill="auto"/>
            <w:tcMar>
              <w:top w:w="80" w:type="dxa"/>
              <w:left w:w="80" w:type="dxa"/>
              <w:bottom w:w="80" w:type="dxa"/>
              <w:right w:w="80" w:type="dxa"/>
            </w:tcMar>
          </w:tcPr>
          <w:p w14:paraId="031B15BB" w14:textId="05D76F5D" w:rsidR="006D667A" w:rsidRPr="002927A1" w:rsidRDefault="00E77018" w:rsidP="00620F0B">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Artículo</w:t>
            </w:r>
            <w:r w:rsidR="006D667A" w:rsidRPr="002927A1">
              <w:rPr>
                <w:rFonts w:ascii="Times New Roman" w:hAnsi="Times New Roman" w:cs="Times New Roman"/>
                <w:b/>
                <w:bCs/>
                <w:sz w:val="18"/>
                <w:szCs w:val="18"/>
                <w:lang w:val="es-ES_tradnl"/>
              </w:rPr>
              <w:t xml:space="preserve"> 13</w:t>
            </w:r>
          </w:p>
        </w:tc>
        <w:tc>
          <w:tcPr>
            <w:tcW w:w="3177" w:type="dxa"/>
            <w:gridSpan w:val="7"/>
            <w:tcBorders>
              <w:top w:val="single" w:sz="12" w:space="0" w:color="auto"/>
            </w:tcBorders>
            <w:shd w:val="clear" w:color="auto" w:fill="auto"/>
            <w:tcMar>
              <w:top w:w="80" w:type="dxa"/>
              <w:left w:w="80" w:type="dxa"/>
              <w:bottom w:w="80" w:type="dxa"/>
              <w:right w:w="80" w:type="dxa"/>
            </w:tcMar>
          </w:tcPr>
          <w:p w14:paraId="411D5B4F" w14:textId="77777777" w:rsidR="006D667A" w:rsidRPr="002927A1" w:rsidRDefault="006D667A" w:rsidP="00620F0B">
            <w:pPr>
              <w:keepNext/>
              <w:keepLines/>
              <w:rPr>
                <w:sz w:val="18"/>
                <w:szCs w:val="18"/>
              </w:rPr>
            </w:pPr>
          </w:p>
        </w:tc>
        <w:tc>
          <w:tcPr>
            <w:tcW w:w="1746" w:type="dxa"/>
            <w:gridSpan w:val="6"/>
            <w:tcBorders>
              <w:top w:val="single" w:sz="12" w:space="0" w:color="auto"/>
            </w:tcBorders>
            <w:shd w:val="clear" w:color="auto" w:fill="auto"/>
            <w:tcMar>
              <w:top w:w="80" w:type="dxa"/>
              <w:left w:w="80" w:type="dxa"/>
              <w:bottom w:w="80" w:type="dxa"/>
              <w:right w:w="80" w:type="dxa"/>
            </w:tcMar>
          </w:tcPr>
          <w:p w14:paraId="1E44BE45" w14:textId="77777777" w:rsidR="006D667A" w:rsidRPr="002927A1" w:rsidRDefault="006D667A" w:rsidP="00620F0B">
            <w:pPr>
              <w:keepNext/>
              <w:keepLines/>
              <w:rPr>
                <w:sz w:val="18"/>
                <w:szCs w:val="18"/>
              </w:rPr>
            </w:pPr>
          </w:p>
        </w:tc>
        <w:tc>
          <w:tcPr>
            <w:tcW w:w="1582" w:type="dxa"/>
            <w:gridSpan w:val="4"/>
            <w:tcBorders>
              <w:top w:val="single" w:sz="12" w:space="0" w:color="auto"/>
            </w:tcBorders>
            <w:shd w:val="clear" w:color="auto" w:fill="auto"/>
            <w:tcMar>
              <w:top w:w="80" w:type="dxa"/>
              <w:left w:w="80" w:type="dxa"/>
              <w:bottom w:w="80" w:type="dxa"/>
              <w:right w:w="80" w:type="dxa"/>
            </w:tcMar>
          </w:tcPr>
          <w:p w14:paraId="4E441C01" w14:textId="77777777" w:rsidR="006D667A" w:rsidRPr="002927A1" w:rsidRDefault="006D667A" w:rsidP="00620F0B">
            <w:pPr>
              <w:keepNext/>
              <w:keepLines/>
              <w:rPr>
                <w:sz w:val="18"/>
                <w:szCs w:val="18"/>
              </w:rPr>
            </w:pPr>
          </w:p>
        </w:tc>
      </w:tr>
      <w:tr w:rsidR="00DF3B97" w:rsidRPr="002927A1" w14:paraId="4E24CFA3" w14:textId="77777777" w:rsidTr="00A85708">
        <w:tblPrEx>
          <w:shd w:val="clear" w:color="auto" w:fill="auto"/>
        </w:tblPrEx>
        <w:trPr>
          <w:trHeight w:val="57"/>
          <w:jc w:val="right"/>
        </w:trPr>
        <w:tc>
          <w:tcPr>
            <w:tcW w:w="1802" w:type="dxa"/>
            <w:gridSpan w:val="2"/>
            <w:tcMar>
              <w:top w:w="80" w:type="dxa"/>
              <w:left w:w="80" w:type="dxa"/>
              <w:bottom w:w="80" w:type="dxa"/>
              <w:right w:w="80" w:type="dxa"/>
            </w:tcMar>
          </w:tcPr>
          <w:p w14:paraId="00467249" w14:textId="48618A2D" w:rsidR="00DF3B97" w:rsidRPr="002927A1" w:rsidRDefault="00DF3B97" w:rsidP="00DF3B97">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E1. Indicador de procesos en relación con el artículo 13</w:t>
            </w:r>
          </w:p>
        </w:tc>
        <w:tc>
          <w:tcPr>
            <w:tcW w:w="3177" w:type="dxa"/>
            <w:gridSpan w:val="7"/>
            <w:tcMar>
              <w:top w:w="80" w:type="dxa"/>
              <w:left w:w="80" w:type="dxa"/>
              <w:bottom w:w="80" w:type="dxa"/>
              <w:right w:w="80" w:type="dxa"/>
            </w:tcMar>
          </w:tcPr>
          <w:p w14:paraId="2833A9DC" w14:textId="77777777" w:rsidR="00DF3B97" w:rsidRPr="002927A1" w:rsidRDefault="00DF3B97" w:rsidP="00DF3B97">
            <w:pPr>
              <w:pBdr>
                <w:top w:val="nil"/>
                <w:left w:val="nil"/>
                <w:bottom w:val="nil"/>
                <w:right w:val="nil"/>
                <w:between w:val="nil"/>
                <w:bar w:val="nil"/>
              </w:pBdr>
              <w:tabs>
                <w:tab w:val="left" w:pos="1163"/>
              </w:tabs>
              <w:rPr>
                <w:rStyle w:val="dn"/>
                <w:rFonts w:eastAsia="Roboto"/>
                <w:sz w:val="18"/>
                <w:szCs w:val="18"/>
              </w:rPr>
            </w:pPr>
            <w:r w:rsidRPr="002927A1">
              <w:rPr>
                <w:sz w:val="18"/>
                <w:szCs w:val="18"/>
              </w:rPr>
              <w:t xml:space="preserve">Número de Partes que han: </w:t>
            </w:r>
          </w:p>
          <w:p w14:paraId="6108290C" w14:textId="77777777" w:rsidR="00DF3B97" w:rsidRPr="002927A1" w:rsidRDefault="00DF3B97" w:rsidP="00A524DB">
            <w:pPr>
              <w:pStyle w:val="ListParagraph"/>
              <w:numPr>
                <w:ilvl w:val="0"/>
                <w:numId w:val="53"/>
              </w:numPr>
              <w:pBdr>
                <w:top w:val="nil"/>
                <w:left w:val="nil"/>
                <w:bottom w:val="nil"/>
                <w:right w:val="nil"/>
                <w:between w:val="nil"/>
                <w:bar w:val="nil"/>
              </w:pBdr>
              <w:tabs>
                <w:tab w:val="clear" w:pos="1814"/>
                <w:tab w:val="left" w:pos="1163"/>
                <w:tab w:val="left" w:pos="1815"/>
              </w:tabs>
              <w:ind w:left="283" w:hanging="170"/>
              <w:rPr>
                <w:rStyle w:val="dn"/>
                <w:rFonts w:eastAsia="Roboto"/>
                <w:sz w:val="18"/>
                <w:szCs w:val="18"/>
              </w:rPr>
            </w:pPr>
            <w:r w:rsidRPr="002927A1">
              <w:rPr>
                <w:sz w:val="18"/>
                <w:szCs w:val="18"/>
              </w:rPr>
              <w:t xml:space="preserve">Contribuido al mecanismo financiero a que se hace referencia en el artículo 13, párr. 5 </w:t>
            </w:r>
          </w:p>
          <w:p w14:paraId="111BA02E" w14:textId="77777777" w:rsidR="00DF3B97" w:rsidRPr="002927A1" w:rsidRDefault="00DF3B97" w:rsidP="00A524DB">
            <w:pPr>
              <w:pStyle w:val="ListParagraph"/>
              <w:numPr>
                <w:ilvl w:val="0"/>
                <w:numId w:val="53"/>
              </w:numPr>
              <w:pBdr>
                <w:top w:val="nil"/>
                <w:left w:val="nil"/>
                <w:bottom w:val="nil"/>
                <w:right w:val="nil"/>
                <w:between w:val="nil"/>
                <w:bar w:val="nil"/>
              </w:pBdr>
              <w:tabs>
                <w:tab w:val="clear" w:pos="1814"/>
                <w:tab w:val="left" w:pos="1163"/>
                <w:tab w:val="left" w:pos="1815"/>
              </w:tabs>
              <w:ind w:left="283" w:hanging="170"/>
              <w:rPr>
                <w:rStyle w:val="dn"/>
                <w:rFonts w:eastAsia="Roboto"/>
                <w:sz w:val="18"/>
                <w:szCs w:val="18"/>
              </w:rPr>
            </w:pPr>
            <w:r w:rsidRPr="002927A1">
              <w:rPr>
                <w:sz w:val="18"/>
                <w:szCs w:val="18"/>
              </w:rPr>
              <w:t>Recursos recibidos del Fondo para el Medio Ambiente Mundial</w:t>
            </w:r>
          </w:p>
          <w:p w14:paraId="6BDCD0FC" w14:textId="77777777" w:rsidR="00DF3B97" w:rsidRPr="002927A1" w:rsidRDefault="00DF3B97" w:rsidP="00A524DB">
            <w:pPr>
              <w:pStyle w:val="ListParagraph"/>
              <w:numPr>
                <w:ilvl w:val="0"/>
                <w:numId w:val="53"/>
              </w:numPr>
              <w:pBdr>
                <w:top w:val="nil"/>
                <w:left w:val="nil"/>
                <w:bottom w:val="nil"/>
                <w:right w:val="nil"/>
                <w:between w:val="nil"/>
                <w:bar w:val="nil"/>
              </w:pBdr>
              <w:tabs>
                <w:tab w:val="clear" w:pos="1814"/>
                <w:tab w:val="left" w:pos="1163"/>
                <w:tab w:val="left" w:pos="1815"/>
              </w:tabs>
              <w:ind w:left="283" w:hanging="170"/>
              <w:rPr>
                <w:rStyle w:val="dn"/>
                <w:rFonts w:eastAsia="Roboto"/>
                <w:sz w:val="18"/>
                <w:szCs w:val="18"/>
              </w:rPr>
            </w:pPr>
            <w:r w:rsidRPr="002927A1">
              <w:rPr>
                <w:sz w:val="18"/>
                <w:szCs w:val="18"/>
              </w:rPr>
              <w:t xml:space="preserve">Recursos recibidos del </w:t>
            </w:r>
            <w:r w:rsidRPr="002927A1">
              <w:rPr>
                <w:bCs/>
                <w:sz w:val="18"/>
                <w:szCs w:val="18"/>
              </w:rPr>
              <w:t>plan de implantación de la estrategia</w:t>
            </w:r>
          </w:p>
          <w:p w14:paraId="32E2F1D8" w14:textId="114A504E" w:rsidR="00DF3B97" w:rsidRPr="002927A1" w:rsidRDefault="00DF3B97" w:rsidP="00DF3B97">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Recursos nacionales movilizados para la aplicación del Convenio</w:t>
            </w:r>
            <w:r w:rsidRPr="002927A1">
              <w:rPr>
                <w:rFonts w:ascii="Times New Roman" w:hAnsi="Times New Roman" w:cs="Times New Roman"/>
                <w:sz w:val="18"/>
                <w:szCs w:val="18"/>
                <w:lang w:val="es-ES_tradnl"/>
              </w:rPr>
              <w:br/>
              <w:t>en el período sobre el que se informa</w:t>
            </w:r>
          </w:p>
        </w:tc>
        <w:tc>
          <w:tcPr>
            <w:tcW w:w="1746" w:type="dxa"/>
            <w:gridSpan w:val="6"/>
            <w:tcMar>
              <w:top w:w="80" w:type="dxa"/>
              <w:left w:w="80" w:type="dxa"/>
              <w:bottom w:w="80" w:type="dxa"/>
              <w:right w:w="80" w:type="dxa"/>
            </w:tcMar>
          </w:tcPr>
          <w:p w14:paraId="4764AC22" w14:textId="34A0E786" w:rsidR="00DF3B97" w:rsidRPr="002927A1" w:rsidRDefault="00DF3B97" w:rsidP="00DF3B97">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Presentación de informes con arreglo al artículo 21</w:t>
            </w:r>
          </w:p>
        </w:tc>
        <w:tc>
          <w:tcPr>
            <w:tcW w:w="1582" w:type="dxa"/>
            <w:gridSpan w:val="4"/>
            <w:tcMar>
              <w:top w:w="80" w:type="dxa"/>
              <w:left w:w="80" w:type="dxa"/>
              <w:bottom w:w="80" w:type="dxa"/>
              <w:right w:w="80" w:type="dxa"/>
            </w:tcMar>
          </w:tcPr>
          <w:p w14:paraId="7C2C64D2" w14:textId="501A8BAD" w:rsidR="00DF3B97" w:rsidRPr="002927A1" w:rsidRDefault="00DF3B97" w:rsidP="00DF3B97">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2ED65347" w14:textId="77777777" w:rsidTr="00A85708">
        <w:tblPrEx>
          <w:shd w:val="clear" w:color="auto" w:fill="auto"/>
        </w:tblPrEx>
        <w:trPr>
          <w:trHeight w:val="57"/>
          <w:jc w:val="right"/>
        </w:trPr>
        <w:tc>
          <w:tcPr>
            <w:tcW w:w="1802" w:type="dxa"/>
            <w:gridSpan w:val="2"/>
            <w:tcMar>
              <w:top w:w="80" w:type="dxa"/>
              <w:left w:w="80" w:type="dxa"/>
              <w:bottom w:w="80" w:type="dxa"/>
              <w:right w:w="80" w:type="dxa"/>
            </w:tcMar>
          </w:tcPr>
          <w:p w14:paraId="753E8A16" w14:textId="6D8CF1CB"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E2. Indicador de procesos en relación con el artículo 13</w:t>
            </w:r>
          </w:p>
        </w:tc>
        <w:tc>
          <w:tcPr>
            <w:tcW w:w="3177" w:type="dxa"/>
            <w:gridSpan w:val="7"/>
            <w:tcMar>
              <w:top w:w="80" w:type="dxa"/>
              <w:left w:w="80" w:type="dxa"/>
              <w:bottom w:w="80" w:type="dxa"/>
              <w:right w:w="80" w:type="dxa"/>
            </w:tcMar>
          </w:tcPr>
          <w:p w14:paraId="4C91D279" w14:textId="77777777" w:rsidR="00DF3B97" w:rsidRPr="002927A1" w:rsidRDefault="00DF3B97" w:rsidP="00DF3B97">
            <w:pPr>
              <w:pBdr>
                <w:top w:val="nil"/>
                <w:left w:val="nil"/>
                <w:bottom w:val="nil"/>
                <w:right w:val="nil"/>
                <w:between w:val="nil"/>
                <w:bar w:val="nil"/>
              </w:pBdr>
              <w:tabs>
                <w:tab w:val="left" w:pos="1163"/>
              </w:tabs>
              <w:rPr>
                <w:rStyle w:val="dn"/>
                <w:rFonts w:eastAsia="Roboto"/>
                <w:sz w:val="18"/>
                <w:szCs w:val="18"/>
              </w:rPr>
            </w:pPr>
            <w:r w:rsidRPr="002927A1">
              <w:rPr>
                <w:sz w:val="18"/>
                <w:szCs w:val="18"/>
              </w:rPr>
              <w:t xml:space="preserve">Cantidad de recursos facilitados por el: </w:t>
            </w:r>
          </w:p>
          <w:p w14:paraId="1144413B" w14:textId="77777777" w:rsidR="00DF3B97" w:rsidRPr="002927A1" w:rsidRDefault="00DF3B97" w:rsidP="00A524DB">
            <w:pPr>
              <w:pStyle w:val="ListParagraph"/>
              <w:numPr>
                <w:ilvl w:val="0"/>
                <w:numId w:val="54"/>
              </w:numPr>
              <w:pBdr>
                <w:top w:val="nil"/>
                <w:left w:val="nil"/>
                <w:bottom w:val="nil"/>
                <w:right w:val="nil"/>
                <w:between w:val="nil"/>
                <w:bar w:val="nil"/>
              </w:pBdr>
              <w:tabs>
                <w:tab w:val="clear" w:pos="1247"/>
                <w:tab w:val="left" w:pos="1163"/>
                <w:tab w:val="left" w:pos="1248"/>
              </w:tabs>
              <w:ind w:left="283" w:hanging="170"/>
              <w:rPr>
                <w:rStyle w:val="dn"/>
                <w:rFonts w:eastAsia="Roboto"/>
                <w:sz w:val="18"/>
                <w:szCs w:val="18"/>
              </w:rPr>
            </w:pPr>
            <w:r w:rsidRPr="002927A1">
              <w:rPr>
                <w:sz w:val="18"/>
                <w:szCs w:val="18"/>
              </w:rPr>
              <w:t>Fondo para el Medio Ambiente Mundial</w:t>
            </w:r>
          </w:p>
          <w:p w14:paraId="02871CAD" w14:textId="258B8E6B" w:rsidR="00DF3B97" w:rsidRPr="002927A1" w:rsidRDefault="00B33F64" w:rsidP="00A524DB">
            <w:pPr>
              <w:pStyle w:val="ListParagraph"/>
              <w:numPr>
                <w:ilvl w:val="0"/>
                <w:numId w:val="54"/>
              </w:numPr>
              <w:pBdr>
                <w:top w:val="nil"/>
                <w:left w:val="nil"/>
                <w:bottom w:val="nil"/>
                <w:right w:val="nil"/>
                <w:between w:val="nil"/>
                <w:bar w:val="nil"/>
              </w:pBdr>
              <w:tabs>
                <w:tab w:val="clear" w:pos="1247"/>
                <w:tab w:val="left" w:pos="1163"/>
                <w:tab w:val="left" w:pos="1248"/>
              </w:tabs>
              <w:ind w:left="283" w:hanging="170"/>
              <w:rPr>
                <w:rStyle w:val="dn"/>
                <w:rFonts w:eastAsia="Roboto"/>
                <w:sz w:val="18"/>
                <w:szCs w:val="18"/>
              </w:rPr>
            </w:pPr>
            <w:r w:rsidRPr="002927A1">
              <w:rPr>
                <w:bCs/>
                <w:sz w:val="18"/>
                <w:szCs w:val="18"/>
              </w:rPr>
              <w:t>Programa Internacional Específico</w:t>
            </w:r>
          </w:p>
          <w:p w14:paraId="1EA87EF7" w14:textId="1463BAB8" w:rsidR="00DF3B97" w:rsidRPr="002927A1" w:rsidRDefault="00DF3B97" w:rsidP="00A524DB">
            <w:pPr>
              <w:pStyle w:val="Text"/>
              <w:numPr>
                <w:ilvl w:val="0"/>
                <w:numId w:val="31"/>
              </w:numPr>
              <w:tabs>
                <w:tab w:val="clear" w:pos="1163"/>
                <w:tab w:val="clear" w:pos="1248"/>
                <w:tab w:val="clear" w:pos="1814"/>
                <w:tab w:val="clear" w:pos="2381"/>
                <w:tab w:val="clear" w:pos="2948"/>
                <w:tab w:val="clear"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Apoyo bilateral en el período que abarca el informe</w:t>
            </w:r>
          </w:p>
        </w:tc>
        <w:tc>
          <w:tcPr>
            <w:tcW w:w="1746" w:type="dxa"/>
            <w:gridSpan w:val="6"/>
            <w:tcMar>
              <w:top w:w="80" w:type="dxa"/>
              <w:left w:w="80" w:type="dxa"/>
              <w:bottom w:w="80" w:type="dxa"/>
              <w:right w:w="80" w:type="dxa"/>
            </w:tcMar>
          </w:tcPr>
          <w:p w14:paraId="5C5323BD" w14:textId="77777777" w:rsidR="00DF3B97" w:rsidRPr="002927A1" w:rsidRDefault="00DF3B97" w:rsidP="00DF3B97">
            <w:pPr>
              <w:pBdr>
                <w:top w:val="nil"/>
                <w:left w:val="nil"/>
                <w:bottom w:val="nil"/>
                <w:right w:val="nil"/>
                <w:between w:val="nil"/>
                <w:bar w:val="nil"/>
              </w:pBdr>
              <w:tabs>
                <w:tab w:val="left" w:pos="1163"/>
              </w:tabs>
              <w:rPr>
                <w:iCs/>
                <w:sz w:val="18"/>
                <w:szCs w:val="18"/>
              </w:rPr>
            </w:pPr>
            <w:r w:rsidRPr="002927A1">
              <w:rPr>
                <w:sz w:val="18"/>
                <w:szCs w:val="18"/>
              </w:rPr>
              <w:t>- Presentación de informes con arreglo al artículo 21</w:t>
            </w:r>
          </w:p>
          <w:p w14:paraId="5A09049C" w14:textId="7C8EE9DD"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Otras fuentes públicas</w:t>
            </w:r>
          </w:p>
        </w:tc>
        <w:tc>
          <w:tcPr>
            <w:tcW w:w="1582" w:type="dxa"/>
            <w:gridSpan w:val="4"/>
            <w:tcMar>
              <w:top w:w="80" w:type="dxa"/>
              <w:left w:w="80" w:type="dxa"/>
              <w:bottom w:w="80" w:type="dxa"/>
              <w:right w:w="80" w:type="dxa"/>
            </w:tcMar>
          </w:tcPr>
          <w:p w14:paraId="2702BB40" w14:textId="41E535BC" w:rsidR="00DF3B97" w:rsidRPr="002927A1" w:rsidRDefault="00F61D30"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Pr>
                <w:rFonts w:ascii="Times New Roman" w:hAnsi="Times New Roman" w:cs="Times New Roman"/>
                <w:sz w:val="18"/>
                <w:szCs w:val="18"/>
                <w:lang w:val="es-ES_tradnl"/>
              </w:rPr>
              <w:t>Cantidad</w:t>
            </w:r>
            <w:r w:rsidR="00DF3B97" w:rsidRPr="002927A1">
              <w:rPr>
                <w:rFonts w:ascii="Times New Roman" w:hAnsi="Times New Roman" w:cs="Times New Roman"/>
                <w:sz w:val="18"/>
                <w:szCs w:val="18"/>
                <w:lang w:val="es-ES_tradnl"/>
              </w:rPr>
              <w:t xml:space="preserve"> en la primera evaluación</w:t>
            </w:r>
          </w:p>
        </w:tc>
      </w:tr>
      <w:tr w:rsidR="00DF3B97" w:rsidRPr="002927A1" w14:paraId="4F43F114" w14:textId="77777777" w:rsidTr="00A85708">
        <w:tblPrEx>
          <w:shd w:val="clear" w:color="auto" w:fill="auto"/>
        </w:tblPrEx>
        <w:trPr>
          <w:trHeight w:val="57"/>
          <w:jc w:val="right"/>
        </w:trPr>
        <w:tc>
          <w:tcPr>
            <w:tcW w:w="1802" w:type="dxa"/>
            <w:gridSpan w:val="2"/>
            <w:tcBorders>
              <w:bottom w:val="single" w:sz="2" w:space="0" w:color="auto"/>
            </w:tcBorders>
            <w:tcMar>
              <w:top w:w="80" w:type="dxa"/>
              <w:left w:w="80" w:type="dxa"/>
              <w:bottom w:w="80" w:type="dxa"/>
              <w:right w:w="80" w:type="dxa"/>
            </w:tcMar>
          </w:tcPr>
          <w:p w14:paraId="6F459A24" w14:textId="2032769B" w:rsidR="00DF3B97" w:rsidRPr="002927A1" w:rsidRDefault="00DF3B97" w:rsidP="00DF3B97">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E3. Indicador adicional de procesos en relación con el artículo 13</w:t>
            </w:r>
          </w:p>
        </w:tc>
        <w:tc>
          <w:tcPr>
            <w:tcW w:w="3177" w:type="dxa"/>
            <w:gridSpan w:val="7"/>
            <w:tcBorders>
              <w:bottom w:val="single" w:sz="2" w:space="0" w:color="auto"/>
            </w:tcBorders>
            <w:tcMar>
              <w:top w:w="80" w:type="dxa"/>
              <w:left w:w="80" w:type="dxa"/>
              <w:bottom w:w="80" w:type="dxa"/>
              <w:right w:w="80" w:type="dxa"/>
            </w:tcMar>
          </w:tcPr>
          <w:p w14:paraId="5C373EA1" w14:textId="2FFCEDEC"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Número de recomendaciones del examen financiero reproducidas en los documentos normativos del Fondo para el Medio Ambiente Mundial y el </w:t>
            </w:r>
            <w:r w:rsidR="00B33F64" w:rsidRPr="002927A1">
              <w:rPr>
                <w:rFonts w:ascii="Times New Roman" w:hAnsi="Times New Roman" w:cs="Times New Roman"/>
                <w:sz w:val="18"/>
                <w:szCs w:val="18"/>
                <w:lang w:val="es-ES_tradnl"/>
              </w:rPr>
              <w:t>Programa Internacional Específico</w:t>
            </w:r>
          </w:p>
        </w:tc>
        <w:tc>
          <w:tcPr>
            <w:tcW w:w="1746" w:type="dxa"/>
            <w:gridSpan w:val="6"/>
            <w:tcBorders>
              <w:bottom w:val="single" w:sz="2" w:space="0" w:color="auto"/>
            </w:tcBorders>
            <w:tcMar>
              <w:top w:w="80" w:type="dxa"/>
              <w:left w:w="80" w:type="dxa"/>
              <w:bottom w:w="80" w:type="dxa"/>
              <w:right w:w="80" w:type="dxa"/>
            </w:tcMar>
          </w:tcPr>
          <w:p w14:paraId="4E6A8187" w14:textId="29C481C9"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Información procedente de los documentos normativos</w:t>
            </w:r>
          </w:p>
        </w:tc>
        <w:tc>
          <w:tcPr>
            <w:tcW w:w="1582" w:type="dxa"/>
            <w:gridSpan w:val="4"/>
            <w:tcBorders>
              <w:bottom w:val="single" w:sz="2" w:space="0" w:color="auto"/>
            </w:tcBorders>
            <w:tcMar>
              <w:top w:w="80" w:type="dxa"/>
              <w:left w:w="80" w:type="dxa"/>
              <w:bottom w:w="80" w:type="dxa"/>
              <w:right w:w="80" w:type="dxa"/>
            </w:tcMar>
          </w:tcPr>
          <w:p w14:paraId="66F7E61E" w14:textId="76DB5934"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Cero</w:t>
            </w:r>
          </w:p>
        </w:tc>
      </w:tr>
      <w:tr w:rsidR="006D667A" w:rsidRPr="002927A1" w14:paraId="638AB8D3" w14:textId="77777777" w:rsidTr="00A85708">
        <w:tblPrEx>
          <w:shd w:val="clear" w:color="auto" w:fill="auto"/>
        </w:tblPrEx>
        <w:trPr>
          <w:trHeight w:val="57"/>
          <w:jc w:val="right"/>
        </w:trPr>
        <w:tc>
          <w:tcPr>
            <w:tcW w:w="1802" w:type="dxa"/>
            <w:gridSpan w:val="2"/>
            <w:tcBorders>
              <w:top w:val="single" w:sz="2" w:space="0" w:color="auto"/>
              <w:bottom w:val="single" w:sz="4" w:space="0" w:color="000000" w:themeColor="text1"/>
            </w:tcBorders>
            <w:shd w:val="clear" w:color="auto" w:fill="auto"/>
            <w:tcMar>
              <w:top w:w="80" w:type="dxa"/>
              <w:left w:w="80" w:type="dxa"/>
              <w:bottom w:w="80" w:type="dxa"/>
              <w:right w:w="80" w:type="dxa"/>
            </w:tcMar>
          </w:tcPr>
          <w:p w14:paraId="7C84607B" w14:textId="7A9E98F3" w:rsidR="006D667A" w:rsidRPr="002927A1" w:rsidRDefault="00E77018" w:rsidP="00104A4B">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lastRenderedPageBreak/>
              <w:t>Artículo</w:t>
            </w:r>
            <w:r w:rsidR="006D667A" w:rsidRPr="002927A1">
              <w:rPr>
                <w:rFonts w:ascii="Times New Roman" w:hAnsi="Times New Roman" w:cs="Times New Roman"/>
                <w:b/>
                <w:bCs/>
                <w:sz w:val="18"/>
                <w:szCs w:val="18"/>
                <w:lang w:val="es-ES_tradnl"/>
              </w:rPr>
              <w:t xml:space="preserve"> 14</w:t>
            </w:r>
          </w:p>
        </w:tc>
        <w:tc>
          <w:tcPr>
            <w:tcW w:w="3177" w:type="dxa"/>
            <w:gridSpan w:val="7"/>
            <w:tcBorders>
              <w:top w:val="single" w:sz="2" w:space="0" w:color="auto"/>
              <w:bottom w:val="single" w:sz="4" w:space="0" w:color="000000" w:themeColor="text1"/>
            </w:tcBorders>
            <w:shd w:val="clear" w:color="auto" w:fill="auto"/>
            <w:tcMar>
              <w:top w:w="80" w:type="dxa"/>
              <w:left w:w="80" w:type="dxa"/>
              <w:bottom w:w="80" w:type="dxa"/>
              <w:right w:w="80" w:type="dxa"/>
            </w:tcMar>
          </w:tcPr>
          <w:p w14:paraId="7D76552D" w14:textId="77777777" w:rsidR="006D667A" w:rsidRPr="002927A1" w:rsidRDefault="006D667A" w:rsidP="00104A4B">
            <w:pPr>
              <w:keepNext/>
              <w:keepLines/>
              <w:rPr>
                <w:sz w:val="18"/>
                <w:szCs w:val="18"/>
              </w:rPr>
            </w:pPr>
          </w:p>
        </w:tc>
        <w:tc>
          <w:tcPr>
            <w:tcW w:w="1746" w:type="dxa"/>
            <w:gridSpan w:val="6"/>
            <w:tcBorders>
              <w:top w:val="single" w:sz="2" w:space="0" w:color="auto"/>
              <w:bottom w:val="single" w:sz="4" w:space="0" w:color="000000" w:themeColor="text1"/>
            </w:tcBorders>
            <w:shd w:val="clear" w:color="auto" w:fill="auto"/>
            <w:tcMar>
              <w:top w:w="80" w:type="dxa"/>
              <w:left w:w="80" w:type="dxa"/>
              <w:bottom w:w="80" w:type="dxa"/>
              <w:right w:w="80" w:type="dxa"/>
            </w:tcMar>
          </w:tcPr>
          <w:p w14:paraId="3FAEA159" w14:textId="77777777" w:rsidR="006D667A" w:rsidRPr="002927A1" w:rsidRDefault="006D667A" w:rsidP="00104A4B">
            <w:pPr>
              <w:keepNext/>
              <w:keepLines/>
              <w:rPr>
                <w:sz w:val="18"/>
                <w:szCs w:val="18"/>
              </w:rPr>
            </w:pPr>
          </w:p>
        </w:tc>
        <w:tc>
          <w:tcPr>
            <w:tcW w:w="1582" w:type="dxa"/>
            <w:gridSpan w:val="4"/>
            <w:tcBorders>
              <w:top w:val="single" w:sz="2" w:space="0" w:color="auto"/>
              <w:bottom w:val="single" w:sz="4" w:space="0" w:color="000000" w:themeColor="text1"/>
            </w:tcBorders>
            <w:shd w:val="clear" w:color="auto" w:fill="auto"/>
            <w:tcMar>
              <w:top w:w="80" w:type="dxa"/>
              <w:left w:w="80" w:type="dxa"/>
              <w:bottom w:w="80" w:type="dxa"/>
              <w:right w:w="80" w:type="dxa"/>
            </w:tcMar>
          </w:tcPr>
          <w:p w14:paraId="2970B2DE" w14:textId="77777777" w:rsidR="006D667A" w:rsidRPr="002927A1" w:rsidRDefault="006D667A" w:rsidP="00104A4B">
            <w:pPr>
              <w:keepNext/>
              <w:keepLines/>
              <w:rPr>
                <w:sz w:val="18"/>
                <w:szCs w:val="18"/>
              </w:rPr>
            </w:pPr>
          </w:p>
        </w:tc>
      </w:tr>
      <w:tr w:rsidR="00DF3B97" w:rsidRPr="002927A1" w14:paraId="4C3F42FA" w14:textId="77777777" w:rsidTr="00A85708">
        <w:tblPrEx>
          <w:shd w:val="clear" w:color="auto" w:fill="auto"/>
        </w:tblPrEx>
        <w:trPr>
          <w:trHeight w:val="57"/>
          <w:jc w:val="right"/>
        </w:trPr>
        <w:tc>
          <w:tcPr>
            <w:tcW w:w="1802" w:type="dxa"/>
            <w:gridSpan w:val="2"/>
            <w:tcMar>
              <w:top w:w="80" w:type="dxa"/>
              <w:left w:w="80" w:type="dxa"/>
              <w:bottom w:w="80" w:type="dxa"/>
              <w:right w:w="80" w:type="dxa"/>
            </w:tcMar>
          </w:tcPr>
          <w:p w14:paraId="5BE1701C" w14:textId="10A76A96" w:rsidR="00DF3B97" w:rsidRPr="002927A1" w:rsidRDefault="00DF3B97" w:rsidP="00104A4B">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E4. Indicador de procesos en relación con el artículo 14</w:t>
            </w:r>
          </w:p>
        </w:tc>
        <w:tc>
          <w:tcPr>
            <w:tcW w:w="3177" w:type="dxa"/>
            <w:gridSpan w:val="7"/>
            <w:tcMar>
              <w:top w:w="80" w:type="dxa"/>
              <w:left w:w="80" w:type="dxa"/>
              <w:bottom w:w="80" w:type="dxa"/>
              <w:right w:w="80" w:type="dxa"/>
            </w:tcMar>
          </w:tcPr>
          <w:p w14:paraId="712DBC58" w14:textId="77777777" w:rsidR="00DF3B97" w:rsidRPr="002927A1" w:rsidRDefault="00DF3B97" w:rsidP="00104A4B">
            <w:pPr>
              <w:keepNext/>
              <w:keepLines/>
              <w:pBdr>
                <w:top w:val="nil"/>
                <w:left w:val="nil"/>
                <w:bottom w:val="nil"/>
                <w:right w:val="nil"/>
                <w:between w:val="nil"/>
                <w:bar w:val="nil"/>
              </w:pBdr>
              <w:tabs>
                <w:tab w:val="left" w:pos="1163"/>
              </w:tabs>
              <w:rPr>
                <w:rStyle w:val="dn"/>
                <w:rFonts w:eastAsia="Roboto"/>
                <w:sz w:val="18"/>
                <w:szCs w:val="18"/>
              </w:rPr>
            </w:pPr>
            <w:r w:rsidRPr="002927A1">
              <w:rPr>
                <w:sz w:val="18"/>
                <w:szCs w:val="18"/>
              </w:rPr>
              <w:t>Número de Partes que han:</w:t>
            </w:r>
          </w:p>
          <w:p w14:paraId="029F6014" w14:textId="69449787" w:rsidR="00DF3B97" w:rsidRPr="002927A1" w:rsidRDefault="006E638B" w:rsidP="00104A4B">
            <w:pPr>
              <w:keepNext/>
              <w:keepLines/>
              <w:pBdr>
                <w:top w:val="nil"/>
                <w:left w:val="nil"/>
                <w:bottom w:val="nil"/>
                <w:right w:val="nil"/>
                <w:between w:val="nil"/>
                <w:bar w:val="nil"/>
              </w:pBdr>
              <w:tabs>
                <w:tab w:val="clear" w:pos="1247"/>
                <w:tab w:val="clear" w:pos="1814"/>
                <w:tab w:val="clear" w:pos="2381"/>
                <w:tab w:val="clear" w:pos="2948"/>
                <w:tab w:val="clear" w:pos="3515"/>
              </w:tabs>
              <w:ind w:left="227" w:hanging="227"/>
              <w:rPr>
                <w:rStyle w:val="dn"/>
                <w:rFonts w:eastAsia="Roboto"/>
                <w:sz w:val="18"/>
                <w:szCs w:val="18"/>
              </w:rPr>
            </w:pPr>
            <w:r w:rsidRPr="002927A1">
              <w:rPr>
                <w:sz w:val="18"/>
                <w:szCs w:val="18"/>
              </w:rPr>
              <w:t>1</w:t>
            </w:r>
            <w:r w:rsidR="003869FF" w:rsidRPr="002927A1">
              <w:rPr>
                <w:sz w:val="18"/>
                <w:szCs w:val="18"/>
              </w:rPr>
              <w:t>.</w:t>
            </w:r>
            <w:r w:rsidR="009C6FE7" w:rsidRPr="002927A1">
              <w:rPr>
                <w:sz w:val="18"/>
                <w:szCs w:val="18"/>
              </w:rPr>
              <w:tab/>
            </w:r>
            <w:r w:rsidR="00DF3B97" w:rsidRPr="002927A1">
              <w:rPr>
                <w:sz w:val="18"/>
                <w:szCs w:val="18"/>
              </w:rPr>
              <w:t>Cooperado prestando asistencia técnica y creando capacidad para otra Parte</w:t>
            </w:r>
          </w:p>
          <w:p w14:paraId="37359D3B" w14:textId="2E5DCDB6" w:rsidR="00DF3B97" w:rsidRPr="002927A1" w:rsidRDefault="006E638B" w:rsidP="00104A4B">
            <w:pPr>
              <w:keepNext/>
              <w:keepLines/>
              <w:pBdr>
                <w:top w:val="nil"/>
                <w:left w:val="nil"/>
                <w:bottom w:val="nil"/>
                <w:right w:val="nil"/>
                <w:between w:val="nil"/>
                <w:bar w:val="nil"/>
              </w:pBdr>
              <w:tabs>
                <w:tab w:val="clear" w:pos="1247"/>
                <w:tab w:val="clear" w:pos="1814"/>
                <w:tab w:val="clear" w:pos="2381"/>
                <w:tab w:val="clear" w:pos="2948"/>
                <w:tab w:val="clear" w:pos="3515"/>
              </w:tabs>
              <w:ind w:left="227" w:hanging="227"/>
              <w:rPr>
                <w:rStyle w:val="dn"/>
                <w:rFonts w:eastAsia="Roboto"/>
                <w:sz w:val="18"/>
                <w:szCs w:val="18"/>
              </w:rPr>
            </w:pPr>
            <w:r w:rsidRPr="002927A1">
              <w:rPr>
                <w:sz w:val="18"/>
                <w:szCs w:val="18"/>
              </w:rPr>
              <w:t>2.</w:t>
            </w:r>
            <w:r w:rsidR="008B3EED" w:rsidRPr="002927A1">
              <w:rPr>
                <w:sz w:val="18"/>
                <w:szCs w:val="18"/>
              </w:rPr>
              <w:tab/>
            </w:r>
            <w:r w:rsidRPr="002927A1">
              <w:rPr>
                <w:sz w:val="18"/>
                <w:szCs w:val="18"/>
              </w:rPr>
              <w:t>Solicitado asistencia técnica</w:t>
            </w:r>
          </w:p>
          <w:p w14:paraId="1EDDC298" w14:textId="16CBFBB5" w:rsidR="00DF3B97" w:rsidRPr="002927A1" w:rsidRDefault="006E638B" w:rsidP="00104A4B">
            <w:pPr>
              <w:keepNext/>
              <w:keepLines/>
              <w:pBdr>
                <w:top w:val="nil"/>
                <w:left w:val="nil"/>
                <w:bottom w:val="nil"/>
                <w:right w:val="nil"/>
                <w:between w:val="nil"/>
                <w:bar w:val="nil"/>
              </w:pBdr>
              <w:tabs>
                <w:tab w:val="clear" w:pos="1247"/>
                <w:tab w:val="clear" w:pos="1814"/>
                <w:tab w:val="clear" w:pos="2381"/>
                <w:tab w:val="clear" w:pos="2948"/>
                <w:tab w:val="clear" w:pos="3515"/>
              </w:tabs>
              <w:ind w:left="227" w:hanging="227"/>
              <w:rPr>
                <w:rStyle w:val="dn"/>
                <w:rFonts w:eastAsia="Roboto"/>
                <w:sz w:val="18"/>
                <w:szCs w:val="18"/>
              </w:rPr>
            </w:pPr>
            <w:r w:rsidRPr="002927A1">
              <w:rPr>
                <w:sz w:val="18"/>
                <w:szCs w:val="18"/>
              </w:rPr>
              <w:t>3.</w:t>
            </w:r>
            <w:r w:rsidR="008B3EED" w:rsidRPr="002927A1">
              <w:rPr>
                <w:sz w:val="18"/>
                <w:szCs w:val="18"/>
              </w:rPr>
              <w:tab/>
            </w:r>
            <w:r w:rsidRPr="002927A1">
              <w:rPr>
                <w:sz w:val="18"/>
                <w:szCs w:val="18"/>
              </w:rPr>
              <w:t>Recibido apoyo en materia de c</w:t>
            </w:r>
            <w:r w:rsidR="00DF3B97" w:rsidRPr="002927A1">
              <w:rPr>
                <w:sz w:val="18"/>
                <w:szCs w:val="18"/>
              </w:rPr>
              <w:t>reación de capacidad o asistencia técnica</w:t>
            </w:r>
          </w:p>
          <w:p w14:paraId="5E8CB60F" w14:textId="2B19C5F4" w:rsidR="00DF3B97" w:rsidRPr="002927A1" w:rsidRDefault="006E638B" w:rsidP="00104A4B">
            <w:pPr>
              <w:keepNext/>
              <w:keepLines/>
              <w:pBdr>
                <w:top w:val="nil"/>
                <w:left w:val="nil"/>
                <w:bottom w:val="nil"/>
                <w:right w:val="nil"/>
                <w:between w:val="nil"/>
                <w:bar w:val="nil"/>
              </w:pBdr>
              <w:tabs>
                <w:tab w:val="clear" w:pos="1247"/>
                <w:tab w:val="clear" w:pos="1814"/>
                <w:tab w:val="clear" w:pos="2381"/>
                <w:tab w:val="clear" w:pos="2948"/>
                <w:tab w:val="clear" w:pos="3515"/>
              </w:tabs>
              <w:ind w:left="227" w:hanging="227"/>
              <w:rPr>
                <w:sz w:val="18"/>
                <w:szCs w:val="18"/>
              </w:rPr>
            </w:pPr>
            <w:r w:rsidRPr="002927A1">
              <w:rPr>
                <w:sz w:val="18"/>
                <w:szCs w:val="18"/>
              </w:rPr>
              <w:t>4.</w:t>
            </w:r>
            <w:r w:rsidR="008B3EED" w:rsidRPr="002927A1">
              <w:rPr>
                <w:sz w:val="18"/>
                <w:szCs w:val="18"/>
              </w:rPr>
              <w:tab/>
            </w:r>
            <w:r w:rsidRPr="002927A1">
              <w:rPr>
                <w:sz w:val="18"/>
                <w:szCs w:val="18"/>
              </w:rPr>
              <w:t>Promovido o facilitado la t</w:t>
            </w:r>
            <w:r w:rsidR="00DF3B97" w:rsidRPr="002927A1">
              <w:rPr>
                <w:sz w:val="18"/>
                <w:szCs w:val="18"/>
              </w:rPr>
              <w:t xml:space="preserve">ransferencia de tecnología </w:t>
            </w:r>
          </w:p>
        </w:tc>
        <w:tc>
          <w:tcPr>
            <w:tcW w:w="1746" w:type="dxa"/>
            <w:gridSpan w:val="6"/>
            <w:tcMar>
              <w:top w:w="80" w:type="dxa"/>
              <w:left w:w="80" w:type="dxa"/>
              <w:bottom w:w="80" w:type="dxa"/>
              <w:right w:w="80" w:type="dxa"/>
            </w:tcMar>
          </w:tcPr>
          <w:p w14:paraId="264251E9" w14:textId="77777777" w:rsidR="00DF3B97" w:rsidRPr="002927A1" w:rsidRDefault="00DF3B97" w:rsidP="00104A4B">
            <w:pPr>
              <w:keepNext/>
              <w:keepLines/>
              <w:pBdr>
                <w:top w:val="nil"/>
                <w:left w:val="nil"/>
                <w:bottom w:val="nil"/>
                <w:right w:val="nil"/>
                <w:between w:val="nil"/>
                <w:bar w:val="nil"/>
              </w:pBdr>
              <w:tabs>
                <w:tab w:val="left" w:pos="1163"/>
              </w:tabs>
              <w:rPr>
                <w:iCs/>
                <w:sz w:val="18"/>
                <w:szCs w:val="18"/>
              </w:rPr>
            </w:pPr>
            <w:r w:rsidRPr="002927A1">
              <w:rPr>
                <w:sz w:val="18"/>
                <w:szCs w:val="18"/>
              </w:rPr>
              <w:t>- Presentación de informes con arreglo al artículo 21</w:t>
            </w:r>
          </w:p>
          <w:p w14:paraId="1ABA8EAA" w14:textId="594D1C34" w:rsidR="00DF3B97" w:rsidRPr="002927A1" w:rsidRDefault="00DF3B97" w:rsidP="00104A4B">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sz w:val="18"/>
                <w:szCs w:val="18"/>
                <w:lang w:val="es-ES_tradnl"/>
              </w:rPr>
              <w:t>- Otras fuentes públicas</w:t>
            </w:r>
          </w:p>
        </w:tc>
        <w:tc>
          <w:tcPr>
            <w:tcW w:w="1582" w:type="dxa"/>
            <w:gridSpan w:val="4"/>
            <w:tcMar>
              <w:top w:w="80" w:type="dxa"/>
              <w:left w:w="80" w:type="dxa"/>
              <w:bottom w:w="80" w:type="dxa"/>
              <w:right w:w="80" w:type="dxa"/>
            </w:tcMar>
          </w:tcPr>
          <w:p w14:paraId="01FFC543" w14:textId="725F7A48" w:rsidR="00DF3B97" w:rsidRPr="002927A1" w:rsidRDefault="00DF3B97" w:rsidP="00104A4B">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DF3B97" w:rsidRPr="002927A1" w14:paraId="5A85CE75" w14:textId="77777777" w:rsidTr="00A85708">
        <w:tblPrEx>
          <w:shd w:val="clear" w:color="auto" w:fill="auto"/>
        </w:tblPrEx>
        <w:trPr>
          <w:trHeight w:val="57"/>
          <w:jc w:val="right"/>
        </w:trPr>
        <w:tc>
          <w:tcPr>
            <w:tcW w:w="1802" w:type="dxa"/>
            <w:gridSpan w:val="2"/>
            <w:tcBorders>
              <w:bottom w:val="single" w:sz="2" w:space="0" w:color="auto"/>
            </w:tcBorders>
            <w:shd w:val="clear" w:color="auto" w:fill="auto"/>
            <w:tcMar>
              <w:top w:w="80" w:type="dxa"/>
              <w:left w:w="80" w:type="dxa"/>
              <w:bottom w:w="80" w:type="dxa"/>
              <w:right w:w="80" w:type="dxa"/>
            </w:tcMar>
          </w:tcPr>
          <w:p w14:paraId="31F94E09" w14:textId="4A568C15"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505" w:type="dxa"/>
            <w:gridSpan w:val="17"/>
            <w:tcBorders>
              <w:bottom w:val="single" w:sz="2" w:space="0" w:color="auto"/>
            </w:tcBorders>
            <w:tcMar>
              <w:top w:w="80" w:type="dxa"/>
              <w:left w:w="80" w:type="dxa"/>
              <w:bottom w:w="80" w:type="dxa"/>
              <w:right w:w="80" w:type="dxa"/>
            </w:tcMar>
          </w:tcPr>
          <w:p w14:paraId="088B2B96" w14:textId="77777777" w:rsidR="00DF3B97" w:rsidRPr="002927A1" w:rsidRDefault="00DF3B97" w:rsidP="00A524DB">
            <w:pPr>
              <w:pStyle w:val="ListParagraph"/>
              <w:numPr>
                <w:ilvl w:val="0"/>
                <w:numId w:val="55"/>
              </w:numPr>
              <w:pBdr>
                <w:top w:val="nil"/>
                <w:left w:val="nil"/>
                <w:bottom w:val="nil"/>
                <w:right w:val="nil"/>
                <w:between w:val="nil"/>
                <w:bar w:val="nil"/>
              </w:pBdr>
              <w:tabs>
                <w:tab w:val="left" w:pos="1872"/>
              </w:tabs>
              <w:rPr>
                <w:sz w:val="18"/>
                <w:szCs w:val="18"/>
              </w:rPr>
            </w:pPr>
            <w:r w:rsidRPr="002927A1">
              <w:rPr>
                <w:sz w:val="18"/>
                <w:szCs w:val="18"/>
              </w:rPr>
              <w:t xml:space="preserve">El ciclo de examen del mecanismo financiero bien puede no coincidir con el ciclo de evaluación de la eficacia. </w:t>
            </w:r>
          </w:p>
          <w:p w14:paraId="059905F2" w14:textId="5E13D210" w:rsidR="00DF3B97" w:rsidRPr="002927A1" w:rsidRDefault="00DF3B97" w:rsidP="00A524DB">
            <w:pPr>
              <w:pStyle w:val="ListParagraph"/>
              <w:numPr>
                <w:ilvl w:val="0"/>
                <w:numId w:val="55"/>
              </w:numPr>
              <w:pBdr>
                <w:top w:val="nil"/>
                <w:left w:val="nil"/>
                <w:bottom w:val="nil"/>
                <w:right w:val="nil"/>
                <w:between w:val="nil"/>
                <w:bar w:val="nil"/>
              </w:pBdr>
              <w:tabs>
                <w:tab w:val="left" w:pos="1872"/>
              </w:tabs>
              <w:rPr>
                <w:sz w:val="18"/>
                <w:szCs w:val="18"/>
              </w:rPr>
            </w:pPr>
            <w:r w:rsidRPr="002927A1">
              <w:rPr>
                <w:sz w:val="18"/>
                <w:szCs w:val="18"/>
              </w:rPr>
              <w:t xml:space="preserve">Como el formato de presentación de informes no solicita valores en dólares para los recursos proporcionados, tal vez haya que consultar a otras fuentes públicas. </w:t>
            </w:r>
          </w:p>
        </w:tc>
      </w:tr>
      <w:tr w:rsidR="00DF3B97" w:rsidRPr="002927A1" w14:paraId="7339A685" w14:textId="77777777" w:rsidTr="00A85708">
        <w:tblPrEx>
          <w:shd w:val="clear" w:color="auto" w:fill="auto"/>
        </w:tblPrEx>
        <w:trPr>
          <w:trHeight w:val="57"/>
          <w:jc w:val="right"/>
        </w:trPr>
        <w:tc>
          <w:tcPr>
            <w:tcW w:w="4964" w:type="dxa"/>
            <w:gridSpan w:val="8"/>
            <w:tcBorders>
              <w:top w:val="single" w:sz="2" w:space="0" w:color="auto"/>
              <w:bottom w:val="single" w:sz="12" w:space="0" w:color="000000" w:themeColor="text1"/>
            </w:tcBorders>
            <w:shd w:val="clear" w:color="auto" w:fill="auto"/>
            <w:tcMar>
              <w:top w:w="80" w:type="dxa"/>
              <w:left w:w="80" w:type="dxa"/>
              <w:bottom w:w="80" w:type="dxa"/>
              <w:right w:w="80" w:type="dxa"/>
            </w:tcMar>
          </w:tcPr>
          <w:p w14:paraId="04E9A5FB" w14:textId="57C8E5B2" w:rsidR="00DF3B97" w:rsidRPr="002927A1" w:rsidRDefault="00DF3B97" w:rsidP="00DF3B97">
            <w:pPr>
              <w:pStyle w:val="Text"/>
              <w:tabs>
                <w:tab w:val="left" w:pos="1247"/>
                <w:tab w:val="left" w:pos="1814"/>
                <w:tab w:val="left" w:pos="2381"/>
                <w:tab w:val="left" w:pos="2948"/>
                <w:tab w:val="left" w:pos="3515"/>
              </w:tabs>
              <w:rPr>
                <w:rFonts w:ascii="Times New Roman" w:hAnsi="Times New Roman" w:cs="Times New Roman"/>
                <w:i/>
                <w:lang w:val="es-ES_tradnl"/>
              </w:rPr>
            </w:pPr>
            <w:r w:rsidRPr="002927A1">
              <w:rPr>
                <w:rFonts w:ascii="Times New Roman" w:hAnsi="Times New Roman" w:cs="Times New Roman"/>
                <w:bCs/>
                <w:i/>
                <w:sz w:val="18"/>
                <w:szCs w:val="18"/>
                <w:lang w:val="es-ES_tradnl"/>
              </w:rPr>
              <w:t>F: Artículo 15 (Comité de Aplicación y Cumplimiento)</w:t>
            </w:r>
          </w:p>
        </w:tc>
        <w:tc>
          <w:tcPr>
            <w:tcW w:w="1750" w:type="dxa"/>
            <w:gridSpan w:val="6"/>
            <w:tcBorders>
              <w:top w:val="single" w:sz="2" w:space="0" w:color="auto"/>
              <w:bottom w:val="single" w:sz="12" w:space="0" w:color="000000" w:themeColor="text1"/>
            </w:tcBorders>
            <w:shd w:val="clear" w:color="auto" w:fill="auto"/>
            <w:tcMar>
              <w:top w:w="80" w:type="dxa"/>
              <w:left w:w="80" w:type="dxa"/>
              <w:bottom w:w="80" w:type="dxa"/>
              <w:right w:w="80" w:type="dxa"/>
            </w:tcMar>
          </w:tcPr>
          <w:p w14:paraId="1291493B" w14:textId="70B66FD1"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bCs/>
                <w:i/>
                <w:sz w:val="18"/>
                <w:szCs w:val="18"/>
                <w:lang w:val="es-ES_tradnl"/>
              </w:rPr>
              <w:t>Fuente de información sobre el indicador</w:t>
            </w:r>
          </w:p>
        </w:tc>
        <w:tc>
          <w:tcPr>
            <w:tcW w:w="1593" w:type="dxa"/>
            <w:gridSpan w:val="5"/>
            <w:tcBorders>
              <w:top w:val="single" w:sz="2" w:space="0" w:color="auto"/>
              <w:bottom w:val="single" w:sz="12" w:space="0" w:color="000000" w:themeColor="text1"/>
            </w:tcBorders>
            <w:shd w:val="clear" w:color="auto" w:fill="auto"/>
            <w:tcMar>
              <w:top w:w="80" w:type="dxa"/>
              <w:left w:w="80" w:type="dxa"/>
              <w:bottom w:w="80" w:type="dxa"/>
              <w:right w:w="80" w:type="dxa"/>
            </w:tcMar>
          </w:tcPr>
          <w:p w14:paraId="6AB31501" w14:textId="0A57850D" w:rsidR="00DF3B97" w:rsidRPr="002927A1" w:rsidRDefault="00DF3B97" w:rsidP="00DF3B97">
            <w:pPr>
              <w:pStyle w:val="Text"/>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bCs/>
                <w:i/>
                <w:sz w:val="18"/>
                <w:szCs w:val="18"/>
                <w:lang w:val="es-ES_tradnl"/>
              </w:rPr>
              <w:t>Parámetro de referencia del indicador</w:t>
            </w:r>
          </w:p>
        </w:tc>
      </w:tr>
      <w:tr w:rsidR="00B52292" w:rsidRPr="002927A1" w14:paraId="391940B5" w14:textId="77777777" w:rsidTr="00A85708">
        <w:tblPrEx>
          <w:shd w:val="clear" w:color="auto" w:fill="auto"/>
        </w:tblPrEx>
        <w:trPr>
          <w:trHeight w:val="57"/>
          <w:jc w:val="right"/>
        </w:trPr>
        <w:tc>
          <w:tcPr>
            <w:tcW w:w="1764" w:type="dxa"/>
            <w:tcMar>
              <w:top w:w="80" w:type="dxa"/>
              <w:left w:w="80" w:type="dxa"/>
              <w:bottom w:w="80" w:type="dxa"/>
              <w:right w:w="80" w:type="dxa"/>
            </w:tcMar>
          </w:tcPr>
          <w:p w14:paraId="05B63062" w14:textId="4402F766" w:rsidR="00B52292" w:rsidRPr="002927A1" w:rsidRDefault="00B52292" w:rsidP="00B52292">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F1. Indicador de procesos</w:t>
            </w:r>
          </w:p>
        </w:tc>
        <w:tc>
          <w:tcPr>
            <w:tcW w:w="3200" w:type="dxa"/>
            <w:gridSpan w:val="7"/>
            <w:tcMar>
              <w:top w:w="80" w:type="dxa"/>
              <w:left w:w="80" w:type="dxa"/>
              <w:bottom w:w="80" w:type="dxa"/>
              <w:right w:w="80" w:type="dxa"/>
            </w:tcMar>
          </w:tcPr>
          <w:p w14:paraId="396AE104" w14:textId="01B7E524" w:rsidR="00B52292" w:rsidRPr="002927A1" w:rsidRDefault="00B52292" w:rsidP="00B52292">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Porcentaje de cuestiones que el Comité de Aplicación y Cumplimiento pudo resolver, en particular indicios de problemas sistémicos, de haberlos habido</w:t>
            </w:r>
          </w:p>
        </w:tc>
        <w:tc>
          <w:tcPr>
            <w:tcW w:w="1750" w:type="dxa"/>
            <w:gridSpan w:val="6"/>
            <w:tcMar>
              <w:top w:w="80" w:type="dxa"/>
              <w:left w:w="80" w:type="dxa"/>
              <w:bottom w:w="80" w:type="dxa"/>
              <w:right w:w="80" w:type="dxa"/>
            </w:tcMar>
          </w:tcPr>
          <w:p w14:paraId="54471FE2" w14:textId="1B08C39F" w:rsidR="00B52292" w:rsidRPr="002927A1" w:rsidRDefault="00B52292" w:rsidP="00B52292">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 Informe del Comité de Aplicación y Cumplimiento, a que se hace referencia en el artículo 21</w:t>
            </w:r>
          </w:p>
        </w:tc>
        <w:tc>
          <w:tcPr>
            <w:tcW w:w="1593" w:type="dxa"/>
            <w:gridSpan w:val="5"/>
            <w:tcMar>
              <w:top w:w="80" w:type="dxa"/>
              <w:left w:w="80" w:type="dxa"/>
              <w:bottom w:w="80" w:type="dxa"/>
              <w:right w:w="80" w:type="dxa"/>
            </w:tcMar>
          </w:tcPr>
          <w:p w14:paraId="479EFB3D" w14:textId="69B5FF65" w:rsidR="00B52292" w:rsidRPr="002927A1" w:rsidRDefault="00F61D30" w:rsidP="00B52292">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Pr>
                <w:rFonts w:ascii="Times New Roman" w:hAnsi="Times New Roman" w:cs="Times New Roman"/>
                <w:sz w:val="18"/>
                <w:szCs w:val="18"/>
                <w:lang w:val="es-ES_tradnl"/>
              </w:rPr>
              <w:t>Porcentaje</w:t>
            </w:r>
            <w:r w:rsidR="00B52292" w:rsidRPr="002927A1">
              <w:rPr>
                <w:rFonts w:ascii="Times New Roman" w:hAnsi="Times New Roman" w:cs="Times New Roman"/>
                <w:sz w:val="18"/>
                <w:szCs w:val="18"/>
                <w:lang w:val="es-ES_tradnl"/>
              </w:rPr>
              <w:t xml:space="preserve"> en la primera evaluación</w:t>
            </w:r>
          </w:p>
        </w:tc>
      </w:tr>
      <w:tr w:rsidR="00B52292" w:rsidRPr="002927A1" w14:paraId="193981EE" w14:textId="77777777" w:rsidTr="00A85708">
        <w:tblPrEx>
          <w:shd w:val="clear" w:color="auto" w:fill="auto"/>
        </w:tblPrEx>
        <w:trPr>
          <w:trHeight w:val="57"/>
          <w:jc w:val="right"/>
        </w:trPr>
        <w:tc>
          <w:tcPr>
            <w:tcW w:w="1764" w:type="dxa"/>
            <w:tcBorders>
              <w:bottom w:val="single" w:sz="2" w:space="0" w:color="auto"/>
            </w:tcBorders>
            <w:shd w:val="clear" w:color="auto" w:fill="auto"/>
            <w:tcMar>
              <w:top w:w="80" w:type="dxa"/>
              <w:left w:w="80" w:type="dxa"/>
              <w:bottom w:w="80" w:type="dxa"/>
              <w:right w:w="80" w:type="dxa"/>
            </w:tcMar>
          </w:tcPr>
          <w:p w14:paraId="18D428A9" w14:textId="77DA2DB7" w:rsidR="00B52292" w:rsidRPr="002927A1" w:rsidRDefault="00B52292" w:rsidP="00B52292">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b/>
                <w:bCs/>
                <w:sz w:val="18"/>
                <w:szCs w:val="18"/>
                <w:lang w:val="es-ES_tradnl"/>
              </w:rPr>
              <w:t>Notas</w:t>
            </w:r>
          </w:p>
        </w:tc>
        <w:tc>
          <w:tcPr>
            <w:tcW w:w="6543" w:type="dxa"/>
            <w:gridSpan w:val="18"/>
            <w:tcBorders>
              <w:bottom w:val="single" w:sz="2" w:space="0" w:color="auto"/>
            </w:tcBorders>
            <w:tcMar>
              <w:top w:w="80" w:type="dxa"/>
              <w:left w:w="80" w:type="dxa"/>
              <w:bottom w:w="80" w:type="dxa"/>
              <w:right w:w="80" w:type="dxa"/>
            </w:tcMar>
          </w:tcPr>
          <w:p w14:paraId="1E28AB1F" w14:textId="374274E5" w:rsidR="00B52292" w:rsidRPr="002927A1" w:rsidRDefault="00B52292" w:rsidP="00A524DB">
            <w:pPr>
              <w:pStyle w:val="Text"/>
              <w:numPr>
                <w:ilvl w:val="0"/>
                <w:numId w:val="32"/>
              </w:numPr>
              <w:spacing w:after="0" w:line="240" w:lineRule="auto"/>
              <w:rPr>
                <w:rFonts w:ascii="Times New Roman" w:hAnsi="Times New Roman" w:cs="Times New Roman"/>
                <w:spacing w:val="-2"/>
                <w:sz w:val="18"/>
                <w:szCs w:val="18"/>
                <w:lang w:val="es-ES_tradnl"/>
              </w:rPr>
            </w:pPr>
            <w:r w:rsidRPr="002927A1">
              <w:rPr>
                <w:rFonts w:ascii="Times New Roman" w:hAnsi="Times New Roman" w:cs="Times New Roman"/>
                <w:sz w:val="18"/>
                <w:szCs w:val="18"/>
                <w:lang w:val="es-ES_tradnl"/>
              </w:rPr>
              <w:t>La Conferencia de las Partes deberá examinar el mandato del Comité de Aplicación y Cumplimiento en su tercera reunión.</w:t>
            </w:r>
          </w:p>
        </w:tc>
      </w:tr>
      <w:tr w:rsidR="00162426" w:rsidRPr="002927A1" w14:paraId="2B73F032" w14:textId="77777777" w:rsidTr="00A85708">
        <w:tblPrEx>
          <w:shd w:val="clear" w:color="auto" w:fill="auto"/>
        </w:tblPrEx>
        <w:trPr>
          <w:trHeight w:val="57"/>
          <w:jc w:val="right"/>
        </w:trPr>
        <w:tc>
          <w:tcPr>
            <w:tcW w:w="4995" w:type="dxa"/>
            <w:gridSpan w:val="10"/>
            <w:tcBorders>
              <w:bottom w:val="single" w:sz="12" w:space="0" w:color="auto"/>
            </w:tcBorders>
            <w:shd w:val="clear" w:color="auto" w:fill="auto"/>
            <w:tcMar>
              <w:top w:w="80" w:type="dxa"/>
              <w:left w:w="80" w:type="dxa"/>
              <w:bottom w:w="80" w:type="dxa"/>
              <w:right w:w="80" w:type="dxa"/>
            </w:tcMar>
          </w:tcPr>
          <w:p w14:paraId="2F8864A1" w14:textId="77777777" w:rsidR="00162426" w:rsidRPr="002927A1" w:rsidRDefault="00162426" w:rsidP="00162426">
            <w:pPr>
              <w:rPr>
                <w:rStyle w:val="dn"/>
                <w:rFonts w:eastAsia="Roboto"/>
                <w:i/>
                <w:sz w:val="18"/>
                <w:szCs w:val="18"/>
              </w:rPr>
            </w:pPr>
            <w:r w:rsidRPr="002927A1">
              <w:rPr>
                <w:bCs/>
                <w:i/>
                <w:sz w:val="18"/>
                <w:szCs w:val="18"/>
              </w:rPr>
              <w:t>G: Artículo 16 (aspectos relacionados con la salud)</w:t>
            </w:r>
            <w:r w:rsidRPr="002927A1">
              <w:rPr>
                <w:i/>
                <w:sz w:val="18"/>
                <w:szCs w:val="18"/>
              </w:rPr>
              <w:t xml:space="preserve"> </w:t>
            </w:r>
          </w:p>
          <w:p w14:paraId="6AFE852E" w14:textId="1E893C6C"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i/>
                <w:sz w:val="18"/>
                <w:szCs w:val="18"/>
                <w:lang w:val="es-ES_tradnl"/>
              </w:rPr>
              <w:t>(El indicador relacionado con el artículo 16 debe leerse junto con el indicador de vigilancia correspondiente señalado en el cuadro 4).</w:t>
            </w:r>
          </w:p>
        </w:tc>
        <w:tc>
          <w:tcPr>
            <w:tcW w:w="1719" w:type="dxa"/>
            <w:gridSpan w:val="4"/>
            <w:tcBorders>
              <w:bottom w:val="single" w:sz="12" w:space="0" w:color="auto"/>
            </w:tcBorders>
            <w:shd w:val="clear" w:color="auto" w:fill="auto"/>
            <w:tcMar>
              <w:top w:w="80" w:type="dxa"/>
              <w:left w:w="80" w:type="dxa"/>
              <w:bottom w:w="80" w:type="dxa"/>
              <w:right w:w="80" w:type="dxa"/>
            </w:tcMar>
          </w:tcPr>
          <w:p w14:paraId="41482641" w14:textId="4F6634F5"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bCs/>
                <w:i/>
                <w:sz w:val="18"/>
                <w:szCs w:val="18"/>
                <w:lang w:val="es-ES_tradnl"/>
              </w:rPr>
              <w:t>Fuente de información sobre el indicador</w:t>
            </w:r>
          </w:p>
        </w:tc>
        <w:tc>
          <w:tcPr>
            <w:tcW w:w="1593" w:type="dxa"/>
            <w:gridSpan w:val="5"/>
            <w:tcBorders>
              <w:bottom w:val="single" w:sz="12" w:space="0" w:color="auto"/>
            </w:tcBorders>
            <w:shd w:val="clear" w:color="auto" w:fill="auto"/>
            <w:tcMar>
              <w:top w:w="80" w:type="dxa"/>
              <w:left w:w="80" w:type="dxa"/>
              <w:bottom w:w="80" w:type="dxa"/>
              <w:right w:w="80" w:type="dxa"/>
            </w:tcMar>
          </w:tcPr>
          <w:p w14:paraId="07F05EDD" w14:textId="7147FC15"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i/>
                <w:lang w:val="es-ES_tradnl"/>
              </w:rPr>
            </w:pPr>
            <w:r w:rsidRPr="002927A1">
              <w:rPr>
                <w:rFonts w:ascii="Times New Roman" w:hAnsi="Times New Roman" w:cs="Times New Roman"/>
                <w:bCs/>
                <w:i/>
                <w:sz w:val="18"/>
                <w:szCs w:val="18"/>
                <w:lang w:val="es-ES_tradnl"/>
              </w:rPr>
              <w:t>Parámetro de referencia del indicador</w:t>
            </w:r>
          </w:p>
        </w:tc>
      </w:tr>
      <w:tr w:rsidR="00162426" w:rsidRPr="002927A1" w14:paraId="1ADD22FC" w14:textId="77777777" w:rsidTr="00A85708">
        <w:tblPrEx>
          <w:shd w:val="clear" w:color="auto" w:fill="auto"/>
        </w:tblPrEx>
        <w:trPr>
          <w:trHeight w:val="57"/>
          <w:jc w:val="right"/>
        </w:trPr>
        <w:tc>
          <w:tcPr>
            <w:tcW w:w="1844" w:type="dxa"/>
            <w:gridSpan w:val="5"/>
            <w:tcBorders>
              <w:top w:val="single" w:sz="12" w:space="0" w:color="auto"/>
            </w:tcBorders>
            <w:shd w:val="clear" w:color="auto" w:fill="auto"/>
            <w:tcMar>
              <w:top w:w="80" w:type="dxa"/>
              <w:left w:w="80" w:type="dxa"/>
              <w:bottom w:w="80" w:type="dxa"/>
              <w:right w:w="80" w:type="dxa"/>
            </w:tcMar>
          </w:tcPr>
          <w:p w14:paraId="19D27294" w14:textId="3D86C246"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G1. Indicador de vigilancia</w:t>
            </w:r>
          </w:p>
        </w:tc>
        <w:tc>
          <w:tcPr>
            <w:tcW w:w="3151" w:type="dxa"/>
            <w:gridSpan w:val="5"/>
            <w:tcBorders>
              <w:top w:val="single" w:sz="12" w:space="0" w:color="auto"/>
            </w:tcBorders>
            <w:shd w:val="clear" w:color="auto" w:fill="auto"/>
            <w:tcMar>
              <w:top w:w="80" w:type="dxa"/>
              <w:left w:w="80" w:type="dxa"/>
              <w:bottom w:w="80" w:type="dxa"/>
              <w:right w:w="80" w:type="dxa"/>
            </w:tcMar>
          </w:tcPr>
          <w:p w14:paraId="39824506" w14:textId="710E920F"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Niveles de mercurio en determinadas poblaciones humanas (tal como se definen en los arreglos de vigilancia)</w:t>
            </w:r>
          </w:p>
        </w:tc>
        <w:tc>
          <w:tcPr>
            <w:tcW w:w="1719" w:type="dxa"/>
            <w:gridSpan w:val="4"/>
            <w:tcBorders>
              <w:top w:val="single" w:sz="12" w:space="0" w:color="auto"/>
            </w:tcBorders>
            <w:shd w:val="clear" w:color="auto" w:fill="auto"/>
            <w:tcMar>
              <w:top w:w="80" w:type="dxa"/>
              <w:left w:w="80" w:type="dxa"/>
              <w:bottom w:w="80" w:type="dxa"/>
              <w:right w:w="80" w:type="dxa"/>
            </w:tcMar>
          </w:tcPr>
          <w:p w14:paraId="559EC5EE" w14:textId="247B7D7D"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 Datos y las actividades de vigilancia existentes</w:t>
            </w:r>
          </w:p>
        </w:tc>
        <w:tc>
          <w:tcPr>
            <w:tcW w:w="1593" w:type="dxa"/>
            <w:gridSpan w:val="5"/>
            <w:tcBorders>
              <w:top w:val="single" w:sz="12" w:space="0" w:color="auto"/>
            </w:tcBorders>
            <w:shd w:val="clear" w:color="auto" w:fill="auto"/>
            <w:tcMar>
              <w:top w:w="80" w:type="dxa"/>
              <w:left w:w="80" w:type="dxa"/>
              <w:bottom w:w="80" w:type="dxa"/>
              <w:right w:w="80" w:type="dxa"/>
            </w:tcMar>
          </w:tcPr>
          <w:p w14:paraId="471C11A1" w14:textId="37D4DB78"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Número en la primera evaluación</w:t>
            </w:r>
          </w:p>
        </w:tc>
      </w:tr>
      <w:tr w:rsidR="00162426" w:rsidRPr="002927A1" w14:paraId="4CE7E532" w14:textId="77777777" w:rsidTr="00A85708">
        <w:tblPrEx>
          <w:shd w:val="clear" w:color="auto" w:fill="auto"/>
        </w:tblPrEx>
        <w:trPr>
          <w:trHeight w:val="57"/>
          <w:jc w:val="right"/>
        </w:trPr>
        <w:tc>
          <w:tcPr>
            <w:tcW w:w="1844" w:type="dxa"/>
            <w:gridSpan w:val="5"/>
            <w:tcMar>
              <w:top w:w="80" w:type="dxa"/>
              <w:left w:w="80" w:type="dxa"/>
              <w:bottom w:w="80" w:type="dxa"/>
              <w:right w:w="80" w:type="dxa"/>
            </w:tcMar>
          </w:tcPr>
          <w:p w14:paraId="3093DAB1" w14:textId="6656CF2E"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G2. Indicador de procesos</w:t>
            </w:r>
          </w:p>
        </w:tc>
        <w:tc>
          <w:tcPr>
            <w:tcW w:w="3151" w:type="dxa"/>
            <w:gridSpan w:val="5"/>
            <w:tcMar>
              <w:top w:w="80" w:type="dxa"/>
              <w:left w:w="80" w:type="dxa"/>
              <w:bottom w:w="80" w:type="dxa"/>
              <w:right w:w="80" w:type="dxa"/>
            </w:tcMar>
          </w:tcPr>
          <w:p w14:paraId="3339742B" w14:textId="5EE5762E" w:rsidR="00162426" w:rsidRPr="002927A1" w:rsidRDefault="00162426" w:rsidP="00270A6E">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 xml:space="preserve">Número de Partes que han adoptado medidas, </w:t>
            </w:r>
            <w:r w:rsidR="00270A6E" w:rsidRPr="002927A1">
              <w:rPr>
                <w:rFonts w:ascii="Times New Roman" w:hAnsi="Times New Roman" w:cs="Times New Roman"/>
                <w:sz w:val="18"/>
                <w:szCs w:val="18"/>
                <w:lang w:val="es-ES_tradnl"/>
              </w:rPr>
              <w:t xml:space="preserve">por ejemplo, </w:t>
            </w:r>
            <w:r w:rsidRPr="002927A1">
              <w:rPr>
                <w:rFonts w:ascii="Times New Roman" w:hAnsi="Times New Roman" w:cs="Times New Roman"/>
                <w:sz w:val="18"/>
                <w:szCs w:val="18"/>
                <w:lang w:val="es-ES_tradnl"/>
              </w:rPr>
              <w:t xml:space="preserve">servicios de asesoramiento </w:t>
            </w:r>
            <w:r w:rsidR="00270A6E" w:rsidRPr="002927A1">
              <w:rPr>
                <w:rFonts w:ascii="Times New Roman" w:hAnsi="Times New Roman" w:cs="Times New Roman"/>
                <w:sz w:val="18"/>
                <w:szCs w:val="18"/>
                <w:lang w:val="es-ES_tradnl"/>
              </w:rPr>
              <w:t>en materia de</w:t>
            </w:r>
            <w:r w:rsidRPr="002927A1">
              <w:rPr>
                <w:rFonts w:ascii="Times New Roman" w:hAnsi="Times New Roman" w:cs="Times New Roman"/>
                <w:sz w:val="18"/>
                <w:szCs w:val="18"/>
                <w:lang w:val="es-ES_tradnl"/>
              </w:rPr>
              <w:t xml:space="preserve"> pesca, para informar al público sobre la exposición al mercurio, de conformidad con el párrafo 1 del artículo 16</w:t>
            </w:r>
          </w:p>
        </w:tc>
        <w:tc>
          <w:tcPr>
            <w:tcW w:w="1719" w:type="dxa"/>
            <w:gridSpan w:val="4"/>
            <w:tcMar>
              <w:top w:w="80" w:type="dxa"/>
              <w:left w:w="80" w:type="dxa"/>
              <w:bottom w:w="80" w:type="dxa"/>
              <w:right w:w="80" w:type="dxa"/>
            </w:tcMar>
          </w:tcPr>
          <w:p w14:paraId="3E2A747B" w14:textId="5D139351"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iCs/>
                <w:sz w:val="18"/>
                <w:szCs w:val="18"/>
                <w:lang w:val="es-ES_tradnl"/>
              </w:rPr>
              <w:t xml:space="preserve">- </w:t>
            </w:r>
            <w:r w:rsidRPr="002927A1">
              <w:rPr>
                <w:rFonts w:ascii="Times New Roman" w:hAnsi="Times New Roman" w:cs="Times New Roman"/>
                <w:sz w:val="18"/>
                <w:szCs w:val="18"/>
                <w:lang w:val="es-ES_tradnl"/>
              </w:rPr>
              <w:t>Presentación de informes con arreglo al artículo 21</w:t>
            </w:r>
          </w:p>
        </w:tc>
        <w:tc>
          <w:tcPr>
            <w:tcW w:w="1593" w:type="dxa"/>
            <w:gridSpan w:val="5"/>
            <w:tcMar>
              <w:top w:w="80" w:type="dxa"/>
              <w:left w:w="80" w:type="dxa"/>
              <w:bottom w:w="80" w:type="dxa"/>
              <w:right w:w="80" w:type="dxa"/>
            </w:tcMar>
          </w:tcPr>
          <w:p w14:paraId="7DC36ADF" w14:textId="5F5342B7"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Número en la primera evaluación</w:t>
            </w:r>
          </w:p>
        </w:tc>
      </w:tr>
      <w:tr w:rsidR="00162426" w:rsidRPr="002927A1" w14:paraId="45B5327F" w14:textId="77777777" w:rsidTr="00A85708">
        <w:tblPrEx>
          <w:shd w:val="clear" w:color="auto" w:fill="auto"/>
        </w:tblPrEx>
        <w:trPr>
          <w:trHeight w:val="57"/>
          <w:jc w:val="right"/>
        </w:trPr>
        <w:tc>
          <w:tcPr>
            <w:tcW w:w="1844" w:type="dxa"/>
            <w:gridSpan w:val="5"/>
            <w:tcMar>
              <w:top w:w="80" w:type="dxa"/>
              <w:left w:w="80" w:type="dxa"/>
              <w:bottom w:w="80" w:type="dxa"/>
              <w:right w:w="80" w:type="dxa"/>
            </w:tcMar>
          </w:tcPr>
          <w:p w14:paraId="7750967D" w14:textId="0502EFC1"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G3. Indicador de procesos</w:t>
            </w:r>
          </w:p>
        </w:tc>
        <w:tc>
          <w:tcPr>
            <w:tcW w:w="3151" w:type="dxa"/>
            <w:gridSpan w:val="5"/>
            <w:tcMar>
              <w:top w:w="80" w:type="dxa"/>
              <w:left w:w="80" w:type="dxa"/>
              <w:bottom w:w="80" w:type="dxa"/>
              <w:right w:w="80" w:type="dxa"/>
            </w:tcMar>
          </w:tcPr>
          <w:p w14:paraId="69AA25C1" w14:textId="0FC571BD"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Número de Partes que han adoptado medidas para proteger la salud humana, de conformidad con el artículo 16</w:t>
            </w:r>
          </w:p>
        </w:tc>
        <w:tc>
          <w:tcPr>
            <w:tcW w:w="1719" w:type="dxa"/>
            <w:gridSpan w:val="4"/>
            <w:tcMar>
              <w:top w:w="80" w:type="dxa"/>
              <w:left w:w="80" w:type="dxa"/>
              <w:bottom w:w="80" w:type="dxa"/>
              <w:right w:w="80" w:type="dxa"/>
            </w:tcMar>
          </w:tcPr>
          <w:p w14:paraId="08CB0F4D" w14:textId="77777777" w:rsidR="00162426" w:rsidRPr="002927A1" w:rsidRDefault="00162426" w:rsidP="00162426">
            <w:pPr>
              <w:rPr>
                <w:iCs/>
                <w:sz w:val="18"/>
                <w:szCs w:val="18"/>
              </w:rPr>
            </w:pPr>
            <w:r w:rsidRPr="002927A1">
              <w:rPr>
                <w:iCs/>
                <w:sz w:val="18"/>
                <w:szCs w:val="18"/>
              </w:rPr>
              <w:t xml:space="preserve">- </w:t>
            </w:r>
            <w:r w:rsidRPr="002927A1">
              <w:rPr>
                <w:sz w:val="18"/>
                <w:szCs w:val="18"/>
              </w:rPr>
              <w:t>Presentación de informes con arreglo al artículo 21</w:t>
            </w:r>
          </w:p>
          <w:p w14:paraId="5F49D4DB" w14:textId="7116A475"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iCs/>
                <w:sz w:val="18"/>
                <w:szCs w:val="18"/>
                <w:lang w:val="es-ES_tradnl"/>
              </w:rPr>
              <w:t>- Entrega a la Secretaría</w:t>
            </w:r>
          </w:p>
        </w:tc>
        <w:tc>
          <w:tcPr>
            <w:tcW w:w="1593" w:type="dxa"/>
            <w:gridSpan w:val="5"/>
            <w:tcMar>
              <w:top w:w="80" w:type="dxa"/>
              <w:left w:w="80" w:type="dxa"/>
              <w:bottom w:w="80" w:type="dxa"/>
              <w:right w:w="80" w:type="dxa"/>
            </w:tcMar>
          </w:tcPr>
          <w:p w14:paraId="2E77D1B7" w14:textId="59B4CFCF" w:rsidR="00162426" w:rsidRPr="002927A1" w:rsidRDefault="00162426" w:rsidP="00162426">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sz w:val="18"/>
                <w:szCs w:val="18"/>
                <w:lang w:val="es-ES_tradnl"/>
              </w:rPr>
              <w:t>Número en la primera evaluación</w:t>
            </w:r>
          </w:p>
        </w:tc>
      </w:tr>
      <w:tr w:rsidR="00162426" w:rsidRPr="002927A1" w14:paraId="431DD9F9" w14:textId="77777777" w:rsidTr="00A85708">
        <w:tblPrEx>
          <w:shd w:val="clear" w:color="auto" w:fill="auto"/>
        </w:tblPrEx>
        <w:trPr>
          <w:trHeight w:val="187"/>
          <w:jc w:val="right"/>
        </w:trPr>
        <w:tc>
          <w:tcPr>
            <w:tcW w:w="1844" w:type="dxa"/>
            <w:gridSpan w:val="5"/>
            <w:tcBorders>
              <w:bottom w:val="single" w:sz="2" w:space="0" w:color="auto"/>
            </w:tcBorders>
            <w:shd w:val="clear" w:color="auto" w:fill="auto"/>
            <w:tcMar>
              <w:top w:w="80" w:type="dxa"/>
              <w:left w:w="80" w:type="dxa"/>
              <w:bottom w:w="80" w:type="dxa"/>
              <w:right w:w="80" w:type="dxa"/>
            </w:tcMar>
          </w:tcPr>
          <w:p w14:paraId="535F03E2" w14:textId="5CBEDA53"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lang w:val="es-ES_tradnl"/>
              </w:rPr>
            </w:pPr>
            <w:r w:rsidRPr="002927A1">
              <w:rPr>
                <w:rFonts w:ascii="Times New Roman" w:hAnsi="Times New Roman" w:cs="Times New Roman"/>
                <w:b/>
                <w:bCs/>
                <w:sz w:val="18"/>
                <w:szCs w:val="18"/>
                <w:lang w:val="es-ES_tradnl"/>
              </w:rPr>
              <w:t>Notas</w:t>
            </w:r>
          </w:p>
        </w:tc>
        <w:tc>
          <w:tcPr>
            <w:tcW w:w="6463" w:type="dxa"/>
            <w:gridSpan w:val="14"/>
            <w:tcBorders>
              <w:bottom w:val="single" w:sz="2" w:space="0" w:color="auto"/>
            </w:tcBorders>
            <w:tcMar>
              <w:top w:w="80" w:type="dxa"/>
              <w:left w:w="80" w:type="dxa"/>
              <w:bottom w:w="80" w:type="dxa"/>
              <w:right w:w="80" w:type="dxa"/>
            </w:tcMar>
          </w:tcPr>
          <w:p w14:paraId="7F24D575" w14:textId="16704981" w:rsidR="00162426" w:rsidRPr="002927A1" w:rsidRDefault="00162426" w:rsidP="00A524DB">
            <w:pPr>
              <w:pStyle w:val="Text"/>
              <w:numPr>
                <w:ilvl w:val="0"/>
                <w:numId w:val="33"/>
              </w:numPr>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También se han de considerar los niveles de mercurio en la biota. </w:t>
            </w:r>
          </w:p>
        </w:tc>
      </w:tr>
      <w:tr w:rsidR="00162426" w:rsidRPr="002927A1" w14:paraId="563C1A8E" w14:textId="77777777" w:rsidTr="00A85708">
        <w:tblPrEx>
          <w:shd w:val="clear" w:color="auto" w:fill="auto"/>
        </w:tblPrEx>
        <w:trPr>
          <w:trHeight w:val="57"/>
          <w:jc w:val="right"/>
        </w:trPr>
        <w:tc>
          <w:tcPr>
            <w:tcW w:w="4995" w:type="dxa"/>
            <w:gridSpan w:val="10"/>
            <w:shd w:val="clear" w:color="auto" w:fill="auto"/>
            <w:tcMar>
              <w:top w:w="80" w:type="dxa"/>
              <w:left w:w="80" w:type="dxa"/>
              <w:bottom w:w="80" w:type="dxa"/>
              <w:right w:w="80" w:type="dxa"/>
            </w:tcMar>
          </w:tcPr>
          <w:p w14:paraId="6917BE03" w14:textId="77777777" w:rsidR="00162426" w:rsidRPr="002927A1" w:rsidRDefault="00162426" w:rsidP="00162426">
            <w:pPr>
              <w:rPr>
                <w:bCs/>
                <w:i/>
                <w:sz w:val="18"/>
                <w:szCs w:val="18"/>
              </w:rPr>
            </w:pPr>
            <w:r w:rsidRPr="002927A1">
              <w:rPr>
                <w:bCs/>
                <w:i/>
                <w:sz w:val="18"/>
                <w:szCs w:val="18"/>
              </w:rPr>
              <w:t xml:space="preserve">H: Grupo sobre información e investigación </w:t>
            </w:r>
          </w:p>
          <w:p w14:paraId="1143932F" w14:textId="4EE17732"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 xml:space="preserve">Artículo 17 (intercambio de información); artículo 18 (información pública, sensibilización y formación del público); artículo 19 (investigación, desarrollo y vigilancia) </w:t>
            </w:r>
          </w:p>
        </w:tc>
        <w:tc>
          <w:tcPr>
            <w:tcW w:w="1730" w:type="dxa"/>
            <w:gridSpan w:val="5"/>
            <w:shd w:val="clear" w:color="auto" w:fill="auto"/>
            <w:tcMar>
              <w:top w:w="80" w:type="dxa"/>
              <w:left w:w="80" w:type="dxa"/>
              <w:bottom w:w="80" w:type="dxa"/>
              <w:right w:w="80" w:type="dxa"/>
            </w:tcMar>
          </w:tcPr>
          <w:p w14:paraId="68723296" w14:textId="21AA92D3"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 el indicador</w:t>
            </w:r>
          </w:p>
        </w:tc>
        <w:tc>
          <w:tcPr>
            <w:tcW w:w="1582" w:type="dxa"/>
            <w:gridSpan w:val="4"/>
            <w:shd w:val="clear" w:color="auto" w:fill="auto"/>
            <w:tcMar>
              <w:top w:w="80" w:type="dxa"/>
              <w:left w:w="80" w:type="dxa"/>
              <w:bottom w:w="80" w:type="dxa"/>
              <w:right w:w="80" w:type="dxa"/>
            </w:tcMar>
          </w:tcPr>
          <w:p w14:paraId="000B8D65" w14:textId="5B7DF398"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 del indicador</w:t>
            </w:r>
          </w:p>
        </w:tc>
      </w:tr>
      <w:tr w:rsidR="006D667A" w:rsidRPr="002927A1" w14:paraId="5D4C5292" w14:textId="77777777" w:rsidTr="00A85708">
        <w:tblPrEx>
          <w:shd w:val="clear" w:color="auto" w:fill="auto"/>
        </w:tblPrEx>
        <w:trPr>
          <w:trHeight w:val="57"/>
          <w:jc w:val="right"/>
        </w:trPr>
        <w:tc>
          <w:tcPr>
            <w:tcW w:w="1820" w:type="dxa"/>
            <w:gridSpan w:val="3"/>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AD3A2A3" w14:textId="14A6505D" w:rsidR="006D667A" w:rsidRPr="002927A1" w:rsidRDefault="00E77018" w:rsidP="006D667A">
            <w:pPr>
              <w:pStyle w:val="Text"/>
              <w:tabs>
                <w:tab w:val="left" w:pos="1247"/>
                <w:tab w:val="left" w:pos="1814"/>
                <w:tab w:val="left" w:pos="2381"/>
                <w:tab w:val="left" w:pos="2948"/>
                <w:tab w:val="left" w:pos="3515"/>
              </w:tabs>
              <w:spacing w:after="0" w:line="240" w:lineRule="auto"/>
              <w:rPr>
                <w:rFonts w:asciiTheme="majorBidi" w:hAnsiTheme="majorBidi" w:cstheme="majorBidi"/>
                <w:sz w:val="18"/>
                <w:szCs w:val="18"/>
                <w:lang w:val="es-ES_tradnl"/>
              </w:rPr>
            </w:pPr>
            <w:r w:rsidRPr="002927A1">
              <w:rPr>
                <w:rFonts w:ascii="Times New Roman" w:hAnsi="Times New Roman" w:cs="Times New Roman"/>
                <w:b/>
                <w:bCs/>
                <w:sz w:val="18"/>
                <w:szCs w:val="18"/>
                <w:lang w:val="es-ES_tradnl"/>
              </w:rPr>
              <w:t>Artículo</w:t>
            </w:r>
            <w:r w:rsidR="006D667A" w:rsidRPr="002927A1">
              <w:rPr>
                <w:rFonts w:asciiTheme="majorBidi" w:hAnsiTheme="majorBidi" w:cstheme="majorBidi"/>
                <w:b/>
                <w:bCs/>
                <w:sz w:val="18"/>
                <w:szCs w:val="18"/>
                <w:lang w:val="es-ES_tradnl"/>
              </w:rPr>
              <w:t xml:space="preserve"> 17</w:t>
            </w:r>
          </w:p>
        </w:tc>
        <w:tc>
          <w:tcPr>
            <w:tcW w:w="3175" w:type="dxa"/>
            <w:gridSpan w:val="7"/>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41321A8" w14:textId="77777777" w:rsidR="006D667A" w:rsidRPr="002927A1" w:rsidRDefault="006D667A" w:rsidP="006D667A">
            <w:pPr>
              <w:rPr>
                <w:rFonts w:asciiTheme="majorBidi" w:hAnsiTheme="majorBidi" w:cstheme="majorBidi"/>
                <w:sz w:val="18"/>
                <w:szCs w:val="18"/>
              </w:rPr>
            </w:pPr>
          </w:p>
        </w:tc>
        <w:tc>
          <w:tcPr>
            <w:tcW w:w="1730" w:type="dxa"/>
            <w:gridSpan w:val="5"/>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CFEE6B9" w14:textId="77777777" w:rsidR="006D667A" w:rsidRPr="002927A1" w:rsidRDefault="006D667A" w:rsidP="006D667A">
            <w:pPr>
              <w:rPr>
                <w:rFonts w:asciiTheme="majorBidi" w:hAnsiTheme="majorBidi" w:cstheme="majorBidi"/>
                <w:sz w:val="18"/>
                <w:szCs w:val="18"/>
              </w:rPr>
            </w:pPr>
          </w:p>
        </w:tc>
        <w:tc>
          <w:tcPr>
            <w:tcW w:w="1582"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9E625FF" w14:textId="77777777" w:rsidR="006D667A" w:rsidRPr="002927A1" w:rsidRDefault="006D667A" w:rsidP="006D667A">
            <w:pPr>
              <w:rPr>
                <w:rFonts w:asciiTheme="majorBidi" w:hAnsiTheme="majorBidi" w:cstheme="majorBidi"/>
                <w:sz w:val="18"/>
                <w:szCs w:val="18"/>
              </w:rPr>
            </w:pPr>
          </w:p>
        </w:tc>
      </w:tr>
      <w:tr w:rsidR="00162426" w:rsidRPr="002927A1" w14:paraId="5D21CF84"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540887F3" w14:textId="3B4116AA"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H1. </w:t>
            </w:r>
            <w:r w:rsidRPr="002927A1">
              <w:rPr>
                <w:rStyle w:val="dn"/>
                <w:rFonts w:ascii="Times New Roman" w:eastAsia="Roboto" w:hAnsi="Times New Roman" w:cs="Times New Roman"/>
                <w:sz w:val="18"/>
                <w:szCs w:val="18"/>
                <w:lang w:val="es-ES_tradnl"/>
              </w:rPr>
              <w:t>Indicador de procesos para el artículo 17</w:t>
            </w:r>
          </w:p>
        </w:tc>
        <w:tc>
          <w:tcPr>
            <w:tcW w:w="3175" w:type="dxa"/>
            <w:gridSpan w:val="7"/>
            <w:tcMar>
              <w:top w:w="80" w:type="dxa"/>
              <w:left w:w="80" w:type="dxa"/>
              <w:bottom w:w="80" w:type="dxa"/>
              <w:right w:w="80" w:type="dxa"/>
            </w:tcMar>
          </w:tcPr>
          <w:p w14:paraId="6654581B" w14:textId="222DD51F"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Número de Partes que han designado coordinadores nacionales</w:t>
            </w:r>
          </w:p>
        </w:tc>
        <w:tc>
          <w:tcPr>
            <w:tcW w:w="1730" w:type="dxa"/>
            <w:gridSpan w:val="5"/>
            <w:tcMar>
              <w:top w:w="80" w:type="dxa"/>
              <w:left w:w="80" w:type="dxa"/>
              <w:bottom w:w="80" w:type="dxa"/>
              <w:right w:w="80" w:type="dxa"/>
            </w:tcMar>
          </w:tcPr>
          <w:p w14:paraId="4CC4F40D" w14:textId="20215B84"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82" w:type="dxa"/>
            <w:gridSpan w:val="4"/>
            <w:tcMar>
              <w:top w:w="80" w:type="dxa"/>
              <w:left w:w="80" w:type="dxa"/>
              <w:bottom w:w="80" w:type="dxa"/>
              <w:right w:w="80" w:type="dxa"/>
            </w:tcMar>
          </w:tcPr>
          <w:p w14:paraId="3AD3744F" w14:textId="0B3A4538"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575861D0" w14:textId="77777777" w:rsidTr="00A85708">
        <w:tblPrEx>
          <w:shd w:val="clear" w:color="auto" w:fill="auto"/>
        </w:tblPrEx>
        <w:trPr>
          <w:trHeight w:val="57"/>
          <w:jc w:val="right"/>
        </w:trPr>
        <w:tc>
          <w:tcPr>
            <w:tcW w:w="1820" w:type="dxa"/>
            <w:gridSpan w:val="3"/>
            <w:tcBorders>
              <w:bottom w:val="single" w:sz="2" w:space="0" w:color="auto"/>
            </w:tcBorders>
            <w:tcMar>
              <w:top w:w="80" w:type="dxa"/>
              <w:left w:w="80" w:type="dxa"/>
              <w:bottom w:w="80" w:type="dxa"/>
              <w:right w:w="80" w:type="dxa"/>
            </w:tcMar>
          </w:tcPr>
          <w:p w14:paraId="7522EC77" w14:textId="6286A241"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H2. </w:t>
            </w:r>
            <w:r w:rsidRPr="002927A1">
              <w:rPr>
                <w:rStyle w:val="dn"/>
                <w:rFonts w:ascii="Times New Roman" w:eastAsia="Roboto" w:hAnsi="Times New Roman" w:cs="Times New Roman"/>
                <w:sz w:val="18"/>
                <w:szCs w:val="18"/>
                <w:lang w:val="es-ES_tradnl"/>
              </w:rPr>
              <w:t>Indicador de procesos para el artículo 17</w:t>
            </w:r>
          </w:p>
        </w:tc>
        <w:tc>
          <w:tcPr>
            <w:tcW w:w="3175" w:type="dxa"/>
            <w:gridSpan w:val="7"/>
            <w:tcBorders>
              <w:bottom w:val="single" w:sz="2" w:space="0" w:color="auto"/>
            </w:tcBorders>
            <w:tcMar>
              <w:top w:w="80" w:type="dxa"/>
              <w:left w:w="80" w:type="dxa"/>
              <w:bottom w:w="80" w:type="dxa"/>
              <w:right w:w="80" w:type="dxa"/>
            </w:tcMar>
          </w:tcPr>
          <w:p w14:paraId="57D6988D" w14:textId="6F0E9E27"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 xml:space="preserve">Número de Partes que han facilitado el intercambio de información relacionada con el mercurio </w:t>
            </w:r>
          </w:p>
        </w:tc>
        <w:tc>
          <w:tcPr>
            <w:tcW w:w="1730" w:type="dxa"/>
            <w:gridSpan w:val="5"/>
            <w:tcBorders>
              <w:bottom w:val="single" w:sz="2" w:space="0" w:color="auto"/>
            </w:tcBorders>
            <w:tcMar>
              <w:top w:w="80" w:type="dxa"/>
              <w:left w:w="80" w:type="dxa"/>
              <w:bottom w:w="80" w:type="dxa"/>
              <w:right w:w="80" w:type="dxa"/>
            </w:tcMar>
          </w:tcPr>
          <w:p w14:paraId="5EA734DC" w14:textId="17890949"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82" w:type="dxa"/>
            <w:gridSpan w:val="4"/>
            <w:tcBorders>
              <w:bottom w:val="single" w:sz="2" w:space="0" w:color="auto"/>
            </w:tcBorders>
            <w:tcMar>
              <w:top w:w="80" w:type="dxa"/>
              <w:left w:w="80" w:type="dxa"/>
              <w:bottom w:w="80" w:type="dxa"/>
              <w:right w:w="80" w:type="dxa"/>
            </w:tcMar>
          </w:tcPr>
          <w:p w14:paraId="4FA3BB61" w14:textId="5371A236"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6D667A" w:rsidRPr="002927A1" w14:paraId="4627EDC3" w14:textId="77777777" w:rsidTr="00A85708">
        <w:tblPrEx>
          <w:shd w:val="clear" w:color="auto" w:fill="auto"/>
        </w:tblPrEx>
        <w:trPr>
          <w:trHeight w:val="57"/>
          <w:jc w:val="right"/>
        </w:trPr>
        <w:tc>
          <w:tcPr>
            <w:tcW w:w="1820" w:type="dxa"/>
            <w:gridSpan w:val="3"/>
            <w:tcBorders>
              <w:top w:val="single" w:sz="2" w:space="0" w:color="auto"/>
              <w:bottom w:val="single" w:sz="4" w:space="0" w:color="000000" w:themeColor="text1"/>
            </w:tcBorders>
            <w:shd w:val="clear" w:color="auto" w:fill="auto"/>
            <w:tcMar>
              <w:top w:w="80" w:type="dxa"/>
              <w:left w:w="80" w:type="dxa"/>
              <w:bottom w:w="80" w:type="dxa"/>
              <w:right w:w="80" w:type="dxa"/>
            </w:tcMar>
          </w:tcPr>
          <w:p w14:paraId="74AD3FC7" w14:textId="1A836185" w:rsidR="006D667A" w:rsidRPr="002927A1" w:rsidRDefault="00E77018" w:rsidP="00104A4B">
            <w:pPr>
              <w:pStyle w:val="Text"/>
              <w:keepNext/>
              <w:keepLines/>
              <w:tabs>
                <w:tab w:val="left" w:pos="1163"/>
                <w:tab w:val="left" w:pos="1247"/>
                <w:tab w:val="left" w:pos="1814"/>
                <w:tab w:val="left" w:pos="2381"/>
                <w:tab w:val="left" w:pos="2948"/>
                <w:tab w:val="left" w:pos="3515"/>
              </w:tabs>
              <w:spacing w:after="0" w:line="240" w:lineRule="auto"/>
              <w:rPr>
                <w:rFonts w:asciiTheme="majorBidi" w:hAnsiTheme="majorBidi" w:cstheme="majorBidi"/>
                <w:sz w:val="18"/>
                <w:szCs w:val="18"/>
                <w:lang w:val="es-ES_tradnl"/>
              </w:rPr>
            </w:pPr>
            <w:r w:rsidRPr="002927A1">
              <w:rPr>
                <w:rFonts w:ascii="Times New Roman" w:hAnsi="Times New Roman" w:cs="Times New Roman"/>
                <w:b/>
                <w:bCs/>
                <w:sz w:val="18"/>
                <w:szCs w:val="18"/>
                <w:lang w:val="es-ES_tradnl"/>
              </w:rPr>
              <w:lastRenderedPageBreak/>
              <w:t>Artículo</w:t>
            </w:r>
            <w:r w:rsidR="006D667A" w:rsidRPr="002927A1">
              <w:rPr>
                <w:rFonts w:asciiTheme="majorBidi" w:hAnsiTheme="majorBidi" w:cstheme="majorBidi"/>
                <w:b/>
                <w:bCs/>
                <w:sz w:val="18"/>
                <w:szCs w:val="18"/>
                <w:lang w:val="es-ES_tradnl"/>
              </w:rPr>
              <w:t xml:space="preserve"> 18</w:t>
            </w:r>
          </w:p>
        </w:tc>
        <w:tc>
          <w:tcPr>
            <w:tcW w:w="3175" w:type="dxa"/>
            <w:gridSpan w:val="7"/>
            <w:tcBorders>
              <w:top w:val="single" w:sz="2" w:space="0" w:color="auto"/>
              <w:bottom w:val="single" w:sz="4" w:space="0" w:color="000000" w:themeColor="text1"/>
            </w:tcBorders>
            <w:shd w:val="clear" w:color="auto" w:fill="auto"/>
            <w:tcMar>
              <w:top w:w="80" w:type="dxa"/>
              <w:left w:w="80" w:type="dxa"/>
              <w:bottom w:w="80" w:type="dxa"/>
              <w:right w:w="80" w:type="dxa"/>
            </w:tcMar>
          </w:tcPr>
          <w:p w14:paraId="35749F9E" w14:textId="77777777" w:rsidR="006D667A" w:rsidRPr="002927A1" w:rsidRDefault="006D667A" w:rsidP="00104A4B">
            <w:pPr>
              <w:keepNext/>
              <w:keepLines/>
              <w:rPr>
                <w:rFonts w:asciiTheme="majorBidi" w:hAnsiTheme="majorBidi" w:cstheme="majorBidi"/>
                <w:sz w:val="18"/>
                <w:szCs w:val="18"/>
              </w:rPr>
            </w:pPr>
          </w:p>
        </w:tc>
        <w:tc>
          <w:tcPr>
            <w:tcW w:w="1730" w:type="dxa"/>
            <w:gridSpan w:val="5"/>
            <w:tcBorders>
              <w:top w:val="single" w:sz="2" w:space="0" w:color="auto"/>
              <w:bottom w:val="single" w:sz="4" w:space="0" w:color="000000" w:themeColor="text1"/>
            </w:tcBorders>
            <w:shd w:val="clear" w:color="auto" w:fill="auto"/>
            <w:tcMar>
              <w:top w:w="80" w:type="dxa"/>
              <w:left w:w="80" w:type="dxa"/>
              <w:bottom w:w="80" w:type="dxa"/>
              <w:right w:w="80" w:type="dxa"/>
            </w:tcMar>
          </w:tcPr>
          <w:p w14:paraId="561C40A5" w14:textId="77777777" w:rsidR="006D667A" w:rsidRPr="002927A1" w:rsidRDefault="006D667A" w:rsidP="00104A4B">
            <w:pPr>
              <w:keepNext/>
              <w:keepLines/>
              <w:rPr>
                <w:rFonts w:asciiTheme="majorBidi" w:hAnsiTheme="majorBidi" w:cstheme="majorBidi"/>
                <w:sz w:val="18"/>
                <w:szCs w:val="18"/>
              </w:rPr>
            </w:pPr>
          </w:p>
        </w:tc>
        <w:tc>
          <w:tcPr>
            <w:tcW w:w="1582" w:type="dxa"/>
            <w:gridSpan w:val="4"/>
            <w:tcBorders>
              <w:top w:val="single" w:sz="2" w:space="0" w:color="auto"/>
              <w:bottom w:val="single" w:sz="4" w:space="0" w:color="000000" w:themeColor="text1"/>
            </w:tcBorders>
            <w:shd w:val="clear" w:color="auto" w:fill="auto"/>
            <w:tcMar>
              <w:top w:w="80" w:type="dxa"/>
              <w:left w:w="80" w:type="dxa"/>
              <w:bottom w:w="80" w:type="dxa"/>
              <w:right w:w="80" w:type="dxa"/>
            </w:tcMar>
          </w:tcPr>
          <w:p w14:paraId="14E8E863" w14:textId="77777777" w:rsidR="006D667A" w:rsidRPr="002927A1" w:rsidRDefault="006D667A" w:rsidP="00104A4B">
            <w:pPr>
              <w:keepNext/>
              <w:keepLines/>
              <w:rPr>
                <w:rFonts w:asciiTheme="majorBidi" w:hAnsiTheme="majorBidi" w:cstheme="majorBidi"/>
                <w:sz w:val="18"/>
                <w:szCs w:val="18"/>
              </w:rPr>
            </w:pPr>
          </w:p>
        </w:tc>
      </w:tr>
      <w:tr w:rsidR="00162426" w:rsidRPr="002927A1" w14:paraId="00D4A142"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04D93CD7" w14:textId="045C9222" w:rsidR="00162426" w:rsidRPr="002927A1" w:rsidRDefault="00162426" w:rsidP="00104A4B">
            <w:pPr>
              <w:pStyle w:val="Text"/>
              <w:keepNext/>
              <w:keepLines/>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H3. Indicador de procesos para el artículo 18</w:t>
            </w:r>
          </w:p>
        </w:tc>
        <w:tc>
          <w:tcPr>
            <w:tcW w:w="3175" w:type="dxa"/>
            <w:gridSpan w:val="7"/>
            <w:tcMar>
              <w:top w:w="80" w:type="dxa"/>
              <w:left w:w="80" w:type="dxa"/>
              <w:bottom w:w="80" w:type="dxa"/>
              <w:right w:w="80" w:type="dxa"/>
            </w:tcMar>
          </w:tcPr>
          <w:p w14:paraId="1CFFC645" w14:textId="479713AE" w:rsidR="00162426" w:rsidRPr="002927A1" w:rsidRDefault="00162426" w:rsidP="00104A4B">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Número de Partes que han adoptado medidas para aplicar el artículo 18</w:t>
            </w:r>
          </w:p>
        </w:tc>
        <w:tc>
          <w:tcPr>
            <w:tcW w:w="1730" w:type="dxa"/>
            <w:gridSpan w:val="5"/>
            <w:tcMar>
              <w:top w:w="80" w:type="dxa"/>
              <w:left w:w="80" w:type="dxa"/>
              <w:bottom w:w="80" w:type="dxa"/>
              <w:right w:w="80" w:type="dxa"/>
            </w:tcMar>
          </w:tcPr>
          <w:p w14:paraId="1B660775" w14:textId="29119EE6" w:rsidR="00162426" w:rsidRPr="002927A1" w:rsidRDefault="00162426" w:rsidP="00104A4B">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82" w:type="dxa"/>
            <w:gridSpan w:val="4"/>
            <w:tcMar>
              <w:top w:w="80" w:type="dxa"/>
              <w:left w:w="80" w:type="dxa"/>
              <w:bottom w:w="80" w:type="dxa"/>
              <w:right w:w="80" w:type="dxa"/>
            </w:tcMar>
          </w:tcPr>
          <w:p w14:paraId="3438C46F" w14:textId="21F60493" w:rsidR="00162426" w:rsidRPr="002927A1" w:rsidRDefault="00162426" w:rsidP="00104A4B">
            <w:pPr>
              <w:pStyle w:val="Text"/>
              <w:keepNext/>
              <w:keepLines/>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490B94AB"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783B06AA" w14:textId="69005751"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H4. Indicador de procesos para el artículo 18</w:t>
            </w:r>
          </w:p>
        </w:tc>
        <w:tc>
          <w:tcPr>
            <w:tcW w:w="3175" w:type="dxa"/>
            <w:gridSpan w:val="7"/>
            <w:tcMar>
              <w:top w:w="80" w:type="dxa"/>
              <w:left w:w="80" w:type="dxa"/>
              <w:bottom w:w="80" w:type="dxa"/>
              <w:right w:w="80" w:type="dxa"/>
            </w:tcMar>
          </w:tcPr>
          <w:p w14:paraId="0B7B8F9D" w14:textId="472C0CDA"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Promedio de medidas previstas en el párrafo 1 del artículo 18 que están aplicando las Partes</w:t>
            </w:r>
          </w:p>
        </w:tc>
        <w:tc>
          <w:tcPr>
            <w:tcW w:w="1730" w:type="dxa"/>
            <w:gridSpan w:val="5"/>
            <w:tcMar>
              <w:top w:w="80" w:type="dxa"/>
              <w:left w:w="80" w:type="dxa"/>
              <w:bottom w:w="80" w:type="dxa"/>
              <w:right w:w="80" w:type="dxa"/>
            </w:tcMar>
          </w:tcPr>
          <w:p w14:paraId="1E412F9C" w14:textId="17C99C4E"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 xml:space="preserve">- Derivada de la presentación de informes con arreglo al artículo 21 </w:t>
            </w:r>
          </w:p>
        </w:tc>
        <w:tc>
          <w:tcPr>
            <w:tcW w:w="1582" w:type="dxa"/>
            <w:gridSpan w:val="4"/>
            <w:tcMar>
              <w:top w:w="80" w:type="dxa"/>
              <w:left w:w="80" w:type="dxa"/>
              <w:bottom w:w="80" w:type="dxa"/>
              <w:right w:w="80" w:type="dxa"/>
            </w:tcMar>
          </w:tcPr>
          <w:p w14:paraId="45CC48A4" w14:textId="7D08DB06"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648B4E62"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5C533CD6" w14:textId="16516BFE"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H5. Indicador de procesos para el artículo 18</w:t>
            </w:r>
          </w:p>
        </w:tc>
        <w:tc>
          <w:tcPr>
            <w:tcW w:w="3175" w:type="dxa"/>
            <w:gridSpan w:val="7"/>
            <w:tcMar>
              <w:top w:w="80" w:type="dxa"/>
              <w:left w:w="80" w:type="dxa"/>
              <w:bottom w:w="80" w:type="dxa"/>
              <w:right w:w="80" w:type="dxa"/>
            </w:tcMar>
          </w:tcPr>
          <w:p w14:paraId="0051B9FC" w14:textId="00D69F1E"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Número de Partes que cuentan con información sobre los niveles de mercurio en el aire, los seres humanos y la biota dentro de su territorio</w:t>
            </w:r>
          </w:p>
        </w:tc>
        <w:tc>
          <w:tcPr>
            <w:tcW w:w="1730" w:type="dxa"/>
            <w:gridSpan w:val="5"/>
            <w:tcMar>
              <w:top w:w="80" w:type="dxa"/>
              <w:left w:w="80" w:type="dxa"/>
              <w:bottom w:w="80" w:type="dxa"/>
              <w:right w:w="80" w:type="dxa"/>
            </w:tcMar>
          </w:tcPr>
          <w:p w14:paraId="5A589CA9" w14:textId="3BD4483A"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82" w:type="dxa"/>
            <w:gridSpan w:val="4"/>
            <w:tcMar>
              <w:top w:w="80" w:type="dxa"/>
              <w:left w:w="80" w:type="dxa"/>
              <w:bottom w:w="80" w:type="dxa"/>
              <w:right w:w="80" w:type="dxa"/>
            </w:tcMar>
          </w:tcPr>
          <w:p w14:paraId="147EEE5E" w14:textId="109B1794"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4A70D8B3"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4F4AF552" w14:textId="556C7944"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H6. Indicador de procesos para el artículo 18</w:t>
            </w:r>
          </w:p>
        </w:tc>
        <w:tc>
          <w:tcPr>
            <w:tcW w:w="3175" w:type="dxa"/>
            <w:gridSpan w:val="7"/>
            <w:tcMar>
              <w:top w:w="80" w:type="dxa"/>
              <w:left w:w="80" w:type="dxa"/>
              <w:bottom w:w="80" w:type="dxa"/>
              <w:right w:w="80" w:type="dxa"/>
            </w:tcMar>
          </w:tcPr>
          <w:p w14:paraId="09B21DF7" w14:textId="4D737E0C"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Número de Partes que comunican situaciones de riesgo relacionadas con la ingesta de mercurio mediante el consumo de alimentos y agua en su territorio</w:t>
            </w:r>
          </w:p>
        </w:tc>
        <w:tc>
          <w:tcPr>
            <w:tcW w:w="1730" w:type="dxa"/>
            <w:gridSpan w:val="5"/>
            <w:tcMar>
              <w:top w:w="80" w:type="dxa"/>
              <w:left w:w="80" w:type="dxa"/>
              <w:bottom w:w="80" w:type="dxa"/>
              <w:right w:w="80" w:type="dxa"/>
            </w:tcMar>
          </w:tcPr>
          <w:p w14:paraId="113431AC" w14:textId="304EC2C1"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82" w:type="dxa"/>
            <w:gridSpan w:val="4"/>
            <w:tcMar>
              <w:top w:w="80" w:type="dxa"/>
              <w:left w:w="80" w:type="dxa"/>
              <w:bottom w:w="80" w:type="dxa"/>
              <w:right w:w="80" w:type="dxa"/>
            </w:tcMar>
          </w:tcPr>
          <w:p w14:paraId="1A625C05" w14:textId="7C2B16A4"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6D667A" w:rsidRPr="002927A1" w14:paraId="18A8C1AD" w14:textId="77777777" w:rsidTr="00A85708">
        <w:tblPrEx>
          <w:shd w:val="clear" w:color="auto" w:fill="auto"/>
        </w:tblPrEx>
        <w:trPr>
          <w:trHeight w:val="57"/>
          <w:jc w:val="right"/>
        </w:trPr>
        <w:tc>
          <w:tcPr>
            <w:tcW w:w="1820" w:type="dxa"/>
            <w:gridSpan w:val="3"/>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6361D4C" w14:textId="7DA4386C" w:rsidR="006D667A" w:rsidRPr="002927A1" w:rsidRDefault="00E77018" w:rsidP="006D667A">
            <w:pPr>
              <w:pStyle w:val="Text"/>
              <w:keepNext/>
              <w:tabs>
                <w:tab w:val="left" w:pos="1163"/>
                <w:tab w:val="left" w:pos="1247"/>
                <w:tab w:val="left" w:pos="1814"/>
                <w:tab w:val="left" w:pos="2381"/>
                <w:tab w:val="left" w:pos="2948"/>
                <w:tab w:val="left" w:pos="3515"/>
              </w:tabs>
              <w:spacing w:after="0" w:line="240" w:lineRule="auto"/>
              <w:rPr>
                <w:rFonts w:asciiTheme="majorBidi" w:hAnsiTheme="majorBidi" w:cstheme="majorBidi"/>
                <w:sz w:val="18"/>
                <w:szCs w:val="18"/>
                <w:lang w:val="es-ES_tradnl"/>
              </w:rPr>
            </w:pPr>
            <w:r w:rsidRPr="002927A1">
              <w:rPr>
                <w:rFonts w:ascii="Times New Roman" w:hAnsi="Times New Roman" w:cs="Times New Roman"/>
                <w:b/>
                <w:bCs/>
                <w:sz w:val="18"/>
                <w:szCs w:val="18"/>
                <w:lang w:val="es-ES_tradnl"/>
              </w:rPr>
              <w:t>Artículo</w:t>
            </w:r>
            <w:r w:rsidR="006D667A" w:rsidRPr="002927A1">
              <w:rPr>
                <w:rFonts w:asciiTheme="majorBidi" w:hAnsiTheme="majorBidi" w:cstheme="majorBidi"/>
                <w:b/>
                <w:bCs/>
                <w:sz w:val="18"/>
                <w:szCs w:val="18"/>
                <w:lang w:val="es-ES_tradnl"/>
              </w:rPr>
              <w:t xml:space="preserve"> 19</w:t>
            </w:r>
          </w:p>
        </w:tc>
        <w:tc>
          <w:tcPr>
            <w:tcW w:w="3175" w:type="dxa"/>
            <w:gridSpan w:val="7"/>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450ED762" w14:textId="77777777" w:rsidR="006D667A" w:rsidRPr="002927A1" w:rsidRDefault="006D667A" w:rsidP="006D667A">
            <w:pPr>
              <w:rPr>
                <w:rFonts w:asciiTheme="majorBidi" w:hAnsiTheme="majorBidi" w:cstheme="majorBidi"/>
                <w:sz w:val="18"/>
                <w:szCs w:val="18"/>
              </w:rPr>
            </w:pPr>
          </w:p>
        </w:tc>
        <w:tc>
          <w:tcPr>
            <w:tcW w:w="1730" w:type="dxa"/>
            <w:gridSpan w:val="5"/>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5699E38" w14:textId="77777777" w:rsidR="006D667A" w:rsidRPr="002927A1" w:rsidRDefault="006D667A" w:rsidP="006D667A">
            <w:pPr>
              <w:rPr>
                <w:rFonts w:asciiTheme="majorBidi" w:hAnsiTheme="majorBidi" w:cstheme="majorBidi"/>
                <w:sz w:val="18"/>
                <w:szCs w:val="18"/>
              </w:rPr>
            </w:pPr>
          </w:p>
        </w:tc>
        <w:tc>
          <w:tcPr>
            <w:tcW w:w="1582"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FE7BF75" w14:textId="77777777" w:rsidR="006D667A" w:rsidRPr="002927A1" w:rsidRDefault="006D667A" w:rsidP="006D667A">
            <w:pPr>
              <w:rPr>
                <w:rFonts w:asciiTheme="majorBidi" w:hAnsiTheme="majorBidi" w:cstheme="majorBidi"/>
                <w:sz w:val="18"/>
                <w:szCs w:val="18"/>
              </w:rPr>
            </w:pPr>
          </w:p>
        </w:tc>
      </w:tr>
      <w:tr w:rsidR="00162426" w:rsidRPr="002927A1" w14:paraId="40C4790F"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1D1AB8FB" w14:textId="3F784F79"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H7. Indicador de procesos para el artículo 19</w:t>
            </w:r>
          </w:p>
        </w:tc>
        <w:tc>
          <w:tcPr>
            <w:tcW w:w="3175" w:type="dxa"/>
            <w:gridSpan w:val="7"/>
            <w:tcMar>
              <w:top w:w="80" w:type="dxa"/>
              <w:left w:w="80" w:type="dxa"/>
              <w:bottom w:w="80" w:type="dxa"/>
              <w:right w:w="80" w:type="dxa"/>
            </w:tcMar>
          </w:tcPr>
          <w:p w14:paraId="25373254" w14:textId="28776E46"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 xml:space="preserve">Número de Partes que han emprendido la labor de investigación, desarrollo y vigilancia, de conformidad con el párrafo 1 del artículo 19 </w:t>
            </w:r>
          </w:p>
        </w:tc>
        <w:tc>
          <w:tcPr>
            <w:tcW w:w="1730" w:type="dxa"/>
            <w:gridSpan w:val="5"/>
            <w:tcMar>
              <w:top w:w="80" w:type="dxa"/>
              <w:left w:w="80" w:type="dxa"/>
              <w:bottom w:w="80" w:type="dxa"/>
              <w:right w:w="80" w:type="dxa"/>
            </w:tcMar>
          </w:tcPr>
          <w:p w14:paraId="51927C62" w14:textId="6A2CE7A1" w:rsidR="00162426" w:rsidRPr="002927A1" w:rsidRDefault="00162426" w:rsidP="00162426">
            <w:pPr>
              <w:pStyle w:val="Text"/>
              <w:tabs>
                <w:tab w:val="left" w:pos="1247"/>
                <w:tab w:val="left" w:pos="1814"/>
                <w:tab w:val="left" w:pos="2381"/>
                <w:tab w:val="left" w:pos="2948"/>
                <w:tab w:val="left" w:pos="3515"/>
              </w:tabs>
              <w:spacing w:after="0" w:line="240" w:lineRule="auto"/>
              <w:rPr>
                <w:rFonts w:asciiTheme="majorBidi" w:hAnsiTheme="majorBidi" w:cstheme="majorBidi"/>
                <w:sz w:val="18"/>
                <w:szCs w:val="18"/>
                <w:lang w:val="es-ES_tradnl"/>
              </w:rPr>
            </w:pPr>
            <w:r w:rsidRPr="002927A1">
              <w:rPr>
                <w:iCs/>
                <w:sz w:val="18"/>
                <w:szCs w:val="18"/>
                <w:lang w:val="es-ES_tradnl"/>
              </w:rPr>
              <w:t>- Presentación de informes con arreglo al artículo 21</w:t>
            </w:r>
          </w:p>
        </w:tc>
        <w:tc>
          <w:tcPr>
            <w:tcW w:w="1582" w:type="dxa"/>
            <w:gridSpan w:val="4"/>
            <w:tcMar>
              <w:top w:w="80" w:type="dxa"/>
              <w:left w:w="80" w:type="dxa"/>
              <w:bottom w:w="80" w:type="dxa"/>
              <w:right w:w="80" w:type="dxa"/>
            </w:tcMar>
          </w:tcPr>
          <w:p w14:paraId="7BBA9A75" w14:textId="5419DA89"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473B9200"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4C650658" w14:textId="31F3964C"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H8. Indicador de procesos para el artículo 19</w:t>
            </w:r>
          </w:p>
        </w:tc>
        <w:tc>
          <w:tcPr>
            <w:tcW w:w="3175" w:type="dxa"/>
            <w:gridSpan w:val="7"/>
            <w:tcMar>
              <w:top w:w="80" w:type="dxa"/>
              <w:left w:w="80" w:type="dxa"/>
              <w:bottom w:w="80" w:type="dxa"/>
              <w:right w:w="80" w:type="dxa"/>
            </w:tcMar>
          </w:tcPr>
          <w:p w14:paraId="5AB14C43" w14:textId="0346C479"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Número de Partes que aportan datos y conocimientos a las evaluaciones integradas</w:t>
            </w:r>
          </w:p>
        </w:tc>
        <w:tc>
          <w:tcPr>
            <w:tcW w:w="1730" w:type="dxa"/>
            <w:gridSpan w:val="5"/>
            <w:tcMar>
              <w:top w:w="80" w:type="dxa"/>
              <w:left w:w="80" w:type="dxa"/>
              <w:bottom w:w="80" w:type="dxa"/>
              <w:right w:w="80" w:type="dxa"/>
            </w:tcMar>
          </w:tcPr>
          <w:p w14:paraId="5EC78E90" w14:textId="142D5048" w:rsidR="00162426" w:rsidRPr="002927A1" w:rsidRDefault="00162426" w:rsidP="00162426">
            <w:pPr>
              <w:pStyle w:val="Text"/>
              <w:tabs>
                <w:tab w:val="left" w:pos="1247"/>
                <w:tab w:val="left" w:pos="1814"/>
                <w:tab w:val="left" w:pos="2381"/>
                <w:tab w:val="left" w:pos="2948"/>
                <w:tab w:val="left" w:pos="3515"/>
              </w:tabs>
              <w:spacing w:after="0" w:line="240" w:lineRule="auto"/>
              <w:rPr>
                <w:rFonts w:asciiTheme="majorBidi" w:hAnsiTheme="majorBidi" w:cstheme="majorBidi"/>
                <w:sz w:val="18"/>
                <w:szCs w:val="18"/>
                <w:lang w:val="es-ES_tradnl"/>
              </w:rPr>
            </w:pPr>
            <w:r w:rsidRPr="002927A1">
              <w:rPr>
                <w:iCs/>
                <w:sz w:val="18"/>
                <w:szCs w:val="18"/>
                <w:lang w:val="es-ES_tradnl"/>
              </w:rPr>
              <w:t>- Redes de vigilancia, bases de datos, datos y publicaciones científicas existentes</w:t>
            </w:r>
          </w:p>
        </w:tc>
        <w:tc>
          <w:tcPr>
            <w:tcW w:w="1582" w:type="dxa"/>
            <w:gridSpan w:val="4"/>
            <w:tcMar>
              <w:top w:w="80" w:type="dxa"/>
              <w:left w:w="80" w:type="dxa"/>
              <w:bottom w:w="80" w:type="dxa"/>
              <w:right w:w="80" w:type="dxa"/>
            </w:tcMar>
          </w:tcPr>
          <w:p w14:paraId="28B51D8E" w14:textId="6A6F3691"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719D946A" w14:textId="77777777" w:rsidTr="00A85708">
        <w:tblPrEx>
          <w:shd w:val="clear" w:color="auto" w:fill="auto"/>
        </w:tblPrEx>
        <w:trPr>
          <w:trHeight w:val="57"/>
          <w:jc w:val="right"/>
        </w:trPr>
        <w:tc>
          <w:tcPr>
            <w:tcW w:w="1820" w:type="dxa"/>
            <w:gridSpan w:val="3"/>
            <w:tcMar>
              <w:top w:w="80" w:type="dxa"/>
              <w:left w:w="80" w:type="dxa"/>
              <w:bottom w:w="80" w:type="dxa"/>
              <w:right w:w="80" w:type="dxa"/>
            </w:tcMar>
          </w:tcPr>
          <w:p w14:paraId="535CD36E" w14:textId="0FDD57DC" w:rsidR="00162426" w:rsidRPr="002927A1" w:rsidRDefault="00162426" w:rsidP="00162426">
            <w:pPr>
              <w:pStyle w:val="Text"/>
              <w:tabs>
                <w:tab w:val="left" w:pos="1163"/>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H9. Otro indicador de procesos para el artículo 19 </w:t>
            </w:r>
          </w:p>
        </w:tc>
        <w:tc>
          <w:tcPr>
            <w:tcW w:w="3175" w:type="dxa"/>
            <w:gridSpan w:val="7"/>
            <w:tcMar>
              <w:top w:w="80" w:type="dxa"/>
              <w:left w:w="80" w:type="dxa"/>
              <w:bottom w:w="80" w:type="dxa"/>
              <w:right w:w="80" w:type="dxa"/>
            </w:tcMar>
          </w:tcPr>
          <w:p w14:paraId="2B27FD1A" w14:textId="0A52DAA2"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Número de regiones que contribuyen al conjunto de datos regionales</w:t>
            </w:r>
          </w:p>
        </w:tc>
        <w:tc>
          <w:tcPr>
            <w:tcW w:w="1730" w:type="dxa"/>
            <w:gridSpan w:val="5"/>
            <w:tcMar>
              <w:top w:w="80" w:type="dxa"/>
              <w:left w:w="80" w:type="dxa"/>
              <w:bottom w:w="80" w:type="dxa"/>
              <w:right w:w="80" w:type="dxa"/>
            </w:tcMar>
          </w:tcPr>
          <w:p w14:paraId="382595A1" w14:textId="623E71B1" w:rsidR="00162426" w:rsidRPr="002927A1" w:rsidRDefault="00162426" w:rsidP="00162426">
            <w:pPr>
              <w:pStyle w:val="Text"/>
              <w:tabs>
                <w:tab w:val="left" w:pos="1247"/>
                <w:tab w:val="left" w:pos="1814"/>
                <w:tab w:val="left" w:pos="2381"/>
                <w:tab w:val="left" w:pos="2948"/>
                <w:tab w:val="left" w:pos="3515"/>
              </w:tabs>
              <w:spacing w:after="0" w:line="240" w:lineRule="auto"/>
              <w:rPr>
                <w:rFonts w:asciiTheme="majorBidi" w:hAnsiTheme="majorBidi" w:cstheme="majorBidi"/>
                <w:sz w:val="18"/>
                <w:szCs w:val="18"/>
                <w:lang w:val="es-ES_tradnl"/>
              </w:rPr>
            </w:pPr>
            <w:r w:rsidRPr="002927A1">
              <w:rPr>
                <w:iCs/>
                <w:sz w:val="18"/>
                <w:szCs w:val="18"/>
                <w:lang w:val="es-ES_tradnl"/>
              </w:rPr>
              <w:t>- Redes de vigilancia, bases de datos, datos y publicaciones científicas existentes</w:t>
            </w:r>
          </w:p>
        </w:tc>
        <w:tc>
          <w:tcPr>
            <w:tcW w:w="1582" w:type="dxa"/>
            <w:gridSpan w:val="4"/>
            <w:tcMar>
              <w:top w:w="80" w:type="dxa"/>
              <w:left w:w="80" w:type="dxa"/>
              <w:bottom w:w="80" w:type="dxa"/>
              <w:right w:w="80" w:type="dxa"/>
            </w:tcMar>
          </w:tcPr>
          <w:p w14:paraId="14EA0A65" w14:textId="5FAE863C"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Número en la primera evaluación</w:t>
            </w:r>
          </w:p>
        </w:tc>
      </w:tr>
      <w:tr w:rsidR="00162426" w:rsidRPr="002927A1" w14:paraId="7EF828C0" w14:textId="77777777" w:rsidTr="00A85708">
        <w:tblPrEx>
          <w:shd w:val="clear" w:color="auto" w:fill="auto"/>
        </w:tblPrEx>
        <w:trPr>
          <w:trHeight w:val="57"/>
          <w:jc w:val="right"/>
        </w:trPr>
        <w:tc>
          <w:tcPr>
            <w:tcW w:w="1820" w:type="dxa"/>
            <w:gridSpan w:val="3"/>
            <w:tcBorders>
              <w:bottom w:val="single" w:sz="2" w:space="0" w:color="auto"/>
            </w:tcBorders>
            <w:shd w:val="clear" w:color="auto" w:fill="auto"/>
            <w:tcMar>
              <w:top w:w="80" w:type="dxa"/>
              <w:left w:w="80" w:type="dxa"/>
              <w:bottom w:w="80" w:type="dxa"/>
              <w:right w:w="80" w:type="dxa"/>
            </w:tcMar>
          </w:tcPr>
          <w:p w14:paraId="45538A89" w14:textId="25DC0E65" w:rsidR="00162426" w:rsidRPr="002927A1" w:rsidRDefault="00162426" w:rsidP="00162426">
            <w:pPr>
              <w:pStyle w:val="Text"/>
              <w:tabs>
                <w:tab w:val="left" w:pos="1247"/>
                <w:tab w:val="left" w:pos="1814"/>
                <w:tab w:val="left" w:pos="2381"/>
                <w:tab w:val="left" w:pos="2948"/>
                <w:tab w:val="left" w:pos="3515"/>
              </w:tabs>
              <w:spacing w:after="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487" w:type="dxa"/>
            <w:gridSpan w:val="16"/>
            <w:tcBorders>
              <w:bottom w:val="single" w:sz="2" w:space="0" w:color="auto"/>
            </w:tcBorders>
            <w:tcMar>
              <w:top w:w="80" w:type="dxa"/>
              <w:left w:w="80" w:type="dxa"/>
              <w:bottom w:w="80" w:type="dxa"/>
              <w:right w:w="80" w:type="dxa"/>
            </w:tcMar>
          </w:tcPr>
          <w:p w14:paraId="30F6967E" w14:textId="3905544D" w:rsidR="00162426" w:rsidRPr="002927A1" w:rsidRDefault="00162426" w:rsidP="00A524DB">
            <w:pPr>
              <w:pStyle w:val="Text"/>
              <w:numPr>
                <w:ilvl w:val="0"/>
                <w:numId w:val="34"/>
              </w:numPr>
              <w:spacing w:after="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 xml:space="preserve">Comunicaciones enviadas a la Secretaría que complementan la presentación de informes prevista en el artículo 21 </w:t>
            </w:r>
          </w:p>
        </w:tc>
      </w:tr>
      <w:tr w:rsidR="00162426" w:rsidRPr="002927A1" w14:paraId="24D52D58" w14:textId="77777777" w:rsidTr="00A85708">
        <w:tblPrEx>
          <w:shd w:val="clear" w:color="auto" w:fill="auto"/>
        </w:tblPrEx>
        <w:trPr>
          <w:trHeight w:val="57"/>
          <w:jc w:val="right"/>
        </w:trPr>
        <w:tc>
          <w:tcPr>
            <w:tcW w:w="4964" w:type="dxa"/>
            <w:gridSpan w:val="8"/>
            <w:tcBorders>
              <w:top w:val="single" w:sz="2" w:space="0" w:color="auto"/>
              <w:bottom w:val="single" w:sz="2" w:space="0" w:color="auto"/>
            </w:tcBorders>
            <w:shd w:val="clear" w:color="auto" w:fill="auto"/>
            <w:tcMar>
              <w:top w:w="80" w:type="dxa"/>
              <w:left w:w="80" w:type="dxa"/>
              <w:bottom w:w="80" w:type="dxa"/>
              <w:right w:w="80" w:type="dxa"/>
            </w:tcMar>
          </w:tcPr>
          <w:p w14:paraId="306065EB" w14:textId="7CD8ABFC" w:rsidR="00162426" w:rsidRPr="002927A1" w:rsidRDefault="00A60CBD" w:rsidP="00A60CBD">
            <w:pPr>
              <w:pStyle w:val="Text"/>
              <w:tabs>
                <w:tab w:val="left" w:pos="1247"/>
                <w:tab w:val="left" w:pos="1814"/>
                <w:tab w:val="left" w:pos="2381"/>
                <w:tab w:val="left" w:pos="2948"/>
                <w:tab w:val="left" w:pos="3515"/>
              </w:tabs>
              <w:spacing w:before="40" w:after="40" w:line="240" w:lineRule="auto"/>
              <w:rPr>
                <w:rFonts w:asciiTheme="majorBidi" w:hAnsiTheme="majorBidi" w:cstheme="majorBidi"/>
                <w:i/>
                <w:sz w:val="18"/>
                <w:szCs w:val="18"/>
                <w:lang w:val="es-ES_tradnl"/>
              </w:rPr>
            </w:pPr>
            <w:r w:rsidRPr="002927A1">
              <w:rPr>
                <w:rFonts w:asciiTheme="majorBidi" w:hAnsiTheme="majorBidi" w:cstheme="majorBidi"/>
                <w:bCs/>
                <w:i/>
                <w:sz w:val="18"/>
                <w:szCs w:val="18"/>
                <w:lang w:val="es-ES_tradnl"/>
              </w:rPr>
              <w:t>I: Artículo</w:t>
            </w:r>
            <w:r w:rsidR="00162426" w:rsidRPr="002927A1">
              <w:rPr>
                <w:rFonts w:asciiTheme="majorBidi" w:hAnsiTheme="majorBidi" w:cstheme="majorBidi"/>
                <w:bCs/>
                <w:i/>
                <w:sz w:val="18"/>
                <w:szCs w:val="18"/>
                <w:lang w:val="es-ES_tradnl"/>
              </w:rPr>
              <w:t xml:space="preserve"> </w:t>
            </w:r>
            <w:r w:rsidR="00162426" w:rsidRPr="002927A1">
              <w:rPr>
                <w:rFonts w:ascii="Times New Roman" w:hAnsi="Times New Roman" w:cs="Times New Roman"/>
                <w:bCs/>
                <w:i/>
                <w:sz w:val="18"/>
                <w:szCs w:val="18"/>
                <w:lang w:val="es-ES_tradnl"/>
              </w:rPr>
              <w:t>20 (</w:t>
            </w:r>
            <w:r w:rsidR="00162426" w:rsidRPr="002927A1">
              <w:rPr>
                <w:rFonts w:ascii="Times New Roman" w:eastAsia="Roboto" w:hAnsi="Times New Roman" w:cs="Times New Roman"/>
                <w:bCs/>
                <w:i/>
                <w:sz w:val="18"/>
                <w:szCs w:val="18"/>
                <w:lang w:val="es-ES_tradnl"/>
              </w:rPr>
              <w:t>planes de aplicación)</w:t>
            </w:r>
          </w:p>
        </w:tc>
        <w:tc>
          <w:tcPr>
            <w:tcW w:w="1818" w:type="dxa"/>
            <w:gridSpan w:val="9"/>
            <w:tcBorders>
              <w:top w:val="single" w:sz="2" w:space="0" w:color="auto"/>
              <w:bottom w:val="single" w:sz="2" w:space="0" w:color="auto"/>
            </w:tcBorders>
            <w:shd w:val="clear" w:color="auto" w:fill="auto"/>
            <w:tcMar>
              <w:top w:w="80" w:type="dxa"/>
              <w:left w:w="80" w:type="dxa"/>
              <w:bottom w:w="80" w:type="dxa"/>
              <w:right w:w="80" w:type="dxa"/>
            </w:tcMar>
          </w:tcPr>
          <w:p w14:paraId="7D32A2BD" w14:textId="45C55F7E" w:rsidR="00162426" w:rsidRPr="002927A1" w:rsidRDefault="00162426" w:rsidP="00162426">
            <w:pPr>
              <w:pStyle w:val="Text"/>
              <w:tabs>
                <w:tab w:val="left" w:pos="1247"/>
                <w:tab w:val="left" w:pos="1814"/>
                <w:tab w:val="left" w:pos="2381"/>
                <w:tab w:val="left" w:pos="2948"/>
                <w:tab w:val="left" w:pos="3515"/>
              </w:tabs>
              <w:spacing w:before="40" w:after="4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 el indicador</w:t>
            </w:r>
          </w:p>
        </w:tc>
        <w:tc>
          <w:tcPr>
            <w:tcW w:w="1525" w:type="dxa"/>
            <w:gridSpan w:val="2"/>
            <w:tcBorders>
              <w:top w:val="single" w:sz="2" w:space="0" w:color="auto"/>
              <w:bottom w:val="single" w:sz="2" w:space="0" w:color="auto"/>
            </w:tcBorders>
            <w:shd w:val="clear" w:color="auto" w:fill="auto"/>
            <w:tcMar>
              <w:top w:w="80" w:type="dxa"/>
              <w:left w:w="80" w:type="dxa"/>
              <w:bottom w:w="80" w:type="dxa"/>
              <w:right w:w="80" w:type="dxa"/>
            </w:tcMar>
          </w:tcPr>
          <w:p w14:paraId="1A9A199C" w14:textId="0A34ADF9" w:rsidR="00162426" w:rsidRPr="002927A1" w:rsidRDefault="00162426" w:rsidP="00162426">
            <w:pPr>
              <w:pStyle w:val="Text"/>
              <w:tabs>
                <w:tab w:val="left" w:pos="1247"/>
                <w:tab w:val="left" w:pos="1814"/>
                <w:tab w:val="left" w:pos="2381"/>
                <w:tab w:val="left" w:pos="2948"/>
                <w:tab w:val="left" w:pos="3515"/>
              </w:tabs>
              <w:spacing w:before="40" w:after="4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 del indicador</w:t>
            </w:r>
          </w:p>
        </w:tc>
      </w:tr>
      <w:tr w:rsidR="00162426" w:rsidRPr="002927A1" w14:paraId="751D97F1" w14:textId="77777777" w:rsidTr="00A85708">
        <w:tblPrEx>
          <w:shd w:val="clear" w:color="auto" w:fill="auto"/>
        </w:tblPrEx>
        <w:trPr>
          <w:trHeight w:val="57"/>
          <w:jc w:val="right"/>
        </w:trPr>
        <w:tc>
          <w:tcPr>
            <w:tcW w:w="1764" w:type="dxa"/>
            <w:tcBorders>
              <w:top w:val="single" w:sz="2" w:space="0" w:color="auto"/>
            </w:tcBorders>
            <w:tcMar>
              <w:top w:w="80" w:type="dxa"/>
              <w:left w:w="80" w:type="dxa"/>
              <w:bottom w:w="80" w:type="dxa"/>
              <w:right w:w="80" w:type="dxa"/>
            </w:tcMar>
          </w:tcPr>
          <w:p w14:paraId="2139613D" w14:textId="56EF7E4D" w:rsidR="00162426" w:rsidRPr="002927A1" w:rsidRDefault="00162426" w:rsidP="0016242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I1. Indicador de procesos</w:t>
            </w:r>
          </w:p>
        </w:tc>
        <w:tc>
          <w:tcPr>
            <w:tcW w:w="3200" w:type="dxa"/>
            <w:gridSpan w:val="7"/>
            <w:tcBorders>
              <w:top w:val="single" w:sz="2" w:space="0" w:color="auto"/>
            </w:tcBorders>
            <w:tcMar>
              <w:top w:w="80" w:type="dxa"/>
              <w:left w:w="80" w:type="dxa"/>
              <w:bottom w:w="80" w:type="dxa"/>
              <w:right w:w="80" w:type="dxa"/>
            </w:tcMar>
          </w:tcPr>
          <w:p w14:paraId="29D1D3CF" w14:textId="77777777" w:rsidR="00162426" w:rsidRPr="002927A1" w:rsidRDefault="00162426" w:rsidP="00162426">
            <w:pPr>
              <w:pBdr>
                <w:top w:val="nil"/>
                <w:left w:val="nil"/>
                <w:bottom w:val="nil"/>
                <w:right w:val="nil"/>
                <w:between w:val="nil"/>
                <w:bar w:val="nil"/>
              </w:pBdr>
              <w:rPr>
                <w:rFonts w:eastAsia="Roboto"/>
                <w:sz w:val="18"/>
                <w:szCs w:val="18"/>
              </w:rPr>
            </w:pPr>
            <w:r w:rsidRPr="002927A1">
              <w:rPr>
                <w:rStyle w:val="dn"/>
                <w:rFonts w:eastAsia="Roboto"/>
                <w:sz w:val="18"/>
                <w:szCs w:val="18"/>
              </w:rPr>
              <w:t>Número de Partes que han presentado planes de aplicación</w:t>
            </w:r>
          </w:p>
          <w:p w14:paraId="31541397" w14:textId="3CCD44B6" w:rsidR="00162426" w:rsidRPr="002927A1" w:rsidRDefault="00162426" w:rsidP="0016242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p>
        </w:tc>
        <w:tc>
          <w:tcPr>
            <w:tcW w:w="1818" w:type="dxa"/>
            <w:gridSpan w:val="9"/>
            <w:tcBorders>
              <w:top w:val="single" w:sz="2" w:space="0" w:color="auto"/>
            </w:tcBorders>
            <w:tcMar>
              <w:top w:w="80" w:type="dxa"/>
              <w:left w:w="80" w:type="dxa"/>
              <w:bottom w:w="80" w:type="dxa"/>
              <w:right w:w="80" w:type="dxa"/>
            </w:tcMar>
          </w:tcPr>
          <w:p w14:paraId="018044B4" w14:textId="254E0575" w:rsidR="00162426" w:rsidRPr="002927A1" w:rsidRDefault="00162426" w:rsidP="00162426">
            <w:pPr>
              <w:pStyle w:val="Text"/>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Informe de la Secretaría a la Conferencia de las Partes sobre la presentación de planes de aplicación</w:t>
            </w:r>
          </w:p>
        </w:tc>
        <w:tc>
          <w:tcPr>
            <w:tcW w:w="1525" w:type="dxa"/>
            <w:gridSpan w:val="2"/>
            <w:tcBorders>
              <w:top w:val="single" w:sz="2" w:space="0" w:color="auto"/>
            </w:tcBorders>
            <w:tcMar>
              <w:top w:w="80" w:type="dxa"/>
              <w:left w:w="80" w:type="dxa"/>
              <w:bottom w:w="80" w:type="dxa"/>
              <w:right w:w="80" w:type="dxa"/>
            </w:tcMar>
          </w:tcPr>
          <w:p w14:paraId="30D84D63" w14:textId="14CB1DDA" w:rsidR="00162426" w:rsidRPr="002927A1" w:rsidRDefault="00162426" w:rsidP="0016242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Cero</w:t>
            </w:r>
          </w:p>
        </w:tc>
      </w:tr>
      <w:tr w:rsidR="004872A6" w:rsidRPr="002927A1" w14:paraId="4E96C806" w14:textId="77777777" w:rsidTr="00A85708">
        <w:tblPrEx>
          <w:shd w:val="clear" w:color="auto" w:fill="auto"/>
        </w:tblPrEx>
        <w:trPr>
          <w:trHeight w:val="57"/>
          <w:jc w:val="right"/>
        </w:trPr>
        <w:tc>
          <w:tcPr>
            <w:tcW w:w="1764" w:type="dxa"/>
            <w:tcBorders>
              <w:bottom w:val="single" w:sz="2" w:space="0" w:color="auto"/>
            </w:tcBorders>
            <w:shd w:val="clear" w:color="auto" w:fill="auto"/>
            <w:tcMar>
              <w:top w:w="80" w:type="dxa"/>
              <w:left w:w="80" w:type="dxa"/>
              <w:bottom w:w="80" w:type="dxa"/>
              <w:right w:w="80" w:type="dxa"/>
            </w:tcMar>
          </w:tcPr>
          <w:p w14:paraId="0B5B011C" w14:textId="30DCF136"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543" w:type="dxa"/>
            <w:gridSpan w:val="18"/>
            <w:tcBorders>
              <w:bottom w:val="single" w:sz="2" w:space="0" w:color="auto"/>
            </w:tcBorders>
            <w:tcMar>
              <w:top w:w="80" w:type="dxa"/>
              <w:left w:w="80" w:type="dxa"/>
              <w:bottom w:w="80" w:type="dxa"/>
              <w:right w:w="80" w:type="dxa"/>
            </w:tcMar>
          </w:tcPr>
          <w:p w14:paraId="3D46577A" w14:textId="551A6060" w:rsidR="004872A6" w:rsidRPr="002927A1" w:rsidRDefault="004872A6" w:rsidP="00A524DB">
            <w:pPr>
              <w:pStyle w:val="Text"/>
              <w:numPr>
                <w:ilvl w:val="0"/>
                <w:numId w:val="35"/>
              </w:numPr>
              <w:spacing w:before="40" w:after="4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Las Partes no tienen obligación de preparar un plan de aplicación. Sin embargo, algunas Partes han considerado útil preparar ese plan y presentarlo a la Secretaría.</w:t>
            </w:r>
          </w:p>
        </w:tc>
      </w:tr>
      <w:tr w:rsidR="004872A6" w:rsidRPr="002927A1" w14:paraId="7B4AA7A4" w14:textId="77777777" w:rsidTr="00A85708">
        <w:tblPrEx>
          <w:shd w:val="clear" w:color="auto" w:fill="auto"/>
        </w:tblPrEx>
        <w:trPr>
          <w:trHeight w:val="57"/>
          <w:jc w:val="right"/>
        </w:trPr>
        <w:tc>
          <w:tcPr>
            <w:tcW w:w="4960" w:type="dxa"/>
            <w:gridSpan w:val="8"/>
            <w:tcBorders>
              <w:top w:val="single" w:sz="2" w:space="0" w:color="auto"/>
              <w:bottom w:val="single" w:sz="2" w:space="0" w:color="auto"/>
            </w:tcBorders>
            <w:shd w:val="clear" w:color="auto" w:fill="auto"/>
            <w:tcMar>
              <w:top w:w="80" w:type="dxa"/>
              <w:left w:w="80" w:type="dxa"/>
              <w:bottom w:w="80" w:type="dxa"/>
              <w:right w:w="80" w:type="dxa"/>
            </w:tcMar>
          </w:tcPr>
          <w:p w14:paraId="55EB62CD" w14:textId="0E519E9C"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i/>
                <w:sz w:val="18"/>
                <w:szCs w:val="18"/>
                <w:lang w:val="es-ES_tradnl"/>
              </w:rPr>
            </w:pPr>
            <w:r w:rsidRPr="002927A1">
              <w:rPr>
                <w:rFonts w:ascii="Times New Roman" w:eastAsia="Roboto" w:hAnsi="Times New Roman" w:cs="Times New Roman"/>
                <w:bCs/>
                <w:i/>
                <w:sz w:val="18"/>
                <w:szCs w:val="18"/>
                <w:lang w:val="es-ES_tradnl"/>
              </w:rPr>
              <w:t>J: Artículo 21 (presentación de informes)</w:t>
            </w:r>
          </w:p>
        </w:tc>
        <w:tc>
          <w:tcPr>
            <w:tcW w:w="1771" w:type="dxa"/>
            <w:gridSpan w:val="8"/>
            <w:tcBorders>
              <w:top w:val="single" w:sz="2" w:space="0" w:color="auto"/>
              <w:bottom w:val="single" w:sz="2" w:space="0" w:color="auto"/>
            </w:tcBorders>
            <w:shd w:val="clear" w:color="auto" w:fill="auto"/>
            <w:tcMar>
              <w:top w:w="80" w:type="dxa"/>
              <w:left w:w="80" w:type="dxa"/>
              <w:bottom w:w="80" w:type="dxa"/>
              <w:right w:w="80" w:type="dxa"/>
            </w:tcMar>
          </w:tcPr>
          <w:p w14:paraId="423A38AD" w14:textId="336DDAA7"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Fuente de información sobre el indicador</w:t>
            </w:r>
          </w:p>
        </w:tc>
        <w:tc>
          <w:tcPr>
            <w:tcW w:w="1576" w:type="dxa"/>
            <w:gridSpan w:val="3"/>
            <w:tcBorders>
              <w:top w:val="single" w:sz="2" w:space="0" w:color="auto"/>
              <w:bottom w:val="single" w:sz="2" w:space="0" w:color="auto"/>
            </w:tcBorders>
            <w:shd w:val="clear" w:color="auto" w:fill="auto"/>
            <w:tcMar>
              <w:top w:w="80" w:type="dxa"/>
              <w:left w:w="80" w:type="dxa"/>
              <w:bottom w:w="80" w:type="dxa"/>
              <w:right w:w="80" w:type="dxa"/>
            </w:tcMar>
          </w:tcPr>
          <w:p w14:paraId="4E9D1565" w14:textId="343E85F9"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i/>
                <w:sz w:val="18"/>
                <w:szCs w:val="18"/>
                <w:lang w:val="es-ES_tradnl"/>
              </w:rPr>
            </w:pPr>
            <w:r w:rsidRPr="002927A1">
              <w:rPr>
                <w:rFonts w:ascii="Times New Roman" w:hAnsi="Times New Roman" w:cs="Times New Roman"/>
                <w:bCs/>
                <w:i/>
                <w:sz w:val="18"/>
                <w:szCs w:val="18"/>
                <w:lang w:val="es-ES_tradnl"/>
              </w:rPr>
              <w:t>Parámetro de referencia del indicador</w:t>
            </w:r>
          </w:p>
        </w:tc>
      </w:tr>
      <w:tr w:rsidR="004872A6" w:rsidRPr="002927A1" w14:paraId="070FAE61" w14:textId="77777777" w:rsidTr="00A85708">
        <w:tblPrEx>
          <w:shd w:val="clear" w:color="auto" w:fill="auto"/>
        </w:tblPrEx>
        <w:trPr>
          <w:trHeight w:val="57"/>
          <w:jc w:val="right"/>
        </w:trPr>
        <w:tc>
          <w:tcPr>
            <w:tcW w:w="1798" w:type="dxa"/>
            <w:gridSpan w:val="2"/>
            <w:tcBorders>
              <w:top w:val="single" w:sz="2" w:space="0" w:color="auto"/>
            </w:tcBorders>
            <w:tcMar>
              <w:top w:w="80" w:type="dxa"/>
              <w:left w:w="80" w:type="dxa"/>
              <w:bottom w:w="80" w:type="dxa"/>
              <w:right w:w="80" w:type="dxa"/>
            </w:tcMar>
          </w:tcPr>
          <w:p w14:paraId="7A0E4A9E" w14:textId="660ACFFE"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J1. Indicador de procesos</w:t>
            </w:r>
          </w:p>
        </w:tc>
        <w:tc>
          <w:tcPr>
            <w:tcW w:w="3162" w:type="dxa"/>
            <w:gridSpan w:val="6"/>
            <w:tcBorders>
              <w:top w:val="single" w:sz="2" w:space="0" w:color="auto"/>
            </w:tcBorders>
            <w:tcMar>
              <w:top w:w="80" w:type="dxa"/>
              <w:left w:w="80" w:type="dxa"/>
              <w:bottom w:w="80" w:type="dxa"/>
              <w:right w:w="80" w:type="dxa"/>
            </w:tcMar>
          </w:tcPr>
          <w:p w14:paraId="197886B9" w14:textId="77777777" w:rsidR="004872A6" w:rsidRPr="002927A1" w:rsidRDefault="004872A6" w:rsidP="00C37F8D">
            <w:pPr>
              <w:keepNext/>
              <w:keepLines/>
              <w:pBdr>
                <w:top w:val="nil"/>
                <w:left w:val="nil"/>
                <w:bottom w:val="nil"/>
                <w:right w:val="nil"/>
                <w:between w:val="nil"/>
                <w:bar w:val="nil"/>
              </w:pBdr>
              <w:rPr>
                <w:rFonts w:eastAsia="Roboto"/>
                <w:sz w:val="18"/>
                <w:szCs w:val="18"/>
              </w:rPr>
            </w:pPr>
            <w:r w:rsidRPr="002927A1">
              <w:rPr>
                <w:rStyle w:val="dn"/>
                <w:rFonts w:eastAsia="Roboto"/>
                <w:sz w:val="18"/>
                <w:szCs w:val="18"/>
              </w:rPr>
              <w:t>Proporción de Partes que presentan informes a tiempo</w:t>
            </w:r>
          </w:p>
          <w:p w14:paraId="11517BF9" w14:textId="47DA36E3"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p>
        </w:tc>
        <w:tc>
          <w:tcPr>
            <w:tcW w:w="1771" w:type="dxa"/>
            <w:gridSpan w:val="8"/>
            <w:tcBorders>
              <w:top w:val="single" w:sz="2" w:space="0" w:color="auto"/>
            </w:tcBorders>
            <w:tcMar>
              <w:top w:w="80" w:type="dxa"/>
              <w:left w:w="80" w:type="dxa"/>
              <w:bottom w:w="80" w:type="dxa"/>
              <w:right w:w="80" w:type="dxa"/>
            </w:tcMar>
          </w:tcPr>
          <w:p w14:paraId="7E0DBA92" w14:textId="738F9C7E"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76" w:type="dxa"/>
            <w:gridSpan w:val="3"/>
            <w:tcBorders>
              <w:top w:val="single" w:sz="2" w:space="0" w:color="auto"/>
            </w:tcBorders>
            <w:tcMar>
              <w:top w:w="80" w:type="dxa"/>
              <w:left w:w="80" w:type="dxa"/>
              <w:bottom w:w="80" w:type="dxa"/>
              <w:right w:w="80" w:type="dxa"/>
            </w:tcMar>
          </w:tcPr>
          <w:p w14:paraId="6FBB7F4D" w14:textId="7FCA1CBD" w:rsidR="004872A6" w:rsidRPr="002927A1" w:rsidRDefault="004872A6" w:rsidP="00C37F8D">
            <w:pPr>
              <w:pStyle w:val="Text"/>
              <w:keepNext/>
              <w:keepLines/>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de la primera presentación a tiempo</w:t>
            </w:r>
          </w:p>
        </w:tc>
      </w:tr>
      <w:tr w:rsidR="004872A6" w:rsidRPr="002927A1" w14:paraId="75370D30" w14:textId="77777777" w:rsidTr="00A85708">
        <w:tblPrEx>
          <w:shd w:val="clear" w:color="auto" w:fill="auto"/>
        </w:tblPrEx>
        <w:trPr>
          <w:trHeight w:val="57"/>
          <w:jc w:val="right"/>
        </w:trPr>
        <w:tc>
          <w:tcPr>
            <w:tcW w:w="1798" w:type="dxa"/>
            <w:gridSpan w:val="2"/>
            <w:tcBorders>
              <w:bottom w:val="single" w:sz="2" w:space="0" w:color="auto"/>
            </w:tcBorders>
            <w:tcMar>
              <w:top w:w="80" w:type="dxa"/>
              <w:left w:w="80" w:type="dxa"/>
              <w:bottom w:w="80" w:type="dxa"/>
              <w:right w:w="80" w:type="dxa"/>
            </w:tcMar>
          </w:tcPr>
          <w:p w14:paraId="7FA16706" w14:textId="0CA74B60"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J2. Indicador de procesos</w:t>
            </w:r>
          </w:p>
        </w:tc>
        <w:tc>
          <w:tcPr>
            <w:tcW w:w="3162" w:type="dxa"/>
            <w:gridSpan w:val="6"/>
            <w:tcBorders>
              <w:bottom w:val="single" w:sz="2" w:space="0" w:color="auto"/>
            </w:tcBorders>
            <w:tcMar>
              <w:top w:w="80" w:type="dxa"/>
              <w:left w:w="80" w:type="dxa"/>
              <w:bottom w:w="80" w:type="dxa"/>
              <w:right w:w="80" w:type="dxa"/>
            </w:tcMar>
          </w:tcPr>
          <w:p w14:paraId="626F3287" w14:textId="77777777" w:rsidR="004872A6" w:rsidRPr="002927A1" w:rsidRDefault="004872A6" w:rsidP="004872A6">
            <w:pPr>
              <w:pBdr>
                <w:top w:val="nil"/>
                <w:left w:val="nil"/>
                <w:bottom w:val="nil"/>
                <w:right w:val="nil"/>
                <w:between w:val="nil"/>
                <w:bar w:val="nil"/>
              </w:pBdr>
              <w:rPr>
                <w:rFonts w:eastAsia="Roboto"/>
                <w:sz w:val="18"/>
                <w:szCs w:val="18"/>
              </w:rPr>
            </w:pPr>
            <w:r w:rsidRPr="002927A1">
              <w:rPr>
                <w:rStyle w:val="dn"/>
                <w:rFonts w:eastAsia="Roboto"/>
                <w:sz w:val="18"/>
                <w:szCs w:val="18"/>
              </w:rPr>
              <w:t>Proporción de Partes que presentan informes a tiempo</w:t>
            </w:r>
          </w:p>
          <w:p w14:paraId="6DFA3C53" w14:textId="09036610"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p>
        </w:tc>
        <w:tc>
          <w:tcPr>
            <w:tcW w:w="1771" w:type="dxa"/>
            <w:gridSpan w:val="8"/>
            <w:tcBorders>
              <w:bottom w:val="single" w:sz="2" w:space="0" w:color="auto"/>
            </w:tcBorders>
            <w:tcMar>
              <w:top w:w="80" w:type="dxa"/>
              <w:left w:w="80" w:type="dxa"/>
              <w:bottom w:w="80" w:type="dxa"/>
              <w:right w:w="80" w:type="dxa"/>
            </w:tcMar>
          </w:tcPr>
          <w:p w14:paraId="33E932C4" w14:textId="67737EB0"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 con arreglo al artículo 21</w:t>
            </w:r>
          </w:p>
        </w:tc>
        <w:tc>
          <w:tcPr>
            <w:tcW w:w="1576" w:type="dxa"/>
            <w:gridSpan w:val="3"/>
            <w:tcBorders>
              <w:bottom w:val="single" w:sz="2" w:space="0" w:color="auto"/>
            </w:tcBorders>
            <w:tcMar>
              <w:top w:w="80" w:type="dxa"/>
              <w:left w:w="80" w:type="dxa"/>
              <w:bottom w:w="80" w:type="dxa"/>
              <w:right w:w="80" w:type="dxa"/>
            </w:tcMar>
          </w:tcPr>
          <w:p w14:paraId="144D515D" w14:textId="16605977"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no disponible en los primeros informes</w:t>
            </w:r>
          </w:p>
        </w:tc>
      </w:tr>
      <w:tr w:rsidR="004872A6" w:rsidRPr="002927A1" w14:paraId="4CBCD012" w14:textId="77777777" w:rsidTr="00A85708">
        <w:tblPrEx>
          <w:shd w:val="clear" w:color="auto" w:fill="auto"/>
        </w:tblPrEx>
        <w:trPr>
          <w:trHeight w:val="57"/>
          <w:jc w:val="right"/>
        </w:trPr>
        <w:tc>
          <w:tcPr>
            <w:tcW w:w="1798" w:type="dxa"/>
            <w:gridSpan w:val="2"/>
            <w:tcBorders>
              <w:top w:val="single" w:sz="2" w:space="0" w:color="auto"/>
            </w:tcBorders>
            <w:tcMar>
              <w:top w:w="80" w:type="dxa"/>
              <w:left w:w="80" w:type="dxa"/>
              <w:bottom w:w="80" w:type="dxa"/>
              <w:right w:w="80" w:type="dxa"/>
            </w:tcMar>
          </w:tcPr>
          <w:p w14:paraId="5C01D150" w14:textId="183495A5"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lastRenderedPageBreak/>
              <w:t>J3. Indicador de procesos</w:t>
            </w:r>
          </w:p>
        </w:tc>
        <w:tc>
          <w:tcPr>
            <w:tcW w:w="3162" w:type="dxa"/>
            <w:gridSpan w:val="6"/>
            <w:tcBorders>
              <w:top w:val="single" w:sz="2" w:space="0" w:color="auto"/>
            </w:tcBorders>
            <w:tcMar>
              <w:top w:w="80" w:type="dxa"/>
              <w:left w:w="80" w:type="dxa"/>
              <w:bottom w:w="80" w:type="dxa"/>
              <w:right w:w="80" w:type="dxa"/>
            </w:tcMar>
          </w:tcPr>
          <w:p w14:paraId="4CC7D309" w14:textId="04418FA4"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Proporción de Partes que indican que no disponen de información en relación con cuestiones específicas</w:t>
            </w:r>
          </w:p>
        </w:tc>
        <w:tc>
          <w:tcPr>
            <w:tcW w:w="1771" w:type="dxa"/>
            <w:gridSpan w:val="8"/>
            <w:tcBorders>
              <w:top w:val="single" w:sz="2" w:space="0" w:color="auto"/>
            </w:tcBorders>
            <w:tcMar>
              <w:top w:w="80" w:type="dxa"/>
              <w:left w:w="80" w:type="dxa"/>
              <w:bottom w:w="80" w:type="dxa"/>
              <w:right w:w="80" w:type="dxa"/>
            </w:tcMar>
          </w:tcPr>
          <w:p w14:paraId="28F7EC78" w14:textId="4ECD1656"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iCs/>
                <w:sz w:val="18"/>
                <w:szCs w:val="18"/>
                <w:lang w:val="es-ES_tradnl"/>
              </w:rPr>
              <w:t>- Presentación de informes</w:t>
            </w:r>
            <w:r w:rsidR="00A85708" w:rsidRPr="002927A1">
              <w:rPr>
                <w:rFonts w:ascii="Times New Roman" w:hAnsi="Times New Roman" w:cs="Times New Roman"/>
                <w:iCs/>
                <w:sz w:val="18"/>
                <w:szCs w:val="18"/>
                <w:lang w:val="es-ES_tradnl"/>
              </w:rPr>
              <w:t xml:space="preserve"> </w:t>
            </w:r>
            <w:r w:rsidRPr="002927A1">
              <w:rPr>
                <w:rFonts w:ascii="Times New Roman" w:hAnsi="Times New Roman" w:cs="Times New Roman"/>
                <w:iCs/>
                <w:sz w:val="18"/>
                <w:szCs w:val="18"/>
                <w:lang w:val="es-ES_tradnl"/>
              </w:rPr>
              <w:t>con arreglo al artículo 21</w:t>
            </w:r>
          </w:p>
        </w:tc>
        <w:tc>
          <w:tcPr>
            <w:tcW w:w="1576" w:type="dxa"/>
            <w:gridSpan w:val="3"/>
            <w:tcBorders>
              <w:top w:val="single" w:sz="2" w:space="0" w:color="auto"/>
            </w:tcBorders>
            <w:tcMar>
              <w:top w:w="80" w:type="dxa"/>
              <w:left w:w="80" w:type="dxa"/>
              <w:bottom w:w="80" w:type="dxa"/>
              <w:right w:w="80" w:type="dxa"/>
            </w:tcMar>
          </w:tcPr>
          <w:p w14:paraId="4A377629" w14:textId="7F15368E"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sz w:val="18"/>
                <w:szCs w:val="18"/>
                <w:lang w:val="es-ES_tradnl"/>
              </w:rPr>
              <w:t>Porcentaje no disponible en los primeros informes</w:t>
            </w:r>
          </w:p>
        </w:tc>
      </w:tr>
      <w:tr w:rsidR="004872A6" w:rsidRPr="002927A1" w14:paraId="73E37901" w14:textId="77777777" w:rsidTr="000B3CCC">
        <w:tblPrEx>
          <w:shd w:val="clear" w:color="auto" w:fill="auto"/>
        </w:tblPrEx>
        <w:trPr>
          <w:trHeight w:val="57"/>
          <w:jc w:val="right"/>
        </w:trPr>
        <w:tc>
          <w:tcPr>
            <w:tcW w:w="1798" w:type="dxa"/>
            <w:gridSpan w:val="2"/>
            <w:tcBorders>
              <w:bottom w:val="single" w:sz="12" w:space="0" w:color="auto"/>
            </w:tcBorders>
            <w:shd w:val="clear" w:color="auto" w:fill="auto"/>
            <w:tcMar>
              <w:top w:w="80" w:type="dxa"/>
              <w:left w:w="80" w:type="dxa"/>
              <w:bottom w:w="80" w:type="dxa"/>
              <w:right w:w="80" w:type="dxa"/>
            </w:tcMar>
          </w:tcPr>
          <w:p w14:paraId="02871FD4" w14:textId="49D9312F" w:rsidR="004872A6" w:rsidRPr="002927A1" w:rsidRDefault="004872A6" w:rsidP="004872A6">
            <w:pPr>
              <w:pStyle w:val="Text"/>
              <w:tabs>
                <w:tab w:val="left" w:pos="1247"/>
                <w:tab w:val="left" w:pos="1814"/>
                <w:tab w:val="left" w:pos="2381"/>
                <w:tab w:val="left" w:pos="2948"/>
                <w:tab w:val="left" w:pos="3515"/>
              </w:tabs>
              <w:spacing w:before="40" w:after="40" w:line="240" w:lineRule="auto"/>
              <w:rPr>
                <w:rFonts w:ascii="Times New Roman" w:hAnsi="Times New Roman" w:cs="Times New Roman"/>
                <w:sz w:val="18"/>
                <w:szCs w:val="18"/>
                <w:lang w:val="es-ES_tradnl"/>
              </w:rPr>
            </w:pPr>
            <w:r w:rsidRPr="002927A1">
              <w:rPr>
                <w:rFonts w:ascii="Times New Roman" w:hAnsi="Times New Roman" w:cs="Times New Roman"/>
                <w:b/>
                <w:bCs/>
                <w:sz w:val="18"/>
                <w:szCs w:val="18"/>
                <w:lang w:val="es-ES_tradnl"/>
              </w:rPr>
              <w:t>Notas</w:t>
            </w:r>
          </w:p>
        </w:tc>
        <w:tc>
          <w:tcPr>
            <w:tcW w:w="6509" w:type="dxa"/>
            <w:gridSpan w:val="17"/>
            <w:tcBorders>
              <w:bottom w:val="single" w:sz="12" w:space="0" w:color="auto"/>
            </w:tcBorders>
            <w:tcMar>
              <w:top w:w="80" w:type="dxa"/>
              <w:left w:w="80" w:type="dxa"/>
              <w:bottom w:w="80" w:type="dxa"/>
              <w:right w:w="80" w:type="dxa"/>
            </w:tcMar>
          </w:tcPr>
          <w:p w14:paraId="14DCC0F7" w14:textId="47BFBDA6" w:rsidR="004872A6" w:rsidRPr="002927A1" w:rsidRDefault="004872A6" w:rsidP="00A524DB">
            <w:pPr>
              <w:pStyle w:val="Text"/>
              <w:numPr>
                <w:ilvl w:val="0"/>
                <w:numId w:val="36"/>
              </w:numPr>
              <w:spacing w:before="40" w:after="40" w:line="240" w:lineRule="auto"/>
              <w:rPr>
                <w:rFonts w:ascii="Times New Roman" w:hAnsi="Times New Roman" w:cs="Times New Roman"/>
                <w:sz w:val="18"/>
                <w:szCs w:val="18"/>
                <w:lang w:val="es-ES_tradnl"/>
              </w:rPr>
            </w:pPr>
            <w:r w:rsidRPr="002927A1">
              <w:rPr>
                <w:rStyle w:val="dn"/>
                <w:rFonts w:ascii="Times New Roman" w:eastAsia="Roboto" w:hAnsi="Times New Roman" w:cs="Times New Roman"/>
                <w:sz w:val="18"/>
                <w:szCs w:val="18"/>
                <w:lang w:val="es-ES_tradnl"/>
              </w:rPr>
              <w:t>Las Partes no tienen obligación de preparar un plan de aplicación. Sin embargo, algunas Partes han considerado útil preparar ese plan y presentarlo a la Secretaría.</w:t>
            </w:r>
          </w:p>
        </w:tc>
      </w:tr>
    </w:tbl>
    <w:p w14:paraId="78A611D2" w14:textId="77777777" w:rsidR="006D667A" w:rsidRPr="002927A1" w:rsidRDefault="006D667A" w:rsidP="006D667A">
      <w:pPr>
        <w:pStyle w:val="Text"/>
        <w:widowControl w:val="0"/>
        <w:tabs>
          <w:tab w:val="left" w:pos="1247"/>
          <w:tab w:val="left" w:pos="1814"/>
          <w:tab w:val="left" w:pos="2381"/>
          <w:tab w:val="left" w:pos="2948"/>
          <w:tab w:val="left" w:pos="3515"/>
        </w:tabs>
        <w:spacing w:after="0" w:line="240" w:lineRule="auto"/>
        <w:jc w:val="right"/>
        <w:rPr>
          <w:rFonts w:asciiTheme="majorBidi" w:eastAsia="Times New Roman" w:hAnsiTheme="majorBidi" w:cstheme="majorBidi"/>
          <w:sz w:val="12"/>
          <w:szCs w:val="12"/>
          <w:lang w:val="es-ES_tradnl"/>
        </w:rPr>
      </w:pPr>
    </w:p>
    <w:p w14:paraId="190A58E2" w14:textId="61A9CF10" w:rsidR="006D667A" w:rsidRPr="002927A1" w:rsidRDefault="006D667A" w:rsidP="004872A6">
      <w:pPr>
        <w:pStyle w:val="Text"/>
        <w:keepNext/>
        <w:keepLines/>
        <w:tabs>
          <w:tab w:val="left" w:pos="1247"/>
          <w:tab w:val="left" w:pos="1814"/>
          <w:tab w:val="left" w:pos="2381"/>
          <w:tab w:val="left" w:pos="2948"/>
          <w:tab w:val="left" w:pos="3515"/>
          <w:tab w:val="left" w:pos="4082"/>
        </w:tabs>
        <w:suppressAutoHyphens/>
        <w:spacing w:before="20" w:after="40" w:line="240" w:lineRule="auto"/>
        <w:ind w:left="1247"/>
        <w:rPr>
          <w:rFonts w:asciiTheme="majorBidi" w:hAnsiTheme="majorBidi" w:cstheme="majorBidi"/>
          <w:lang w:val="es-ES_tradnl"/>
        </w:rPr>
      </w:pPr>
      <w:r w:rsidRPr="002927A1">
        <w:rPr>
          <w:rFonts w:asciiTheme="majorBidi" w:hAnsiTheme="majorBidi" w:cstheme="majorBidi"/>
          <w:i/>
          <w:iCs/>
          <w:sz w:val="17"/>
          <w:szCs w:val="17"/>
          <w:lang w:val="es-ES_tradnl"/>
        </w:rPr>
        <w:t>Abrevia</w:t>
      </w:r>
      <w:r w:rsidR="004872A6" w:rsidRPr="002927A1">
        <w:rPr>
          <w:rFonts w:asciiTheme="majorBidi" w:hAnsiTheme="majorBidi" w:cstheme="majorBidi"/>
          <w:i/>
          <w:iCs/>
          <w:sz w:val="17"/>
          <w:szCs w:val="17"/>
          <w:lang w:val="es-ES_tradnl"/>
        </w:rPr>
        <w:t>c</w:t>
      </w:r>
      <w:r w:rsidRPr="002927A1">
        <w:rPr>
          <w:rFonts w:asciiTheme="majorBidi" w:hAnsiTheme="majorBidi" w:cstheme="majorBidi"/>
          <w:i/>
          <w:iCs/>
          <w:sz w:val="17"/>
          <w:szCs w:val="17"/>
          <w:lang w:val="es-ES_tradnl"/>
        </w:rPr>
        <w:t>ion</w:t>
      </w:r>
      <w:r w:rsidR="004872A6" w:rsidRPr="002927A1">
        <w:rPr>
          <w:rFonts w:asciiTheme="majorBidi" w:hAnsiTheme="majorBidi" w:cstheme="majorBidi"/>
          <w:i/>
          <w:iCs/>
          <w:sz w:val="17"/>
          <w:szCs w:val="17"/>
          <w:lang w:val="es-ES_tradnl"/>
        </w:rPr>
        <w:t>e</w:t>
      </w:r>
      <w:r w:rsidRPr="002927A1">
        <w:rPr>
          <w:rFonts w:asciiTheme="majorBidi" w:hAnsiTheme="majorBidi" w:cstheme="majorBidi"/>
          <w:i/>
          <w:iCs/>
          <w:sz w:val="17"/>
          <w:szCs w:val="17"/>
          <w:lang w:val="es-ES_tradnl"/>
        </w:rPr>
        <w:t>s:</w:t>
      </w:r>
      <w:r w:rsidR="004872A6" w:rsidRPr="002927A1">
        <w:rPr>
          <w:rFonts w:ascii="Times New Roman" w:hAnsi="Times New Roman" w:cs="Times New Roman"/>
          <w:sz w:val="18"/>
          <w:szCs w:val="18"/>
          <w:lang w:val="es-ES_tradnl"/>
        </w:rPr>
        <w:t xml:space="preserve"> MTD/MPA, mejores técnicas disponibles/mejores prácticas ambientales</w:t>
      </w:r>
      <w:r w:rsidR="00FF7636" w:rsidRPr="002927A1">
        <w:rPr>
          <w:rFonts w:ascii="Times New Roman" w:hAnsi="Times New Roman" w:cs="Times New Roman"/>
          <w:sz w:val="18"/>
          <w:szCs w:val="18"/>
          <w:lang w:val="es-ES_tradnl"/>
        </w:rPr>
        <w:t>.</w:t>
      </w:r>
      <w:r w:rsidRPr="002927A1">
        <w:rPr>
          <w:rFonts w:asciiTheme="majorBidi" w:hAnsiTheme="majorBidi" w:cstheme="majorBidi"/>
          <w:lang w:val="es-ES_tradnl"/>
        </w:rPr>
        <w:br w:type="page"/>
      </w:r>
    </w:p>
    <w:p w14:paraId="2760D40A" w14:textId="15E12A3A" w:rsidR="00CE502E" w:rsidRPr="002927A1" w:rsidRDefault="006E638B" w:rsidP="008B5F3E">
      <w:pPr>
        <w:pStyle w:val="CH1"/>
        <w:spacing w:before="0"/>
        <w:rPr>
          <w:rFonts w:eastAsia="SimSun"/>
          <w:i/>
          <w:lang w:val="es-ES_tradnl"/>
        </w:rPr>
      </w:pPr>
      <w:r w:rsidRPr="002927A1">
        <w:rPr>
          <w:rFonts w:eastAsia="SimSun"/>
          <w:lang w:val="es-ES_tradnl"/>
        </w:rPr>
        <w:lastRenderedPageBreak/>
        <w:tab/>
      </w:r>
      <w:r w:rsidRPr="002927A1">
        <w:rPr>
          <w:rFonts w:eastAsia="SimSun"/>
          <w:lang w:val="es-ES_tradnl"/>
        </w:rPr>
        <w:tab/>
      </w:r>
      <w:r w:rsidR="00CE502E" w:rsidRPr="002927A1">
        <w:rPr>
          <w:rFonts w:eastAsia="SimSun"/>
          <w:lang w:val="es-ES_tradnl"/>
        </w:rPr>
        <w:t>Anex</w:t>
      </w:r>
      <w:r w:rsidR="004872A6" w:rsidRPr="002927A1">
        <w:rPr>
          <w:rFonts w:eastAsia="SimSun"/>
          <w:lang w:val="es-ES_tradnl"/>
        </w:rPr>
        <w:t>o</w:t>
      </w:r>
      <w:r w:rsidR="00CE502E" w:rsidRPr="002927A1">
        <w:rPr>
          <w:rFonts w:eastAsia="SimSun"/>
          <w:lang w:val="es-ES_tradnl"/>
        </w:rPr>
        <w:t xml:space="preserve"> II </w:t>
      </w:r>
      <w:r w:rsidR="004872A6" w:rsidRPr="002927A1">
        <w:rPr>
          <w:rFonts w:eastAsia="SimSun"/>
          <w:lang w:val="es-ES_tradnl"/>
        </w:rPr>
        <w:t>a la decisión</w:t>
      </w:r>
      <w:r w:rsidR="00CE502E" w:rsidRPr="002927A1">
        <w:rPr>
          <w:rFonts w:eastAsia="SimSun"/>
          <w:lang w:val="es-ES_tradnl"/>
        </w:rPr>
        <w:t xml:space="preserve"> MC-3/10</w:t>
      </w:r>
    </w:p>
    <w:p w14:paraId="4ADA2CB1" w14:textId="3A168740" w:rsidR="008B1DF7" w:rsidRPr="002927A1" w:rsidRDefault="006E638B" w:rsidP="008B5F3E">
      <w:pPr>
        <w:pStyle w:val="CH2"/>
        <w:spacing w:before="0" w:after="0"/>
        <w:rPr>
          <w:lang w:val="es-ES_tradnl"/>
        </w:rPr>
      </w:pPr>
      <w:r w:rsidRPr="002927A1">
        <w:rPr>
          <w:lang w:val="es-ES_tradnl"/>
        </w:rPr>
        <w:tab/>
      </w:r>
      <w:r w:rsidRPr="002927A1">
        <w:rPr>
          <w:lang w:val="es-ES_tradnl"/>
        </w:rPr>
        <w:tab/>
      </w:r>
      <w:r w:rsidR="004872A6" w:rsidRPr="002927A1">
        <w:rPr>
          <w:lang w:val="es-ES_tradnl"/>
        </w:rPr>
        <w:t>Marco para la evaluación de la eficacia del Convenio de Minamata</w:t>
      </w:r>
    </w:p>
    <w:p w14:paraId="36D46F83" w14:textId="3CC6F362" w:rsidR="00692A11" w:rsidRPr="002927A1" w:rsidRDefault="004872A6" w:rsidP="00692A11">
      <w:pPr>
        <w:pStyle w:val="Titlefigure"/>
        <w:rPr>
          <w:lang w:val="es-ES_tradnl"/>
        </w:rPr>
      </w:pPr>
      <w:r w:rsidRPr="002927A1">
        <w:rPr>
          <w:b w:val="0"/>
          <w:lang w:val="es-ES_tradnl"/>
        </w:rPr>
        <w:t>Figura</w:t>
      </w:r>
      <w:r w:rsidR="00692A11" w:rsidRPr="002927A1">
        <w:rPr>
          <w:b w:val="0"/>
          <w:lang w:val="es-ES_tradnl"/>
        </w:rPr>
        <w:t xml:space="preserve"> 1 </w:t>
      </w:r>
      <w:r w:rsidR="00692A11" w:rsidRPr="002927A1">
        <w:rPr>
          <w:b w:val="0"/>
          <w:lang w:val="es-ES_tradnl"/>
        </w:rPr>
        <w:br/>
      </w:r>
      <w:r w:rsidRPr="002927A1">
        <w:rPr>
          <w:bCs/>
          <w:lang w:val="es-ES_tradnl"/>
        </w:rPr>
        <w:t>Flujo de información y análisis</w:t>
      </w:r>
    </w:p>
    <w:tbl>
      <w:tblPr>
        <w:tblStyle w:val="TableGrid"/>
        <w:tblW w:w="0" w:type="auto"/>
        <w:tblInd w:w="1247" w:type="dxa"/>
        <w:tblLook w:val="04A0" w:firstRow="1" w:lastRow="0" w:firstColumn="1" w:lastColumn="0" w:noHBand="0" w:noVBand="1"/>
      </w:tblPr>
      <w:tblGrid>
        <w:gridCol w:w="7395"/>
      </w:tblGrid>
      <w:tr w:rsidR="00650FD1" w:rsidRPr="002927A1" w14:paraId="19CF2B5C" w14:textId="77777777" w:rsidTr="00997BCE">
        <w:tc>
          <w:tcPr>
            <w:tcW w:w="7395" w:type="dxa"/>
          </w:tcPr>
          <w:p w14:paraId="0B1E05BF" w14:textId="6D00E81A" w:rsidR="00650FD1" w:rsidRPr="002927A1" w:rsidRDefault="00650FD1" w:rsidP="0024719B">
            <w:pPr>
              <w:pStyle w:val="Normal-pool"/>
              <w:rPr>
                <w:lang w:val="es-ES_tradnl" w:eastAsia="en-GB"/>
              </w:rPr>
            </w:pPr>
            <w:r w:rsidRPr="002927A1">
              <w:rPr>
                <w:noProof/>
                <w:sz w:val="24"/>
                <w:lang w:val="es-ES_tradnl" w:eastAsia="es-ES_tradnl"/>
              </w:rPr>
              <w:drawing>
                <wp:inline distT="0" distB="0" distL="0" distR="0" wp14:anchorId="56D5210F" wp14:editId="3CDB1F2E">
                  <wp:extent cx="4476584" cy="273266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6164" cy="2744615"/>
                          </a:xfrm>
                          <a:prstGeom prst="rect">
                            <a:avLst/>
                          </a:prstGeom>
                          <a:noFill/>
                          <a:ln>
                            <a:noFill/>
                          </a:ln>
                        </pic:spPr>
                      </pic:pic>
                    </a:graphicData>
                  </a:graphic>
                </wp:inline>
              </w:drawing>
            </w:r>
          </w:p>
        </w:tc>
      </w:tr>
    </w:tbl>
    <w:p w14:paraId="1F2CB6E3" w14:textId="46D9D9BE" w:rsidR="008C7243" w:rsidRPr="002927A1" w:rsidRDefault="008C7243" w:rsidP="008B5F3E">
      <w:pPr>
        <w:pStyle w:val="Normal-pool"/>
        <w:ind w:left="1247"/>
        <w:rPr>
          <w:sz w:val="17"/>
          <w:szCs w:val="17"/>
          <w:lang w:val="es-ES_tradnl"/>
        </w:rPr>
      </w:pPr>
      <w:bookmarkStart w:id="94" w:name="_Toc27124752"/>
      <w:r w:rsidRPr="002927A1">
        <w:rPr>
          <w:i/>
          <w:sz w:val="17"/>
          <w:szCs w:val="17"/>
          <w:lang w:val="es-ES_tradnl"/>
        </w:rPr>
        <w:t>Abrevia</w:t>
      </w:r>
      <w:r w:rsidR="006E638B" w:rsidRPr="002927A1">
        <w:rPr>
          <w:i/>
          <w:sz w:val="17"/>
          <w:szCs w:val="17"/>
          <w:lang w:val="es-ES_tradnl"/>
        </w:rPr>
        <w:t>ciones</w:t>
      </w:r>
      <w:r w:rsidRPr="002927A1">
        <w:rPr>
          <w:sz w:val="17"/>
          <w:szCs w:val="17"/>
          <w:lang w:val="es-ES_tradnl"/>
        </w:rPr>
        <w:t>: CP, Conferencia de las Partes.</w:t>
      </w:r>
    </w:p>
    <w:p w14:paraId="5D4968C2" w14:textId="69E0806F" w:rsidR="00100962" w:rsidRPr="002927A1" w:rsidRDefault="006E638B" w:rsidP="008B5F3E">
      <w:pPr>
        <w:pStyle w:val="CH2"/>
        <w:spacing w:before="120" w:after="0"/>
        <w:rPr>
          <w:rStyle w:val="DeltaViewInsertion"/>
          <w:rFonts w:eastAsia="SimSun"/>
          <w:color w:val="auto"/>
          <w:sz w:val="20"/>
          <w:szCs w:val="20"/>
          <w:u w:val="none"/>
          <w:lang w:val="es-ES_tradnl"/>
        </w:rPr>
      </w:pPr>
      <w:r w:rsidRPr="002927A1">
        <w:rPr>
          <w:lang w:val="es-ES_tradnl"/>
        </w:rPr>
        <w:tab/>
      </w:r>
      <w:r w:rsidRPr="002927A1">
        <w:rPr>
          <w:lang w:val="es-ES_tradnl"/>
        </w:rPr>
        <w:tab/>
      </w:r>
      <w:r w:rsidR="00B15222" w:rsidRPr="002927A1">
        <w:rPr>
          <w:rStyle w:val="DeltaViewInsertion"/>
          <w:rFonts w:eastAsia="SimSun"/>
          <w:b w:val="0"/>
          <w:bCs/>
          <w:color w:val="auto"/>
          <w:sz w:val="20"/>
          <w:szCs w:val="20"/>
          <w:u w:val="none"/>
          <w:lang w:val="es-ES_tradnl"/>
        </w:rPr>
        <w:t>Figura 2</w:t>
      </w:r>
      <w:r w:rsidR="00B15222" w:rsidRPr="002927A1">
        <w:rPr>
          <w:rStyle w:val="DeltaViewInsertion"/>
          <w:rFonts w:eastAsia="SimSun"/>
          <w:color w:val="auto"/>
          <w:sz w:val="20"/>
          <w:szCs w:val="20"/>
          <w:lang w:val="es-ES_tradnl"/>
        </w:rPr>
        <w:t xml:space="preserve"> </w:t>
      </w:r>
      <w:r w:rsidR="00B15222" w:rsidRPr="002927A1">
        <w:rPr>
          <w:rStyle w:val="DeltaViewInsertion"/>
          <w:rFonts w:eastAsia="SimSun"/>
          <w:color w:val="auto"/>
          <w:sz w:val="20"/>
          <w:szCs w:val="20"/>
          <w:lang w:val="es-ES_tradnl"/>
        </w:rPr>
        <w:br/>
      </w:r>
      <w:r w:rsidR="00100962" w:rsidRPr="002927A1">
        <w:rPr>
          <w:rStyle w:val="DeltaViewInsertion"/>
          <w:rFonts w:eastAsia="SimSun"/>
          <w:color w:val="auto"/>
          <w:sz w:val="20"/>
          <w:szCs w:val="20"/>
          <w:u w:val="none"/>
          <w:lang w:val="es-ES_tradnl"/>
        </w:rPr>
        <w:t xml:space="preserve">Arreglos institucionales en relación con </w:t>
      </w:r>
      <w:r w:rsidR="00B15222" w:rsidRPr="002927A1">
        <w:rPr>
          <w:rStyle w:val="DeltaViewInsertion"/>
          <w:rFonts w:eastAsia="SimSun"/>
          <w:color w:val="auto"/>
          <w:sz w:val="20"/>
          <w:szCs w:val="20"/>
          <w:u w:val="none"/>
          <w:lang w:val="es-ES_tradnl"/>
        </w:rPr>
        <w:t>el marco</w:t>
      </w:r>
    </w:p>
    <w:p w14:paraId="6437DE38" w14:textId="7297440B" w:rsidR="00997BCE" w:rsidRDefault="00997BCE" w:rsidP="00997BCE">
      <w:pPr>
        <w:tabs>
          <w:tab w:val="clear" w:pos="1247"/>
          <w:tab w:val="clear" w:pos="1814"/>
          <w:tab w:val="clear" w:pos="2381"/>
          <w:tab w:val="clear" w:pos="2948"/>
          <w:tab w:val="clear" w:pos="3515"/>
        </w:tabs>
        <w:rPr>
          <w:b/>
          <w:bCs/>
          <w:i/>
          <w:iCs/>
          <w:sz w:val="17"/>
          <w:szCs w:val="17"/>
        </w:rPr>
      </w:pPr>
      <w:r w:rsidRPr="002927A1">
        <w:rPr>
          <w:i/>
          <w:iCs/>
          <w:noProof/>
          <w:sz w:val="17"/>
          <w:szCs w:val="17"/>
          <w:lang w:eastAsia="es-ES_tradnl"/>
        </w:rPr>
        <mc:AlternateContent>
          <mc:Choice Requires="wpg">
            <w:drawing>
              <wp:anchor distT="0" distB="0" distL="114300" distR="114300" simplePos="0" relativeHeight="251659264" behindDoc="0" locked="0" layoutInCell="1" allowOverlap="1" wp14:anchorId="4B60A0D3" wp14:editId="56020462">
                <wp:simplePos x="0" y="0"/>
                <wp:positionH relativeFrom="column">
                  <wp:posOffset>-560180</wp:posOffset>
                </wp:positionH>
                <wp:positionV relativeFrom="page">
                  <wp:posOffset>4689613</wp:posOffset>
                </wp:positionV>
                <wp:extent cx="7009765" cy="4783455"/>
                <wp:effectExtent l="38100" t="38100" r="76835" b="17145"/>
                <wp:wrapNone/>
                <wp:docPr id="6" name="Group 7"/>
                <wp:cNvGraphicFramePr/>
                <a:graphic xmlns:a="http://schemas.openxmlformats.org/drawingml/2006/main">
                  <a:graphicData uri="http://schemas.microsoft.com/office/word/2010/wordprocessingGroup">
                    <wpg:wgp>
                      <wpg:cNvGrpSpPr/>
                      <wpg:grpSpPr>
                        <a:xfrm>
                          <a:off x="0" y="0"/>
                          <a:ext cx="7009765" cy="4783455"/>
                          <a:chOff x="6559" y="-108989"/>
                          <a:chExt cx="12229219" cy="6929988"/>
                        </a:xfrm>
                      </wpg:grpSpPr>
                      <wps:wsp>
                        <wps:cNvPr id="43" name="Right Brace 43"/>
                        <wps:cNvSpPr/>
                        <wps:spPr>
                          <a:xfrm>
                            <a:off x="3001355" y="4505348"/>
                            <a:ext cx="493275" cy="982005"/>
                          </a:xfrm>
                          <a:prstGeom prst="rightBrace">
                            <a:avLst>
                              <a:gd name="adj1" fmla="val 27829"/>
                              <a:gd name="adj2" fmla="val 46752"/>
                            </a:avLst>
                          </a:prstGeom>
                          <a:ln w="57150"/>
                        </wps:spPr>
                        <wps:style>
                          <a:lnRef idx="1">
                            <a:schemeClr val="accent1"/>
                          </a:lnRef>
                          <a:fillRef idx="0">
                            <a:schemeClr val="accent1"/>
                          </a:fillRef>
                          <a:effectRef idx="0">
                            <a:schemeClr val="accent1"/>
                          </a:effectRef>
                          <a:fontRef idx="minor">
                            <a:schemeClr val="tx1"/>
                          </a:fontRef>
                        </wps:style>
                        <wps:bodyPr wrap="square" rtlCol="0" anchor="ctr">
                          <a:noAutofit/>
                        </wps:bodyPr>
                      </wps:wsp>
                      <wps:wsp>
                        <wps:cNvPr id="42" name="Right Brace 42"/>
                        <wps:cNvSpPr/>
                        <wps:spPr>
                          <a:xfrm>
                            <a:off x="3001353" y="2053380"/>
                            <a:ext cx="511391" cy="2284301"/>
                          </a:xfrm>
                          <a:prstGeom prst="rightBrace">
                            <a:avLst>
                              <a:gd name="adj1" fmla="val 27829"/>
                              <a:gd name="adj2" fmla="val 51705"/>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41" name="Right Brace 41"/>
                        <wps:cNvSpPr/>
                        <wps:spPr>
                          <a:xfrm>
                            <a:off x="3146005" y="-44589"/>
                            <a:ext cx="348623" cy="1933578"/>
                          </a:xfrm>
                          <a:prstGeom prst="rightBrace">
                            <a:avLst>
                              <a:gd name="adj1" fmla="val 27829"/>
                              <a:gd name="adj2" fmla="val 51705"/>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48" name="Straight Arrow Connector 48"/>
                        <wps:cNvCnPr>
                          <a:cxnSpLocks/>
                        </wps:cNvCnPr>
                        <wps:spPr>
                          <a:xfrm>
                            <a:off x="4531831" y="1025636"/>
                            <a:ext cx="514659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8" name="officeArt object" descr="Cuadro de texto 2"/>
                        <wps:cNvSpPr txBox="1"/>
                        <wps:spPr>
                          <a:xfrm>
                            <a:off x="39788" y="-108989"/>
                            <a:ext cx="3139448" cy="2070640"/>
                          </a:xfrm>
                          <a:prstGeom prst="rect">
                            <a:avLst/>
                          </a:prstGeom>
                          <a:gradFill>
                            <a:gsLst>
                              <a:gs pos="2000">
                                <a:srgbClr val="B7B3D9"/>
                              </a:gs>
                              <a:gs pos="0">
                                <a:schemeClr val="accent4">
                                  <a:lumMod val="60000"/>
                                  <a:lumOff val="40000"/>
                                </a:schemeClr>
                              </a:gs>
                              <a:gs pos="35000">
                                <a:schemeClr val="accent1">
                                  <a:tint val="37000"/>
                                  <a:satMod val="300000"/>
                                </a:schemeClr>
                              </a:gs>
                              <a:gs pos="100000">
                                <a:schemeClr val="accent1">
                                  <a:tint val="15000"/>
                                  <a:satMod val="350000"/>
                                </a:schemeClr>
                              </a:gs>
                            </a:gsLst>
                          </a:gradFill>
                          <a:ln/>
                        </wps:spPr>
                        <wps:style>
                          <a:lnRef idx="1">
                            <a:schemeClr val="accent1"/>
                          </a:lnRef>
                          <a:fillRef idx="2">
                            <a:schemeClr val="accent1"/>
                          </a:fillRef>
                          <a:effectRef idx="1">
                            <a:schemeClr val="accent1"/>
                          </a:effectRef>
                          <a:fontRef idx="minor">
                            <a:schemeClr val="dk1"/>
                          </a:fontRef>
                        </wps:style>
                        <wps:txbx>
                          <w:txbxContent>
                            <w:p w14:paraId="3D3CCC77" w14:textId="21964D71" w:rsidR="00454804" w:rsidRPr="00825438" w:rsidRDefault="00454804" w:rsidP="00825438">
                              <w:pPr>
                                <w:jc w:val="center"/>
                                <w:rPr>
                                  <w:sz w:val="16"/>
                                  <w:szCs w:val="16"/>
                                </w:rPr>
                              </w:pPr>
                              <w:r w:rsidRPr="00825438">
                                <w:rPr>
                                  <w:rFonts w:ascii="Arial Narrow" w:eastAsia="SimSun" w:hAnsi="Arial Narrow" w:cstheme="minorBidi"/>
                                  <w:b/>
                                  <w:bCs/>
                                  <w:color w:val="000000" w:themeColor="text1"/>
                                  <w:kern w:val="24"/>
                                  <w:sz w:val="16"/>
                                  <w:szCs w:val="16"/>
                                  <w:lang w:val="es-ES"/>
                                </w:rPr>
                                <w:t>Informes de los procesos del</w:t>
                              </w:r>
                              <w:r>
                                <w:rPr>
                                  <w:rFonts w:ascii="Arial Narrow" w:eastAsia="SimSun" w:hAnsi="Arial Narrow" w:cstheme="minorBidi"/>
                                  <w:b/>
                                  <w:bCs/>
                                  <w:color w:val="000000" w:themeColor="text1"/>
                                  <w:kern w:val="24"/>
                                  <w:sz w:val="16"/>
                                  <w:szCs w:val="16"/>
                                  <w:lang w:val="es-ES"/>
                                </w:rPr>
                                <w:br/>
                              </w:r>
                              <w:r w:rsidRPr="00825438">
                                <w:rPr>
                                  <w:rFonts w:ascii="Arial Narrow" w:eastAsia="SimSun" w:hAnsi="Arial Narrow" w:cstheme="minorBidi"/>
                                  <w:b/>
                                  <w:bCs/>
                                  <w:color w:val="000000" w:themeColor="text1"/>
                                  <w:kern w:val="24"/>
                                  <w:sz w:val="16"/>
                                  <w:szCs w:val="16"/>
                                  <w:lang w:val="es-ES"/>
                                </w:rPr>
                                <w:t>Convenio de Minamata</w:t>
                              </w:r>
                            </w:p>
                          </w:txbxContent>
                        </wps:txbx>
                        <wps:bodyPr wrap="square" lIns="45719" tIns="45719" rIns="45719" bIns="45719" numCol="1" anchor="t">
                          <a:noAutofit/>
                        </wps:bodyPr>
                      </wps:wsp>
                      <wps:wsp>
                        <wps:cNvPr id="9" name="officeArt object" descr="Cuadro de texto 2"/>
                        <wps:cNvSpPr txBox="1"/>
                        <wps:spPr>
                          <a:xfrm>
                            <a:off x="105902" y="337095"/>
                            <a:ext cx="2980113" cy="285408"/>
                          </a:xfrm>
                          <a:prstGeom prst="rect">
                            <a:avLst/>
                          </a:prstGeom>
                          <a:solidFill>
                            <a:srgbClr val="FFFFFF"/>
                          </a:solidFill>
                          <a:ln w="9525" cap="flat">
                            <a:solidFill>
                              <a:srgbClr val="000000"/>
                            </a:solidFill>
                            <a:prstDash val="solid"/>
                            <a:miter lim="800000"/>
                          </a:ln>
                          <a:effectLst/>
                          <a:extLst>
                            <a:ext uri="{C572A759-6A51-4108-AA02-DFA0A04FC94B}">
                              <ma14:wrappingTextBoxFlag xmlns:arto="http://schemas.microsoft.com/office/word/2006/arto"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txbx>
                          <w:txbxContent>
                            <w:p w14:paraId="2BC14328" w14:textId="77777777" w:rsidR="00454804" w:rsidRPr="003A3749" w:rsidRDefault="00454804" w:rsidP="00825438">
                              <w:pPr>
                                <w:jc w:val="center"/>
                                <w:rPr>
                                  <w:rFonts w:ascii="Arial Narrow" w:eastAsia="SimSun" w:hAnsi="Arial Narrow" w:cstheme="minorBidi"/>
                                  <w:color w:val="000000" w:themeColor="text1"/>
                                  <w:kern w:val="24"/>
                                  <w:sz w:val="16"/>
                                  <w:szCs w:val="16"/>
                                  <w:lang w:val="es-ES"/>
                                </w:rPr>
                              </w:pPr>
                              <w:r w:rsidRPr="003A3749">
                                <w:rPr>
                                  <w:rFonts w:ascii="Arial Narrow" w:eastAsia="SimSun" w:hAnsi="Arial Narrow" w:cstheme="minorBidi"/>
                                  <w:color w:val="000000" w:themeColor="text1"/>
                                  <w:kern w:val="24"/>
                                  <w:sz w:val="16"/>
                                  <w:szCs w:val="16"/>
                                  <w:lang w:val="es-ES"/>
                                </w:rPr>
                                <w:t>Informe del CAC</w:t>
                              </w:r>
                            </w:p>
                          </w:txbxContent>
                        </wps:txbx>
                        <wps:bodyPr wrap="square" lIns="45719" tIns="45719" rIns="45719" bIns="45719" numCol="1" anchor="ctr">
                          <a:noAutofit/>
                        </wps:bodyPr>
                      </wps:wsp>
                      <wps:wsp>
                        <wps:cNvPr id="10" name="officeArt object" descr="Cuadro de texto 2"/>
                        <wps:cNvSpPr txBox="1"/>
                        <wps:spPr>
                          <a:xfrm>
                            <a:off x="105904" y="670799"/>
                            <a:ext cx="2980111" cy="354848"/>
                          </a:xfrm>
                          <a:prstGeom prst="rect">
                            <a:avLst/>
                          </a:prstGeom>
                          <a:solidFill>
                            <a:srgbClr val="FFFFFF"/>
                          </a:solidFill>
                          <a:ln w="9525" cap="flat">
                            <a:solidFill>
                              <a:srgbClr val="000000"/>
                            </a:solidFill>
                            <a:prstDash val="solid"/>
                            <a:miter lim="800000"/>
                          </a:ln>
                          <a:effectLst/>
                          <a:extLst>
                            <a:ext uri="{C572A759-6A51-4108-AA02-DFA0A04FC94B}">
                              <ma14:wrappingTextBoxFlag xmlns:arto="http://schemas.microsoft.com/office/word/2006/arto"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txbx>
                          <w:txbxContent>
                            <w:p w14:paraId="4077E0DE" w14:textId="77777777" w:rsidR="00454804" w:rsidRPr="00825438" w:rsidRDefault="00454804" w:rsidP="00825438">
                              <w:pPr>
                                <w:jc w:val="center"/>
                                <w:rPr>
                                  <w:sz w:val="16"/>
                                  <w:szCs w:val="16"/>
                                </w:rPr>
                              </w:pPr>
                              <w:r w:rsidRPr="00DC479E">
                                <w:rPr>
                                  <w:rFonts w:ascii="Arial Narrow" w:eastAsia="SimSun" w:hAnsi="Arial Narrow" w:cstheme="minorBidi"/>
                                  <w:color w:val="000000" w:themeColor="text1"/>
                                  <w:kern w:val="24"/>
                                  <w:sz w:val="16"/>
                                  <w:szCs w:val="16"/>
                                  <w:lang w:val="es-ES"/>
                                </w:rPr>
                                <w:t>Mecanismo financiero, incluido el art.13</w:t>
                              </w:r>
                              <w:r w:rsidRPr="00825438">
                                <w:rPr>
                                  <w:rFonts w:ascii="Arial Narrow" w:eastAsia="SimSun" w:hAnsi="Arial Narrow" w:cstheme="minorBidi"/>
                                  <w:color w:val="000000" w:themeColor="text1"/>
                                  <w:kern w:val="24"/>
                                  <w:sz w:val="16"/>
                                  <w:szCs w:val="16"/>
                                </w:rPr>
                                <w:t xml:space="preserve"> 11)</w:t>
                              </w:r>
                            </w:p>
                          </w:txbxContent>
                        </wps:txbx>
                        <wps:bodyPr wrap="square" lIns="45719" tIns="45719" rIns="45719" bIns="45719" numCol="1" anchor="ctr">
                          <a:noAutofit/>
                        </wps:bodyPr>
                      </wps:wsp>
                      <wps:wsp>
                        <wps:cNvPr id="11" name="officeArt object" descr="Cuadro de texto 2"/>
                        <wps:cNvSpPr txBox="1"/>
                        <wps:spPr>
                          <a:xfrm>
                            <a:off x="68604" y="1064372"/>
                            <a:ext cx="3017411" cy="451585"/>
                          </a:xfrm>
                          <a:prstGeom prst="rect">
                            <a:avLst/>
                          </a:prstGeom>
                          <a:solidFill>
                            <a:srgbClr val="FFFFFF"/>
                          </a:solidFill>
                          <a:ln w="9525" cap="flat">
                            <a:solidFill>
                              <a:srgbClr val="000000"/>
                            </a:solidFill>
                            <a:prstDash val="solid"/>
                            <a:miter lim="800000"/>
                          </a:ln>
                          <a:effectLst/>
                        </wps:spPr>
                        <wps:txbx>
                          <w:txbxContent>
                            <w:p w14:paraId="13969EC8" w14:textId="77777777" w:rsidR="00454804" w:rsidRPr="00825438" w:rsidRDefault="00454804" w:rsidP="00825438">
                              <w:pPr>
                                <w:jc w:val="center"/>
                                <w:rPr>
                                  <w:sz w:val="16"/>
                                  <w:szCs w:val="16"/>
                                </w:rPr>
                              </w:pPr>
                              <w:r w:rsidRPr="00825438">
                                <w:rPr>
                                  <w:rFonts w:ascii="Arial Narrow" w:eastAsia="SimSun" w:hAnsi="Arial Narrow" w:cstheme="minorBidi"/>
                                  <w:color w:val="000000" w:themeColor="text1"/>
                                  <w:kern w:val="24"/>
                                  <w:sz w:val="16"/>
                                  <w:szCs w:val="16"/>
                                </w:rPr>
                                <w:t xml:space="preserve">Creación </w:t>
                              </w:r>
                              <w:r w:rsidRPr="00DC479E">
                                <w:rPr>
                                  <w:rFonts w:ascii="Arial Narrow" w:eastAsia="SimSun" w:hAnsi="Arial Narrow" w:cstheme="minorBidi"/>
                                  <w:color w:val="000000" w:themeColor="text1"/>
                                  <w:kern w:val="24"/>
                                  <w:sz w:val="16"/>
                                  <w:szCs w:val="16"/>
                                  <w:lang w:val="es-ES"/>
                                </w:rPr>
                                <w:t>de</w:t>
                              </w:r>
                              <w:r w:rsidRPr="00825438">
                                <w:rPr>
                                  <w:rFonts w:ascii="Arial Narrow" w:eastAsia="SimSun" w:hAnsi="Arial Narrow" w:cstheme="minorBidi"/>
                                  <w:color w:val="000000" w:themeColor="text1"/>
                                  <w:kern w:val="24"/>
                                  <w:sz w:val="16"/>
                                  <w:szCs w:val="16"/>
                                </w:rPr>
                                <w:t xml:space="preserve"> capacidad, asistencia técnica y transferencia de tecnología</w:t>
                              </w:r>
                            </w:p>
                          </w:txbxContent>
                        </wps:txbx>
                        <wps:bodyPr wrap="square" lIns="45719" tIns="45719" rIns="45719" bIns="45719" numCol="1" anchor="ctr">
                          <a:noAutofit/>
                        </wps:bodyPr>
                      </wps:wsp>
                      <wps:wsp>
                        <wps:cNvPr id="12" name="officeArt object" descr="Cuadro de texto 2"/>
                        <wps:cNvSpPr txBox="1"/>
                        <wps:spPr>
                          <a:xfrm>
                            <a:off x="105902" y="1563250"/>
                            <a:ext cx="2980113" cy="325554"/>
                          </a:xfrm>
                          <a:prstGeom prst="rect">
                            <a:avLst/>
                          </a:prstGeom>
                          <a:solidFill>
                            <a:srgbClr val="FFFFFF"/>
                          </a:solidFill>
                          <a:ln w="9525" cap="flat">
                            <a:solidFill>
                              <a:srgbClr val="000000"/>
                            </a:solidFill>
                            <a:prstDash val="solid"/>
                            <a:miter lim="800000"/>
                          </a:ln>
                          <a:effectLst/>
                        </wps:spPr>
                        <wps:txbx>
                          <w:txbxContent>
                            <w:p w14:paraId="45B78BE0" w14:textId="77777777" w:rsidR="00454804" w:rsidRPr="00DC479E" w:rsidRDefault="00454804" w:rsidP="00825438">
                              <w:pPr>
                                <w:jc w:val="center"/>
                                <w:rPr>
                                  <w:rFonts w:ascii="Arial Narrow" w:eastAsia="SimSun" w:hAnsi="Arial Narrow" w:cstheme="minorBidi"/>
                                  <w:color w:val="000000" w:themeColor="text1"/>
                                  <w:kern w:val="24"/>
                                  <w:sz w:val="16"/>
                                  <w:szCs w:val="16"/>
                                  <w:lang w:val="es-ES"/>
                                </w:rPr>
                              </w:pPr>
                              <w:r w:rsidRPr="00DC479E">
                                <w:rPr>
                                  <w:rFonts w:ascii="Arial Narrow" w:eastAsia="SimSun" w:hAnsi="Arial Narrow" w:cstheme="minorBidi"/>
                                  <w:color w:val="000000" w:themeColor="text1"/>
                                  <w:kern w:val="24"/>
                                  <w:sz w:val="16"/>
                                  <w:szCs w:val="16"/>
                                  <w:lang w:val="es-ES"/>
                                </w:rPr>
                                <w:t>Otros</w:t>
                              </w:r>
                            </w:p>
                          </w:txbxContent>
                        </wps:txbx>
                        <wps:bodyPr wrap="square" lIns="45719" tIns="45719" rIns="45719" bIns="45719" numCol="1" anchor="ctr">
                          <a:noAutofit/>
                        </wps:bodyPr>
                      </wps:wsp>
                      <wps:wsp>
                        <wps:cNvPr id="13" name="Text Box 2"/>
                        <wps:cNvSpPr txBox="1">
                          <a:spLocks noChangeArrowheads="1"/>
                        </wps:cNvSpPr>
                        <wps:spPr bwMode="auto">
                          <a:xfrm>
                            <a:off x="24670" y="2007033"/>
                            <a:ext cx="3121049" cy="2386429"/>
                          </a:xfrm>
                          <a:prstGeom prst="rect">
                            <a:avLst/>
                          </a:prstGeom>
                          <a:solidFill>
                            <a:schemeClr val="accent4">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53D3E30A" w14:textId="77777777" w:rsidR="00454804" w:rsidRPr="00B131E7" w:rsidRDefault="00454804" w:rsidP="00825438">
                              <w:pPr>
                                <w:jc w:val="center"/>
                                <w:rPr>
                                  <w:rFonts w:ascii="Arial Narrow" w:eastAsia="SimSun" w:hAnsi="Arial Narrow" w:cstheme="minorBidi"/>
                                  <w:b/>
                                  <w:bCs/>
                                  <w:color w:val="000000" w:themeColor="text1"/>
                                  <w:kern w:val="24"/>
                                  <w:sz w:val="16"/>
                                  <w:szCs w:val="16"/>
                                  <w:lang w:val="es-ES"/>
                                </w:rPr>
                              </w:pPr>
                              <w:r w:rsidRPr="00B131E7">
                                <w:rPr>
                                  <w:rFonts w:ascii="Arial Narrow" w:eastAsia="SimSun" w:hAnsi="Arial Narrow" w:cstheme="minorBidi"/>
                                  <w:b/>
                                  <w:bCs/>
                                  <w:color w:val="000000" w:themeColor="text1"/>
                                  <w:kern w:val="24"/>
                                  <w:sz w:val="16"/>
                                  <w:szCs w:val="16"/>
                                  <w:lang w:val="es-ES"/>
                                </w:rPr>
                                <w:t>Comunicaciones de las Partes</w:t>
                              </w:r>
                            </w:p>
                          </w:txbxContent>
                        </wps:txbx>
                        <wps:bodyPr rot="0" vert="horz" wrap="square" lIns="45719" tIns="45719" rIns="45719" bIns="45719" numCol="1" anchor="t" anchorCtr="0">
                          <a:noAutofit/>
                        </wps:bodyPr>
                      </wps:wsp>
                      <wps:wsp>
                        <wps:cNvPr id="14" name="officeArt object" descr="Cuadro de texto 2"/>
                        <wps:cNvSpPr txBox="1"/>
                        <wps:spPr>
                          <a:xfrm>
                            <a:off x="88747" y="2281145"/>
                            <a:ext cx="2996711" cy="305831"/>
                          </a:xfrm>
                          <a:prstGeom prst="rect">
                            <a:avLst/>
                          </a:prstGeom>
                          <a:solidFill>
                            <a:srgbClr val="FFFFFF"/>
                          </a:solidFill>
                          <a:ln w="9525" cap="flat">
                            <a:solidFill>
                              <a:srgbClr val="000000"/>
                            </a:solidFill>
                            <a:prstDash val="solid"/>
                            <a:miter lim="800000"/>
                          </a:ln>
                          <a:effectLst/>
                        </wps:spPr>
                        <wps:txbx>
                          <w:txbxContent>
                            <w:p w14:paraId="2CA22D97" w14:textId="77777777" w:rsidR="00454804" w:rsidRPr="00825438" w:rsidRDefault="00454804" w:rsidP="00825438">
                              <w:pPr>
                                <w:jc w:val="center"/>
                                <w:rPr>
                                  <w:sz w:val="16"/>
                                  <w:szCs w:val="16"/>
                                </w:rPr>
                              </w:pPr>
                              <w:r w:rsidRPr="00825438">
                                <w:rPr>
                                  <w:rFonts w:ascii="Arial Narrow" w:eastAsia="SimSun" w:hAnsi="Arial Narrow" w:cstheme="minorBidi"/>
                                  <w:color w:val="000000" w:themeColor="text1"/>
                                  <w:kern w:val="24"/>
                                  <w:sz w:val="16"/>
                                  <w:szCs w:val="16"/>
                                </w:rPr>
                                <w:t xml:space="preserve">Informes </w:t>
                              </w:r>
                              <w:r w:rsidRPr="00DC479E">
                                <w:rPr>
                                  <w:rFonts w:ascii="Arial Narrow" w:eastAsia="SimSun" w:hAnsi="Arial Narrow" w:cstheme="minorBidi"/>
                                  <w:color w:val="000000" w:themeColor="text1"/>
                                  <w:kern w:val="24"/>
                                  <w:sz w:val="16"/>
                                  <w:szCs w:val="16"/>
                                  <w:lang w:val="es-ES"/>
                                </w:rPr>
                                <w:t>previstos</w:t>
                              </w:r>
                              <w:r w:rsidRPr="00825438">
                                <w:rPr>
                                  <w:rFonts w:ascii="Arial Narrow" w:eastAsia="SimSun" w:hAnsi="Arial Narrow" w:cstheme="minorBidi"/>
                                  <w:color w:val="000000" w:themeColor="text1"/>
                                  <w:kern w:val="24"/>
                                  <w:sz w:val="16"/>
                                  <w:szCs w:val="16"/>
                                </w:rPr>
                                <w:t xml:space="preserve"> en el artículo 21</w:t>
                              </w:r>
                            </w:p>
                          </w:txbxContent>
                        </wps:txbx>
                        <wps:bodyPr wrap="square" lIns="45719" tIns="45719" rIns="45719" bIns="45719" numCol="1" anchor="ctr">
                          <a:noAutofit/>
                        </wps:bodyPr>
                      </wps:wsp>
                      <wps:wsp>
                        <wps:cNvPr id="15" name="officeArt object" descr="Cuadro de texto 2"/>
                        <wps:cNvSpPr txBox="1"/>
                        <wps:spPr>
                          <a:xfrm>
                            <a:off x="88745" y="2615291"/>
                            <a:ext cx="2996433" cy="313399"/>
                          </a:xfrm>
                          <a:prstGeom prst="rect">
                            <a:avLst/>
                          </a:prstGeom>
                          <a:solidFill>
                            <a:srgbClr val="FFFFFF"/>
                          </a:solidFill>
                          <a:ln w="9525" cap="flat">
                            <a:solidFill>
                              <a:srgbClr val="000000"/>
                            </a:solidFill>
                            <a:prstDash val="solid"/>
                            <a:miter lim="800000"/>
                          </a:ln>
                          <a:effectLst/>
                        </wps:spPr>
                        <wps:txbx>
                          <w:txbxContent>
                            <w:p w14:paraId="1073CD5B" w14:textId="77777777" w:rsidR="00454804" w:rsidRPr="00DC479E" w:rsidRDefault="00454804" w:rsidP="00825438">
                              <w:pPr>
                                <w:jc w:val="center"/>
                                <w:rPr>
                                  <w:rFonts w:ascii="Arial Narrow" w:eastAsia="SimSun" w:hAnsi="Arial Narrow" w:cstheme="minorBidi"/>
                                  <w:color w:val="000000" w:themeColor="text1"/>
                                  <w:kern w:val="24"/>
                                  <w:sz w:val="16"/>
                                  <w:szCs w:val="16"/>
                                  <w:lang w:val="es-ES"/>
                                </w:rPr>
                              </w:pPr>
                              <w:r w:rsidRPr="00825438">
                                <w:rPr>
                                  <w:rFonts w:ascii="Arial Narrow" w:eastAsia="SimSun" w:hAnsi="Arial Narrow" w:cstheme="minorBidi"/>
                                  <w:color w:val="000000" w:themeColor="text1"/>
                                  <w:kern w:val="24"/>
                                  <w:sz w:val="16"/>
                                  <w:szCs w:val="16"/>
                                  <w:lang w:val="es-ES"/>
                                </w:rPr>
                                <w:t>Notificaciones</w:t>
                              </w:r>
                            </w:p>
                          </w:txbxContent>
                        </wps:txbx>
                        <wps:bodyPr wrap="square" lIns="45719" tIns="45719" rIns="45719" bIns="45719" numCol="1" anchor="ctr">
                          <a:noAutofit/>
                        </wps:bodyPr>
                      </wps:wsp>
                      <wps:wsp>
                        <wps:cNvPr id="16" name="officeArt object" descr="Cuadro de texto 2"/>
                        <wps:cNvSpPr txBox="1"/>
                        <wps:spPr>
                          <a:xfrm>
                            <a:off x="88747" y="2975065"/>
                            <a:ext cx="2996154" cy="468480"/>
                          </a:xfrm>
                          <a:prstGeom prst="rect">
                            <a:avLst/>
                          </a:prstGeom>
                          <a:solidFill>
                            <a:srgbClr val="FFFFFF"/>
                          </a:solidFill>
                          <a:ln w="9525" cap="flat">
                            <a:solidFill>
                              <a:srgbClr val="000000"/>
                            </a:solidFill>
                            <a:prstDash val="solid"/>
                            <a:miter lim="800000"/>
                          </a:ln>
                          <a:effectLst/>
                        </wps:spPr>
                        <wps:txbx>
                          <w:txbxContent>
                            <w:p w14:paraId="3B67ADAA" w14:textId="18B057F4" w:rsidR="00454804" w:rsidRPr="003A3749" w:rsidRDefault="00454804" w:rsidP="00825438">
                              <w:pPr>
                                <w:jc w:val="center"/>
                                <w:rPr>
                                  <w:sz w:val="16"/>
                                  <w:szCs w:val="16"/>
                                </w:rPr>
                              </w:pPr>
                              <w:r w:rsidRPr="003A3749">
                                <w:rPr>
                                  <w:rFonts w:ascii="Arial Narrow" w:eastAsia="SimSun" w:hAnsi="Arial Narrow" w:cstheme="minorBidi"/>
                                  <w:color w:val="000000" w:themeColor="text1"/>
                                  <w:kern w:val="24"/>
                                  <w:sz w:val="16"/>
                                  <w:szCs w:val="16"/>
                                </w:rPr>
                                <w:t xml:space="preserve">Planes </w:t>
                              </w:r>
                              <w:r w:rsidRPr="003A3749">
                                <w:rPr>
                                  <w:rFonts w:ascii="Arial Narrow" w:eastAsia="SimSun" w:hAnsi="Arial Narrow" w:cstheme="minorBidi"/>
                                  <w:color w:val="000000" w:themeColor="text1"/>
                                  <w:kern w:val="24"/>
                                  <w:sz w:val="16"/>
                                  <w:szCs w:val="16"/>
                                  <w:lang w:val="es-ES"/>
                                </w:rPr>
                                <w:t>de</w:t>
                              </w:r>
                              <w:r w:rsidRPr="003A3749">
                                <w:rPr>
                                  <w:rFonts w:ascii="Arial Narrow" w:eastAsia="SimSun" w:hAnsi="Arial Narrow" w:cstheme="minorBidi"/>
                                  <w:color w:val="000000" w:themeColor="text1"/>
                                  <w:kern w:val="24"/>
                                  <w:sz w:val="16"/>
                                  <w:szCs w:val="16"/>
                                </w:rPr>
                                <w:t xml:space="preserve"> acción nacionales, planes</w:t>
                              </w:r>
                              <w:r>
                                <w:rPr>
                                  <w:rFonts w:ascii="Arial Narrow" w:eastAsia="SimSun" w:hAnsi="Arial Narrow" w:cstheme="minorBidi"/>
                                  <w:color w:val="000000" w:themeColor="text1"/>
                                  <w:kern w:val="24"/>
                                  <w:sz w:val="16"/>
                                  <w:szCs w:val="16"/>
                                </w:rPr>
                                <w:t xml:space="preserve"> </w:t>
                              </w:r>
                              <w:r w:rsidRPr="003A3749">
                                <w:rPr>
                                  <w:rFonts w:ascii="Arial Narrow" w:eastAsia="SimSun" w:hAnsi="Arial Narrow" w:cstheme="minorBidi"/>
                                  <w:color w:val="000000" w:themeColor="text1"/>
                                  <w:kern w:val="24"/>
                                  <w:sz w:val="16"/>
                                  <w:szCs w:val="16"/>
                                </w:rPr>
                                <w:t>nacionales de aplicación y otros</w:t>
                              </w:r>
                            </w:p>
                          </w:txbxContent>
                        </wps:txbx>
                        <wps:bodyPr wrap="square" lIns="45719" tIns="45719" rIns="45719" bIns="45719" numCol="1" anchor="ctr">
                          <a:noAutofit/>
                        </wps:bodyPr>
                      </wps:wsp>
                      <wps:wsp>
                        <wps:cNvPr id="17" name="officeArt object" descr="Cuadro de texto 2"/>
                        <wps:cNvSpPr txBox="1"/>
                        <wps:spPr>
                          <a:xfrm>
                            <a:off x="100688" y="3469769"/>
                            <a:ext cx="2985049" cy="508094"/>
                          </a:xfrm>
                          <a:prstGeom prst="rect">
                            <a:avLst/>
                          </a:prstGeom>
                          <a:solidFill>
                            <a:srgbClr val="FFFFFF"/>
                          </a:solidFill>
                          <a:ln w="9525" cap="flat">
                            <a:solidFill>
                              <a:srgbClr val="000000"/>
                            </a:solidFill>
                            <a:prstDash val="solid"/>
                            <a:miter lim="800000"/>
                          </a:ln>
                          <a:effectLst/>
                        </wps:spPr>
                        <wps:txbx>
                          <w:txbxContent>
                            <w:p w14:paraId="672EE188" w14:textId="77777777" w:rsidR="00454804" w:rsidRPr="003A3749" w:rsidRDefault="00454804" w:rsidP="00825438">
                              <w:pPr>
                                <w:jc w:val="center"/>
                                <w:rPr>
                                  <w:sz w:val="16"/>
                                  <w:szCs w:val="16"/>
                                </w:rPr>
                              </w:pPr>
                              <w:r w:rsidRPr="003A3749">
                                <w:rPr>
                                  <w:rFonts w:ascii="Arial Narrow" w:eastAsia="SimSun" w:hAnsi="Arial Narrow" w:cstheme="minorBidi"/>
                                  <w:color w:val="000000" w:themeColor="text1"/>
                                  <w:kern w:val="24"/>
                                  <w:sz w:val="16"/>
                                  <w:szCs w:val="16"/>
                                  <w:lang w:val="es-ES"/>
                                </w:rPr>
                                <w:t>Evaluaciones iniciales del Convenio de Minamata, aplicaciones del</w:t>
                              </w:r>
                              <w:r>
                                <w:rPr>
                                  <w:rFonts w:ascii="Arial Narrow" w:eastAsia="SimSun" w:hAnsi="Arial Narrow" w:cstheme="minorBidi"/>
                                  <w:color w:val="000000" w:themeColor="text1"/>
                                  <w:kern w:val="24"/>
                                  <w:sz w:val="28"/>
                                  <w:szCs w:val="28"/>
                                  <w:lang w:val="es-ES"/>
                                </w:rPr>
                                <w:t xml:space="preserve"> </w:t>
                              </w:r>
                              <w:r w:rsidRPr="003A3749">
                                <w:rPr>
                                  <w:rFonts w:ascii="Arial Narrow" w:eastAsia="SimSun" w:hAnsi="Arial Narrow" w:cstheme="minorBidi"/>
                                  <w:color w:val="000000" w:themeColor="text1"/>
                                  <w:kern w:val="24"/>
                                  <w:sz w:val="16"/>
                                  <w:szCs w:val="16"/>
                                  <w:lang w:val="es-ES"/>
                                </w:rPr>
                                <w:t>PIE otros.</w:t>
                              </w:r>
                            </w:p>
                          </w:txbxContent>
                        </wps:txbx>
                        <wps:bodyPr wrap="square" lIns="45719" tIns="45719" rIns="45719" bIns="45719" numCol="1" anchor="ctr">
                          <a:noAutofit/>
                        </wps:bodyPr>
                      </wps:wsp>
                      <wps:wsp>
                        <wps:cNvPr id="18" name="officeArt object" descr="Cuadro de texto 2"/>
                        <wps:cNvSpPr txBox="1"/>
                        <wps:spPr>
                          <a:xfrm>
                            <a:off x="105892" y="4006910"/>
                            <a:ext cx="2979846" cy="305407"/>
                          </a:xfrm>
                          <a:prstGeom prst="rect">
                            <a:avLst/>
                          </a:prstGeom>
                          <a:solidFill>
                            <a:srgbClr val="FFFFFF"/>
                          </a:solidFill>
                          <a:ln w="9525" cap="flat">
                            <a:solidFill>
                              <a:srgbClr val="000000"/>
                            </a:solidFill>
                            <a:prstDash val="solid"/>
                            <a:miter lim="800000"/>
                          </a:ln>
                          <a:effectLst/>
                        </wps:spPr>
                        <wps:txbx>
                          <w:txbxContent>
                            <w:p w14:paraId="6859E691" w14:textId="4CE4DCAC" w:rsidR="00454804" w:rsidRPr="00DC479E" w:rsidRDefault="00454804" w:rsidP="00825438">
                              <w:pPr>
                                <w:jc w:val="center"/>
                                <w:rPr>
                                  <w:rFonts w:ascii="Arial Narrow" w:eastAsia="SimSun" w:hAnsi="Arial Narrow" w:cstheme="minorBidi"/>
                                  <w:color w:val="000000" w:themeColor="text1"/>
                                  <w:kern w:val="24"/>
                                  <w:sz w:val="16"/>
                                  <w:szCs w:val="16"/>
                                  <w:lang w:val="es-ES"/>
                                </w:rPr>
                              </w:pPr>
                              <w:r w:rsidRPr="00DC479E">
                                <w:rPr>
                                  <w:rFonts w:ascii="Arial Narrow" w:eastAsia="SimSun" w:hAnsi="Arial Narrow" w:cstheme="minorBidi"/>
                                  <w:color w:val="000000" w:themeColor="text1"/>
                                  <w:kern w:val="24"/>
                                  <w:sz w:val="16"/>
                                  <w:szCs w:val="16"/>
                                  <w:lang w:val="es-ES"/>
                                </w:rPr>
                                <w:t>Otras</w:t>
                              </w:r>
                              <w:r>
                                <w:rPr>
                                  <w:rFonts w:ascii="Arial Narrow" w:eastAsia="SimSun" w:hAnsi="Arial Narrow" w:cstheme="minorBidi"/>
                                  <w:color w:val="000000" w:themeColor="text1"/>
                                  <w:kern w:val="24"/>
                                  <w:sz w:val="16"/>
                                  <w:szCs w:val="16"/>
                                  <w:lang w:val="es-ES"/>
                                </w:rPr>
                                <w:t xml:space="preserve"> </w:t>
                              </w:r>
                              <w:r w:rsidRPr="00DC479E">
                                <w:rPr>
                                  <w:rFonts w:ascii="Arial Narrow" w:eastAsia="SimSun" w:hAnsi="Arial Narrow" w:cstheme="minorBidi"/>
                                  <w:color w:val="000000" w:themeColor="text1"/>
                                  <w:kern w:val="24"/>
                                  <w:sz w:val="16"/>
                                  <w:szCs w:val="16"/>
                                  <w:lang w:val="es-ES"/>
                                </w:rPr>
                                <w:t>comunicaciones</w:t>
                              </w:r>
                            </w:p>
                          </w:txbxContent>
                        </wps:txbx>
                        <wps:bodyPr wrap="square" lIns="45719" tIns="45719" rIns="45719" bIns="45719" numCol="1" anchor="ctr">
                          <a:noAutofit/>
                        </wps:bodyPr>
                      </wps:wsp>
                      <wps:wsp>
                        <wps:cNvPr id="19" name="officeArt object" descr="Cuadro de texto 2"/>
                        <wps:cNvSpPr txBox="1"/>
                        <wps:spPr>
                          <a:xfrm>
                            <a:off x="6559" y="4460500"/>
                            <a:ext cx="3138876" cy="534494"/>
                          </a:xfrm>
                          <a:prstGeom prst="rect">
                            <a:avLst/>
                          </a:prstGeom>
                          <a:solidFill>
                            <a:schemeClr val="accent4">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04AC3E59" w14:textId="14C3F0A7" w:rsidR="00454804" w:rsidRPr="00B131E7" w:rsidRDefault="00454804" w:rsidP="00FC03CF">
                              <w:pPr>
                                <w:jc w:val="center"/>
                                <w:rPr>
                                  <w:b/>
                                  <w:bCs/>
                                  <w:sz w:val="16"/>
                                  <w:szCs w:val="16"/>
                                </w:rPr>
                              </w:pPr>
                              <w:r w:rsidRPr="00B131E7">
                                <w:rPr>
                                  <w:rFonts w:ascii="Arial Narrow" w:eastAsia="SimSun" w:hAnsi="Arial Narrow" w:cstheme="minorBidi"/>
                                  <w:b/>
                                  <w:bCs/>
                                  <w:color w:val="000000" w:themeColor="text1"/>
                                  <w:kern w:val="24"/>
                                  <w:sz w:val="16"/>
                                  <w:szCs w:val="16"/>
                                  <w:lang w:val="es-ES"/>
                                </w:rPr>
                                <w:t>Comunicaciones presentadas por otros</w:t>
                              </w:r>
                              <w:r w:rsidRPr="00B131E7">
                                <w:rPr>
                                  <w:rFonts w:ascii="Arial Narrow" w:eastAsia="SimSun" w:hAnsi="Arial Narrow" w:cstheme="minorBidi"/>
                                  <w:b/>
                                  <w:bCs/>
                                  <w:color w:val="000000" w:themeColor="text1"/>
                                  <w:kern w:val="24"/>
                                  <w:sz w:val="16"/>
                                  <w:szCs w:val="16"/>
                                </w:rPr>
                                <w:br/>
                              </w:r>
                              <w:r w:rsidRPr="00B131E7">
                                <w:rPr>
                                  <w:rFonts w:ascii="Arial Narrow" w:eastAsia="SimSun" w:hAnsi="Arial Narrow" w:cstheme="minorBidi"/>
                                  <w:b/>
                                  <w:bCs/>
                                  <w:color w:val="000000" w:themeColor="text1"/>
                                  <w:kern w:val="24"/>
                                  <w:sz w:val="16"/>
                                  <w:szCs w:val="16"/>
                                  <w:lang w:val="es-ES"/>
                                </w:rPr>
                                <w:t xml:space="preserve">interesados y otras </w:t>
                              </w:r>
                              <w:r w:rsidRPr="00B131E7">
                                <w:rPr>
                                  <w:rFonts w:ascii="Arial Narrow" w:eastAsia="SimSun" w:hAnsi="Arial Narrow" w:cstheme="minorBidi"/>
                                  <w:b/>
                                  <w:bCs/>
                                  <w:color w:val="000000" w:themeColor="text1"/>
                                  <w:kern w:val="24"/>
                                  <w:sz w:val="16"/>
                                  <w:szCs w:val="16"/>
                                </w:rPr>
                                <w:t>informaciones</w:t>
                              </w:r>
                            </w:p>
                          </w:txbxContent>
                        </wps:txbx>
                        <wps:bodyPr wrap="square" lIns="45719" tIns="45719" rIns="45719" bIns="45719" numCol="1" anchor="ctr">
                          <a:noAutofit/>
                        </wps:bodyPr>
                      </wps:wsp>
                      <wps:wsp>
                        <wps:cNvPr id="20" name="officeArt object" descr="Cuadro de texto 2"/>
                        <wps:cNvSpPr txBox="1"/>
                        <wps:spPr>
                          <a:xfrm>
                            <a:off x="24670" y="5050835"/>
                            <a:ext cx="3120482" cy="483056"/>
                          </a:xfrm>
                          <a:prstGeom prst="rect">
                            <a:avLst/>
                          </a:prstGeom>
                          <a:solidFill>
                            <a:schemeClr val="accent4">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666D1BB7" w14:textId="37BB005C" w:rsidR="00454804" w:rsidRPr="00B131E7" w:rsidRDefault="00454804" w:rsidP="00825438">
                              <w:pPr>
                                <w:jc w:val="center"/>
                                <w:rPr>
                                  <w:rFonts w:ascii="Arial Narrow" w:eastAsia="SimSun" w:hAnsi="Arial Narrow" w:cstheme="minorBidi"/>
                                  <w:b/>
                                  <w:bCs/>
                                  <w:color w:val="000000" w:themeColor="text1"/>
                                  <w:kern w:val="24"/>
                                  <w:sz w:val="16"/>
                                  <w:szCs w:val="16"/>
                                  <w:lang w:val="es-ES"/>
                                </w:rPr>
                              </w:pPr>
                              <w:r w:rsidRPr="00B131E7">
                                <w:rPr>
                                  <w:rFonts w:ascii="Arial Narrow" w:eastAsia="SimSun" w:hAnsi="Arial Narrow" w:cstheme="minorBidi"/>
                                  <w:b/>
                                  <w:bCs/>
                                  <w:color w:val="000000" w:themeColor="text1"/>
                                  <w:kern w:val="24"/>
                                  <w:sz w:val="16"/>
                                  <w:szCs w:val="16"/>
                                  <w:lang w:val="es-ES"/>
                                </w:rPr>
                                <w:t>Información disponible</w:t>
                              </w:r>
                              <w:r>
                                <w:rPr>
                                  <w:rFonts w:ascii="Arial Narrow" w:eastAsia="SimSun" w:hAnsi="Arial Narrow" w:cstheme="minorBidi"/>
                                  <w:b/>
                                  <w:bCs/>
                                  <w:color w:val="000000" w:themeColor="text1"/>
                                  <w:kern w:val="24"/>
                                  <w:sz w:val="28"/>
                                  <w:szCs w:val="28"/>
                                  <w:lang w:val="es-ES"/>
                                </w:rPr>
                                <w:t xml:space="preserve"> </w:t>
                              </w:r>
                              <w:r w:rsidRPr="00B131E7">
                                <w:rPr>
                                  <w:rFonts w:ascii="Arial Narrow" w:eastAsia="SimSun" w:hAnsi="Arial Narrow" w:cstheme="minorBidi"/>
                                  <w:b/>
                                  <w:bCs/>
                                  <w:color w:val="000000" w:themeColor="text1"/>
                                  <w:kern w:val="24"/>
                                  <w:sz w:val="16"/>
                                  <w:szCs w:val="16"/>
                                  <w:lang w:val="es-ES"/>
                                </w:rPr>
                                <w:t>sobre la</w:t>
                              </w:r>
                              <w:r w:rsidRPr="00B131E7">
                                <w:rPr>
                                  <w:rFonts w:ascii="Arial Narrow" w:eastAsia="SimSun" w:hAnsi="Arial Narrow" w:cstheme="minorBidi"/>
                                  <w:b/>
                                  <w:bCs/>
                                  <w:color w:val="000000" w:themeColor="text1"/>
                                  <w:kern w:val="24"/>
                                  <w:sz w:val="28"/>
                                  <w:szCs w:val="28"/>
                                  <w:lang w:val="es-ES"/>
                                </w:rPr>
                                <w:t xml:space="preserve"> </w:t>
                              </w:r>
                              <w:r w:rsidRPr="00B131E7">
                                <w:rPr>
                                  <w:rFonts w:ascii="Arial Narrow" w:eastAsia="SimSun" w:hAnsi="Arial Narrow" w:cstheme="minorBidi"/>
                                  <w:b/>
                                  <w:bCs/>
                                  <w:color w:val="000000" w:themeColor="text1"/>
                                  <w:kern w:val="24"/>
                                  <w:sz w:val="16"/>
                                  <w:szCs w:val="16"/>
                                  <w:lang w:val="es-ES"/>
                                </w:rPr>
                                <w:t>vigilancia</w:t>
                              </w:r>
                            </w:p>
                          </w:txbxContent>
                        </wps:txbx>
                        <wps:bodyPr wrap="square" lIns="45719" tIns="45719" rIns="45719" bIns="45719" numCol="1" anchor="ctr">
                          <a:noAutofit/>
                        </wps:bodyPr>
                      </wps:wsp>
                      <wps:wsp>
                        <wps:cNvPr id="21" name="officeArt object" descr="Cuadro de texto 2"/>
                        <wps:cNvSpPr txBox="1"/>
                        <wps:spPr>
                          <a:xfrm>
                            <a:off x="6559" y="5563392"/>
                            <a:ext cx="2972116" cy="342739"/>
                          </a:xfrm>
                          <a:prstGeom prst="rect">
                            <a:avLst/>
                          </a:prstGeom>
                          <a:solidFill>
                            <a:schemeClr val="bg1">
                              <a:lumMod val="65000"/>
                            </a:schemeClr>
                          </a:solidFill>
                          <a:ln w="3175" cap="flat">
                            <a:solidFill>
                              <a:schemeClr val="tx1"/>
                            </a:solidFill>
                            <a:prstDash val="solid"/>
                            <a:round/>
                          </a:ln>
                          <a:effectLst/>
                        </wps:spPr>
                        <wps:txbx>
                          <w:txbxContent>
                            <w:p w14:paraId="156386AA" w14:textId="77777777" w:rsidR="00454804" w:rsidRPr="008A5F6A" w:rsidRDefault="00454804" w:rsidP="00FC03CF">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Niveles 1 y 2</w:t>
                              </w:r>
                            </w:p>
                          </w:txbxContent>
                        </wps:txbx>
                        <wps:bodyPr wrap="square" lIns="45719" tIns="45719" rIns="45719" bIns="45719" numCol="1" anchor="ctr">
                          <a:noAutofit/>
                        </wps:bodyPr>
                      </wps:wsp>
                      <wps:wsp>
                        <wps:cNvPr id="22" name="Rectangle 22"/>
                        <wps:cNvSpPr/>
                        <wps:spPr>
                          <a:xfrm>
                            <a:off x="3551257" y="672905"/>
                            <a:ext cx="1521709" cy="732630"/>
                          </a:xfrm>
                          <a:prstGeom prst="rect">
                            <a:avLst/>
                          </a:prstGeom>
                          <a:solidFill>
                            <a:schemeClr val="accent3">
                              <a:lumMod val="60000"/>
                              <a:lumOff val="40000"/>
                            </a:schemeClr>
                          </a:solidFill>
                        </wps:spPr>
                        <wps:style>
                          <a:lnRef idx="1">
                            <a:schemeClr val="accent6"/>
                          </a:lnRef>
                          <a:fillRef idx="2">
                            <a:schemeClr val="accent6"/>
                          </a:fillRef>
                          <a:effectRef idx="1">
                            <a:schemeClr val="accent6"/>
                          </a:effectRef>
                          <a:fontRef idx="minor">
                            <a:schemeClr val="dk1"/>
                          </a:fontRef>
                        </wps:style>
                        <wps:txbx>
                          <w:txbxContent>
                            <w:p w14:paraId="636F218E" w14:textId="11784376" w:rsidR="00454804" w:rsidRPr="00DC479E" w:rsidRDefault="00454804" w:rsidP="00825438">
                              <w:pPr>
                                <w:jc w:val="center"/>
                                <w:rPr>
                                  <w:sz w:val="18"/>
                                  <w:szCs w:val="18"/>
                                </w:rPr>
                              </w:pPr>
                              <w:r w:rsidRPr="00DC479E">
                                <w:rPr>
                                  <w:rFonts w:ascii="Arial Narrow" w:eastAsia="SimSun" w:hAnsi="Arial Narrow" w:cstheme="minorBidi"/>
                                  <w:b/>
                                  <w:bCs/>
                                  <w:color w:val="000000" w:themeColor="text1"/>
                                  <w:kern w:val="24"/>
                                  <w:sz w:val="18"/>
                                  <w:szCs w:val="18"/>
                                  <w:lang w:val="it-IT"/>
                                </w:rPr>
                                <w:t>Secretaría</w:t>
                              </w:r>
                            </w:p>
                            <w:p w14:paraId="39672671" w14:textId="77777777" w:rsidR="00454804" w:rsidRPr="00FC03CF" w:rsidRDefault="00454804" w:rsidP="00825438">
                              <w:pPr>
                                <w:jc w:val="center"/>
                                <w:rPr>
                                  <w:i/>
                                  <w:iCs/>
                                </w:rPr>
                              </w:pPr>
                              <w:r w:rsidRPr="00FC03CF">
                                <w:rPr>
                                  <w:rFonts w:ascii="Arial Narrow" w:eastAsia="SimSun" w:hAnsi="Arial Narrow" w:cstheme="minorBidi"/>
                                  <w:i/>
                                  <w:iCs/>
                                  <w:color w:val="000000" w:themeColor="text1"/>
                                  <w:kern w:val="24"/>
                                  <w:sz w:val="18"/>
                                  <w:szCs w:val="18"/>
                                  <w:lang w:val="it-IT"/>
                                </w:rPr>
                                <w:t>Compilaciones y resúmeness</w:t>
                              </w:r>
                            </w:p>
                          </w:txbxContent>
                        </wps:txbx>
                        <wps:bodyPr wrap="square">
                          <a:noAutofit/>
                        </wps:bodyPr>
                      </wps:wsp>
                      <wps:wsp>
                        <wps:cNvPr id="23" name="Rectangle 23"/>
                        <wps:cNvSpPr/>
                        <wps:spPr>
                          <a:xfrm>
                            <a:off x="3494633" y="2124117"/>
                            <a:ext cx="1634034" cy="1937384"/>
                          </a:xfrm>
                          <a:prstGeom prst="rect">
                            <a:avLst/>
                          </a:prstGeom>
                          <a:solidFill>
                            <a:schemeClr val="accent3">
                              <a:lumMod val="60000"/>
                              <a:lumOff val="40000"/>
                            </a:schemeClr>
                          </a:solidFill>
                        </wps:spPr>
                        <wps:style>
                          <a:lnRef idx="1">
                            <a:schemeClr val="accent6"/>
                          </a:lnRef>
                          <a:fillRef idx="2">
                            <a:schemeClr val="accent6"/>
                          </a:fillRef>
                          <a:effectRef idx="1">
                            <a:schemeClr val="accent6"/>
                          </a:effectRef>
                          <a:fontRef idx="minor">
                            <a:schemeClr val="dk1"/>
                          </a:fontRef>
                        </wps:style>
                        <wps:txbx>
                          <w:txbxContent>
                            <w:p w14:paraId="5A0202C6" w14:textId="1F508880" w:rsidR="00454804" w:rsidRPr="00DC479E" w:rsidRDefault="00454804" w:rsidP="00825438">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Secretaría</w:t>
                              </w:r>
                              <w:r>
                                <w:rPr>
                                  <w:rFonts w:ascii="Arial Narrow" w:eastAsia="SimSun" w:hAnsi="Arial Narrow" w:cstheme="minorBidi"/>
                                  <w:b/>
                                  <w:bCs/>
                                  <w:color w:val="000000" w:themeColor="text1"/>
                                  <w:kern w:val="24"/>
                                  <w:sz w:val="18"/>
                                  <w:szCs w:val="18"/>
                                  <w:lang w:val="it-IT"/>
                                </w:rPr>
                                <w:br/>
                                <w:t>c</w:t>
                              </w:r>
                              <w:r w:rsidRPr="00DC479E">
                                <w:rPr>
                                  <w:rFonts w:ascii="Arial Narrow" w:eastAsia="SimSun" w:hAnsi="Arial Narrow" w:cstheme="minorBidi"/>
                                  <w:b/>
                                  <w:bCs/>
                                  <w:color w:val="000000" w:themeColor="text1"/>
                                  <w:kern w:val="24"/>
                                  <w:sz w:val="18"/>
                                  <w:szCs w:val="18"/>
                                  <w:lang w:val="it-IT"/>
                                </w:rPr>
                                <w:t>on colaboradores</w:t>
                              </w:r>
                              <w:r>
                                <w:rPr>
                                  <w:rFonts w:ascii="Arial Narrow" w:eastAsia="SimSun" w:hAnsi="Arial Narrow" w:cstheme="minorBidi"/>
                                  <w:b/>
                                  <w:bCs/>
                                  <w:color w:val="000000" w:themeColor="text1"/>
                                  <w:kern w:val="24"/>
                                  <w:sz w:val="18"/>
                                  <w:szCs w:val="18"/>
                                  <w:lang w:val="it-IT"/>
                                </w:rPr>
                                <w:br/>
                              </w:r>
                              <w:r w:rsidRPr="00DC479E">
                                <w:rPr>
                                  <w:rFonts w:ascii="Arial Narrow" w:eastAsia="SimSun" w:hAnsi="Arial Narrow" w:cstheme="minorBidi"/>
                                  <w:b/>
                                  <w:bCs/>
                                  <w:color w:val="000000" w:themeColor="text1"/>
                                  <w:kern w:val="24"/>
                                  <w:sz w:val="18"/>
                                  <w:szCs w:val="18"/>
                                  <w:lang w:val="it-IT"/>
                                </w:rPr>
                                <w:t>o</w:t>
                              </w:r>
                              <w:r>
                                <w:rPr>
                                  <w:rFonts w:ascii="Arial Narrow" w:eastAsia="SimSun" w:hAnsi="Arial Narrow" w:cstheme="minorBidi"/>
                                  <w:b/>
                                  <w:bCs/>
                                  <w:color w:val="000000" w:themeColor="text1"/>
                                  <w:kern w:val="24"/>
                                  <w:sz w:val="18"/>
                                  <w:szCs w:val="18"/>
                                  <w:lang w:val="it-IT"/>
                                </w:rPr>
                                <w:br/>
                              </w:r>
                              <w:r w:rsidRPr="00DC479E">
                                <w:rPr>
                                  <w:rFonts w:ascii="Arial Narrow" w:eastAsia="SimSun" w:hAnsi="Arial Narrow" w:cstheme="minorBidi"/>
                                  <w:b/>
                                  <w:bCs/>
                                  <w:color w:val="000000" w:themeColor="text1"/>
                                  <w:kern w:val="24"/>
                                  <w:sz w:val="18"/>
                                  <w:szCs w:val="18"/>
                                  <w:lang w:val="it-IT"/>
                                </w:rPr>
                                <w:t>a través de ellos</w:t>
                              </w:r>
                            </w:p>
                            <w:p w14:paraId="1A314B76" w14:textId="77777777" w:rsidR="00454804" w:rsidRPr="009916A2" w:rsidRDefault="00454804" w:rsidP="00997BCE">
                              <w:pPr>
                                <w:spacing w:before="120"/>
                                <w:jc w:val="center"/>
                                <w:rPr>
                                  <w:sz w:val="16"/>
                                  <w:szCs w:val="16"/>
                                  <w14:textFill>
                                    <w14:gradFill>
                                      <w14:gsLst>
                                        <w14:gs w14:pos="30000">
                                          <w14:schemeClr w14:val="accent3">
                                            <w14:lumMod w14:val="60000"/>
                                            <w14:lumOff w14:val="40000"/>
                                          </w14:schemeClr>
                                        </w14:gs>
                                        <w14:gs w14:pos="44269">
                                          <w14:srgbClr w14:val="DF9975"/>
                                        </w14:gs>
                                        <w14:gs w14:pos="73414">
                                          <w14:srgbClr w14:val="DBB6BC"/>
                                        </w14:gs>
                                        <w14:gs w14:pos="0">
                                          <w14:schemeClr w14:val="accent6">
                                            <w14:lumMod w14:val="60000"/>
                                            <w14:lumOff w14:val="40000"/>
                                          </w14:schemeClr>
                                        </w14:gs>
                                        <w14:gs w14:pos="94000">
                                          <w14:schemeClr w14:val="accent4">
                                            <w14:tint w14:val="37000"/>
                                            <w14:satMod w14:val="300000"/>
                                          </w14:schemeClr>
                                        </w14:gs>
                                        <w14:gs w14:pos="100000">
                                          <w14:schemeClr w14:val="accent4">
                                            <w14:tint w14:val="15000"/>
                                            <w14:satMod w14:val="350000"/>
                                          </w14:schemeClr>
                                        </w14:gs>
                                      </w14:gsLst>
                                      <w14:lin w14:ang="16200000" w14:scaled="0"/>
                                    </w14:gradFill>
                                  </w14:textFill>
                                </w:rPr>
                              </w:pPr>
                              <w:r w:rsidRPr="00FC03CF">
                                <w:rPr>
                                  <w:rFonts w:ascii="Arial Narrow" w:eastAsia="SimSun" w:hAnsi="Arial Narrow" w:cstheme="minorBidi"/>
                                  <w:i/>
                                  <w:iCs/>
                                  <w:color w:val="000000" w:themeColor="text1"/>
                                  <w:kern w:val="24"/>
                                  <w:sz w:val="16"/>
                                  <w:szCs w:val="16"/>
                                  <w:lang w:val="it-IT"/>
                                </w:rPr>
                                <w:t>Síntesis de</w:t>
                              </w:r>
                              <w:r w:rsidRPr="00FC03CF">
                                <w:rPr>
                                  <w:rFonts w:ascii="Arial Narrow" w:eastAsia="SimSun" w:hAnsi="Arial Narrow" w:cstheme="minorBidi"/>
                                  <w:i/>
                                  <w:iCs/>
                                  <w:color w:val="000000" w:themeColor="text1"/>
                                  <w:kern w:val="24"/>
                                  <w:sz w:val="16"/>
                                  <w:szCs w:val="16"/>
                                </w:rPr>
                                <w:t xml:space="preserve"> </w:t>
                              </w:r>
                              <w:r w:rsidRPr="00FC03CF">
                                <w:rPr>
                                  <w:rFonts w:ascii="Arial Narrow" w:eastAsia="SimSun" w:hAnsi="Arial Narrow" w:cstheme="minorBidi"/>
                                  <w:i/>
                                  <w:iCs/>
                                  <w:color w:val="000000" w:themeColor="text1"/>
                                  <w:kern w:val="24"/>
                                  <w:sz w:val="16"/>
                                  <w:szCs w:val="16"/>
                                  <w:lang w:val="it-IT"/>
                                </w:rPr>
                                <w:t xml:space="preserve">indicadores </w:t>
                              </w:r>
                              <w:r w:rsidRPr="00FC03CF">
                                <w:rPr>
                                  <w:rFonts w:ascii="Arial Narrow" w:eastAsia="SimSun" w:hAnsi="Arial Narrow" w:cstheme="minorBidi"/>
                                  <w:i/>
                                  <w:iCs/>
                                  <w:color w:val="000000" w:themeColor="text1"/>
                                  <w:kern w:val="24"/>
                                  <w:sz w:val="16"/>
                                  <w:szCs w:val="16"/>
                                </w:rPr>
                                <w:t>y otra información</w:t>
                              </w:r>
                              <w:r>
                                <w:rPr>
                                  <w:rFonts w:ascii="Arial Narrow" w:eastAsia="SimSun" w:hAnsi="Arial Narrow" w:cstheme="minorBidi"/>
                                  <w:i/>
                                  <w:iCs/>
                                  <w:color w:val="000000" w:themeColor="text1"/>
                                  <w:kern w:val="24"/>
                                  <w:sz w:val="28"/>
                                  <w:szCs w:val="28"/>
                                </w:rPr>
                                <w:t xml:space="preserve"> </w:t>
                              </w:r>
                              <w:r w:rsidRPr="00FC03CF">
                                <w:rPr>
                                  <w:rFonts w:ascii="Arial Narrow" w:eastAsia="SimSun" w:hAnsi="Arial Narrow" w:cstheme="minorBidi"/>
                                  <w:i/>
                                  <w:iCs/>
                                  <w:color w:val="000000" w:themeColor="text1"/>
                                  <w:kern w:val="24"/>
                                  <w:sz w:val="16"/>
                                  <w:szCs w:val="16"/>
                                </w:rPr>
                                <w:t>pertinente</w:t>
                              </w:r>
                            </w:p>
                          </w:txbxContent>
                        </wps:txbx>
                        <wps:bodyPr wrap="square">
                          <a:noAutofit/>
                        </wps:bodyPr>
                      </wps:wsp>
                      <wps:wsp>
                        <wps:cNvPr id="24" name="officeArt object" descr="Cuadro de texto 2"/>
                        <wps:cNvSpPr txBox="1"/>
                        <wps:spPr>
                          <a:xfrm>
                            <a:off x="3494629" y="4338101"/>
                            <a:ext cx="1634036" cy="1149982"/>
                          </a:xfrm>
                          <a:prstGeom prst="rect">
                            <a:avLst/>
                          </a:prstGeom>
                          <a:solidFill>
                            <a:schemeClr val="accent3">
                              <a:lumMod val="60000"/>
                              <a:lumOff val="40000"/>
                            </a:schemeClr>
                          </a:solidFill>
                          <a:extLst>
                            <a:ext uri="{C572A759-6A51-4108-AA02-DFA0A04FC94B}">
                              <ma14:wrappingTextBoxFlag xmlns:arto="http://schemas.microsoft.com/office/word/2006/arto"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style>
                          <a:lnRef idx="1">
                            <a:schemeClr val="accent6"/>
                          </a:lnRef>
                          <a:fillRef idx="2">
                            <a:schemeClr val="accent6"/>
                          </a:fillRef>
                          <a:effectRef idx="1">
                            <a:schemeClr val="accent6"/>
                          </a:effectRef>
                          <a:fontRef idx="minor">
                            <a:schemeClr val="dk1"/>
                          </a:fontRef>
                        </wps:style>
                        <wps:txbx>
                          <w:txbxContent>
                            <w:p w14:paraId="6277967E" w14:textId="77777777" w:rsidR="00454804" w:rsidRPr="00FC03CF" w:rsidRDefault="00454804" w:rsidP="00997BCE">
                              <w:pPr>
                                <w:spacing w:before="240"/>
                                <w:jc w:val="center"/>
                                <w:rPr>
                                  <w:sz w:val="16"/>
                                  <w:szCs w:val="16"/>
                                </w:rPr>
                              </w:pPr>
                              <w:r w:rsidRPr="00FC03CF">
                                <w:rPr>
                                  <w:rFonts w:ascii="Arial Narrow" w:eastAsia="SimSun" w:hAnsi="Arial Narrow" w:cstheme="minorBidi"/>
                                  <w:b/>
                                  <w:bCs/>
                                  <w:color w:val="000000" w:themeColor="text1"/>
                                  <w:kern w:val="24"/>
                                  <w:sz w:val="16"/>
                                  <w:szCs w:val="16"/>
                                  <w:lang w:val="it-IT"/>
                                </w:rPr>
                                <w:t>Grupo de vigilancia y elaboración</w:t>
                              </w:r>
                              <w:r w:rsidRPr="00FC03CF">
                                <w:rPr>
                                  <w:rFonts w:ascii="Arial Narrow" w:eastAsia="SimSun" w:hAnsi="Arial Narrow" w:cstheme="minorBidi"/>
                                  <w:color w:val="000000" w:themeColor="text1"/>
                                  <w:kern w:val="24"/>
                                  <w:sz w:val="16"/>
                                  <w:szCs w:val="16"/>
                                </w:rPr>
                                <w:t xml:space="preserve"> </w:t>
                              </w:r>
                              <w:r w:rsidRPr="00FC03CF">
                                <w:rPr>
                                  <w:rFonts w:ascii="Arial Narrow" w:eastAsia="SimSun" w:hAnsi="Arial Narrow" w:cstheme="minorBidi"/>
                                  <w:b/>
                                  <w:bCs/>
                                  <w:color w:val="000000" w:themeColor="text1"/>
                                  <w:kern w:val="24"/>
                                  <w:sz w:val="16"/>
                                  <w:szCs w:val="16"/>
                                  <w:lang w:val="it-IT"/>
                                </w:rPr>
                                <w:t>de modelos</w:t>
                              </w:r>
                            </w:p>
                          </w:txbxContent>
                        </wps:txbx>
                        <wps:bodyPr wrap="square">
                          <a:noAutofit/>
                        </wps:bodyPr>
                      </wps:wsp>
                      <wps:wsp>
                        <wps:cNvPr id="25" name="officeArt object" descr="Cuadro de texto 2"/>
                        <wps:cNvSpPr txBox="1"/>
                        <wps:spPr>
                          <a:xfrm>
                            <a:off x="5501169" y="2655877"/>
                            <a:ext cx="2246676" cy="472404"/>
                          </a:xfrm>
                          <a:prstGeom prst="rect">
                            <a:avLst/>
                          </a:prstGeom>
                          <a:gradFill>
                            <a:gsLst>
                              <a:gs pos="73414">
                                <a:srgbClr val="DBB6BC"/>
                              </a:gs>
                              <a:gs pos="0">
                                <a:schemeClr val="accent6">
                                  <a:lumMod val="75000"/>
                                </a:schemeClr>
                              </a:gs>
                              <a:gs pos="94000">
                                <a:schemeClr val="accent4">
                                  <a:tint val="37000"/>
                                  <a:satMod val="300000"/>
                                </a:schemeClr>
                              </a:gs>
                              <a:gs pos="100000">
                                <a:schemeClr val="accent4">
                                  <a:tint val="15000"/>
                                  <a:satMod val="350000"/>
                                </a:schemeClr>
                              </a:gs>
                            </a:gsLst>
                            <a:lin ang="16200000" scaled="1"/>
                          </a:gradFill>
                          <a:ln/>
                        </wps:spPr>
                        <wps:style>
                          <a:lnRef idx="1">
                            <a:schemeClr val="accent4"/>
                          </a:lnRef>
                          <a:fillRef idx="2">
                            <a:schemeClr val="accent4"/>
                          </a:fillRef>
                          <a:effectRef idx="1">
                            <a:schemeClr val="accent4"/>
                          </a:effectRef>
                          <a:fontRef idx="minor">
                            <a:schemeClr val="dk1"/>
                          </a:fontRef>
                        </wps:style>
                        <wps:txbx>
                          <w:txbxContent>
                            <w:p w14:paraId="3057BEF7" w14:textId="77777777" w:rsidR="00454804" w:rsidRPr="00FC03CF" w:rsidRDefault="00454804" w:rsidP="00825438">
                              <w:pPr>
                                <w:jc w:val="center"/>
                                <w:rPr>
                                  <w:sz w:val="16"/>
                                  <w:szCs w:val="16"/>
                                </w:rPr>
                              </w:pPr>
                              <w:r w:rsidRPr="008C5A39">
                                <w:rPr>
                                  <w:rFonts w:ascii="Arial Narrow" w:eastAsia="SimSun" w:hAnsi="Arial Narrow" w:cstheme="minorBidi"/>
                                  <w:b/>
                                  <w:bCs/>
                                  <w:color w:val="000000" w:themeColor="text1"/>
                                  <w:kern w:val="24"/>
                                  <w:sz w:val="16"/>
                                  <w:szCs w:val="16"/>
                                </w:rPr>
                                <w:t>2</w:t>
                              </w:r>
                              <w:r w:rsidRPr="00FC03CF">
                                <w:rPr>
                                  <w:rFonts w:ascii="Arial Narrow" w:eastAsia="SimSun" w:hAnsi="Arial Narrow" w:cstheme="minorBidi"/>
                                  <w:b/>
                                  <w:bCs/>
                                  <w:color w:val="000000" w:themeColor="text1"/>
                                  <w:kern w:val="24"/>
                                  <w:sz w:val="16"/>
                                  <w:szCs w:val="16"/>
                                  <w:lang w:val="es-ES"/>
                                </w:rPr>
                                <w:t>. Informe sobre emisiones y liberaciones</w:t>
                              </w:r>
                            </w:p>
                            <w:p w14:paraId="3145D9AE" w14:textId="77777777" w:rsidR="00454804" w:rsidRDefault="00454804" w:rsidP="00825438">
                              <w:pPr>
                                <w:jc w:val="center"/>
                              </w:pPr>
                              <w:r w:rsidRPr="008C5A39">
                                <w:rPr>
                                  <w:rFonts w:cstheme="minorBidi"/>
                                  <w:color w:val="000000"/>
                                  <w:kern w:val="24"/>
                                  <w:sz w:val="28"/>
                                  <w:szCs w:val="28"/>
                                </w:rPr>
                                <w:t> </w:t>
                              </w:r>
                            </w:p>
                            <w:p w14:paraId="5FBCBAC8" w14:textId="77777777" w:rsidR="00454804" w:rsidRDefault="00454804" w:rsidP="00825438">
                              <w:pPr>
                                <w:jc w:val="center"/>
                              </w:pPr>
                              <w:r w:rsidRPr="008C5A39">
                                <w:rPr>
                                  <w:rFonts w:cstheme="minorBidi"/>
                                  <w:color w:val="000000"/>
                                  <w:kern w:val="24"/>
                                  <w:sz w:val="28"/>
                                  <w:szCs w:val="28"/>
                                </w:rPr>
                                <w:t> </w:t>
                              </w:r>
                            </w:p>
                          </w:txbxContent>
                        </wps:txbx>
                        <wps:bodyPr wrap="square" lIns="45719" tIns="45719" rIns="45719" bIns="45719" numCol="1" anchor="t">
                          <a:noAutofit/>
                        </wps:bodyPr>
                      </wps:wsp>
                      <wps:wsp>
                        <wps:cNvPr id="26" name="officeArt object" descr="Cuadro de texto 2"/>
                        <wps:cNvSpPr txBox="1"/>
                        <wps:spPr>
                          <a:xfrm>
                            <a:off x="5501169" y="3207613"/>
                            <a:ext cx="2246675" cy="924027"/>
                          </a:xfrm>
                          <a:prstGeom prst="rect">
                            <a:avLst/>
                          </a:prstGeom>
                          <a:gradFill>
                            <a:gsLst>
                              <a:gs pos="44269">
                                <a:srgbClr val="DF9975"/>
                              </a:gs>
                              <a:gs pos="73414">
                                <a:srgbClr val="DBB6BC"/>
                              </a:gs>
                              <a:gs pos="0">
                                <a:schemeClr val="accent6">
                                  <a:lumMod val="75000"/>
                                </a:schemeClr>
                              </a:gs>
                              <a:gs pos="94000">
                                <a:schemeClr val="accent4">
                                  <a:tint val="37000"/>
                                  <a:satMod val="300000"/>
                                </a:schemeClr>
                              </a:gs>
                              <a:gs pos="100000">
                                <a:schemeClr val="accent4">
                                  <a:tint val="15000"/>
                                  <a:satMod val="350000"/>
                                </a:schemeClr>
                              </a:gs>
                            </a:gsLst>
                            <a:lin ang="16200000" scaled="1"/>
                          </a:gradFill>
                          <a:ln/>
                        </wps:spPr>
                        <wps:style>
                          <a:lnRef idx="1">
                            <a:schemeClr val="accent4"/>
                          </a:lnRef>
                          <a:fillRef idx="2">
                            <a:schemeClr val="accent4"/>
                          </a:fillRef>
                          <a:effectRef idx="1">
                            <a:schemeClr val="accent4"/>
                          </a:effectRef>
                          <a:fontRef idx="minor">
                            <a:schemeClr val="dk1"/>
                          </a:fontRef>
                        </wps:style>
                        <wps:txbx>
                          <w:txbxContent>
                            <w:p w14:paraId="1C5162B0" w14:textId="1DD6EEDF" w:rsidR="00454804" w:rsidRPr="00FC03CF" w:rsidRDefault="00454804" w:rsidP="00825438">
                              <w:pPr>
                                <w:jc w:val="center"/>
                                <w:rPr>
                                  <w:sz w:val="16"/>
                                  <w:szCs w:val="16"/>
                                </w:rPr>
                              </w:pPr>
                              <w:r w:rsidRPr="00FC03CF">
                                <w:rPr>
                                  <w:rFonts w:ascii="Arial Narrow" w:eastAsia="SimSun" w:hAnsi="Arial Narrow" w:cstheme="minorBidi"/>
                                  <w:b/>
                                  <w:bCs/>
                                  <w:color w:val="000000" w:themeColor="text1"/>
                                  <w:kern w:val="24"/>
                                  <w:sz w:val="16"/>
                                  <w:szCs w:val="16"/>
                                  <w:lang w:val="es-ES"/>
                                </w:rPr>
                                <w:t>3</w:t>
                              </w:r>
                              <w:r w:rsidRPr="00FC03CF">
                                <w:rPr>
                                  <w:rFonts w:ascii="Arial Narrow" w:hAnsi="Arial Narrow" w:cstheme="minorBidi"/>
                                  <w:b/>
                                  <w:bCs/>
                                  <w:color w:val="000000"/>
                                  <w:kern w:val="24"/>
                                  <w:sz w:val="16"/>
                                  <w:szCs w:val="16"/>
                                  <w:lang w:val="es-ES"/>
                                </w:rPr>
                                <w:t xml:space="preserve">. </w:t>
                              </w:r>
                              <w:r w:rsidRPr="00FC03CF">
                                <w:rPr>
                                  <w:rFonts w:ascii="Arial Narrow" w:eastAsia="SimSun" w:hAnsi="Arial Narrow" w:cstheme="minorBidi"/>
                                  <w:b/>
                                  <w:bCs/>
                                  <w:color w:val="000000" w:themeColor="text1"/>
                                  <w:kern w:val="24"/>
                                  <w:sz w:val="16"/>
                                  <w:szCs w:val="16"/>
                                  <w:lang w:val="es-ES"/>
                                </w:rPr>
                                <w:t>Informe sobre comercio, oferta y demanda, que</w:t>
                              </w:r>
                              <w:r>
                                <w:rPr>
                                  <w:rFonts w:ascii="Arial Narrow" w:eastAsia="SimSun" w:hAnsi="Arial Narrow" w:cstheme="minorBidi"/>
                                  <w:b/>
                                  <w:bCs/>
                                  <w:color w:val="000000" w:themeColor="text1"/>
                                  <w:kern w:val="24"/>
                                  <w:sz w:val="16"/>
                                  <w:szCs w:val="16"/>
                                  <w:lang w:val="es-ES"/>
                                </w:rPr>
                                <w:t xml:space="preserve"> </w:t>
                              </w:r>
                              <w:r w:rsidRPr="00FC03CF">
                                <w:rPr>
                                  <w:rFonts w:ascii="Arial Narrow" w:eastAsia="SimSun" w:hAnsi="Arial Narrow" w:cstheme="minorBidi"/>
                                  <w:b/>
                                  <w:bCs/>
                                  <w:color w:val="000000" w:themeColor="text1"/>
                                  <w:kern w:val="24"/>
                                  <w:sz w:val="16"/>
                                  <w:szCs w:val="16"/>
                                  <w:lang w:val="es-ES"/>
                                </w:rPr>
                                <w:t>incluye los flujos y existencias de Hg</w:t>
                              </w:r>
                            </w:p>
                          </w:txbxContent>
                        </wps:txbx>
                        <wps:bodyPr wrap="square" lIns="45719" tIns="45719" rIns="45719" bIns="45719" numCol="1" anchor="ctr">
                          <a:noAutofit/>
                        </wps:bodyPr>
                      </wps:wsp>
                      <wps:wsp>
                        <wps:cNvPr id="27" name="officeArt object" descr="Cuadro de texto 2"/>
                        <wps:cNvSpPr txBox="1"/>
                        <wps:spPr>
                          <a:xfrm>
                            <a:off x="5458037" y="2007481"/>
                            <a:ext cx="2246676" cy="498538"/>
                          </a:xfrm>
                          <a:prstGeom prst="rect">
                            <a:avLst/>
                          </a:prstGeom>
                          <a:gradFill>
                            <a:gsLst>
                              <a:gs pos="0">
                                <a:schemeClr val="accent6">
                                  <a:lumMod val="75000"/>
                                </a:schemeClr>
                              </a:gs>
                              <a:gs pos="94000">
                                <a:schemeClr val="accent4">
                                  <a:tint val="37000"/>
                                  <a:satMod val="300000"/>
                                </a:schemeClr>
                              </a:gs>
                              <a:gs pos="100000">
                                <a:schemeClr val="accent4">
                                  <a:tint val="15000"/>
                                  <a:satMod val="350000"/>
                                </a:schemeClr>
                              </a:gs>
                            </a:gsLst>
                            <a:lin ang="16200000" scaled="1"/>
                          </a:gradFill>
                          <a:ln/>
                        </wps:spPr>
                        <wps:style>
                          <a:lnRef idx="1">
                            <a:schemeClr val="accent4"/>
                          </a:lnRef>
                          <a:fillRef idx="2">
                            <a:schemeClr val="accent4"/>
                          </a:fillRef>
                          <a:effectRef idx="1">
                            <a:schemeClr val="accent4"/>
                          </a:effectRef>
                          <a:fontRef idx="minor">
                            <a:schemeClr val="dk1"/>
                          </a:fontRef>
                        </wps:style>
                        <wps:txbx>
                          <w:txbxContent>
                            <w:p w14:paraId="38B05B85" w14:textId="02609EDA" w:rsidR="00454804" w:rsidRDefault="00454804" w:rsidP="00825438">
                              <w:pPr>
                                <w:jc w:val="center"/>
                                <w:rPr>
                                  <w:sz w:val="24"/>
                                  <w:szCs w:val="24"/>
                                </w:rPr>
                              </w:pPr>
                              <w:r w:rsidRPr="00FC03CF">
                                <w:rPr>
                                  <w:rFonts w:ascii="Arial Narrow" w:eastAsia="SimSun" w:hAnsi="Arial Narrow" w:cstheme="minorBidi"/>
                                  <w:b/>
                                  <w:bCs/>
                                  <w:color w:val="000000" w:themeColor="text1"/>
                                  <w:kern w:val="24"/>
                                  <w:sz w:val="16"/>
                                  <w:szCs w:val="16"/>
                                </w:rPr>
                                <w:t>1. Informe de síntesis previsto en el artículo 21</w:t>
                              </w:r>
                            </w:p>
                          </w:txbxContent>
                        </wps:txbx>
                        <wps:bodyPr wrap="square" lIns="45719" tIns="45719" rIns="45719" bIns="45719" numCol="1" anchor="t">
                          <a:noAutofit/>
                        </wps:bodyPr>
                      </wps:wsp>
                      <wps:wsp>
                        <wps:cNvPr id="28" name="officeArt object" descr="Cuadro de texto 2"/>
                        <wps:cNvSpPr txBox="1"/>
                        <wps:spPr>
                          <a:xfrm>
                            <a:off x="5486655" y="4459775"/>
                            <a:ext cx="2240339" cy="363695"/>
                          </a:xfrm>
                          <a:prstGeom prst="rect">
                            <a:avLst/>
                          </a:prstGeom>
                          <a:gradFill>
                            <a:gsLst>
                              <a:gs pos="44269">
                                <a:srgbClr val="DF9975"/>
                              </a:gs>
                              <a:gs pos="73414">
                                <a:srgbClr val="DBB6BC"/>
                              </a:gs>
                              <a:gs pos="0">
                                <a:schemeClr val="accent6">
                                  <a:lumMod val="75000"/>
                                </a:schemeClr>
                              </a:gs>
                              <a:gs pos="94000">
                                <a:schemeClr val="accent4">
                                  <a:tint val="37000"/>
                                  <a:satMod val="300000"/>
                                </a:schemeClr>
                              </a:gs>
                              <a:gs pos="100000">
                                <a:schemeClr val="accent4">
                                  <a:tint val="15000"/>
                                  <a:satMod val="350000"/>
                                </a:schemeClr>
                              </a:gs>
                            </a:gsLst>
                            <a:lin ang="16200000" scaled="1"/>
                          </a:gradFill>
                          <a:ln/>
                          <a:extLst>
                            <a:ext uri="{C572A759-6A51-4108-AA02-DFA0A04FC94B}">
                              <ma14:wrappingTextBoxFlag xmlns:arto="http://schemas.microsoft.com/office/word/2006/arto"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style>
                          <a:lnRef idx="1">
                            <a:schemeClr val="accent4"/>
                          </a:lnRef>
                          <a:fillRef idx="2">
                            <a:schemeClr val="accent4"/>
                          </a:fillRef>
                          <a:effectRef idx="1">
                            <a:schemeClr val="accent4"/>
                          </a:effectRef>
                          <a:fontRef idx="minor">
                            <a:schemeClr val="dk1"/>
                          </a:fontRef>
                        </wps:style>
                        <wps:txbx>
                          <w:txbxContent>
                            <w:p w14:paraId="6CD67C46" w14:textId="545E09C4" w:rsidR="00454804" w:rsidRPr="00FC03CF" w:rsidRDefault="00454804" w:rsidP="00825438">
                              <w:pPr>
                                <w:jc w:val="center"/>
                                <w:rPr>
                                  <w:b/>
                                  <w:bCs/>
                                  <w:sz w:val="16"/>
                                  <w:szCs w:val="16"/>
                                </w:rPr>
                              </w:pPr>
                              <w:r w:rsidRPr="00FC03CF">
                                <w:rPr>
                                  <w:rFonts w:ascii="Arial Narrow" w:eastAsia="SimSun" w:hAnsi="Arial Narrow" w:cstheme="minorBidi"/>
                                  <w:b/>
                                  <w:bCs/>
                                  <w:color w:val="000000" w:themeColor="text1"/>
                                  <w:kern w:val="24"/>
                                  <w:sz w:val="16"/>
                                  <w:szCs w:val="16"/>
                                  <w:lang w:val="en-US"/>
                                </w:rPr>
                                <w:t>4</w:t>
                              </w:r>
                              <w:r w:rsidRPr="00FC03CF">
                                <w:rPr>
                                  <w:rFonts w:ascii="Arial Narrow" w:eastAsia="SimSun" w:hAnsi="Arial Narrow" w:cstheme="minorBidi"/>
                                  <w:b/>
                                  <w:bCs/>
                                  <w:color w:val="000000" w:themeColor="text1"/>
                                  <w:kern w:val="24"/>
                                  <w:sz w:val="16"/>
                                  <w:szCs w:val="16"/>
                                  <w:lang w:val="es-ES"/>
                                </w:rPr>
                                <w:t>. Informe de</w:t>
                              </w:r>
                              <w:r>
                                <w:rPr>
                                  <w:rFonts w:ascii="Arial Narrow" w:eastAsia="SimSun" w:hAnsi="Arial Narrow" w:cstheme="minorBidi"/>
                                  <w:b/>
                                  <w:bCs/>
                                  <w:color w:val="000000" w:themeColor="text1"/>
                                  <w:kern w:val="24"/>
                                  <w:sz w:val="16"/>
                                  <w:szCs w:val="16"/>
                                  <w:lang w:val="es-ES"/>
                                </w:rPr>
                                <w:t xml:space="preserve"> </w:t>
                              </w:r>
                              <w:r w:rsidRPr="00FC03CF">
                                <w:rPr>
                                  <w:rFonts w:ascii="Arial Narrow" w:eastAsia="SimSun" w:hAnsi="Arial Narrow" w:cstheme="minorBidi"/>
                                  <w:b/>
                                  <w:bCs/>
                                  <w:color w:val="000000" w:themeColor="text1"/>
                                  <w:kern w:val="24"/>
                                  <w:sz w:val="16"/>
                                  <w:szCs w:val="16"/>
                                  <w:lang w:val="es-ES"/>
                                </w:rPr>
                                <w:t>vigilancia</w:t>
                              </w:r>
                            </w:p>
                          </w:txbxContent>
                        </wps:txbx>
                        <wps:bodyPr wrap="square" lIns="45719" tIns="45719" rIns="45719" bIns="45719" numCol="1" anchor="t">
                          <a:noAutofit/>
                        </wps:bodyPr>
                      </wps:wsp>
                      <wps:wsp>
                        <wps:cNvPr id="29" name="officeArt object" descr="Cuadro de texto 2"/>
                        <wps:cNvSpPr txBox="1"/>
                        <wps:spPr>
                          <a:xfrm>
                            <a:off x="3494632" y="5563892"/>
                            <a:ext cx="4364191" cy="279553"/>
                          </a:xfrm>
                          <a:prstGeom prst="rect">
                            <a:avLst/>
                          </a:prstGeom>
                          <a:solidFill>
                            <a:schemeClr val="bg1">
                              <a:lumMod val="65000"/>
                            </a:schemeClr>
                          </a:solidFill>
                          <a:ln w="3175" cap="flat">
                            <a:solidFill>
                              <a:schemeClr val="tx1"/>
                            </a:solidFill>
                            <a:prstDash val="solid"/>
                            <a:round/>
                          </a:ln>
                          <a:effectLst/>
                        </wps:spPr>
                        <wps:txbx>
                          <w:txbxContent>
                            <w:p w14:paraId="3C6654B1" w14:textId="266EFC2B" w:rsidR="00454804" w:rsidRPr="008A5F6A" w:rsidRDefault="00454804" w:rsidP="00FC03CF">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 3</w:t>
                              </w:r>
                            </w:p>
                          </w:txbxContent>
                        </wps:txbx>
                        <wps:bodyPr wrap="square" lIns="45719" tIns="45719" rIns="45719" bIns="45719" numCol="1" anchor="ctr">
                          <a:noAutofit/>
                        </wps:bodyPr>
                      </wps:wsp>
                      <wps:wsp>
                        <wps:cNvPr id="30" name="officeArt object" descr="Cuadro de texto 2"/>
                        <wps:cNvSpPr txBox="1"/>
                        <wps:spPr>
                          <a:xfrm>
                            <a:off x="3494628" y="5925057"/>
                            <a:ext cx="4364189" cy="416792"/>
                          </a:xfrm>
                          <a:prstGeom prst="rect">
                            <a:avLst/>
                          </a:prstGeom>
                          <a:noFill/>
                          <a:ln w="12700" cap="flat">
                            <a:solidFill>
                              <a:schemeClr val="tx1"/>
                            </a:solidFill>
                            <a:prstDash val="sysDash"/>
                            <a:round/>
                          </a:ln>
                          <a:effectLst/>
                        </wps:spPr>
                        <wps:txbx>
                          <w:txbxContent>
                            <w:p w14:paraId="749A4F25" w14:textId="77777777" w:rsidR="00454804" w:rsidRPr="008A5F6A" w:rsidRDefault="00454804" w:rsidP="00825438">
                              <w:pPr>
                                <w:jc w:val="center"/>
                                <w:rPr>
                                  <w:b/>
                                  <w:bCs/>
                                  <w:sz w:val="18"/>
                                  <w:szCs w:val="18"/>
                                </w:rPr>
                              </w:pPr>
                              <w:r w:rsidRPr="008A5F6A">
                                <w:rPr>
                                  <w:rFonts w:ascii="Arial Narrow" w:eastAsia="SimSun" w:hAnsi="Arial Narrow" w:cstheme="minorBidi"/>
                                  <w:b/>
                                  <w:bCs/>
                                  <w:color w:val="000000" w:themeColor="text1"/>
                                  <w:kern w:val="24"/>
                                  <w:sz w:val="18"/>
                                  <w:szCs w:val="18"/>
                                  <w:lang w:val="es-MX"/>
                                </w:rPr>
                                <w:t xml:space="preserve">Función científica y técnica: </w:t>
                              </w:r>
                              <w:r w:rsidRPr="008A5F6A">
                                <w:rPr>
                                  <w:rFonts w:ascii="Arial Narrow" w:eastAsia="SimSun" w:hAnsi="Arial Narrow" w:cstheme="minorBidi"/>
                                  <w:b/>
                                  <w:bCs/>
                                  <w:color w:val="000000" w:themeColor="text1"/>
                                  <w:kern w:val="24"/>
                                  <w:sz w:val="18"/>
                                  <w:szCs w:val="18"/>
                                  <w:u w:val="single"/>
                                  <w:lang w:val="es-MX"/>
                                </w:rPr>
                                <w:t>síntesis</w:t>
                              </w:r>
                            </w:p>
                          </w:txbxContent>
                        </wps:txbx>
                        <wps:bodyPr wrap="square" lIns="45719" tIns="45719" rIns="45719" bIns="45719" numCol="1" anchor="ctr">
                          <a:noAutofit/>
                        </wps:bodyPr>
                      </wps:wsp>
                      <wps:wsp>
                        <wps:cNvPr id="31" name="officeArt object" descr="Cuadro de texto 2"/>
                        <wps:cNvSpPr txBox="1"/>
                        <wps:spPr>
                          <a:xfrm>
                            <a:off x="8151072" y="5563279"/>
                            <a:ext cx="1414748" cy="280166"/>
                          </a:xfrm>
                          <a:prstGeom prst="rect">
                            <a:avLst/>
                          </a:prstGeom>
                          <a:solidFill>
                            <a:schemeClr val="bg1">
                              <a:lumMod val="65000"/>
                            </a:schemeClr>
                          </a:solidFill>
                          <a:ln w="3175" cap="flat">
                            <a:solidFill>
                              <a:schemeClr val="tx1"/>
                            </a:solidFill>
                            <a:prstDash val="solid"/>
                            <a:round/>
                          </a:ln>
                          <a:effectLst/>
                        </wps:spPr>
                        <wps:txbx>
                          <w:txbxContent>
                            <w:p w14:paraId="19EE297D" w14:textId="77777777" w:rsidR="00454804" w:rsidRPr="008A5F6A" w:rsidRDefault="00454804" w:rsidP="008A5F6A">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 4</w:t>
                              </w:r>
                            </w:p>
                          </w:txbxContent>
                        </wps:txbx>
                        <wps:bodyPr wrap="square" lIns="45719" tIns="45719" rIns="45719" bIns="45719" numCol="1" anchor="ctr">
                          <a:noAutofit/>
                        </wps:bodyPr>
                      </wps:wsp>
                      <wps:wsp>
                        <wps:cNvPr id="32" name="officeArt object" descr="Cuadro de texto 2"/>
                        <wps:cNvSpPr txBox="1"/>
                        <wps:spPr>
                          <a:xfrm>
                            <a:off x="8151072" y="5906661"/>
                            <a:ext cx="1414750" cy="914338"/>
                          </a:xfrm>
                          <a:prstGeom prst="rect">
                            <a:avLst/>
                          </a:prstGeom>
                          <a:noFill/>
                          <a:ln w="12700" cap="flat">
                            <a:solidFill>
                              <a:sysClr val="windowText" lastClr="000000"/>
                            </a:solidFill>
                            <a:prstDash val="sysDash"/>
                            <a:round/>
                          </a:ln>
                          <a:effectLst/>
                        </wps:spPr>
                        <wps:txbx>
                          <w:txbxContent>
                            <w:p w14:paraId="66D22167" w14:textId="77777777" w:rsidR="00454804" w:rsidRPr="00B131E7" w:rsidRDefault="00454804" w:rsidP="00B131E7">
                              <w:pPr>
                                <w:jc w:val="center"/>
                                <w:rPr>
                                  <w:b/>
                                  <w:bCs/>
                                  <w:sz w:val="18"/>
                                  <w:szCs w:val="18"/>
                                </w:rPr>
                              </w:pPr>
                              <w:r w:rsidRPr="00B131E7">
                                <w:rPr>
                                  <w:rFonts w:ascii="Arial Narrow" w:eastAsia="SimSun" w:hAnsi="Arial Narrow" w:cstheme="minorBidi"/>
                                  <w:b/>
                                  <w:bCs/>
                                  <w:color w:val="000000" w:themeColor="text1"/>
                                  <w:kern w:val="24"/>
                                  <w:sz w:val="18"/>
                                  <w:szCs w:val="18"/>
                                  <w:lang w:val="es-ES"/>
                                </w:rPr>
                                <w:t xml:space="preserve">Función científica y técnica: </w:t>
                              </w:r>
                              <w:r w:rsidRPr="00B131E7">
                                <w:rPr>
                                  <w:rFonts w:ascii="Arial Narrow" w:eastAsia="SimSun" w:hAnsi="Arial Narrow" w:cstheme="minorBidi"/>
                                  <w:b/>
                                  <w:bCs/>
                                  <w:color w:val="000000" w:themeColor="text1"/>
                                  <w:kern w:val="24"/>
                                  <w:sz w:val="18"/>
                                  <w:szCs w:val="18"/>
                                  <w:u w:val="single"/>
                                  <w:lang w:val="es-ES"/>
                                </w:rPr>
                                <w:t>atribución</w:t>
                              </w:r>
                            </w:p>
                          </w:txbxContent>
                        </wps:txbx>
                        <wps:bodyPr wrap="square" lIns="45719" tIns="45719" rIns="45719" bIns="45719" numCol="1" anchor="t">
                          <a:noAutofit/>
                        </wps:bodyPr>
                      </wps:wsp>
                      <wps:wsp>
                        <wps:cNvPr id="34" name="officeArt object" descr="Cuadro de texto 2"/>
                        <wps:cNvSpPr txBox="1"/>
                        <wps:spPr>
                          <a:xfrm>
                            <a:off x="9678419" y="5562595"/>
                            <a:ext cx="1449638" cy="280850"/>
                          </a:xfrm>
                          <a:prstGeom prst="rect">
                            <a:avLst/>
                          </a:prstGeom>
                          <a:solidFill>
                            <a:schemeClr val="bg1">
                              <a:lumMod val="65000"/>
                            </a:schemeClr>
                          </a:solidFill>
                          <a:ln w="3175" cap="flat">
                            <a:solidFill>
                              <a:schemeClr val="tx1"/>
                            </a:solidFill>
                            <a:prstDash val="solid"/>
                            <a:round/>
                          </a:ln>
                          <a:effectLst/>
                        </wps:spPr>
                        <wps:txbx>
                          <w:txbxContent>
                            <w:p w14:paraId="6899B16F" w14:textId="77777777" w:rsidR="00454804" w:rsidRPr="008A5F6A" w:rsidRDefault="00454804" w:rsidP="008A5F6A">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 5</w:t>
                              </w:r>
                            </w:p>
                          </w:txbxContent>
                        </wps:txbx>
                        <wps:bodyPr wrap="square" lIns="45719" tIns="45719" rIns="45719" bIns="45719" numCol="1" anchor="ctr">
                          <a:noAutofit/>
                        </wps:bodyPr>
                      </wps:wsp>
                      <wps:wsp>
                        <wps:cNvPr id="35" name="officeArt object" descr="Cuadro de texto 2"/>
                        <wps:cNvSpPr txBox="1"/>
                        <wps:spPr>
                          <a:xfrm>
                            <a:off x="9678422" y="5906667"/>
                            <a:ext cx="1449635" cy="913683"/>
                          </a:xfrm>
                          <a:prstGeom prst="rect">
                            <a:avLst/>
                          </a:prstGeom>
                          <a:noFill/>
                          <a:ln w="12700" cap="flat">
                            <a:solidFill>
                              <a:sysClr val="windowText" lastClr="000000"/>
                            </a:solidFill>
                            <a:prstDash val="sysDash"/>
                            <a:round/>
                          </a:ln>
                          <a:effectLst/>
                        </wps:spPr>
                        <wps:txbx>
                          <w:txbxContent>
                            <w:p w14:paraId="7EE00707" w14:textId="77777777" w:rsidR="00454804" w:rsidRPr="00B131E7" w:rsidRDefault="00454804" w:rsidP="00B131E7">
                              <w:pPr>
                                <w:jc w:val="center"/>
                                <w:rPr>
                                  <w:sz w:val="18"/>
                                  <w:szCs w:val="18"/>
                                </w:rPr>
                              </w:pPr>
                              <w:r w:rsidRPr="00B131E7">
                                <w:rPr>
                                  <w:rFonts w:ascii="Arial Narrow" w:eastAsia="SimSun" w:hAnsi="Arial Narrow" w:cstheme="minorBidi"/>
                                  <w:b/>
                                  <w:bCs/>
                                  <w:color w:val="000000" w:themeColor="text1"/>
                                  <w:kern w:val="24"/>
                                  <w:sz w:val="18"/>
                                  <w:szCs w:val="18"/>
                                  <w:lang w:val="es-ES"/>
                                </w:rPr>
                                <w:t>Función</w:t>
                              </w:r>
                              <w:r w:rsidRPr="00B131E7">
                                <w:rPr>
                                  <w:rFonts w:eastAsia="SimSun" w:cstheme="minorBidi"/>
                                  <w:b/>
                                  <w:bCs/>
                                  <w:color w:val="000000" w:themeColor="text1"/>
                                  <w:kern w:val="24"/>
                                  <w:sz w:val="18"/>
                                  <w:szCs w:val="18"/>
                                  <w:lang w:val="es-ES"/>
                                </w:rPr>
                                <w:t xml:space="preserve"> </w:t>
                              </w:r>
                              <w:r w:rsidRPr="00B131E7">
                                <w:rPr>
                                  <w:rFonts w:ascii="Arial Narrow" w:eastAsia="SimSun" w:hAnsi="Arial Narrow" w:cstheme="minorBidi"/>
                                  <w:b/>
                                  <w:bCs/>
                                  <w:color w:val="000000" w:themeColor="text1"/>
                                  <w:kern w:val="24"/>
                                  <w:sz w:val="18"/>
                                  <w:szCs w:val="18"/>
                                  <w:lang w:val="es-ES"/>
                                </w:rPr>
                                <w:t>científica</w:t>
                              </w:r>
                              <w:r w:rsidRPr="00B131E7">
                                <w:rPr>
                                  <w:rFonts w:eastAsia="SimSun" w:cstheme="minorBidi"/>
                                  <w:b/>
                                  <w:bCs/>
                                  <w:color w:val="000000" w:themeColor="text1"/>
                                  <w:kern w:val="24"/>
                                  <w:sz w:val="18"/>
                                  <w:szCs w:val="18"/>
                                  <w:lang w:val="es-ES"/>
                                </w:rPr>
                                <w:t xml:space="preserve"> </w:t>
                              </w:r>
                              <w:r w:rsidRPr="00B131E7">
                                <w:rPr>
                                  <w:rFonts w:ascii="Arial Narrow" w:eastAsia="SimSun" w:hAnsi="Arial Narrow" w:cstheme="minorBidi"/>
                                  <w:b/>
                                  <w:bCs/>
                                  <w:color w:val="000000" w:themeColor="text1"/>
                                  <w:kern w:val="24"/>
                                  <w:sz w:val="18"/>
                                  <w:szCs w:val="18"/>
                                  <w:lang w:val="es-ES"/>
                                </w:rPr>
                                <w:t xml:space="preserve">y técnica: </w:t>
                              </w:r>
                              <w:r w:rsidRPr="00B131E7">
                                <w:rPr>
                                  <w:rFonts w:ascii="Arial Narrow" w:eastAsia="SimSun" w:hAnsi="Arial Narrow" w:cstheme="minorBidi"/>
                                  <w:b/>
                                  <w:bCs/>
                                  <w:color w:val="000000" w:themeColor="text1"/>
                                  <w:kern w:val="24"/>
                                  <w:sz w:val="18"/>
                                  <w:szCs w:val="18"/>
                                  <w:u w:val="single"/>
                                  <w:lang w:val="es-ES"/>
                                </w:rPr>
                                <w:t>integración</w:t>
                              </w:r>
                            </w:p>
                          </w:txbxContent>
                        </wps:txbx>
                        <wps:bodyPr wrap="square" lIns="45719" tIns="45719" rIns="45719" bIns="45719" numCol="1" anchor="ctr">
                          <a:noAutofit/>
                        </wps:bodyPr>
                      </wps:wsp>
                      <wps:wsp>
                        <wps:cNvPr id="36" name="officeArt object" descr="Cuadro de texto 2"/>
                        <wps:cNvSpPr txBox="1"/>
                        <wps:spPr>
                          <a:xfrm>
                            <a:off x="11194522" y="161768"/>
                            <a:ext cx="1041256" cy="5325587"/>
                          </a:xfrm>
                          <a:prstGeom prst="rect">
                            <a:avLst/>
                          </a:prstGeom>
                          <a:solidFill>
                            <a:schemeClr val="accent3"/>
                          </a:solidFill>
                          <a:extLst>
                            <a:ext uri="{C572A759-6A51-4108-AA02-DFA0A04FC94B}">
                              <ma14:wrappingTextBoxFlag xmlns:arto="http://schemas.microsoft.com/office/word/2006/arto"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style>
                          <a:lnRef idx="1">
                            <a:schemeClr val="accent6"/>
                          </a:lnRef>
                          <a:fillRef idx="2">
                            <a:schemeClr val="accent6"/>
                          </a:fillRef>
                          <a:effectRef idx="1">
                            <a:schemeClr val="accent6"/>
                          </a:effectRef>
                          <a:fontRef idx="minor">
                            <a:schemeClr val="dk1"/>
                          </a:fontRef>
                        </wps:style>
                        <wps:txbx>
                          <w:txbxContent>
                            <w:p w14:paraId="3F16E36A" w14:textId="77777777" w:rsidR="00454804" w:rsidRPr="00DC479E" w:rsidRDefault="00454804" w:rsidP="00DC479E">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CP</w:t>
                              </w:r>
                            </w:p>
                            <w:p w14:paraId="6C1F2076" w14:textId="77777777" w:rsidR="00454804" w:rsidRPr="00DC479E" w:rsidRDefault="00454804" w:rsidP="00DC479E">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 </w:t>
                              </w:r>
                            </w:p>
                            <w:p w14:paraId="42535675" w14:textId="6A6C715B" w:rsidR="00454804" w:rsidRPr="00997BCE" w:rsidRDefault="00454804" w:rsidP="00DC479E">
                              <w:pPr>
                                <w:jc w:val="center"/>
                                <w:rPr>
                                  <w:i/>
                                  <w:iCs/>
                                </w:rPr>
                              </w:pPr>
                              <w:r w:rsidRPr="00997BCE">
                                <w:rPr>
                                  <w:rFonts w:ascii="Arial Narrow" w:eastAsia="SimSun" w:hAnsi="Arial Narrow" w:cstheme="minorBidi"/>
                                  <w:i/>
                                  <w:iCs/>
                                  <w:color w:val="000000" w:themeColor="text1"/>
                                  <w:kern w:val="24"/>
                                  <w:sz w:val="18"/>
                                  <w:szCs w:val="18"/>
                                  <w:lang w:val="it-IT"/>
                                </w:rPr>
                                <w:t>Políticas</w:t>
                              </w:r>
                            </w:p>
                          </w:txbxContent>
                        </wps:txbx>
                        <wps:bodyPr wrap="square">
                          <a:noAutofit/>
                        </wps:bodyPr>
                      </wps:wsp>
                      <wps:wsp>
                        <wps:cNvPr id="37" name="officeArt object" descr="Cuadro de texto 2"/>
                        <wps:cNvSpPr txBox="1"/>
                        <wps:spPr>
                          <a:xfrm>
                            <a:off x="11194518" y="5568571"/>
                            <a:ext cx="1041256" cy="274874"/>
                          </a:xfrm>
                          <a:prstGeom prst="rect">
                            <a:avLst/>
                          </a:prstGeom>
                          <a:solidFill>
                            <a:schemeClr val="bg1">
                              <a:lumMod val="65000"/>
                            </a:schemeClr>
                          </a:solidFill>
                          <a:ln w="3175" cap="flat">
                            <a:solidFill>
                              <a:schemeClr val="tx1"/>
                            </a:solidFill>
                            <a:prstDash val="solid"/>
                            <a:round/>
                          </a:ln>
                          <a:effectLst/>
                        </wps:spPr>
                        <wps:txbx>
                          <w:txbxContent>
                            <w:p w14:paraId="394EE79E" w14:textId="77777777" w:rsidR="00454804" w:rsidRPr="009075A4" w:rsidRDefault="00454804" w:rsidP="00825438">
                              <w:pPr>
                                <w:jc w:val="center"/>
                                <w:rPr>
                                  <w:rFonts w:ascii="Arial Narrow" w:eastAsia="SimSun" w:hAnsi="Arial Narrow" w:cstheme="minorBidi"/>
                                  <w:b/>
                                  <w:bCs/>
                                  <w:color w:val="000000" w:themeColor="text1"/>
                                  <w:kern w:val="24"/>
                                  <w:sz w:val="16"/>
                                  <w:szCs w:val="16"/>
                                  <w:lang w:val="es-ES"/>
                                </w:rPr>
                              </w:pPr>
                              <w:r w:rsidRPr="009075A4">
                                <w:rPr>
                                  <w:rFonts w:ascii="Arial Narrow" w:eastAsia="SimSun" w:hAnsi="Arial Narrow" w:cstheme="minorBidi"/>
                                  <w:b/>
                                  <w:bCs/>
                                  <w:color w:val="000000" w:themeColor="text1"/>
                                  <w:kern w:val="24"/>
                                  <w:sz w:val="16"/>
                                  <w:szCs w:val="16"/>
                                  <w:lang w:val="es-ES"/>
                                </w:rPr>
                                <w:t>Nivel 6</w:t>
                              </w:r>
                            </w:p>
                          </w:txbxContent>
                        </wps:txbx>
                        <wps:bodyPr wrap="square" lIns="45719" tIns="45719" rIns="45719" bIns="45719" numCol="1" anchor="ctr">
                          <a:noAutofit/>
                        </wps:bodyPr>
                      </wps:wsp>
                      <wps:wsp>
                        <wps:cNvPr id="39" name="officeArt object" descr="Cuadro de texto 2"/>
                        <wps:cNvSpPr txBox="1"/>
                        <wps:spPr>
                          <a:xfrm>
                            <a:off x="8431491" y="3658967"/>
                            <a:ext cx="1134330" cy="468111"/>
                          </a:xfrm>
                          <a:prstGeom prst="rect">
                            <a:avLst/>
                          </a:prstGeom>
                          <a:noFill/>
                          <a:ln w="12700" cap="flat">
                            <a:solidFill>
                              <a:sysClr val="windowText" lastClr="000000"/>
                            </a:solidFill>
                            <a:prstDash val="sysDash"/>
                            <a:round/>
                          </a:ln>
                          <a:effectLst/>
                        </wps:spPr>
                        <wps:txbx>
                          <w:txbxContent>
                            <w:p w14:paraId="38DEF4E0" w14:textId="77777777" w:rsidR="00454804" w:rsidRDefault="00454804" w:rsidP="00FC03CF">
                              <w:pPr>
                                <w:jc w:val="center"/>
                                <w:rPr>
                                  <w:rFonts w:ascii="Arial Narrow" w:eastAsia="SimSun" w:hAnsi="Arial Narrow" w:cstheme="minorBidi"/>
                                  <w:b/>
                                  <w:bCs/>
                                  <w:color w:val="000000" w:themeColor="text1"/>
                                  <w:kern w:val="24"/>
                                  <w:sz w:val="16"/>
                                  <w:szCs w:val="16"/>
                                  <w:lang w:val="it-IT"/>
                                </w:rPr>
                              </w:pPr>
                              <w:r w:rsidRPr="008A5F6A">
                                <w:rPr>
                                  <w:rFonts w:ascii="Arial Narrow" w:eastAsia="SimSun" w:hAnsi="Arial Narrow" w:cstheme="minorBidi"/>
                                  <w:b/>
                                  <w:bCs/>
                                  <w:color w:val="000000" w:themeColor="text1"/>
                                  <w:kern w:val="24"/>
                                  <w:sz w:val="16"/>
                                  <w:szCs w:val="16"/>
                                  <w:lang w:val="it-IT"/>
                                </w:rPr>
                                <w:t>Otra</w:t>
                              </w:r>
                            </w:p>
                            <w:p w14:paraId="6CD216EB" w14:textId="435BEEA4" w:rsidR="00454804" w:rsidRPr="008A5F6A" w:rsidRDefault="00454804" w:rsidP="00FC03CF">
                              <w:pPr>
                                <w:jc w:val="center"/>
                                <w:rPr>
                                  <w:b/>
                                  <w:bCs/>
                                  <w:sz w:val="16"/>
                                  <w:szCs w:val="16"/>
                                </w:rPr>
                              </w:pPr>
                              <w:r w:rsidRPr="008A5F6A">
                                <w:rPr>
                                  <w:rFonts w:ascii="Arial Narrow" w:eastAsia="SimSun" w:hAnsi="Arial Narrow" w:cstheme="minorBidi"/>
                                  <w:b/>
                                  <w:bCs/>
                                  <w:color w:val="000000" w:themeColor="text1"/>
                                  <w:kern w:val="24"/>
                                  <w:sz w:val="16"/>
                                  <w:szCs w:val="16"/>
                                  <w:lang w:val="es-ES"/>
                                </w:rPr>
                                <w:t>información</w:t>
                              </w:r>
                            </w:p>
                          </w:txbxContent>
                        </wps:txbx>
                        <wps:bodyPr wrap="square" lIns="45719" tIns="45719" rIns="45719" bIns="45719" numCol="1" anchor="ctr">
                          <a:noAutofit/>
                        </wps:bodyPr>
                      </wps:wsp>
                      <wps:wsp>
                        <wps:cNvPr id="40" name="officeArt object" descr="Cuadro de texto 2"/>
                        <wps:cNvSpPr txBox="1"/>
                        <wps:spPr>
                          <a:xfrm>
                            <a:off x="8232176" y="4616794"/>
                            <a:ext cx="1245027" cy="871289"/>
                          </a:xfrm>
                          <a:prstGeom prst="rect">
                            <a:avLst/>
                          </a:prstGeom>
                          <a:gradFill>
                            <a:gsLst>
                              <a:gs pos="44269">
                                <a:srgbClr val="DF9975"/>
                              </a:gs>
                              <a:gs pos="73414">
                                <a:srgbClr val="DBB6BC"/>
                              </a:gs>
                              <a:gs pos="0">
                                <a:schemeClr val="accent6">
                                  <a:lumMod val="75000"/>
                                </a:schemeClr>
                              </a:gs>
                              <a:gs pos="94000">
                                <a:schemeClr val="accent4">
                                  <a:tint val="37000"/>
                                  <a:satMod val="300000"/>
                                </a:schemeClr>
                              </a:gs>
                              <a:gs pos="100000">
                                <a:schemeClr val="accent4">
                                  <a:tint val="15000"/>
                                  <a:satMod val="350000"/>
                                </a:schemeClr>
                              </a:gs>
                            </a:gsLst>
                            <a:lin ang="16200000" scaled="1"/>
                          </a:gradFill>
                          <a:ln/>
                          <a:extLst>
                            <a:ext uri="{C572A759-6A51-4108-AA02-DFA0A04FC94B}">
                              <ma14:wrappingTextBoxFlag xmlns:arto="http://schemas.microsoft.com/office/word/2006/arto"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style>
                          <a:lnRef idx="1">
                            <a:schemeClr val="accent4"/>
                          </a:lnRef>
                          <a:fillRef idx="2">
                            <a:schemeClr val="accent4"/>
                          </a:fillRef>
                          <a:effectRef idx="1">
                            <a:schemeClr val="accent4"/>
                          </a:effectRef>
                          <a:fontRef idx="minor">
                            <a:schemeClr val="dk1"/>
                          </a:fontRef>
                        </wps:style>
                        <wps:txbx>
                          <w:txbxContent>
                            <w:p w14:paraId="174D2DCF" w14:textId="11D45FEE" w:rsidR="00454804" w:rsidRPr="008A5F6A" w:rsidRDefault="00454804" w:rsidP="008A5F6A">
                              <w:pPr>
                                <w:jc w:val="center"/>
                                <w:rPr>
                                  <w:b/>
                                  <w:bCs/>
                                  <w:sz w:val="24"/>
                                  <w:szCs w:val="24"/>
                                </w:rPr>
                              </w:pPr>
                              <w:r w:rsidRPr="008A5F6A">
                                <w:rPr>
                                  <w:rFonts w:ascii="Arial Narrow" w:eastAsia="SimSun" w:hAnsi="Arial Narrow" w:cstheme="minorBidi"/>
                                  <w:b/>
                                  <w:bCs/>
                                  <w:color w:val="000000" w:themeColor="text1"/>
                                  <w:kern w:val="24"/>
                                  <w:sz w:val="16"/>
                                  <w:szCs w:val="16"/>
                                  <w:lang w:val="en-US"/>
                                </w:rPr>
                                <w:t xml:space="preserve">5. </w:t>
                              </w:r>
                              <w:r w:rsidRPr="008A5F6A">
                                <w:rPr>
                                  <w:rFonts w:ascii="Arial Narrow" w:eastAsia="SimSun" w:hAnsi="Arial Narrow" w:cstheme="minorBidi"/>
                                  <w:b/>
                                  <w:bCs/>
                                  <w:color w:val="000000" w:themeColor="text1"/>
                                  <w:kern w:val="24"/>
                                  <w:sz w:val="16"/>
                                  <w:szCs w:val="16"/>
                                  <w:lang w:val="es-ES"/>
                                </w:rPr>
                                <w:t>Informe</w:t>
                              </w:r>
                              <w:r>
                                <w:rPr>
                                  <w:rFonts w:ascii="Arial Narrow" w:eastAsia="SimSun" w:hAnsi="Arial Narrow" w:cstheme="minorBidi"/>
                                  <w:b/>
                                  <w:bCs/>
                                  <w:color w:val="000000" w:themeColor="text1"/>
                                  <w:kern w:val="24"/>
                                  <w:sz w:val="16"/>
                                  <w:szCs w:val="16"/>
                                  <w:lang w:val="es-ES"/>
                                </w:rPr>
                                <w:t xml:space="preserve"> </w:t>
                              </w:r>
                              <w:r w:rsidRPr="008A5F6A">
                                <w:rPr>
                                  <w:rFonts w:ascii="Arial Narrow" w:eastAsia="SimSun" w:hAnsi="Arial Narrow" w:cstheme="minorBidi"/>
                                  <w:b/>
                                  <w:bCs/>
                                  <w:color w:val="000000" w:themeColor="text1"/>
                                  <w:kern w:val="24"/>
                                  <w:sz w:val="16"/>
                                  <w:szCs w:val="16"/>
                                  <w:lang w:val="es-ES"/>
                                </w:rPr>
                                <w:t>sobre elaboración de modelos</w:t>
                              </w:r>
                            </w:p>
                          </w:txbxContent>
                        </wps:txbx>
                        <wps:bodyPr wrap="square" lIns="45719" tIns="45719" rIns="45719" bIns="45719" numCol="1" anchor="t">
                          <a:noAutofit/>
                        </wps:bodyPr>
                      </wps:wsp>
                      <wps:wsp>
                        <wps:cNvPr id="44" name="Straight Arrow Connector 44"/>
                        <wps:cNvCnPr>
                          <a:cxnSpLocks/>
                        </wps:cNvCnPr>
                        <wps:spPr>
                          <a:xfrm>
                            <a:off x="5114153" y="2370812"/>
                            <a:ext cx="37250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cxnSpLocks/>
                        </wps:cNvCnPr>
                        <wps:spPr>
                          <a:xfrm>
                            <a:off x="5128667" y="2928930"/>
                            <a:ext cx="37250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cxnSpLocks/>
                        </wps:cNvCnPr>
                        <wps:spPr>
                          <a:xfrm>
                            <a:off x="5128667" y="3443816"/>
                            <a:ext cx="37250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cxnSpLocks/>
                        </wps:cNvCnPr>
                        <wps:spPr>
                          <a:xfrm>
                            <a:off x="5128667" y="4603775"/>
                            <a:ext cx="37250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9" name="Right Brace 49"/>
                        <wps:cNvSpPr/>
                        <wps:spPr>
                          <a:xfrm>
                            <a:off x="7704714" y="2053584"/>
                            <a:ext cx="370903" cy="2696727"/>
                          </a:xfrm>
                          <a:prstGeom prst="rightBrace">
                            <a:avLst>
                              <a:gd name="adj1" fmla="val 81952"/>
                              <a:gd name="adj2" fmla="val 50669"/>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51" name="Straight Arrow Connector 51"/>
                        <wps:cNvCnPr>
                          <a:cxnSpLocks/>
                        </wps:cNvCnPr>
                        <wps:spPr>
                          <a:xfrm>
                            <a:off x="9107931" y="4061501"/>
                            <a:ext cx="0" cy="542274"/>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cxnSpLocks/>
                        </wps:cNvCnPr>
                        <wps:spPr>
                          <a:xfrm>
                            <a:off x="8357274" y="1036102"/>
                            <a:ext cx="3374" cy="3580693"/>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cxnSpLocks/>
                        </wps:cNvCnPr>
                        <wps:spPr>
                          <a:xfrm>
                            <a:off x="5114153" y="4926348"/>
                            <a:ext cx="311168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3" name="Rectangle 33"/>
                        <wps:cNvSpPr/>
                        <wps:spPr>
                          <a:xfrm>
                            <a:off x="9678425" y="161631"/>
                            <a:ext cx="1334601" cy="5326266"/>
                          </a:xfrm>
                          <a:prstGeom prst="rect">
                            <a:avLst/>
                          </a:prstGeom>
                          <a:solidFill>
                            <a:schemeClr val="accent3"/>
                          </a:solidFill>
                        </wps:spPr>
                        <wps:style>
                          <a:lnRef idx="1">
                            <a:schemeClr val="accent6"/>
                          </a:lnRef>
                          <a:fillRef idx="2">
                            <a:schemeClr val="accent6"/>
                          </a:fillRef>
                          <a:effectRef idx="1">
                            <a:schemeClr val="accent6"/>
                          </a:effectRef>
                          <a:fontRef idx="minor">
                            <a:schemeClr val="dk1"/>
                          </a:fontRef>
                        </wps:style>
                        <wps:txbx>
                          <w:txbxContent>
                            <w:p w14:paraId="269CE058" w14:textId="77777777" w:rsidR="00454804" w:rsidRPr="00DC479E" w:rsidRDefault="00454804" w:rsidP="00825438">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Comité de Evaluación</w:t>
                              </w:r>
                              <w:r>
                                <w:rPr>
                                  <w:rFonts w:ascii="Arial Narrow" w:eastAsia="SimSun" w:hAnsi="Arial Narrow" w:cstheme="minorBidi"/>
                                  <w:b/>
                                  <w:bCs/>
                                  <w:color w:val="000000" w:themeColor="text1"/>
                                  <w:kern w:val="24"/>
                                  <w:sz w:val="28"/>
                                  <w:szCs w:val="28"/>
                                  <w:lang w:val="es-ES"/>
                                </w:rPr>
                                <w:t xml:space="preserve"> </w:t>
                              </w:r>
                              <w:r w:rsidRPr="00DC479E">
                                <w:rPr>
                                  <w:rFonts w:ascii="Arial Narrow" w:eastAsia="SimSun" w:hAnsi="Arial Narrow" w:cstheme="minorBidi"/>
                                  <w:b/>
                                  <w:bCs/>
                                  <w:color w:val="000000" w:themeColor="text1"/>
                                  <w:kern w:val="24"/>
                                  <w:sz w:val="18"/>
                                  <w:szCs w:val="18"/>
                                  <w:lang w:val="it-IT"/>
                                </w:rPr>
                                <w:t>de la Eficacia</w:t>
                              </w:r>
                            </w:p>
                            <w:p w14:paraId="6B575CD8" w14:textId="77777777" w:rsidR="00454804" w:rsidRPr="00DC479E" w:rsidRDefault="00454804" w:rsidP="00825438">
                              <w:pPr>
                                <w:jc w:val="center"/>
                                <w:rPr>
                                  <w:sz w:val="18"/>
                                  <w:szCs w:val="18"/>
                                </w:rPr>
                              </w:pPr>
                              <w:r>
                                <w:rPr>
                                  <w:rFonts w:ascii="Arial Narrow" w:eastAsia="SimSun" w:hAnsi="Arial Narrow" w:cstheme="minorBidi"/>
                                  <w:color w:val="000000" w:themeColor="text1"/>
                                  <w:kern w:val="24"/>
                                  <w:sz w:val="28"/>
                                  <w:szCs w:val="28"/>
                                  <w:lang w:val="es-ES"/>
                                </w:rPr>
                                <w:t> </w:t>
                              </w:r>
                            </w:p>
                            <w:p w14:paraId="1191B23F" w14:textId="77777777" w:rsidR="00454804" w:rsidRPr="00DC479E" w:rsidRDefault="00454804" w:rsidP="00825438">
                              <w:pPr>
                                <w:jc w:val="center"/>
                                <w:rPr>
                                  <w:sz w:val="18"/>
                                  <w:szCs w:val="18"/>
                                </w:rPr>
                              </w:pPr>
                              <w:r w:rsidRPr="00DC479E">
                                <w:rPr>
                                  <w:rFonts w:ascii="Arial Narrow" w:eastAsia="SimSun" w:hAnsi="Arial Narrow" w:cstheme="minorBidi"/>
                                  <w:i/>
                                  <w:iCs/>
                                  <w:color w:val="000000" w:themeColor="text1"/>
                                  <w:kern w:val="24"/>
                                  <w:sz w:val="18"/>
                                  <w:szCs w:val="18"/>
                                  <w:lang w:val="es-ES"/>
                                </w:rPr>
                                <w:t>Conclusiones</w:t>
                              </w:r>
                            </w:p>
                          </w:txbxContent>
                        </wps:txbx>
                        <wps:bodyPr wrap="square">
                          <a:noAutofit/>
                        </wps:bodyPr>
                      </wps:wsp>
                      <wps:wsp>
                        <wps:cNvPr id="50" name="Straight Arrow Connector 50"/>
                        <wps:cNvCnPr>
                          <a:cxnSpLocks/>
                        </wps:cNvCnPr>
                        <wps:spPr>
                          <a:xfrm>
                            <a:off x="8357275" y="3482984"/>
                            <a:ext cx="1321149"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cxnSpLocks/>
                        </wps:cNvCnPr>
                        <wps:spPr>
                          <a:xfrm>
                            <a:off x="10950824" y="3054094"/>
                            <a:ext cx="403028"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cxnSpLocks/>
                        </wps:cNvCnPr>
                        <wps:spPr>
                          <a:xfrm>
                            <a:off x="9477204" y="5051747"/>
                            <a:ext cx="37250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60A0D3" id="Group 7" o:spid="_x0000_s1026" style="position:absolute;margin-left:-44.1pt;margin-top:369.25pt;width:551.95pt;height:376.65pt;z-index:251659264;mso-position-vertical-relative:page;mso-width-relative:margin;mso-height-relative:margin" coordorigin="65,-1089" coordsize="122292,6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27" type="#_x0000_t88" style="position:absolute;left:30013;top:45053;width:4933;height:9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" adj="3019,10098" strokecolor="#4579b8 [3044]" strokeweight="4.5pt"/>
                <v:shape id="Right Brace 42" o:spid="_x0000_s1028" type="#_x0000_t88" style="position:absolute;left:30013;top:20533;width:5114;height:22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" adj="1346,11168" strokecolor="#4579b8 [3044]" strokeweight="4.5pt"/>
                <v:shape id="Right Brace 41" o:spid="_x0000_s1029" type="#_x0000_t88" style="position:absolute;left:31460;top:-445;width:3486;height:1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" adj="1084,11168" strokecolor="#4579b8 [3044]" strokeweight="4.5pt"/>
                <v:shapetype id="_x0000_t32" coordsize="21600,21600" o:spt="32" o:oned="t" path="m,l21600,21600e" filled="f">
                  <v:path arrowok="t" fillok="f" o:connecttype="none"/>
                  <o:lock v:ext="edit" shapetype="t"/>
                </v:shapetype>
                <v:shape id="Straight Arrow Connector 48" o:spid="_x0000_s1030" type="#_x0000_t32" style="position:absolute;left:45318;top:10256;width:51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" strokecolor="#4579b8 [3044]" strokeweight="4.5pt">
                  <v:stroke endarrow="block"/>
                  <o:lock v:ext="edit" shapetype="f"/>
                </v:shape>
                <v:shapetype id="_x0000_t202" coordsize="21600,21600" o:spt="202" path="m,l,21600r21600,l21600,xe">
                  <v:stroke joinstyle="miter"/>
                  <v:path gradientshapeok="t" o:connecttype="rect"/>
                </v:shapetype>
                <v:shape id="officeArt object" o:spid="_x0000_s1031" type="#_x0000_t202" alt="Cuadro de texto 2" style="position:absolute;left:397;top:-1089;width:31395;height:20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" fillcolor="#b2a1c7 [1943]" strokecolor="#4579b8 [3044]">
                  <v:fill color2="#e4ecf5 [500]" rotate="t" angle="180" colors="0 #b3a2c7;1311f #b7b3d9;22938f #bfd5ff;1 #e5eeff" focus="100%" type="gradient"/>
                  <v:shadow on="t" color="black" opacity="24903f" origin=",.5" offset="0,.55556mm"/>
                  <v:textbox inset="1.27mm,1.27mm,1.27mm,1.27mm">
                    <w:txbxContent>
                      <w:p w14:paraId="3D3CCC77" w14:textId="21964D71" w:rsidR="00454804" w:rsidRPr="00825438" w:rsidRDefault="00454804" w:rsidP="00825438">
                        <w:pPr>
                          <w:jc w:val="center"/>
                          <w:rPr>
                            <w:sz w:val="16"/>
                            <w:szCs w:val="16"/>
                          </w:rPr>
                        </w:pPr>
                        <w:r w:rsidRPr="00825438">
                          <w:rPr>
                            <w:rFonts w:ascii="Arial Narrow" w:eastAsia="SimSun" w:hAnsi="Arial Narrow" w:cstheme="minorBidi"/>
                            <w:b/>
                            <w:bCs/>
                            <w:color w:val="000000" w:themeColor="text1"/>
                            <w:kern w:val="24"/>
                            <w:sz w:val="16"/>
                            <w:szCs w:val="16"/>
                            <w:lang w:val="es-ES"/>
                          </w:rPr>
                          <w:t>Informes de los procesos del</w:t>
                        </w:r>
                        <w:r>
                          <w:rPr>
                            <w:rFonts w:ascii="Arial Narrow" w:eastAsia="SimSun" w:hAnsi="Arial Narrow" w:cstheme="minorBidi"/>
                            <w:b/>
                            <w:bCs/>
                            <w:color w:val="000000" w:themeColor="text1"/>
                            <w:kern w:val="24"/>
                            <w:sz w:val="16"/>
                            <w:szCs w:val="16"/>
                            <w:lang w:val="es-ES"/>
                          </w:rPr>
                          <w:br/>
                        </w:r>
                        <w:r w:rsidRPr="00825438">
                          <w:rPr>
                            <w:rFonts w:ascii="Arial Narrow" w:eastAsia="SimSun" w:hAnsi="Arial Narrow" w:cstheme="minorBidi"/>
                            <w:b/>
                            <w:bCs/>
                            <w:color w:val="000000" w:themeColor="text1"/>
                            <w:kern w:val="24"/>
                            <w:sz w:val="16"/>
                            <w:szCs w:val="16"/>
                            <w:lang w:val="es-ES"/>
                          </w:rPr>
                          <w:t>Convenio de Minamata</w:t>
                        </w:r>
                      </w:p>
                    </w:txbxContent>
                  </v:textbox>
                </v:shape>
                <v:shape id="officeArt object" o:spid="_x0000_s1032" type="#_x0000_t202" alt="Cuadro de texto 2" style="position:absolute;left:1059;top:3370;width:29801;height:2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">
                  <v:textbox inset="1.27mm,1.27mm,1.27mm,1.27mm">
                    <w:txbxContent>
                      <w:p w14:paraId="2BC14328" w14:textId="77777777" w:rsidR="00454804" w:rsidRPr="003A3749" w:rsidRDefault="00454804" w:rsidP="00825438">
                        <w:pPr>
                          <w:jc w:val="center"/>
                          <w:rPr>
                            <w:rFonts w:ascii="Arial Narrow" w:eastAsia="SimSun" w:hAnsi="Arial Narrow" w:cstheme="minorBidi"/>
                            <w:color w:val="000000" w:themeColor="text1"/>
                            <w:kern w:val="24"/>
                            <w:sz w:val="16"/>
                            <w:szCs w:val="16"/>
                            <w:lang w:val="es-ES"/>
                          </w:rPr>
                        </w:pPr>
                        <w:r w:rsidRPr="003A3749">
                          <w:rPr>
                            <w:rFonts w:ascii="Arial Narrow" w:eastAsia="SimSun" w:hAnsi="Arial Narrow" w:cstheme="minorBidi"/>
                            <w:color w:val="000000" w:themeColor="text1"/>
                            <w:kern w:val="24"/>
                            <w:sz w:val="16"/>
                            <w:szCs w:val="16"/>
                            <w:lang w:val="es-ES"/>
                          </w:rPr>
                          <w:t>Informe del CAC</w:t>
                        </w:r>
                      </w:p>
                    </w:txbxContent>
                  </v:textbox>
                </v:shape>
                <v:shape id="officeArt object" o:spid="_x0000_s1033" type="#_x0000_t202" alt="Cuadro de texto 2" style="position:absolute;left:1059;top:6707;width:29801;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">
                  <v:textbox inset="1.27mm,1.27mm,1.27mm,1.27mm">
                    <w:txbxContent>
                      <w:p w14:paraId="4077E0DE" w14:textId="77777777" w:rsidR="00454804" w:rsidRPr="00825438" w:rsidRDefault="00454804" w:rsidP="00825438">
                        <w:pPr>
                          <w:jc w:val="center"/>
                          <w:rPr>
                            <w:sz w:val="16"/>
                            <w:szCs w:val="16"/>
                          </w:rPr>
                        </w:pPr>
                        <w:r w:rsidRPr="00DC479E">
                          <w:rPr>
                            <w:rFonts w:ascii="Arial Narrow" w:eastAsia="SimSun" w:hAnsi="Arial Narrow" w:cstheme="minorBidi"/>
                            <w:color w:val="000000" w:themeColor="text1"/>
                            <w:kern w:val="24"/>
                            <w:sz w:val="16"/>
                            <w:szCs w:val="16"/>
                            <w:lang w:val="es-ES"/>
                          </w:rPr>
                          <w:t>Mecanismo financiero, incluido el art.13</w:t>
                        </w:r>
                        <w:r w:rsidRPr="00825438">
                          <w:rPr>
                            <w:rFonts w:ascii="Arial Narrow" w:eastAsia="SimSun" w:hAnsi="Arial Narrow" w:cstheme="minorBidi"/>
                            <w:color w:val="000000" w:themeColor="text1"/>
                            <w:kern w:val="24"/>
                            <w:sz w:val="16"/>
                            <w:szCs w:val="16"/>
                          </w:rPr>
                          <w:t xml:space="preserve"> 11)</w:t>
                        </w:r>
                      </w:p>
                    </w:txbxContent>
                  </v:textbox>
                </v:shape>
                <v:shape id="officeArt object" o:spid="_x0000_s1034" type="#_x0000_t202" alt="Cuadro de texto 2" style="position:absolute;left:686;top:10643;width:30174;height:4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">
                  <v:textbox inset="1.27mm,1.27mm,1.27mm,1.27mm">
                    <w:txbxContent>
                      <w:p w14:paraId="13969EC8" w14:textId="77777777" w:rsidR="00454804" w:rsidRPr="00825438" w:rsidRDefault="00454804" w:rsidP="00825438">
                        <w:pPr>
                          <w:jc w:val="center"/>
                          <w:rPr>
                            <w:sz w:val="16"/>
                            <w:szCs w:val="16"/>
                          </w:rPr>
                        </w:pPr>
                        <w:r w:rsidRPr="00825438">
                          <w:rPr>
                            <w:rFonts w:ascii="Arial Narrow" w:eastAsia="SimSun" w:hAnsi="Arial Narrow" w:cstheme="minorBidi"/>
                            <w:color w:val="000000" w:themeColor="text1"/>
                            <w:kern w:val="24"/>
                            <w:sz w:val="16"/>
                            <w:szCs w:val="16"/>
                          </w:rPr>
                          <w:t xml:space="preserve">Creación </w:t>
                        </w:r>
                        <w:r w:rsidRPr="00DC479E">
                          <w:rPr>
                            <w:rFonts w:ascii="Arial Narrow" w:eastAsia="SimSun" w:hAnsi="Arial Narrow" w:cstheme="minorBidi"/>
                            <w:color w:val="000000" w:themeColor="text1"/>
                            <w:kern w:val="24"/>
                            <w:sz w:val="16"/>
                            <w:szCs w:val="16"/>
                            <w:lang w:val="es-ES"/>
                          </w:rPr>
                          <w:t>de</w:t>
                        </w:r>
                        <w:r w:rsidRPr="00825438">
                          <w:rPr>
                            <w:rFonts w:ascii="Arial Narrow" w:eastAsia="SimSun" w:hAnsi="Arial Narrow" w:cstheme="minorBidi"/>
                            <w:color w:val="000000" w:themeColor="text1"/>
                            <w:kern w:val="24"/>
                            <w:sz w:val="16"/>
                            <w:szCs w:val="16"/>
                          </w:rPr>
                          <w:t xml:space="preserve"> capacidad, asistencia técnica y transferencia de tecnología</w:t>
                        </w:r>
                      </w:p>
                    </w:txbxContent>
                  </v:textbox>
                </v:shape>
                <v:shape id="officeArt object" o:spid="_x0000_s1035" type="#_x0000_t202" alt="Cuadro de texto 2" style="position:absolute;left:1059;top:15632;width:29801;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">
                  <v:textbox inset="1.27mm,1.27mm,1.27mm,1.27mm">
                    <w:txbxContent>
                      <w:p w14:paraId="45B78BE0" w14:textId="77777777" w:rsidR="00454804" w:rsidRPr="00DC479E" w:rsidRDefault="00454804" w:rsidP="00825438">
                        <w:pPr>
                          <w:jc w:val="center"/>
                          <w:rPr>
                            <w:rFonts w:ascii="Arial Narrow" w:eastAsia="SimSun" w:hAnsi="Arial Narrow" w:cstheme="minorBidi"/>
                            <w:color w:val="000000" w:themeColor="text1"/>
                            <w:kern w:val="24"/>
                            <w:sz w:val="16"/>
                            <w:szCs w:val="16"/>
                            <w:lang w:val="es-ES"/>
                          </w:rPr>
                        </w:pPr>
                        <w:r w:rsidRPr="00DC479E">
                          <w:rPr>
                            <w:rFonts w:ascii="Arial Narrow" w:eastAsia="SimSun" w:hAnsi="Arial Narrow" w:cstheme="minorBidi"/>
                            <w:color w:val="000000" w:themeColor="text1"/>
                            <w:kern w:val="24"/>
                            <w:sz w:val="16"/>
                            <w:szCs w:val="16"/>
                            <w:lang w:val="es-ES"/>
                          </w:rPr>
                          <w:t>Otros</w:t>
                        </w:r>
                      </w:p>
                    </w:txbxContent>
                  </v:textbox>
                </v:shape>
                <v:shape id="Text Box 2" o:spid="_x0000_s1036" type="#_x0000_t202" style="position:absolute;left:246;top:20070;width:31211;height:2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" fillcolor="#ccc0d9 [1303]" strokecolor="#4579b8 [3044]">
                  <v:shadow on="t" color="black" opacity="24903f" origin=",.5" offset="0,.55556mm"/>
                  <v:textbox inset="1.27mm,1.27mm,1.27mm,1.27mm">
                    <w:txbxContent>
                      <w:p w14:paraId="53D3E30A" w14:textId="77777777" w:rsidR="00454804" w:rsidRPr="00B131E7" w:rsidRDefault="00454804" w:rsidP="00825438">
                        <w:pPr>
                          <w:jc w:val="center"/>
                          <w:rPr>
                            <w:rFonts w:ascii="Arial Narrow" w:eastAsia="SimSun" w:hAnsi="Arial Narrow" w:cstheme="minorBidi"/>
                            <w:b/>
                            <w:bCs/>
                            <w:color w:val="000000" w:themeColor="text1"/>
                            <w:kern w:val="24"/>
                            <w:sz w:val="16"/>
                            <w:szCs w:val="16"/>
                            <w:lang w:val="es-ES"/>
                          </w:rPr>
                        </w:pPr>
                        <w:r w:rsidRPr="00B131E7">
                          <w:rPr>
                            <w:rFonts w:ascii="Arial Narrow" w:eastAsia="SimSun" w:hAnsi="Arial Narrow" w:cstheme="minorBidi"/>
                            <w:b/>
                            <w:bCs/>
                            <w:color w:val="000000" w:themeColor="text1"/>
                            <w:kern w:val="24"/>
                            <w:sz w:val="16"/>
                            <w:szCs w:val="16"/>
                            <w:lang w:val="es-ES"/>
                          </w:rPr>
                          <w:t>Comunicaciones de las Partes</w:t>
                        </w:r>
                      </w:p>
                    </w:txbxContent>
                  </v:textbox>
                </v:shape>
                <v:shape id="officeArt object" o:spid="_x0000_s1037" type="#_x0000_t202" alt="Cuadro de texto 2" style="position:absolute;left:887;top:22811;width:29967;height:3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">
                  <v:textbox inset="1.27mm,1.27mm,1.27mm,1.27mm">
                    <w:txbxContent>
                      <w:p w14:paraId="2CA22D97" w14:textId="77777777" w:rsidR="00454804" w:rsidRPr="00825438" w:rsidRDefault="00454804" w:rsidP="00825438">
                        <w:pPr>
                          <w:jc w:val="center"/>
                          <w:rPr>
                            <w:sz w:val="16"/>
                            <w:szCs w:val="16"/>
                          </w:rPr>
                        </w:pPr>
                        <w:r w:rsidRPr="00825438">
                          <w:rPr>
                            <w:rFonts w:ascii="Arial Narrow" w:eastAsia="SimSun" w:hAnsi="Arial Narrow" w:cstheme="minorBidi"/>
                            <w:color w:val="000000" w:themeColor="text1"/>
                            <w:kern w:val="24"/>
                            <w:sz w:val="16"/>
                            <w:szCs w:val="16"/>
                          </w:rPr>
                          <w:t xml:space="preserve">Informes </w:t>
                        </w:r>
                        <w:r w:rsidRPr="00DC479E">
                          <w:rPr>
                            <w:rFonts w:ascii="Arial Narrow" w:eastAsia="SimSun" w:hAnsi="Arial Narrow" w:cstheme="minorBidi"/>
                            <w:color w:val="000000" w:themeColor="text1"/>
                            <w:kern w:val="24"/>
                            <w:sz w:val="16"/>
                            <w:szCs w:val="16"/>
                            <w:lang w:val="es-ES"/>
                          </w:rPr>
                          <w:t>previstos</w:t>
                        </w:r>
                        <w:r w:rsidRPr="00825438">
                          <w:rPr>
                            <w:rFonts w:ascii="Arial Narrow" w:eastAsia="SimSun" w:hAnsi="Arial Narrow" w:cstheme="minorBidi"/>
                            <w:color w:val="000000" w:themeColor="text1"/>
                            <w:kern w:val="24"/>
                            <w:sz w:val="16"/>
                            <w:szCs w:val="16"/>
                          </w:rPr>
                          <w:t xml:space="preserve"> en el artículo 21</w:t>
                        </w:r>
                      </w:p>
                    </w:txbxContent>
                  </v:textbox>
                </v:shape>
                <v:shape id="officeArt object" o:spid="_x0000_s1038" type="#_x0000_t202" alt="Cuadro de texto 2" style="position:absolute;left:887;top:26152;width:29964;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">
                  <v:textbox inset="1.27mm,1.27mm,1.27mm,1.27mm">
                    <w:txbxContent>
                      <w:p w14:paraId="1073CD5B" w14:textId="77777777" w:rsidR="00454804" w:rsidRPr="00DC479E" w:rsidRDefault="00454804" w:rsidP="00825438">
                        <w:pPr>
                          <w:jc w:val="center"/>
                          <w:rPr>
                            <w:rFonts w:ascii="Arial Narrow" w:eastAsia="SimSun" w:hAnsi="Arial Narrow" w:cstheme="minorBidi"/>
                            <w:color w:val="000000" w:themeColor="text1"/>
                            <w:kern w:val="24"/>
                            <w:sz w:val="16"/>
                            <w:szCs w:val="16"/>
                            <w:lang w:val="es-ES"/>
                          </w:rPr>
                        </w:pPr>
                        <w:r w:rsidRPr="00825438">
                          <w:rPr>
                            <w:rFonts w:ascii="Arial Narrow" w:eastAsia="SimSun" w:hAnsi="Arial Narrow" w:cstheme="minorBidi"/>
                            <w:color w:val="000000" w:themeColor="text1"/>
                            <w:kern w:val="24"/>
                            <w:sz w:val="16"/>
                            <w:szCs w:val="16"/>
                            <w:lang w:val="es-ES"/>
                          </w:rPr>
                          <w:t>Notificaciones</w:t>
                        </w:r>
                      </w:p>
                    </w:txbxContent>
                  </v:textbox>
                </v:shape>
                <v:shape id="officeArt object" o:spid="_x0000_s1039" type="#_x0000_t202" alt="Cuadro de texto 2" style="position:absolute;left:887;top:29750;width:2996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">
                  <v:textbox inset="1.27mm,1.27mm,1.27mm,1.27mm">
                    <w:txbxContent>
                      <w:p w14:paraId="3B67ADAA" w14:textId="18B057F4" w:rsidR="00454804" w:rsidRPr="003A3749" w:rsidRDefault="00454804" w:rsidP="00825438">
                        <w:pPr>
                          <w:jc w:val="center"/>
                          <w:rPr>
                            <w:sz w:val="16"/>
                            <w:szCs w:val="16"/>
                          </w:rPr>
                        </w:pPr>
                        <w:r w:rsidRPr="003A3749">
                          <w:rPr>
                            <w:rFonts w:ascii="Arial Narrow" w:eastAsia="SimSun" w:hAnsi="Arial Narrow" w:cstheme="minorBidi"/>
                            <w:color w:val="000000" w:themeColor="text1"/>
                            <w:kern w:val="24"/>
                            <w:sz w:val="16"/>
                            <w:szCs w:val="16"/>
                          </w:rPr>
                          <w:t xml:space="preserve">Planes </w:t>
                        </w:r>
                        <w:r w:rsidRPr="003A3749">
                          <w:rPr>
                            <w:rFonts w:ascii="Arial Narrow" w:eastAsia="SimSun" w:hAnsi="Arial Narrow" w:cstheme="minorBidi"/>
                            <w:color w:val="000000" w:themeColor="text1"/>
                            <w:kern w:val="24"/>
                            <w:sz w:val="16"/>
                            <w:szCs w:val="16"/>
                            <w:lang w:val="es-ES"/>
                          </w:rPr>
                          <w:t>de</w:t>
                        </w:r>
                        <w:r w:rsidRPr="003A3749">
                          <w:rPr>
                            <w:rFonts w:ascii="Arial Narrow" w:eastAsia="SimSun" w:hAnsi="Arial Narrow" w:cstheme="minorBidi"/>
                            <w:color w:val="000000" w:themeColor="text1"/>
                            <w:kern w:val="24"/>
                            <w:sz w:val="16"/>
                            <w:szCs w:val="16"/>
                          </w:rPr>
                          <w:t xml:space="preserve"> acción nacionales, planes</w:t>
                        </w:r>
                        <w:r>
                          <w:rPr>
                            <w:rFonts w:ascii="Arial Narrow" w:eastAsia="SimSun" w:hAnsi="Arial Narrow" w:cstheme="minorBidi"/>
                            <w:color w:val="000000" w:themeColor="text1"/>
                            <w:kern w:val="24"/>
                            <w:sz w:val="16"/>
                            <w:szCs w:val="16"/>
                          </w:rPr>
                          <w:t xml:space="preserve"> </w:t>
                        </w:r>
                        <w:r w:rsidRPr="003A3749">
                          <w:rPr>
                            <w:rFonts w:ascii="Arial Narrow" w:eastAsia="SimSun" w:hAnsi="Arial Narrow" w:cstheme="minorBidi"/>
                            <w:color w:val="000000" w:themeColor="text1"/>
                            <w:kern w:val="24"/>
                            <w:sz w:val="16"/>
                            <w:szCs w:val="16"/>
                          </w:rPr>
                          <w:t>nacionales de aplicación y otros</w:t>
                        </w:r>
                      </w:p>
                    </w:txbxContent>
                  </v:textbox>
                </v:shape>
                <v:shape id="officeArt object" o:spid="_x0000_s1040" type="#_x0000_t202" alt="Cuadro de texto 2" style="position:absolute;left:1006;top:34697;width:29851;height:5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">
                  <v:textbox inset="1.27mm,1.27mm,1.27mm,1.27mm">
                    <w:txbxContent>
                      <w:p w14:paraId="672EE188" w14:textId="77777777" w:rsidR="00454804" w:rsidRPr="003A3749" w:rsidRDefault="00454804" w:rsidP="00825438">
                        <w:pPr>
                          <w:jc w:val="center"/>
                          <w:rPr>
                            <w:sz w:val="16"/>
                            <w:szCs w:val="16"/>
                          </w:rPr>
                        </w:pPr>
                        <w:r w:rsidRPr="003A3749">
                          <w:rPr>
                            <w:rFonts w:ascii="Arial Narrow" w:eastAsia="SimSun" w:hAnsi="Arial Narrow" w:cstheme="minorBidi"/>
                            <w:color w:val="000000" w:themeColor="text1"/>
                            <w:kern w:val="24"/>
                            <w:sz w:val="16"/>
                            <w:szCs w:val="16"/>
                            <w:lang w:val="es-ES"/>
                          </w:rPr>
                          <w:t>Evaluaciones iniciales del Convenio de Minamata, aplicaciones del</w:t>
                        </w:r>
                        <w:r>
                          <w:rPr>
                            <w:rFonts w:ascii="Arial Narrow" w:eastAsia="SimSun" w:hAnsi="Arial Narrow" w:cstheme="minorBidi"/>
                            <w:color w:val="000000" w:themeColor="text1"/>
                            <w:kern w:val="24"/>
                            <w:sz w:val="28"/>
                            <w:szCs w:val="28"/>
                            <w:lang w:val="es-ES"/>
                          </w:rPr>
                          <w:t xml:space="preserve"> </w:t>
                        </w:r>
                        <w:r w:rsidRPr="003A3749">
                          <w:rPr>
                            <w:rFonts w:ascii="Arial Narrow" w:eastAsia="SimSun" w:hAnsi="Arial Narrow" w:cstheme="minorBidi"/>
                            <w:color w:val="000000" w:themeColor="text1"/>
                            <w:kern w:val="24"/>
                            <w:sz w:val="16"/>
                            <w:szCs w:val="16"/>
                            <w:lang w:val="es-ES"/>
                          </w:rPr>
                          <w:t>PIE otros.</w:t>
                        </w:r>
                      </w:p>
                    </w:txbxContent>
                  </v:textbox>
                </v:shape>
                <v:shape id="officeArt object" o:spid="_x0000_s1041" type="#_x0000_t202" alt="Cuadro de texto 2" style="position:absolute;left:1058;top:40069;width:29799;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">
                  <v:textbox inset="1.27mm,1.27mm,1.27mm,1.27mm">
                    <w:txbxContent>
                      <w:p w14:paraId="6859E691" w14:textId="4CE4DCAC" w:rsidR="00454804" w:rsidRPr="00DC479E" w:rsidRDefault="00454804" w:rsidP="00825438">
                        <w:pPr>
                          <w:jc w:val="center"/>
                          <w:rPr>
                            <w:rFonts w:ascii="Arial Narrow" w:eastAsia="SimSun" w:hAnsi="Arial Narrow" w:cstheme="minorBidi"/>
                            <w:color w:val="000000" w:themeColor="text1"/>
                            <w:kern w:val="24"/>
                            <w:sz w:val="16"/>
                            <w:szCs w:val="16"/>
                            <w:lang w:val="es-ES"/>
                          </w:rPr>
                        </w:pPr>
                        <w:r w:rsidRPr="00DC479E">
                          <w:rPr>
                            <w:rFonts w:ascii="Arial Narrow" w:eastAsia="SimSun" w:hAnsi="Arial Narrow" w:cstheme="minorBidi"/>
                            <w:color w:val="000000" w:themeColor="text1"/>
                            <w:kern w:val="24"/>
                            <w:sz w:val="16"/>
                            <w:szCs w:val="16"/>
                            <w:lang w:val="es-ES"/>
                          </w:rPr>
                          <w:t>Otras</w:t>
                        </w:r>
                        <w:r>
                          <w:rPr>
                            <w:rFonts w:ascii="Arial Narrow" w:eastAsia="SimSun" w:hAnsi="Arial Narrow" w:cstheme="minorBidi"/>
                            <w:color w:val="000000" w:themeColor="text1"/>
                            <w:kern w:val="24"/>
                            <w:sz w:val="16"/>
                            <w:szCs w:val="16"/>
                            <w:lang w:val="es-ES"/>
                          </w:rPr>
                          <w:t xml:space="preserve"> </w:t>
                        </w:r>
                        <w:r w:rsidRPr="00DC479E">
                          <w:rPr>
                            <w:rFonts w:ascii="Arial Narrow" w:eastAsia="SimSun" w:hAnsi="Arial Narrow" w:cstheme="minorBidi"/>
                            <w:color w:val="000000" w:themeColor="text1"/>
                            <w:kern w:val="24"/>
                            <w:sz w:val="16"/>
                            <w:szCs w:val="16"/>
                            <w:lang w:val="es-ES"/>
                          </w:rPr>
                          <w:t>comunicaciones</w:t>
                        </w:r>
                      </w:p>
                    </w:txbxContent>
                  </v:textbox>
                </v:shape>
                <v:shape id="officeArt object" o:spid="_x0000_s1042" type="#_x0000_t202" alt="Cuadro de texto 2" style="position:absolute;left:65;top:44605;width:31389;height:5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" fillcolor="#ccc0d9 [1303]" strokecolor="#4579b8 [3044]">
                  <v:shadow on="t" color="black" opacity="24903f" origin=",.5" offset="0,.55556mm"/>
                  <v:textbox inset="1.27mm,1.27mm,1.27mm,1.27mm">
                    <w:txbxContent>
                      <w:p w14:paraId="04AC3E59" w14:textId="14C3F0A7" w:rsidR="00454804" w:rsidRPr="00B131E7" w:rsidRDefault="00454804" w:rsidP="00FC03CF">
                        <w:pPr>
                          <w:jc w:val="center"/>
                          <w:rPr>
                            <w:b/>
                            <w:bCs/>
                            <w:sz w:val="16"/>
                            <w:szCs w:val="16"/>
                          </w:rPr>
                        </w:pPr>
                        <w:r w:rsidRPr="00B131E7">
                          <w:rPr>
                            <w:rFonts w:ascii="Arial Narrow" w:eastAsia="SimSun" w:hAnsi="Arial Narrow" w:cstheme="minorBidi"/>
                            <w:b/>
                            <w:bCs/>
                            <w:color w:val="000000" w:themeColor="text1"/>
                            <w:kern w:val="24"/>
                            <w:sz w:val="16"/>
                            <w:szCs w:val="16"/>
                            <w:lang w:val="es-ES"/>
                          </w:rPr>
                          <w:t>Comunicaciones presentadas por otros</w:t>
                        </w:r>
                        <w:r w:rsidRPr="00B131E7">
                          <w:rPr>
                            <w:rFonts w:ascii="Arial Narrow" w:eastAsia="SimSun" w:hAnsi="Arial Narrow" w:cstheme="minorBidi"/>
                            <w:b/>
                            <w:bCs/>
                            <w:color w:val="000000" w:themeColor="text1"/>
                            <w:kern w:val="24"/>
                            <w:sz w:val="16"/>
                            <w:szCs w:val="16"/>
                          </w:rPr>
                          <w:br/>
                        </w:r>
                        <w:r w:rsidRPr="00B131E7">
                          <w:rPr>
                            <w:rFonts w:ascii="Arial Narrow" w:eastAsia="SimSun" w:hAnsi="Arial Narrow" w:cstheme="minorBidi"/>
                            <w:b/>
                            <w:bCs/>
                            <w:color w:val="000000" w:themeColor="text1"/>
                            <w:kern w:val="24"/>
                            <w:sz w:val="16"/>
                            <w:szCs w:val="16"/>
                            <w:lang w:val="es-ES"/>
                          </w:rPr>
                          <w:t xml:space="preserve">interesados y otras </w:t>
                        </w:r>
                        <w:r w:rsidRPr="00B131E7">
                          <w:rPr>
                            <w:rFonts w:ascii="Arial Narrow" w:eastAsia="SimSun" w:hAnsi="Arial Narrow" w:cstheme="minorBidi"/>
                            <w:b/>
                            <w:bCs/>
                            <w:color w:val="000000" w:themeColor="text1"/>
                            <w:kern w:val="24"/>
                            <w:sz w:val="16"/>
                            <w:szCs w:val="16"/>
                          </w:rPr>
                          <w:t>informaciones</w:t>
                        </w:r>
                      </w:p>
                    </w:txbxContent>
                  </v:textbox>
                </v:shape>
                <v:shape id="officeArt object" o:spid="_x0000_s1043" type="#_x0000_t202" alt="Cuadro de texto 2" style="position:absolute;left:246;top:50508;width:31205;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" fillcolor="#ccc0d9 [1303]" strokecolor="#4579b8 [3044]">
                  <v:shadow on="t" color="black" opacity="24903f" origin=",.5" offset="0,.55556mm"/>
                  <v:textbox inset="1.27mm,1.27mm,1.27mm,1.27mm">
                    <w:txbxContent>
                      <w:p w14:paraId="666D1BB7" w14:textId="37BB005C" w:rsidR="00454804" w:rsidRPr="00B131E7" w:rsidRDefault="00454804" w:rsidP="00825438">
                        <w:pPr>
                          <w:jc w:val="center"/>
                          <w:rPr>
                            <w:rFonts w:ascii="Arial Narrow" w:eastAsia="SimSun" w:hAnsi="Arial Narrow" w:cstheme="minorBidi"/>
                            <w:b/>
                            <w:bCs/>
                            <w:color w:val="000000" w:themeColor="text1"/>
                            <w:kern w:val="24"/>
                            <w:sz w:val="16"/>
                            <w:szCs w:val="16"/>
                            <w:lang w:val="es-ES"/>
                          </w:rPr>
                        </w:pPr>
                        <w:r w:rsidRPr="00B131E7">
                          <w:rPr>
                            <w:rFonts w:ascii="Arial Narrow" w:eastAsia="SimSun" w:hAnsi="Arial Narrow" w:cstheme="minorBidi"/>
                            <w:b/>
                            <w:bCs/>
                            <w:color w:val="000000" w:themeColor="text1"/>
                            <w:kern w:val="24"/>
                            <w:sz w:val="16"/>
                            <w:szCs w:val="16"/>
                            <w:lang w:val="es-ES"/>
                          </w:rPr>
                          <w:t>Información disponible</w:t>
                        </w:r>
                        <w:r>
                          <w:rPr>
                            <w:rFonts w:ascii="Arial Narrow" w:eastAsia="SimSun" w:hAnsi="Arial Narrow" w:cstheme="minorBidi"/>
                            <w:b/>
                            <w:bCs/>
                            <w:color w:val="000000" w:themeColor="text1"/>
                            <w:kern w:val="24"/>
                            <w:sz w:val="28"/>
                            <w:szCs w:val="28"/>
                            <w:lang w:val="es-ES"/>
                          </w:rPr>
                          <w:t xml:space="preserve"> </w:t>
                        </w:r>
                        <w:r w:rsidRPr="00B131E7">
                          <w:rPr>
                            <w:rFonts w:ascii="Arial Narrow" w:eastAsia="SimSun" w:hAnsi="Arial Narrow" w:cstheme="minorBidi"/>
                            <w:b/>
                            <w:bCs/>
                            <w:color w:val="000000" w:themeColor="text1"/>
                            <w:kern w:val="24"/>
                            <w:sz w:val="16"/>
                            <w:szCs w:val="16"/>
                            <w:lang w:val="es-ES"/>
                          </w:rPr>
                          <w:t>sobre la</w:t>
                        </w:r>
                        <w:r w:rsidRPr="00B131E7">
                          <w:rPr>
                            <w:rFonts w:ascii="Arial Narrow" w:eastAsia="SimSun" w:hAnsi="Arial Narrow" w:cstheme="minorBidi"/>
                            <w:b/>
                            <w:bCs/>
                            <w:color w:val="000000" w:themeColor="text1"/>
                            <w:kern w:val="24"/>
                            <w:sz w:val="28"/>
                            <w:szCs w:val="28"/>
                            <w:lang w:val="es-ES"/>
                          </w:rPr>
                          <w:t xml:space="preserve"> </w:t>
                        </w:r>
                        <w:r w:rsidRPr="00B131E7">
                          <w:rPr>
                            <w:rFonts w:ascii="Arial Narrow" w:eastAsia="SimSun" w:hAnsi="Arial Narrow" w:cstheme="minorBidi"/>
                            <w:b/>
                            <w:bCs/>
                            <w:color w:val="000000" w:themeColor="text1"/>
                            <w:kern w:val="24"/>
                            <w:sz w:val="16"/>
                            <w:szCs w:val="16"/>
                            <w:lang w:val="es-ES"/>
                          </w:rPr>
                          <w:t>vigilancia</w:t>
                        </w:r>
                      </w:p>
                    </w:txbxContent>
                  </v:textbox>
                </v:shape>
                <v:shape id="officeArt object" o:spid="_x0000_s1044" type="#_x0000_t202" alt="Cuadro de texto 2" style="position:absolute;left:65;top:55633;width:29721;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" fillcolor="#a5a5a5 [2092]" strokecolor="black [3213]" strokeweight=".25pt">
                  <v:stroke joinstyle="round"/>
                  <v:textbox inset="1.27mm,1.27mm,1.27mm,1.27mm">
                    <w:txbxContent>
                      <w:p w14:paraId="156386AA" w14:textId="77777777" w:rsidR="00454804" w:rsidRPr="008A5F6A" w:rsidRDefault="00454804" w:rsidP="00FC03CF">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Niveles 1 y 2</w:t>
                        </w:r>
                      </w:p>
                    </w:txbxContent>
                  </v:textbox>
                </v:shape>
                <v:rect id="Rectangle 22" o:spid="_x0000_s1045" style="position:absolute;left:35512;top:6729;width:15217;height:7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" fillcolor="#c2d69b [1942]" strokecolor="#f68c36 [3049]">
                  <v:shadow on="t" color="black" opacity="24903f" origin=",.5" offset="0,.55556mm"/>
                  <v:textbox>
                    <w:txbxContent>
                      <w:p w14:paraId="636F218E" w14:textId="11784376" w:rsidR="00454804" w:rsidRPr="00DC479E" w:rsidRDefault="00454804" w:rsidP="00825438">
                        <w:pPr>
                          <w:jc w:val="center"/>
                          <w:rPr>
                            <w:sz w:val="18"/>
                            <w:szCs w:val="18"/>
                          </w:rPr>
                        </w:pPr>
                        <w:r w:rsidRPr="00DC479E">
                          <w:rPr>
                            <w:rFonts w:ascii="Arial Narrow" w:eastAsia="SimSun" w:hAnsi="Arial Narrow" w:cstheme="minorBidi"/>
                            <w:b/>
                            <w:bCs/>
                            <w:color w:val="000000" w:themeColor="text1"/>
                            <w:kern w:val="24"/>
                            <w:sz w:val="18"/>
                            <w:szCs w:val="18"/>
                            <w:lang w:val="it-IT"/>
                          </w:rPr>
                          <w:t>Secretaría</w:t>
                        </w:r>
                      </w:p>
                      <w:p w14:paraId="39672671" w14:textId="77777777" w:rsidR="00454804" w:rsidRPr="00FC03CF" w:rsidRDefault="00454804" w:rsidP="00825438">
                        <w:pPr>
                          <w:jc w:val="center"/>
                          <w:rPr>
                            <w:i/>
                            <w:iCs/>
                          </w:rPr>
                        </w:pPr>
                        <w:r w:rsidRPr="00FC03CF">
                          <w:rPr>
                            <w:rFonts w:ascii="Arial Narrow" w:eastAsia="SimSun" w:hAnsi="Arial Narrow" w:cstheme="minorBidi"/>
                            <w:i/>
                            <w:iCs/>
                            <w:color w:val="000000" w:themeColor="text1"/>
                            <w:kern w:val="24"/>
                            <w:sz w:val="18"/>
                            <w:szCs w:val="18"/>
                            <w:lang w:val="it-IT"/>
                          </w:rPr>
                          <w:t>Compilaciones y resúmeness</w:t>
                        </w:r>
                      </w:p>
                    </w:txbxContent>
                  </v:textbox>
                </v:rect>
                <v:rect id="Rectangle 23" o:spid="_x0000_s1046" style="position:absolute;left:34946;top:21241;width:16340;height:19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" fillcolor="#c2d69b [1942]" strokecolor="#f68c36 [3049]">
                  <v:shadow on="t" color="black" opacity="24903f" origin=",.5" offset="0,.55556mm"/>
                  <v:textbox>
                    <w:txbxContent>
                      <w:p w14:paraId="5A0202C6" w14:textId="1F508880" w:rsidR="00454804" w:rsidRPr="00DC479E" w:rsidRDefault="00454804" w:rsidP="00825438">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Secretaría</w:t>
                        </w:r>
                        <w:r>
                          <w:rPr>
                            <w:rFonts w:ascii="Arial Narrow" w:eastAsia="SimSun" w:hAnsi="Arial Narrow" w:cstheme="minorBidi"/>
                            <w:b/>
                            <w:bCs/>
                            <w:color w:val="000000" w:themeColor="text1"/>
                            <w:kern w:val="24"/>
                            <w:sz w:val="18"/>
                            <w:szCs w:val="18"/>
                            <w:lang w:val="it-IT"/>
                          </w:rPr>
                          <w:br/>
                          <w:t>c</w:t>
                        </w:r>
                        <w:r w:rsidRPr="00DC479E">
                          <w:rPr>
                            <w:rFonts w:ascii="Arial Narrow" w:eastAsia="SimSun" w:hAnsi="Arial Narrow" w:cstheme="minorBidi"/>
                            <w:b/>
                            <w:bCs/>
                            <w:color w:val="000000" w:themeColor="text1"/>
                            <w:kern w:val="24"/>
                            <w:sz w:val="18"/>
                            <w:szCs w:val="18"/>
                            <w:lang w:val="it-IT"/>
                          </w:rPr>
                          <w:t>on colaboradores</w:t>
                        </w:r>
                        <w:r>
                          <w:rPr>
                            <w:rFonts w:ascii="Arial Narrow" w:eastAsia="SimSun" w:hAnsi="Arial Narrow" w:cstheme="minorBidi"/>
                            <w:b/>
                            <w:bCs/>
                            <w:color w:val="000000" w:themeColor="text1"/>
                            <w:kern w:val="24"/>
                            <w:sz w:val="18"/>
                            <w:szCs w:val="18"/>
                            <w:lang w:val="it-IT"/>
                          </w:rPr>
                          <w:br/>
                        </w:r>
                        <w:r w:rsidRPr="00DC479E">
                          <w:rPr>
                            <w:rFonts w:ascii="Arial Narrow" w:eastAsia="SimSun" w:hAnsi="Arial Narrow" w:cstheme="minorBidi"/>
                            <w:b/>
                            <w:bCs/>
                            <w:color w:val="000000" w:themeColor="text1"/>
                            <w:kern w:val="24"/>
                            <w:sz w:val="18"/>
                            <w:szCs w:val="18"/>
                            <w:lang w:val="it-IT"/>
                          </w:rPr>
                          <w:t>o</w:t>
                        </w:r>
                        <w:r>
                          <w:rPr>
                            <w:rFonts w:ascii="Arial Narrow" w:eastAsia="SimSun" w:hAnsi="Arial Narrow" w:cstheme="minorBidi"/>
                            <w:b/>
                            <w:bCs/>
                            <w:color w:val="000000" w:themeColor="text1"/>
                            <w:kern w:val="24"/>
                            <w:sz w:val="18"/>
                            <w:szCs w:val="18"/>
                            <w:lang w:val="it-IT"/>
                          </w:rPr>
                          <w:br/>
                        </w:r>
                        <w:r w:rsidRPr="00DC479E">
                          <w:rPr>
                            <w:rFonts w:ascii="Arial Narrow" w:eastAsia="SimSun" w:hAnsi="Arial Narrow" w:cstheme="minorBidi"/>
                            <w:b/>
                            <w:bCs/>
                            <w:color w:val="000000" w:themeColor="text1"/>
                            <w:kern w:val="24"/>
                            <w:sz w:val="18"/>
                            <w:szCs w:val="18"/>
                            <w:lang w:val="it-IT"/>
                          </w:rPr>
                          <w:t>a través de ellos</w:t>
                        </w:r>
                      </w:p>
                      <w:p w14:paraId="1A314B76" w14:textId="77777777" w:rsidR="00454804" w:rsidRPr="009916A2" w:rsidRDefault="00454804" w:rsidP="00997BCE">
                        <w:pPr>
                          <w:spacing w:before="120"/>
                          <w:jc w:val="center"/>
                          <w:rPr>
                            <w:sz w:val="16"/>
                            <w:szCs w:val="16"/>
                            <w14:textFill>
                              <w14:gradFill>
                                <w14:gsLst>
                                  <w14:gs w14:pos="30000">
                                    <w14:schemeClr w14:val="accent3">
                                      <w14:lumMod w14:val="60000"/>
                                      <w14:lumOff w14:val="40000"/>
                                    </w14:schemeClr>
                                  </w14:gs>
                                  <w14:gs w14:pos="44269">
                                    <w14:srgbClr w14:val="DF9975"/>
                                  </w14:gs>
                                  <w14:gs w14:pos="73414">
                                    <w14:srgbClr w14:val="DBB6BC"/>
                                  </w14:gs>
                                  <w14:gs w14:pos="0">
                                    <w14:schemeClr w14:val="accent6">
                                      <w14:lumMod w14:val="60000"/>
                                      <w14:lumOff w14:val="40000"/>
                                    </w14:schemeClr>
                                  </w14:gs>
                                  <w14:gs w14:pos="94000">
                                    <w14:schemeClr w14:val="accent4">
                                      <w14:tint w14:val="37000"/>
                                      <w14:satMod w14:val="300000"/>
                                    </w14:schemeClr>
                                  </w14:gs>
                                  <w14:gs w14:pos="100000">
                                    <w14:schemeClr w14:val="accent4">
                                      <w14:tint w14:val="15000"/>
                                      <w14:satMod w14:val="350000"/>
                                    </w14:schemeClr>
                                  </w14:gs>
                                </w14:gsLst>
                                <w14:lin w14:ang="16200000" w14:scaled="0"/>
                              </w14:gradFill>
                            </w14:textFill>
                          </w:rPr>
                        </w:pPr>
                        <w:r w:rsidRPr="00FC03CF">
                          <w:rPr>
                            <w:rFonts w:ascii="Arial Narrow" w:eastAsia="SimSun" w:hAnsi="Arial Narrow" w:cstheme="minorBidi"/>
                            <w:i/>
                            <w:iCs/>
                            <w:color w:val="000000" w:themeColor="text1"/>
                            <w:kern w:val="24"/>
                            <w:sz w:val="16"/>
                            <w:szCs w:val="16"/>
                            <w:lang w:val="it-IT"/>
                          </w:rPr>
                          <w:t>Síntesis de</w:t>
                        </w:r>
                        <w:r w:rsidRPr="00FC03CF">
                          <w:rPr>
                            <w:rFonts w:ascii="Arial Narrow" w:eastAsia="SimSun" w:hAnsi="Arial Narrow" w:cstheme="minorBidi"/>
                            <w:i/>
                            <w:iCs/>
                            <w:color w:val="000000" w:themeColor="text1"/>
                            <w:kern w:val="24"/>
                            <w:sz w:val="16"/>
                            <w:szCs w:val="16"/>
                          </w:rPr>
                          <w:t xml:space="preserve"> </w:t>
                        </w:r>
                        <w:r w:rsidRPr="00FC03CF">
                          <w:rPr>
                            <w:rFonts w:ascii="Arial Narrow" w:eastAsia="SimSun" w:hAnsi="Arial Narrow" w:cstheme="minorBidi"/>
                            <w:i/>
                            <w:iCs/>
                            <w:color w:val="000000" w:themeColor="text1"/>
                            <w:kern w:val="24"/>
                            <w:sz w:val="16"/>
                            <w:szCs w:val="16"/>
                            <w:lang w:val="it-IT"/>
                          </w:rPr>
                          <w:t xml:space="preserve">indicadores </w:t>
                        </w:r>
                        <w:r w:rsidRPr="00FC03CF">
                          <w:rPr>
                            <w:rFonts w:ascii="Arial Narrow" w:eastAsia="SimSun" w:hAnsi="Arial Narrow" w:cstheme="minorBidi"/>
                            <w:i/>
                            <w:iCs/>
                            <w:color w:val="000000" w:themeColor="text1"/>
                            <w:kern w:val="24"/>
                            <w:sz w:val="16"/>
                            <w:szCs w:val="16"/>
                          </w:rPr>
                          <w:t>y otra información</w:t>
                        </w:r>
                        <w:r>
                          <w:rPr>
                            <w:rFonts w:ascii="Arial Narrow" w:eastAsia="SimSun" w:hAnsi="Arial Narrow" w:cstheme="minorBidi"/>
                            <w:i/>
                            <w:iCs/>
                            <w:color w:val="000000" w:themeColor="text1"/>
                            <w:kern w:val="24"/>
                            <w:sz w:val="28"/>
                            <w:szCs w:val="28"/>
                          </w:rPr>
                          <w:t xml:space="preserve"> </w:t>
                        </w:r>
                        <w:r w:rsidRPr="00FC03CF">
                          <w:rPr>
                            <w:rFonts w:ascii="Arial Narrow" w:eastAsia="SimSun" w:hAnsi="Arial Narrow" w:cstheme="minorBidi"/>
                            <w:i/>
                            <w:iCs/>
                            <w:color w:val="000000" w:themeColor="text1"/>
                            <w:kern w:val="24"/>
                            <w:sz w:val="16"/>
                            <w:szCs w:val="16"/>
                          </w:rPr>
                          <w:t>pertinente</w:t>
                        </w:r>
                      </w:p>
                    </w:txbxContent>
                  </v:textbox>
                </v:rect>
                <v:shape id="officeArt object" o:spid="_x0000_s1047" type="#_x0000_t202" alt="Cuadro de texto 2" style="position:absolute;left:34946;top:43381;width:16340;height:1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" fillcolor="#c2d69b [1942]" strokecolor="#f68c36 [3049]">
                  <v:shadow on="t" color="black" opacity="24903f" origin=",.5" offset="0,.55556mm"/>
                  <v:textbox>
                    <w:txbxContent>
                      <w:p w14:paraId="6277967E" w14:textId="77777777" w:rsidR="00454804" w:rsidRPr="00FC03CF" w:rsidRDefault="00454804" w:rsidP="00997BCE">
                        <w:pPr>
                          <w:spacing w:before="240"/>
                          <w:jc w:val="center"/>
                          <w:rPr>
                            <w:sz w:val="16"/>
                            <w:szCs w:val="16"/>
                          </w:rPr>
                        </w:pPr>
                        <w:r w:rsidRPr="00FC03CF">
                          <w:rPr>
                            <w:rFonts w:ascii="Arial Narrow" w:eastAsia="SimSun" w:hAnsi="Arial Narrow" w:cstheme="minorBidi"/>
                            <w:b/>
                            <w:bCs/>
                            <w:color w:val="000000" w:themeColor="text1"/>
                            <w:kern w:val="24"/>
                            <w:sz w:val="16"/>
                            <w:szCs w:val="16"/>
                            <w:lang w:val="it-IT"/>
                          </w:rPr>
                          <w:t>Grupo de vigilancia y elaboración</w:t>
                        </w:r>
                        <w:r w:rsidRPr="00FC03CF">
                          <w:rPr>
                            <w:rFonts w:ascii="Arial Narrow" w:eastAsia="SimSun" w:hAnsi="Arial Narrow" w:cstheme="minorBidi"/>
                            <w:color w:val="000000" w:themeColor="text1"/>
                            <w:kern w:val="24"/>
                            <w:sz w:val="16"/>
                            <w:szCs w:val="16"/>
                          </w:rPr>
                          <w:t xml:space="preserve"> </w:t>
                        </w:r>
                        <w:r w:rsidRPr="00FC03CF">
                          <w:rPr>
                            <w:rFonts w:ascii="Arial Narrow" w:eastAsia="SimSun" w:hAnsi="Arial Narrow" w:cstheme="minorBidi"/>
                            <w:b/>
                            <w:bCs/>
                            <w:color w:val="000000" w:themeColor="text1"/>
                            <w:kern w:val="24"/>
                            <w:sz w:val="16"/>
                            <w:szCs w:val="16"/>
                            <w:lang w:val="it-IT"/>
                          </w:rPr>
                          <w:t>de modelos</w:t>
                        </w:r>
                      </w:p>
                    </w:txbxContent>
                  </v:textbox>
                </v:shape>
                <v:shape id="officeArt object" o:spid="_x0000_s1048" type="#_x0000_t202" alt="Cuadro de texto 2" style="position:absolute;left:55011;top:26558;width:2246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" fillcolor="#e36c0a [2409]" strokecolor="#795d9b [3047]">
                  <v:fill color2="#ece7f1 [503]" rotate="t" angle="180" colors="0 #e46c0a;48113f #dbb6bc;61604f #d9cbee;1 #f0eaf9" focus="100%" type="gradient"/>
                  <v:shadow on="t" color="black" opacity="24903f" origin=",.5" offset="0,.55556mm"/>
                  <v:textbox inset="1.27mm,1.27mm,1.27mm,1.27mm">
                    <w:txbxContent>
                      <w:p w14:paraId="3057BEF7" w14:textId="77777777" w:rsidR="00454804" w:rsidRPr="00FC03CF" w:rsidRDefault="00454804" w:rsidP="00825438">
                        <w:pPr>
                          <w:jc w:val="center"/>
                          <w:rPr>
                            <w:sz w:val="16"/>
                            <w:szCs w:val="16"/>
                          </w:rPr>
                        </w:pPr>
                        <w:r w:rsidRPr="008C5A39">
                          <w:rPr>
                            <w:rFonts w:ascii="Arial Narrow" w:eastAsia="SimSun" w:hAnsi="Arial Narrow" w:cstheme="minorBidi"/>
                            <w:b/>
                            <w:bCs/>
                            <w:color w:val="000000" w:themeColor="text1"/>
                            <w:kern w:val="24"/>
                            <w:sz w:val="16"/>
                            <w:szCs w:val="16"/>
                          </w:rPr>
                          <w:t>2</w:t>
                        </w:r>
                        <w:r w:rsidRPr="00FC03CF">
                          <w:rPr>
                            <w:rFonts w:ascii="Arial Narrow" w:eastAsia="SimSun" w:hAnsi="Arial Narrow" w:cstheme="minorBidi"/>
                            <w:b/>
                            <w:bCs/>
                            <w:color w:val="000000" w:themeColor="text1"/>
                            <w:kern w:val="24"/>
                            <w:sz w:val="16"/>
                            <w:szCs w:val="16"/>
                            <w:lang w:val="es-ES"/>
                          </w:rPr>
                          <w:t>. Informe sobre emisiones y liberaciones</w:t>
                        </w:r>
                      </w:p>
                      <w:p w14:paraId="3145D9AE" w14:textId="77777777" w:rsidR="00454804" w:rsidRDefault="00454804" w:rsidP="00825438">
                        <w:pPr>
                          <w:jc w:val="center"/>
                        </w:pPr>
                        <w:r w:rsidRPr="008C5A39">
                          <w:rPr>
                            <w:rFonts w:cstheme="minorBidi"/>
                            <w:color w:val="000000"/>
                            <w:kern w:val="24"/>
                            <w:sz w:val="28"/>
                            <w:szCs w:val="28"/>
                          </w:rPr>
                          <w:t> </w:t>
                        </w:r>
                      </w:p>
                      <w:p w14:paraId="5FBCBAC8" w14:textId="77777777" w:rsidR="00454804" w:rsidRDefault="00454804" w:rsidP="00825438">
                        <w:pPr>
                          <w:jc w:val="center"/>
                        </w:pPr>
                        <w:r w:rsidRPr="008C5A39">
                          <w:rPr>
                            <w:rFonts w:cstheme="minorBidi"/>
                            <w:color w:val="000000"/>
                            <w:kern w:val="24"/>
                            <w:sz w:val="28"/>
                            <w:szCs w:val="28"/>
                          </w:rPr>
                          <w:t> </w:t>
                        </w:r>
                      </w:p>
                    </w:txbxContent>
                  </v:textbox>
                </v:shape>
                <v:shape id="officeArt object" o:spid="_x0000_s1049" type="#_x0000_t202" alt="Cuadro de texto 2" style="position:absolute;left:55011;top:32076;width:22467;height: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" fillcolor="#e36c0a [2409]" strokecolor="#795d9b [3047]">
                  <v:fill color2="#ece7f1 [503]" rotate="t" angle="180" colors="0 #e46c0a;29012f #df9975;48113f #dbb6bc;61604f #d9cbee;1 #f0eaf9" focus="100%" type="gradient"/>
                  <v:shadow on="t" color="black" opacity="24903f" origin=",.5" offset="0,.55556mm"/>
                  <v:textbox inset="1.27mm,1.27mm,1.27mm,1.27mm">
                    <w:txbxContent>
                      <w:p w14:paraId="1C5162B0" w14:textId="1DD6EEDF" w:rsidR="00454804" w:rsidRPr="00FC03CF" w:rsidRDefault="00454804" w:rsidP="00825438">
                        <w:pPr>
                          <w:jc w:val="center"/>
                          <w:rPr>
                            <w:sz w:val="16"/>
                            <w:szCs w:val="16"/>
                          </w:rPr>
                        </w:pPr>
                        <w:r w:rsidRPr="00FC03CF">
                          <w:rPr>
                            <w:rFonts w:ascii="Arial Narrow" w:eastAsia="SimSun" w:hAnsi="Arial Narrow" w:cstheme="minorBidi"/>
                            <w:b/>
                            <w:bCs/>
                            <w:color w:val="000000" w:themeColor="text1"/>
                            <w:kern w:val="24"/>
                            <w:sz w:val="16"/>
                            <w:szCs w:val="16"/>
                            <w:lang w:val="es-ES"/>
                          </w:rPr>
                          <w:t>3</w:t>
                        </w:r>
                        <w:r w:rsidRPr="00FC03CF">
                          <w:rPr>
                            <w:rFonts w:ascii="Arial Narrow" w:hAnsi="Arial Narrow" w:cstheme="minorBidi"/>
                            <w:b/>
                            <w:bCs/>
                            <w:color w:val="000000"/>
                            <w:kern w:val="24"/>
                            <w:sz w:val="16"/>
                            <w:szCs w:val="16"/>
                            <w:lang w:val="es-ES"/>
                          </w:rPr>
                          <w:t xml:space="preserve">. </w:t>
                        </w:r>
                        <w:r w:rsidRPr="00FC03CF">
                          <w:rPr>
                            <w:rFonts w:ascii="Arial Narrow" w:eastAsia="SimSun" w:hAnsi="Arial Narrow" w:cstheme="minorBidi"/>
                            <w:b/>
                            <w:bCs/>
                            <w:color w:val="000000" w:themeColor="text1"/>
                            <w:kern w:val="24"/>
                            <w:sz w:val="16"/>
                            <w:szCs w:val="16"/>
                            <w:lang w:val="es-ES"/>
                          </w:rPr>
                          <w:t>Informe sobre comercio, oferta y demanda, que</w:t>
                        </w:r>
                        <w:r>
                          <w:rPr>
                            <w:rFonts w:ascii="Arial Narrow" w:eastAsia="SimSun" w:hAnsi="Arial Narrow" w:cstheme="minorBidi"/>
                            <w:b/>
                            <w:bCs/>
                            <w:color w:val="000000" w:themeColor="text1"/>
                            <w:kern w:val="24"/>
                            <w:sz w:val="16"/>
                            <w:szCs w:val="16"/>
                            <w:lang w:val="es-ES"/>
                          </w:rPr>
                          <w:t xml:space="preserve"> </w:t>
                        </w:r>
                        <w:r w:rsidRPr="00FC03CF">
                          <w:rPr>
                            <w:rFonts w:ascii="Arial Narrow" w:eastAsia="SimSun" w:hAnsi="Arial Narrow" w:cstheme="minorBidi"/>
                            <w:b/>
                            <w:bCs/>
                            <w:color w:val="000000" w:themeColor="text1"/>
                            <w:kern w:val="24"/>
                            <w:sz w:val="16"/>
                            <w:szCs w:val="16"/>
                            <w:lang w:val="es-ES"/>
                          </w:rPr>
                          <w:t>incluye los flujos y existencias de Hg</w:t>
                        </w:r>
                      </w:p>
                    </w:txbxContent>
                  </v:textbox>
                </v:shape>
                <v:shape id="officeArt object" o:spid="_x0000_s1050" type="#_x0000_t202" alt="Cuadro de texto 2" style="position:absolute;left:54580;top:20074;width:22467;height: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" fillcolor="#e36c0a [2409]" strokecolor="#795d9b [3047]">
                  <v:fill color2="#ece7f1 [503]" rotate="t" angle="180" colors="0 #e46c0a;61604f #d9cbee;1 #f0eaf9" focus="100%" type="gradient"/>
                  <v:shadow on="t" color="black" opacity="24903f" origin=",.5" offset="0,.55556mm"/>
                  <v:textbox inset="1.27mm,1.27mm,1.27mm,1.27mm">
                    <w:txbxContent>
                      <w:p w14:paraId="38B05B85" w14:textId="02609EDA" w:rsidR="00454804" w:rsidRDefault="00454804" w:rsidP="00825438">
                        <w:pPr>
                          <w:jc w:val="center"/>
                          <w:rPr>
                            <w:sz w:val="24"/>
                            <w:szCs w:val="24"/>
                          </w:rPr>
                        </w:pPr>
                        <w:r w:rsidRPr="00FC03CF">
                          <w:rPr>
                            <w:rFonts w:ascii="Arial Narrow" w:eastAsia="SimSun" w:hAnsi="Arial Narrow" w:cstheme="minorBidi"/>
                            <w:b/>
                            <w:bCs/>
                            <w:color w:val="000000" w:themeColor="text1"/>
                            <w:kern w:val="24"/>
                            <w:sz w:val="16"/>
                            <w:szCs w:val="16"/>
                          </w:rPr>
                          <w:t>1. Informe de síntesis previsto en el artículo 21</w:t>
                        </w:r>
                      </w:p>
                    </w:txbxContent>
                  </v:textbox>
                </v:shape>
                <v:shape id="officeArt object" o:spid="_x0000_s1051" type="#_x0000_t202" alt="Cuadro de texto 2" style="position:absolute;left:54866;top:44597;width:22403;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" fillcolor="#e36c0a [2409]" strokecolor="#795d9b [3047]">
                  <v:fill color2="#ece7f1 [503]" rotate="t" angle="180" colors="0 #e46c0a;29012f #df9975;48113f #dbb6bc;61604f #d9cbee;1 #f0eaf9" focus="100%" type="gradient"/>
                  <v:shadow on="t" color="black" opacity="24903f" origin=",.5" offset="0,.55556mm"/>
                  <v:textbox inset="1.27mm,1.27mm,1.27mm,1.27mm">
                    <w:txbxContent>
                      <w:p w14:paraId="6CD67C46" w14:textId="545E09C4" w:rsidR="00454804" w:rsidRPr="00FC03CF" w:rsidRDefault="00454804" w:rsidP="00825438">
                        <w:pPr>
                          <w:jc w:val="center"/>
                          <w:rPr>
                            <w:b/>
                            <w:bCs/>
                            <w:sz w:val="16"/>
                            <w:szCs w:val="16"/>
                          </w:rPr>
                        </w:pPr>
                        <w:r w:rsidRPr="00FC03CF">
                          <w:rPr>
                            <w:rFonts w:ascii="Arial Narrow" w:eastAsia="SimSun" w:hAnsi="Arial Narrow" w:cstheme="minorBidi"/>
                            <w:b/>
                            <w:bCs/>
                            <w:color w:val="000000" w:themeColor="text1"/>
                            <w:kern w:val="24"/>
                            <w:sz w:val="16"/>
                            <w:szCs w:val="16"/>
                            <w:lang w:val="en-US"/>
                          </w:rPr>
                          <w:t>4</w:t>
                        </w:r>
                        <w:r w:rsidRPr="00FC03CF">
                          <w:rPr>
                            <w:rFonts w:ascii="Arial Narrow" w:eastAsia="SimSun" w:hAnsi="Arial Narrow" w:cstheme="minorBidi"/>
                            <w:b/>
                            <w:bCs/>
                            <w:color w:val="000000" w:themeColor="text1"/>
                            <w:kern w:val="24"/>
                            <w:sz w:val="16"/>
                            <w:szCs w:val="16"/>
                            <w:lang w:val="es-ES"/>
                          </w:rPr>
                          <w:t>. Informe de</w:t>
                        </w:r>
                        <w:r>
                          <w:rPr>
                            <w:rFonts w:ascii="Arial Narrow" w:eastAsia="SimSun" w:hAnsi="Arial Narrow" w:cstheme="minorBidi"/>
                            <w:b/>
                            <w:bCs/>
                            <w:color w:val="000000" w:themeColor="text1"/>
                            <w:kern w:val="24"/>
                            <w:sz w:val="16"/>
                            <w:szCs w:val="16"/>
                            <w:lang w:val="es-ES"/>
                          </w:rPr>
                          <w:t xml:space="preserve"> </w:t>
                        </w:r>
                        <w:r w:rsidRPr="00FC03CF">
                          <w:rPr>
                            <w:rFonts w:ascii="Arial Narrow" w:eastAsia="SimSun" w:hAnsi="Arial Narrow" w:cstheme="minorBidi"/>
                            <w:b/>
                            <w:bCs/>
                            <w:color w:val="000000" w:themeColor="text1"/>
                            <w:kern w:val="24"/>
                            <w:sz w:val="16"/>
                            <w:szCs w:val="16"/>
                            <w:lang w:val="es-ES"/>
                          </w:rPr>
                          <w:t>vigilancia</w:t>
                        </w:r>
                      </w:p>
                    </w:txbxContent>
                  </v:textbox>
                </v:shape>
                <v:shape id="officeArt object" o:spid="_x0000_s1052" type="#_x0000_t202" alt="Cuadro de texto 2" style="position:absolute;left:34946;top:55638;width:43642;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" fillcolor="#a5a5a5 [2092]" strokecolor="black [3213]" strokeweight=".25pt">
                  <v:stroke joinstyle="round"/>
                  <v:textbox inset="1.27mm,1.27mm,1.27mm,1.27mm">
                    <w:txbxContent>
                      <w:p w14:paraId="3C6654B1" w14:textId="266EFC2B" w:rsidR="00454804" w:rsidRPr="008A5F6A" w:rsidRDefault="00454804" w:rsidP="00FC03CF">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 3</w:t>
                        </w:r>
                      </w:p>
                    </w:txbxContent>
                  </v:textbox>
                </v:shape>
                <v:shape id="officeArt object" o:spid="_x0000_s1053" type="#_x0000_t202" alt="Cuadro de texto 2" style="position:absolute;left:34946;top:59250;width:43642;height:4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" filled="f" strokecolor="black [3213]" strokeweight="1pt">
                  <v:stroke dashstyle="3 1" joinstyle="round"/>
                  <v:textbox inset="1.27mm,1.27mm,1.27mm,1.27mm">
                    <w:txbxContent>
                      <w:p w14:paraId="749A4F25" w14:textId="77777777" w:rsidR="00454804" w:rsidRPr="008A5F6A" w:rsidRDefault="00454804" w:rsidP="00825438">
                        <w:pPr>
                          <w:jc w:val="center"/>
                          <w:rPr>
                            <w:b/>
                            <w:bCs/>
                            <w:sz w:val="18"/>
                            <w:szCs w:val="18"/>
                          </w:rPr>
                        </w:pPr>
                        <w:r w:rsidRPr="008A5F6A">
                          <w:rPr>
                            <w:rFonts w:ascii="Arial Narrow" w:eastAsia="SimSun" w:hAnsi="Arial Narrow" w:cstheme="minorBidi"/>
                            <w:b/>
                            <w:bCs/>
                            <w:color w:val="000000" w:themeColor="text1"/>
                            <w:kern w:val="24"/>
                            <w:sz w:val="18"/>
                            <w:szCs w:val="18"/>
                            <w:lang w:val="es-MX"/>
                          </w:rPr>
                          <w:t xml:space="preserve">Función científica y técnica: </w:t>
                        </w:r>
                        <w:r w:rsidRPr="008A5F6A">
                          <w:rPr>
                            <w:rFonts w:ascii="Arial Narrow" w:eastAsia="SimSun" w:hAnsi="Arial Narrow" w:cstheme="minorBidi"/>
                            <w:b/>
                            <w:bCs/>
                            <w:color w:val="000000" w:themeColor="text1"/>
                            <w:kern w:val="24"/>
                            <w:sz w:val="18"/>
                            <w:szCs w:val="18"/>
                            <w:u w:val="single"/>
                            <w:lang w:val="es-MX"/>
                          </w:rPr>
                          <w:t>síntesis</w:t>
                        </w:r>
                      </w:p>
                    </w:txbxContent>
                  </v:textbox>
                </v:shape>
                <v:shape id="officeArt object" o:spid="_x0000_s1054" type="#_x0000_t202" alt="Cuadro de texto 2" style="position:absolute;left:81510;top:55632;width:1414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" fillcolor="#a5a5a5 [2092]" strokecolor="black [3213]" strokeweight=".25pt">
                  <v:stroke joinstyle="round"/>
                  <v:textbox inset="1.27mm,1.27mm,1.27mm,1.27mm">
                    <w:txbxContent>
                      <w:p w14:paraId="19EE297D" w14:textId="77777777" w:rsidR="00454804" w:rsidRPr="008A5F6A" w:rsidRDefault="00454804" w:rsidP="008A5F6A">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 4</w:t>
                        </w:r>
                      </w:p>
                    </w:txbxContent>
                  </v:textbox>
                </v:shape>
                <v:shape id="officeArt object" o:spid="_x0000_s1055" type="#_x0000_t202" alt="Cuadro de texto 2" style="position:absolute;left:81510;top:59066;width:14148;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" filled="f" strokecolor="windowText" strokeweight="1pt">
                  <v:stroke dashstyle="3 1" joinstyle="round"/>
                  <v:textbox inset="1.27mm,1.27mm,1.27mm,1.27mm">
                    <w:txbxContent>
                      <w:p w14:paraId="66D22167" w14:textId="77777777" w:rsidR="00454804" w:rsidRPr="00B131E7" w:rsidRDefault="00454804" w:rsidP="00B131E7">
                        <w:pPr>
                          <w:jc w:val="center"/>
                          <w:rPr>
                            <w:b/>
                            <w:bCs/>
                            <w:sz w:val="18"/>
                            <w:szCs w:val="18"/>
                          </w:rPr>
                        </w:pPr>
                        <w:r w:rsidRPr="00B131E7">
                          <w:rPr>
                            <w:rFonts w:ascii="Arial Narrow" w:eastAsia="SimSun" w:hAnsi="Arial Narrow" w:cstheme="minorBidi"/>
                            <w:b/>
                            <w:bCs/>
                            <w:color w:val="000000" w:themeColor="text1"/>
                            <w:kern w:val="24"/>
                            <w:sz w:val="18"/>
                            <w:szCs w:val="18"/>
                            <w:lang w:val="es-ES"/>
                          </w:rPr>
                          <w:t xml:space="preserve">Función científica y técnica: </w:t>
                        </w:r>
                        <w:r w:rsidRPr="00B131E7">
                          <w:rPr>
                            <w:rFonts w:ascii="Arial Narrow" w:eastAsia="SimSun" w:hAnsi="Arial Narrow" w:cstheme="minorBidi"/>
                            <w:b/>
                            <w:bCs/>
                            <w:color w:val="000000" w:themeColor="text1"/>
                            <w:kern w:val="24"/>
                            <w:sz w:val="18"/>
                            <w:szCs w:val="18"/>
                            <w:u w:val="single"/>
                            <w:lang w:val="es-ES"/>
                          </w:rPr>
                          <w:t>atribución</w:t>
                        </w:r>
                      </w:p>
                    </w:txbxContent>
                  </v:textbox>
                </v:shape>
                <v:shape id="officeArt object" o:spid="_x0000_s1056" type="#_x0000_t202" alt="Cuadro de texto 2" style="position:absolute;left:96784;top:55625;width:14496;height:2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" fillcolor="#a5a5a5 [2092]" strokecolor="black [3213]" strokeweight=".25pt">
                  <v:stroke joinstyle="round"/>
                  <v:textbox inset="1.27mm,1.27mm,1.27mm,1.27mm">
                    <w:txbxContent>
                      <w:p w14:paraId="6899B16F" w14:textId="77777777" w:rsidR="00454804" w:rsidRPr="008A5F6A" w:rsidRDefault="00454804" w:rsidP="008A5F6A">
                        <w:pPr>
                          <w:jc w:val="center"/>
                          <w:rPr>
                            <w:rFonts w:ascii="Arial Narrow" w:eastAsia="SimSun" w:hAnsi="Arial Narrow" w:cstheme="minorBidi"/>
                            <w:b/>
                            <w:bCs/>
                            <w:color w:val="000000" w:themeColor="text1"/>
                            <w:kern w:val="24"/>
                            <w:sz w:val="18"/>
                            <w:szCs w:val="18"/>
                            <w:lang w:val="es-ES"/>
                          </w:rPr>
                        </w:pPr>
                        <w:r w:rsidRPr="008A5F6A">
                          <w:rPr>
                            <w:rFonts w:ascii="Arial Narrow" w:eastAsia="SimSun" w:hAnsi="Arial Narrow" w:cstheme="minorBidi"/>
                            <w:b/>
                            <w:bCs/>
                            <w:color w:val="000000" w:themeColor="text1"/>
                            <w:kern w:val="24"/>
                            <w:sz w:val="18"/>
                            <w:szCs w:val="18"/>
                            <w:lang w:val="es-ES"/>
                          </w:rPr>
                          <w:t>Nivel 5</w:t>
                        </w:r>
                      </w:p>
                    </w:txbxContent>
                  </v:textbox>
                </v:shape>
                <v:shape id="officeArt object" o:spid="_x0000_s1057" type="#_x0000_t202" alt="Cuadro de texto 2" style="position:absolute;left:96784;top:59066;width:14496;height:9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" filled="f" strokecolor="windowText" strokeweight="1pt">
                  <v:stroke dashstyle="3 1" joinstyle="round"/>
                  <v:textbox inset="1.27mm,1.27mm,1.27mm,1.27mm">
                    <w:txbxContent>
                      <w:p w14:paraId="7EE00707" w14:textId="77777777" w:rsidR="00454804" w:rsidRPr="00B131E7" w:rsidRDefault="00454804" w:rsidP="00B131E7">
                        <w:pPr>
                          <w:jc w:val="center"/>
                          <w:rPr>
                            <w:sz w:val="18"/>
                            <w:szCs w:val="18"/>
                          </w:rPr>
                        </w:pPr>
                        <w:r w:rsidRPr="00B131E7">
                          <w:rPr>
                            <w:rFonts w:ascii="Arial Narrow" w:eastAsia="SimSun" w:hAnsi="Arial Narrow" w:cstheme="minorBidi"/>
                            <w:b/>
                            <w:bCs/>
                            <w:color w:val="000000" w:themeColor="text1"/>
                            <w:kern w:val="24"/>
                            <w:sz w:val="18"/>
                            <w:szCs w:val="18"/>
                            <w:lang w:val="es-ES"/>
                          </w:rPr>
                          <w:t>Función</w:t>
                        </w:r>
                        <w:r w:rsidRPr="00B131E7">
                          <w:rPr>
                            <w:rFonts w:eastAsia="SimSun" w:cstheme="minorBidi"/>
                            <w:b/>
                            <w:bCs/>
                            <w:color w:val="000000" w:themeColor="text1"/>
                            <w:kern w:val="24"/>
                            <w:sz w:val="18"/>
                            <w:szCs w:val="18"/>
                            <w:lang w:val="es-ES"/>
                          </w:rPr>
                          <w:t xml:space="preserve"> </w:t>
                        </w:r>
                        <w:r w:rsidRPr="00B131E7">
                          <w:rPr>
                            <w:rFonts w:ascii="Arial Narrow" w:eastAsia="SimSun" w:hAnsi="Arial Narrow" w:cstheme="minorBidi"/>
                            <w:b/>
                            <w:bCs/>
                            <w:color w:val="000000" w:themeColor="text1"/>
                            <w:kern w:val="24"/>
                            <w:sz w:val="18"/>
                            <w:szCs w:val="18"/>
                            <w:lang w:val="es-ES"/>
                          </w:rPr>
                          <w:t>científica</w:t>
                        </w:r>
                        <w:r w:rsidRPr="00B131E7">
                          <w:rPr>
                            <w:rFonts w:eastAsia="SimSun" w:cstheme="minorBidi"/>
                            <w:b/>
                            <w:bCs/>
                            <w:color w:val="000000" w:themeColor="text1"/>
                            <w:kern w:val="24"/>
                            <w:sz w:val="18"/>
                            <w:szCs w:val="18"/>
                            <w:lang w:val="es-ES"/>
                          </w:rPr>
                          <w:t xml:space="preserve"> </w:t>
                        </w:r>
                        <w:r w:rsidRPr="00B131E7">
                          <w:rPr>
                            <w:rFonts w:ascii="Arial Narrow" w:eastAsia="SimSun" w:hAnsi="Arial Narrow" w:cstheme="minorBidi"/>
                            <w:b/>
                            <w:bCs/>
                            <w:color w:val="000000" w:themeColor="text1"/>
                            <w:kern w:val="24"/>
                            <w:sz w:val="18"/>
                            <w:szCs w:val="18"/>
                            <w:lang w:val="es-ES"/>
                          </w:rPr>
                          <w:t xml:space="preserve">y técnica: </w:t>
                        </w:r>
                        <w:r w:rsidRPr="00B131E7">
                          <w:rPr>
                            <w:rFonts w:ascii="Arial Narrow" w:eastAsia="SimSun" w:hAnsi="Arial Narrow" w:cstheme="minorBidi"/>
                            <w:b/>
                            <w:bCs/>
                            <w:color w:val="000000" w:themeColor="text1"/>
                            <w:kern w:val="24"/>
                            <w:sz w:val="18"/>
                            <w:szCs w:val="18"/>
                            <w:u w:val="single"/>
                            <w:lang w:val="es-ES"/>
                          </w:rPr>
                          <w:t>integración</w:t>
                        </w:r>
                      </w:p>
                    </w:txbxContent>
                  </v:textbox>
                </v:shape>
                <v:shape id="officeArt object" o:spid="_x0000_s1058" type="#_x0000_t202" alt="Cuadro de texto 2" style="position:absolute;left:111945;top:1617;width:10412;height:5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" fillcolor="#9bbb59 [3206]" strokecolor="#f68c36 [3049]">
                  <v:shadow on="t" color="black" opacity="24903f" origin=",.5" offset="0,.55556mm"/>
                  <v:textbox>
                    <w:txbxContent>
                      <w:p w14:paraId="3F16E36A" w14:textId="77777777" w:rsidR="00454804" w:rsidRPr="00DC479E" w:rsidRDefault="00454804" w:rsidP="00DC479E">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CP</w:t>
                        </w:r>
                      </w:p>
                      <w:p w14:paraId="6C1F2076" w14:textId="77777777" w:rsidR="00454804" w:rsidRPr="00DC479E" w:rsidRDefault="00454804" w:rsidP="00DC479E">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 </w:t>
                        </w:r>
                      </w:p>
                      <w:p w14:paraId="42535675" w14:textId="6A6C715B" w:rsidR="00454804" w:rsidRPr="00997BCE" w:rsidRDefault="00454804" w:rsidP="00DC479E">
                        <w:pPr>
                          <w:jc w:val="center"/>
                          <w:rPr>
                            <w:i/>
                            <w:iCs/>
                          </w:rPr>
                        </w:pPr>
                        <w:r w:rsidRPr="00997BCE">
                          <w:rPr>
                            <w:rFonts w:ascii="Arial Narrow" w:eastAsia="SimSun" w:hAnsi="Arial Narrow" w:cstheme="minorBidi"/>
                            <w:i/>
                            <w:iCs/>
                            <w:color w:val="000000" w:themeColor="text1"/>
                            <w:kern w:val="24"/>
                            <w:sz w:val="18"/>
                            <w:szCs w:val="18"/>
                            <w:lang w:val="it-IT"/>
                          </w:rPr>
                          <w:t>Políticas</w:t>
                        </w:r>
                      </w:p>
                    </w:txbxContent>
                  </v:textbox>
                </v:shape>
                <v:shape id="officeArt object" o:spid="_x0000_s1059" type="#_x0000_t202" alt="Cuadro de texto 2" style="position:absolute;left:111945;top:55685;width:10412;height:2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" fillcolor="#a5a5a5 [2092]" strokecolor="black [3213]" strokeweight=".25pt">
                  <v:stroke joinstyle="round"/>
                  <v:textbox inset="1.27mm,1.27mm,1.27mm,1.27mm">
                    <w:txbxContent>
                      <w:p w14:paraId="394EE79E" w14:textId="77777777" w:rsidR="00454804" w:rsidRPr="009075A4" w:rsidRDefault="00454804" w:rsidP="00825438">
                        <w:pPr>
                          <w:jc w:val="center"/>
                          <w:rPr>
                            <w:rFonts w:ascii="Arial Narrow" w:eastAsia="SimSun" w:hAnsi="Arial Narrow" w:cstheme="minorBidi"/>
                            <w:b/>
                            <w:bCs/>
                            <w:color w:val="000000" w:themeColor="text1"/>
                            <w:kern w:val="24"/>
                            <w:sz w:val="16"/>
                            <w:szCs w:val="16"/>
                            <w:lang w:val="es-ES"/>
                          </w:rPr>
                        </w:pPr>
                        <w:r w:rsidRPr="009075A4">
                          <w:rPr>
                            <w:rFonts w:ascii="Arial Narrow" w:eastAsia="SimSun" w:hAnsi="Arial Narrow" w:cstheme="minorBidi"/>
                            <w:b/>
                            <w:bCs/>
                            <w:color w:val="000000" w:themeColor="text1"/>
                            <w:kern w:val="24"/>
                            <w:sz w:val="16"/>
                            <w:szCs w:val="16"/>
                            <w:lang w:val="es-ES"/>
                          </w:rPr>
                          <w:t>Nivel 6</w:t>
                        </w:r>
                      </w:p>
                    </w:txbxContent>
                  </v:textbox>
                </v:shape>
                <v:shape id="officeArt object" o:spid="_x0000_s1060" type="#_x0000_t202" alt="Cuadro de texto 2" style="position:absolute;left:84314;top:36589;width:11344;height:4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" filled="f" strokecolor="windowText" strokeweight="1pt">
                  <v:stroke dashstyle="3 1" joinstyle="round"/>
                  <v:textbox inset="1.27mm,1.27mm,1.27mm,1.27mm">
                    <w:txbxContent>
                      <w:p w14:paraId="38DEF4E0" w14:textId="77777777" w:rsidR="00454804" w:rsidRDefault="00454804" w:rsidP="00FC03CF">
                        <w:pPr>
                          <w:jc w:val="center"/>
                          <w:rPr>
                            <w:rFonts w:ascii="Arial Narrow" w:eastAsia="SimSun" w:hAnsi="Arial Narrow" w:cstheme="minorBidi"/>
                            <w:b/>
                            <w:bCs/>
                            <w:color w:val="000000" w:themeColor="text1"/>
                            <w:kern w:val="24"/>
                            <w:sz w:val="16"/>
                            <w:szCs w:val="16"/>
                            <w:lang w:val="it-IT"/>
                          </w:rPr>
                        </w:pPr>
                        <w:r w:rsidRPr="008A5F6A">
                          <w:rPr>
                            <w:rFonts w:ascii="Arial Narrow" w:eastAsia="SimSun" w:hAnsi="Arial Narrow" w:cstheme="minorBidi"/>
                            <w:b/>
                            <w:bCs/>
                            <w:color w:val="000000" w:themeColor="text1"/>
                            <w:kern w:val="24"/>
                            <w:sz w:val="16"/>
                            <w:szCs w:val="16"/>
                            <w:lang w:val="it-IT"/>
                          </w:rPr>
                          <w:t>Otra</w:t>
                        </w:r>
                      </w:p>
                      <w:p w14:paraId="6CD216EB" w14:textId="435BEEA4" w:rsidR="00454804" w:rsidRPr="008A5F6A" w:rsidRDefault="00454804" w:rsidP="00FC03CF">
                        <w:pPr>
                          <w:jc w:val="center"/>
                          <w:rPr>
                            <w:b/>
                            <w:bCs/>
                            <w:sz w:val="16"/>
                            <w:szCs w:val="16"/>
                          </w:rPr>
                        </w:pPr>
                        <w:r w:rsidRPr="008A5F6A">
                          <w:rPr>
                            <w:rFonts w:ascii="Arial Narrow" w:eastAsia="SimSun" w:hAnsi="Arial Narrow" w:cstheme="minorBidi"/>
                            <w:b/>
                            <w:bCs/>
                            <w:color w:val="000000" w:themeColor="text1"/>
                            <w:kern w:val="24"/>
                            <w:sz w:val="16"/>
                            <w:szCs w:val="16"/>
                            <w:lang w:val="es-ES"/>
                          </w:rPr>
                          <w:t>información</w:t>
                        </w:r>
                      </w:p>
                    </w:txbxContent>
                  </v:textbox>
                </v:shape>
                <v:shape id="officeArt object" o:spid="_x0000_s1061" type="#_x0000_t202" alt="Cuadro de texto 2" style="position:absolute;left:82321;top:46167;width:12451;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" fillcolor="#e36c0a [2409]" strokecolor="#795d9b [3047]">
                  <v:fill color2="#ece7f1 [503]" rotate="t" angle="180" colors="0 #e46c0a;29012f #df9975;48113f #dbb6bc;61604f #d9cbee;1 #f0eaf9" focus="100%" type="gradient"/>
                  <v:shadow on="t" color="black" opacity="24903f" origin=",.5" offset="0,.55556mm"/>
                  <v:textbox inset="1.27mm,1.27mm,1.27mm,1.27mm">
                    <w:txbxContent>
                      <w:p w14:paraId="174D2DCF" w14:textId="11D45FEE" w:rsidR="00454804" w:rsidRPr="008A5F6A" w:rsidRDefault="00454804" w:rsidP="008A5F6A">
                        <w:pPr>
                          <w:jc w:val="center"/>
                          <w:rPr>
                            <w:b/>
                            <w:bCs/>
                            <w:sz w:val="24"/>
                            <w:szCs w:val="24"/>
                          </w:rPr>
                        </w:pPr>
                        <w:r w:rsidRPr="008A5F6A">
                          <w:rPr>
                            <w:rFonts w:ascii="Arial Narrow" w:eastAsia="SimSun" w:hAnsi="Arial Narrow" w:cstheme="minorBidi"/>
                            <w:b/>
                            <w:bCs/>
                            <w:color w:val="000000" w:themeColor="text1"/>
                            <w:kern w:val="24"/>
                            <w:sz w:val="16"/>
                            <w:szCs w:val="16"/>
                            <w:lang w:val="en-US"/>
                          </w:rPr>
                          <w:t xml:space="preserve">5. </w:t>
                        </w:r>
                        <w:r w:rsidRPr="008A5F6A">
                          <w:rPr>
                            <w:rFonts w:ascii="Arial Narrow" w:eastAsia="SimSun" w:hAnsi="Arial Narrow" w:cstheme="minorBidi"/>
                            <w:b/>
                            <w:bCs/>
                            <w:color w:val="000000" w:themeColor="text1"/>
                            <w:kern w:val="24"/>
                            <w:sz w:val="16"/>
                            <w:szCs w:val="16"/>
                            <w:lang w:val="es-ES"/>
                          </w:rPr>
                          <w:t>Informe</w:t>
                        </w:r>
                        <w:r>
                          <w:rPr>
                            <w:rFonts w:ascii="Arial Narrow" w:eastAsia="SimSun" w:hAnsi="Arial Narrow" w:cstheme="minorBidi"/>
                            <w:b/>
                            <w:bCs/>
                            <w:color w:val="000000" w:themeColor="text1"/>
                            <w:kern w:val="24"/>
                            <w:sz w:val="16"/>
                            <w:szCs w:val="16"/>
                            <w:lang w:val="es-ES"/>
                          </w:rPr>
                          <w:t xml:space="preserve"> </w:t>
                        </w:r>
                        <w:r w:rsidRPr="008A5F6A">
                          <w:rPr>
                            <w:rFonts w:ascii="Arial Narrow" w:eastAsia="SimSun" w:hAnsi="Arial Narrow" w:cstheme="minorBidi"/>
                            <w:b/>
                            <w:bCs/>
                            <w:color w:val="000000" w:themeColor="text1"/>
                            <w:kern w:val="24"/>
                            <w:sz w:val="16"/>
                            <w:szCs w:val="16"/>
                            <w:lang w:val="es-ES"/>
                          </w:rPr>
                          <w:t>sobre elaboración de modelos</w:t>
                        </w:r>
                      </w:p>
                    </w:txbxContent>
                  </v:textbox>
                </v:shape>
                <v:shape id="Straight Arrow Connector 44" o:spid="_x0000_s1062" type="#_x0000_t32" style="position:absolute;left:51141;top:23708;width:3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" strokecolor="#4579b8 [3044]" strokeweight="4.5pt">
                  <v:stroke endarrow="block"/>
                  <o:lock v:ext="edit" shapetype="f"/>
                </v:shape>
                <v:shape id="Straight Arrow Connector 45" o:spid="_x0000_s1063" type="#_x0000_t32" style="position:absolute;left:51286;top:29289;width:3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" strokecolor="#4579b8 [3044]" strokeweight="4.5pt">
                  <v:stroke endarrow="block"/>
                  <o:lock v:ext="edit" shapetype="f"/>
                </v:shape>
                <v:shape id="Straight Arrow Connector 46" o:spid="_x0000_s1064" type="#_x0000_t32" style="position:absolute;left:51286;top:34438;width:3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" strokecolor="#4579b8 [3044]" strokeweight="4.5pt">
                  <v:stroke endarrow="block"/>
                  <o:lock v:ext="edit" shapetype="f"/>
                </v:shape>
                <v:shape id="Straight Arrow Connector 47" o:spid="_x0000_s1065" type="#_x0000_t32" style="position:absolute;left:51286;top:46037;width:3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" strokecolor="#4579b8 [3044]" strokeweight="4.5pt">
                  <v:stroke endarrow="block"/>
                  <o:lock v:ext="edit" shapetype="f"/>
                </v:shape>
                <v:shape id="Right Brace 49" o:spid="_x0000_s1066" type="#_x0000_t88" style="position:absolute;left:77047;top:20535;width:3709;height:26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" adj="2435,10945" strokecolor="#4579b8 [3044]" strokeweight="4.5pt"/>
                <v:shape id="Straight Arrow Connector 51" o:spid="_x0000_s1067" type="#_x0000_t32" style="position:absolute;left:91079;top:40615;width:0;height:5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" strokecolor="#7f7f7f [1612]" strokeweight="2.25pt">
                  <v:stroke endarrow="block"/>
                  <o:lock v:ext="edit" shapetype="f"/>
                </v:shape>
                <v:shape id="Straight Arrow Connector 54" o:spid="_x0000_s1068" type="#_x0000_t32" style="position:absolute;left:83572;top:10361;width:34;height:35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" strokecolor="#7f7f7f [1612]" strokeweight="2.25pt">
                  <v:stroke endarrow="block"/>
                  <o:lock v:ext="edit" shapetype="f"/>
                </v:shape>
                <v:shape id="Straight Arrow Connector 55" o:spid="_x0000_s1069" type="#_x0000_t32" style="position:absolute;left:51141;top:49263;width:31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" strokecolor="#4579b8 [3044]" strokeweight="4.5pt">
                  <v:stroke endarrow="block"/>
                  <o:lock v:ext="edit" shapetype="f"/>
                </v:shape>
                <v:rect id="Rectangle 33" o:spid="_x0000_s1070" style="position:absolute;left:96784;top:1616;width:13346;height:5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" fillcolor="#9bbb59 [3206]" strokecolor="#f68c36 [3049]">
                  <v:shadow on="t" color="black" opacity="24903f" origin=",.5" offset="0,.55556mm"/>
                  <v:textbox>
                    <w:txbxContent>
                      <w:p w14:paraId="269CE058" w14:textId="77777777" w:rsidR="00454804" w:rsidRPr="00DC479E" w:rsidRDefault="00454804" w:rsidP="00825438">
                        <w:pPr>
                          <w:jc w:val="center"/>
                          <w:rPr>
                            <w:rFonts w:ascii="Arial Narrow" w:eastAsia="SimSun" w:hAnsi="Arial Narrow" w:cstheme="minorBidi"/>
                            <w:b/>
                            <w:bCs/>
                            <w:color w:val="000000" w:themeColor="text1"/>
                            <w:kern w:val="24"/>
                            <w:sz w:val="18"/>
                            <w:szCs w:val="18"/>
                            <w:lang w:val="it-IT"/>
                          </w:rPr>
                        </w:pPr>
                        <w:r w:rsidRPr="00DC479E">
                          <w:rPr>
                            <w:rFonts w:ascii="Arial Narrow" w:eastAsia="SimSun" w:hAnsi="Arial Narrow" w:cstheme="minorBidi"/>
                            <w:b/>
                            <w:bCs/>
                            <w:color w:val="000000" w:themeColor="text1"/>
                            <w:kern w:val="24"/>
                            <w:sz w:val="18"/>
                            <w:szCs w:val="18"/>
                            <w:lang w:val="it-IT"/>
                          </w:rPr>
                          <w:t>Comité de Evaluación</w:t>
                        </w:r>
                        <w:r>
                          <w:rPr>
                            <w:rFonts w:ascii="Arial Narrow" w:eastAsia="SimSun" w:hAnsi="Arial Narrow" w:cstheme="minorBidi"/>
                            <w:b/>
                            <w:bCs/>
                            <w:color w:val="000000" w:themeColor="text1"/>
                            <w:kern w:val="24"/>
                            <w:sz w:val="28"/>
                            <w:szCs w:val="28"/>
                            <w:lang w:val="es-ES"/>
                          </w:rPr>
                          <w:t xml:space="preserve"> </w:t>
                        </w:r>
                        <w:r w:rsidRPr="00DC479E">
                          <w:rPr>
                            <w:rFonts w:ascii="Arial Narrow" w:eastAsia="SimSun" w:hAnsi="Arial Narrow" w:cstheme="minorBidi"/>
                            <w:b/>
                            <w:bCs/>
                            <w:color w:val="000000" w:themeColor="text1"/>
                            <w:kern w:val="24"/>
                            <w:sz w:val="18"/>
                            <w:szCs w:val="18"/>
                            <w:lang w:val="it-IT"/>
                          </w:rPr>
                          <w:t>de la Eficacia</w:t>
                        </w:r>
                      </w:p>
                      <w:p w14:paraId="6B575CD8" w14:textId="77777777" w:rsidR="00454804" w:rsidRPr="00DC479E" w:rsidRDefault="00454804" w:rsidP="00825438">
                        <w:pPr>
                          <w:jc w:val="center"/>
                          <w:rPr>
                            <w:sz w:val="18"/>
                            <w:szCs w:val="18"/>
                          </w:rPr>
                        </w:pPr>
                        <w:r>
                          <w:rPr>
                            <w:rFonts w:ascii="Arial Narrow" w:eastAsia="SimSun" w:hAnsi="Arial Narrow" w:cstheme="minorBidi"/>
                            <w:color w:val="000000" w:themeColor="text1"/>
                            <w:kern w:val="24"/>
                            <w:sz w:val="28"/>
                            <w:szCs w:val="28"/>
                            <w:lang w:val="es-ES"/>
                          </w:rPr>
                          <w:t> </w:t>
                        </w:r>
                      </w:p>
                      <w:p w14:paraId="1191B23F" w14:textId="77777777" w:rsidR="00454804" w:rsidRPr="00DC479E" w:rsidRDefault="00454804" w:rsidP="00825438">
                        <w:pPr>
                          <w:jc w:val="center"/>
                          <w:rPr>
                            <w:sz w:val="18"/>
                            <w:szCs w:val="18"/>
                          </w:rPr>
                        </w:pPr>
                        <w:r w:rsidRPr="00DC479E">
                          <w:rPr>
                            <w:rFonts w:ascii="Arial Narrow" w:eastAsia="SimSun" w:hAnsi="Arial Narrow" w:cstheme="minorBidi"/>
                            <w:i/>
                            <w:iCs/>
                            <w:color w:val="000000" w:themeColor="text1"/>
                            <w:kern w:val="24"/>
                            <w:sz w:val="18"/>
                            <w:szCs w:val="18"/>
                            <w:lang w:val="es-ES"/>
                          </w:rPr>
                          <w:t>Conclusiones</w:t>
                        </w:r>
                      </w:p>
                    </w:txbxContent>
                  </v:textbox>
                </v:rect>
                <v:shape id="Straight Arrow Connector 50" o:spid="_x0000_s1071" type="#_x0000_t32" style="position:absolute;left:83572;top:34829;width:13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" strokecolor="#4579b8 [3044]" strokeweight="4.5pt">
                  <v:stroke endarrow="block"/>
                  <o:lock v:ext="edit" shapetype="f"/>
                </v:shape>
                <v:shape id="Straight Arrow Connector 53" o:spid="_x0000_s1072" type="#_x0000_t32" style="position:absolute;left:109508;top:30540;width:4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" strokecolor="#4579b8 [3044]" strokeweight="4.5pt">
                  <v:stroke endarrow="block"/>
                  <o:lock v:ext="edit" shapetype="f"/>
                </v:shape>
                <v:shape id="Straight Arrow Connector 52" o:spid="_x0000_s1073" type="#_x0000_t32" style="position:absolute;left:94772;top:50517;width:3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" strokecolor="#4579b8 [3044]" strokeweight="4.5pt">
                  <v:stroke endarrow="block"/>
                  <o:lock v:ext="edit" shapetype="f"/>
                </v:shape>
                <w10:wrap anchory="page"/>
              </v:group>
            </w:pict>
          </mc:Fallback>
        </mc:AlternateContent>
      </w:r>
    </w:p>
    <w:p w14:paraId="252C3388" w14:textId="1DC469A6" w:rsidR="00997BCE" w:rsidRDefault="00997BCE" w:rsidP="00997BCE">
      <w:pPr>
        <w:tabs>
          <w:tab w:val="clear" w:pos="1247"/>
          <w:tab w:val="clear" w:pos="1814"/>
          <w:tab w:val="clear" w:pos="2381"/>
          <w:tab w:val="clear" w:pos="2948"/>
          <w:tab w:val="clear" w:pos="3515"/>
        </w:tabs>
        <w:rPr>
          <w:b/>
          <w:bCs/>
          <w:i/>
          <w:iCs/>
          <w:sz w:val="17"/>
          <w:szCs w:val="17"/>
        </w:rPr>
      </w:pPr>
    </w:p>
    <w:p w14:paraId="402F4020" w14:textId="6FBBD367" w:rsidR="00997BCE" w:rsidRDefault="00997BCE" w:rsidP="00997BCE">
      <w:pPr>
        <w:tabs>
          <w:tab w:val="clear" w:pos="1247"/>
          <w:tab w:val="clear" w:pos="1814"/>
          <w:tab w:val="clear" w:pos="2381"/>
          <w:tab w:val="clear" w:pos="2948"/>
          <w:tab w:val="clear" w:pos="3515"/>
        </w:tabs>
        <w:rPr>
          <w:b/>
          <w:bCs/>
          <w:i/>
          <w:iCs/>
          <w:sz w:val="17"/>
          <w:szCs w:val="17"/>
        </w:rPr>
      </w:pPr>
    </w:p>
    <w:p w14:paraId="13AA1713" w14:textId="7F43E2BB" w:rsidR="00997BCE" w:rsidRDefault="00997BCE" w:rsidP="00997BCE">
      <w:pPr>
        <w:tabs>
          <w:tab w:val="clear" w:pos="1247"/>
          <w:tab w:val="clear" w:pos="1814"/>
          <w:tab w:val="clear" w:pos="2381"/>
          <w:tab w:val="clear" w:pos="2948"/>
          <w:tab w:val="clear" w:pos="3515"/>
        </w:tabs>
        <w:rPr>
          <w:b/>
          <w:bCs/>
          <w:i/>
          <w:iCs/>
          <w:sz w:val="17"/>
          <w:szCs w:val="17"/>
        </w:rPr>
      </w:pPr>
    </w:p>
    <w:p w14:paraId="6A5E0DED" w14:textId="77777777" w:rsidR="00997BCE" w:rsidRDefault="00997BCE" w:rsidP="00997BCE">
      <w:pPr>
        <w:tabs>
          <w:tab w:val="clear" w:pos="1247"/>
          <w:tab w:val="clear" w:pos="1814"/>
          <w:tab w:val="clear" w:pos="2381"/>
          <w:tab w:val="clear" w:pos="2948"/>
          <w:tab w:val="clear" w:pos="3515"/>
        </w:tabs>
        <w:rPr>
          <w:b/>
          <w:bCs/>
          <w:i/>
          <w:iCs/>
          <w:sz w:val="17"/>
          <w:szCs w:val="17"/>
        </w:rPr>
      </w:pPr>
    </w:p>
    <w:p w14:paraId="2D8B652A" w14:textId="77777777" w:rsidR="00997BCE" w:rsidRDefault="00997BCE" w:rsidP="00997BCE">
      <w:pPr>
        <w:tabs>
          <w:tab w:val="clear" w:pos="1247"/>
          <w:tab w:val="clear" w:pos="1814"/>
          <w:tab w:val="clear" w:pos="2381"/>
          <w:tab w:val="clear" w:pos="2948"/>
          <w:tab w:val="clear" w:pos="3515"/>
        </w:tabs>
        <w:rPr>
          <w:b/>
          <w:bCs/>
          <w:i/>
          <w:iCs/>
          <w:sz w:val="17"/>
          <w:szCs w:val="17"/>
        </w:rPr>
      </w:pPr>
    </w:p>
    <w:p w14:paraId="4E4CFCDA" w14:textId="77777777" w:rsidR="00997BCE" w:rsidRDefault="00997BCE" w:rsidP="00997BCE">
      <w:pPr>
        <w:tabs>
          <w:tab w:val="clear" w:pos="1247"/>
          <w:tab w:val="clear" w:pos="1814"/>
          <w:tab w:val="clear" w:pos="2381"/>
          <w:tab w:val="clear" w:pos="2948"/>
          <w:tab w:val="clear" w:pos="3515"/>
        </w:tabs>
        <w:rPr>
          <w:b/>
          <w:bCs/>
          <w:i/>
          <w:iCs/>
          <w:sz w:val="17"/>
          <w:szCs w:val="17"/>
        </w:rPr>
      </w:pPr>
    </w:p>
    <w:p w14:paraId="0F15CBFD" w14:textId="77777777" w:rsidR="00997BCE" w:rsidRDefault="00997BCE" w:rsidP="00997BCE">
      <w:pPr>
        <w:tabs>
          <w:tab w:val="clear" w:pos="1247"/>
          <w:tab w:val="clear" w:pos="1814"/>
          <w:tab w:val="clear" w:pos="2381"/>
          <w:tab w:val="clear" w:pos="2948"/>
          <w:tab w:val="clear" w:pos="3515"/>
        </w:tabs>
        <w:rPr>
          <w:b/>
          <w:bCs/>
          <w:i/>
          <w:iCs/>
          <w:sz w:val="17"/>
          <w:szCs w:val="17"/>
        </w:rPr>
      </w:pPr>
    </w:p>
    <w:p w14:paraId="6776E937" w14:textId="77777777" w:rsidR="00997BCE" w:rsidRDefault="00997BCE" w:rsidP="00997BCE">
      <w:pPr>
        <w:tabs>
          <w:tab w:val="clear" w:pos="1247"/>
          <w:tab w:val="clear" w:pos="1814"/>
          <w:tab w:val="clear" w:pos="2381"/>
          <w:tab w:val="clear" w:pos="2948"/>
          <w:tab w:val="clear" w:pos="3515"/>
        </w:tabs>
        <w:rPr>
          <w:b/>
          <w:bCs/>
          <w:i/>
          <w:iCs/>
          <w:sz w:val="17"/>
          <w:szCs w:val="17"/>
        </w:rPr>
      </w:pPr>
    </w:p>
    <w:p w14:paraId="74F7240A" w14:textId="77777777" w:rsidR="00997BCE" w:rsidRDefault="00997BCE" w:rsidP="00997BCE">
      <w:pPr>
        <w:tabs>
          <w:tab w:val="clear" w:pos="1247"/>
          <w:tab w:val="clear" w:pos="1814"/>
          <w:tab w:val="clear" w:pos="2381"/>
          <w:tab w:val="clear" w:pos="2948"/>
          <w:tab w:val="clear" w:pos="3515"/>
        </w:tabs>
        <w:rPr>
          <w:b/>
          <w:bCs/>
          <w:i/>
          <w:iCs/>
          <w:sz w:val="17"/>
          <w:szCs w:val="17"/>
        </w:rPr>
      </w:pPr>
    </w:p>
    <w:p w14:paraId="3B2CEA0C" w14:textId="77777777" w:rsidR="00997BCE" w:rsidRDefault="00997BCE" w:rsidP="00997BCE">
      <w:pPr>
        <w:tabs>
          <w:tab w:val="clear" w:pos="1247"/>
          <w:tab w:val="clear" w:pos="1814"/>
          <w:tab w:val="clear" w:pos="2381"/>
          <w:tab w:val="clear" w:pos="2948"/>
          <w:tab w:val="clear" w:pos="3515"/>
        </w:tabs>
        <w:rPr>
          <w:b/>
          <w:bCs/>
          <w:i/>
          <w:iCs/>
          <w:sz w:val="17"/>
          <w:szCs w:val="17"/>
        </w:rPr>
      </w:pPr>
    </w:p>
    <w:p w14:paraId="4D814732" w14:textId="77777777" w:rsidR="00997BCE" w:rsidRDefault="00997BCE" w:rsidP="00997BCE">
      <w:pPr>
        <w:tabs>
          <w:tab w:val="clear" w:pos="1247"/>
          <w:tab w:val="clear" w:pos="1814"/>
          <w:tab w:val="clear" w:pos="2381"/>
          <w:tab w:val="clear" w:pos="2948"/>
          <w:tab w:val="clear" w:pos="3515"/>
        </w:tabs>
        <w:rPr>
          <w:b/>
          <w:bCs/>
          <w:i/>
          <w:iCs/>
          <w:sz w:val="17"/>
          <w:szCs w:val="17"/>
        </w:rPr>
      </w:pPr>
    </w:p>
    <w:p w14:paraId="3BA90C52" w14:textId="77777777" w:rsidR="00997BCE" w:rsidRDefault="00997BCE" w:rsidP="00997BCE">
      <w:pPr>
        <w:tabs>
          <w:tab w:val="clear" w:pos="1247"/>
          <w:tab w:val="clear" w:pos="1814"/>
          <w:tab w:val="clear" w:pos="2381"/>
          <w:tab w:val="clear" w:pos="2948"/>
          <w:tab w:val="clear" w:pos="3515"/>
        </w:tabs>
        <w:rPr>
          <w:b/>
          <w:bCs/>
          <w:i/>
          <w:iCs/>
          <w:sz w:val="17"/>
          <w:szCs w:val="17"/>
        </w:rPr>
      </w:pPr>
    </w:p>
    <w:p w14:paraId="468826C0" w14:textId="77777777" w:rsidR="00997BCE" w:rsidRDefault="00997BCE" w:rsidP="00997BCE">
      <w:pPr>
        <w:tabs>
          <w:tab w:val="clear" w:pos="1247"/>
          <w:tab w:val="clear" w:pos="1814"/>
          <w:tab w:val="clear" w:pos="2381"/>
          <w:tab w:val="clear" w:pos="2948"/>
          <w:tab w:val="clear" w:pos="3515"/>
        </w:tabs>
        <w:rPr>
          <w:b/>
          <w:bCs/>
          <w:i/>
          <w:iCs/>
          <w:sz w:val="17"/>
          <w:szCs w:val="17"/>
        </w:rPr>
      </w:pPr>
    </w:p>
    <w:p w14:paraId="637FE62B" w14:textId="77777777" w:rsidR="00997BCE" w:rsidRDefault="00997BCE" w:rsidP="00997BCE">
      <w:pPr>
        <w:tabs>
          <w:tab w:val="clear" w:pos="1247"/>
          <w:tab w:val="clear" w:pos="1814"/>
          <w:tab w:val="clear" w:pos="2381"/>
          <w:tab w:val="clear" w:pos="2948"/>
          <w:tab w:val="clear" w:pos="3515"/>
        </w:tabs>
        <w:rPr>
          <w:b/>
          <w:bCs/>
          <w:i/>
          <w:iCs/>
          <w:sz w:val="17"/>
          <w:szCs w:val="17"/>
        </w:rPr>
      </w:pPr>
    </w:p>
    <w:p w14:paraId="7528CDC7" w14:textId="77777777" w:rsidR="00997BCE" w:rsidRDefault="00997BCE" w:rsidP="00997BCE">
      <w:pPr>
        <w:tabs>
          <w:tab w:val="clear" w:pos="1247"/>
          <w:tab w:val="clear" w:pos="1814"/>
          <w:tab w:val="clear" w:pos="2381"/>
          <w:tab w:val="clear" w:pos="2948"/>
          <w:tab w:val="clear" w:pos="3515"/>
        </w:tabs>
        <w:rPr>
          <w:b/>
          <w:bCs/>
          <w:i/>
          <w:iCs/>
          <w:sz w:val="17"/>
          <w:szCs w:val="17"/>
        </w:rPr>
      </w:pPr>
    </w:p>
    <w:p w14:paraId="619B7725" w14:textId="77777777" w:rsidR="00997BCE" w:rsidRDefault="00997BCE" w:rsidP="00997BCE">
      <w:pPr>
        <w:tabs>
          <w:tab w:val="clear" w:pos="1247"/>
          <w:tab w:val="clear" w:pos="1814"/>
          <w:tab w:val="clear" w:pos="2381"/>
          <w:tab w:val="clear" w:pos="2948"/>
          <w:tab w:val="clear" w:pos="3515"/>
        </w:tabs>
        <w:rPr>
          <w:b/>
          <w:bCs/>
          <w:i/>
          <w:iCs/>
          <w:sz w:val="17"/>
          <w:szCs w:val="17"/>
        </w:rPr>
      </w:pPr>
    </w:p>
    <w:p w14:paraId="60730786" w14:textId="77777777" w:rsidR="00997BCE" w:rsidRDefault="00997BCE" w:rsidP="00997BCE">
      <w:pPr>
        <w:tabs>
          <w:tab w:val="clear" w:pos="1247"/>
          <w:tab w:val="clear" w:pos="1814"/>
          <w:tab w:val="clear" w:pos="2381"/>
          <w:tab w:val="clear" w:pos="2948"/>
          <w:tab w:val="clear" w:pos="3515"/>
        </w:tabs>
        <w:rPr>
          <w:b/>
          <w:bCs/>
          <w:i/>
          <w:iCs/>
          <w:sz w:val="17"/>
          <w:szCs w:val="17"/>
        </w:rPr>
      </w:pPr>
    </w:p>
    <w:p w14:paraId="399BCCD7" w14:textId="77777777" w:rsidR="00997BCE" w:rsidRDefault="00997BCE" w:rsidP="00997BCE">
      <w:pPr>
        <w:tabs>
          <w:tab w:val="clear" w:pos="1247"/>
          <w:tab w:val="clear" w:pos="1814"/>
          <w:tab w:val="clear" w:pos="2381"/>
          <w:tab w:val="clear" w:pos="2948"/>
          <w:tab w:val="clear" w:pos="3515"/>
        </w:tabs>
        <w:rPr>
          <w:b/>
          <w:bCs/>
          <w:i/>
          <w:iCs/>
          <w:sz w:val="17"/>
          <w:szCs w:val="17"/>
        </w:rPr>
      </w:pPr>
    </w:p>
    <w:p w14:paraId="214A3FF9" w14:textId="77777777" w:rsidR="00997BCE" w:rsidRDefault="00997BCE" w:rsidP="00997BCE">
      <w:pPr>
        <w:tabs>
          <w:tab w:val="clear" w:pos="1247"/>
          <w:tab w:val="clear" w:pos="1814"/>
          <w:tab w:val="clear" w:pos="2381"/>
          <w:tab w:val="clear" w:pos="2948"/>
          <w:tab w:val="clear" w:pos="3515"/>
        </w:tabs>
        <w:rPr>
          <w:b/>
          <w:bCs/>
          <w:i/>
          <w:iCs/>
          <w:sz w:val="17"/>
          <w:szCs w:val="17"/>
        </w:rPr>
      </w:pPr>
    </w:p>
    <w:p w14:paraId="627E983D" w14:textId="77777777" w:rsidR="00997BCE" w:rsidRDefault="00997BCE" w:rsidP="00997BCE">
      <w:pPr>
        <w:tabs>
          <w:tab w:val="clear" w:pos="1247"/>
          <w:tab w:val="clear" w:pos="1814"/>
          <w:tab w:val="clear" w:pos="2381"/>
          <w:tab w:val="clear" w:pos="2948"/>
          <w:tab w:val="clear" w:pos="3515"/>
        </w:tabs>
        <w:rPr>
          <w:b/>
          <w:bCs/>
          <w:i/>
          <w:iCs/>
          <w:sz w:val="17"/>
          <w:szCs w:val="17"/>
        </w:rPr>
      </w:pPr>
    </w:p>
    <w:p w14:paraId="6AD9BE78" w14:textId="77777777" w:rsidR="00997BCE" w:rsidRDefault="00997BCE" w:rsidP="00997BCE">
      <w:pPr>
        <w:tabs>
          <w:tab w:val="clear" w:pos="1247"/>
          <w:tab w:val="clear" w:pos="1814"/>
          <w:tab w:val="clear" w:pos="2381"/>
          <w:tab w:val="clear" w:pos="2948"/>
          <w:tab w:val="clear" w:pos="3515"/>
        </w:tabs>
        <w:rPr>
          <w:b/>
          <w:bCs/>
          <w:i/>
          <w:iCs/>
          <w:sz w:val="17"/>
          <w:szCs w:val="17"/>
        </w:rPr>
      </w:pPr>
    </w:p>
    <w:p w14:paraId="7532F4B7" w14:textId="77777777" w:rsidR="00997BCE" w:rsidRDefault="00997BCE" w:rsidP="00997BCE">
      <w:pPr>
        <w:tabs>
          <w:tab w:val="clear" w:pos="1247"/>
          <w:tab w:val="clear" w:pos="1814"/>
          <w:tab w:val="clear" w:pos="2381"/>
          <w:tab w:val="clear" w:pos="2948"/>
          <w:tab w:val="clear" w:pos="3515"/>
        </w:tabs>
        <w:rPr>
          <w:b/>
          <w:bCs/>
          <w:i/>
          <w:iCs/>
          <w:sz w:val="17"/>
          <w:szCs w:val="17"/>
        </w:rPr>
      </w:pPr>
    </w:p>
    <w:p w14:paraId="26CA897F" w14:textId="77777777" w:rsidR="00997BCE" w:rsidRDefault="00997BCE" w:rsidP="00997BCE">
      <w:pPr>
        <w:tabs>
          <w:tab w:val="clear" w:pos="1247"/>
          <w:tab w:val="clear" w:pos="1814"/>
          <w:tab w:val="clear" w:pos="2381"/>
          <w:tab w:val="clear" w:pos="2948"/>
          <w:tab w:val="clear" w:pos="3515"/>
        </w:tabs>
        <w:rPr>
          <w:b/>
          <w:bCs/>
          <w:i/>
          <w:iCs/>
          <w:sz w:val="17"/>
          <w:szCs w:val="17"/>
        </w:rPr>
      </w:pPr>
    </w:p>
    <w:p w14:paraId="5EF0F4B2" w14:textId="77777777" w:rsidR="00997BCE" w:rsidRDefault="00997BCE" w:rsidP="00997BCE">
      <w:pPr>
        <w:tabs>
          <w:tab w:val="clear" w:pos="1247"/>
          <w:tab w:val="clear" w:pos="1814"/>
          <w:tab w:val="clear" w:pos="2381"/>
          <w:tab w:val="clear" w:pos="2948"/>
          <w:tab w:val="clear" w:pos="3515"/>
        </w:tabs>
        <w:rPr>
          <w:b/>
          <w:bCs/>
          <w:i/>
          <w:iCs/>
          <w:sz w:val="17"/>
          <w:szCs w:val="17"/>
        </w:rPr>
      </w:pPr>
    </w:p>
    <w:p w14:paraId="557C1CF4" w14:textId="77777777" w:rsidR="00997BCE" w:rsidRDefault="00997BCE" w:rsidP="00997BCE">
      <w:pPr>
        <w:tabs>
          <w:tab w:val="clear" w:pos="1247"/>
          <w:tab w:val="clear" w:pos="1814"/>
          <w:tab w:val="clear" w:pos="2381"/>
          <w:tab w:val="clear" w:pos="2948"/>
          <w:tab w:val="clear" w:pos="3515"/>
        </w:tabs>
        <w:rPr>
          <w:b/>
          <w:bCs/>
          <w:i/>
          <w:iCs/>
          <w:sz w:val="17"/>
          <w:szCs w:val="17"/>
        </w:rPr>
      </w:pPr>
    </w:p>
    <w:p w14:paraId="73B36C73" w14:textId="77777777" w:rsidR="00997BCE" w:rsidRDefault="00997BCE" w:rsidP="00997BCE">
      <w:pPr>
        <w:tabs>
          <w:tab w:val="clear" w:pos="1247"/>
          <w:tab w:val="clear" w:pos="1814"/>
          <w:tab w:val="clear" w:pos="2381"/>
          <w:tab w:val="clear" w:pos="2948"/>
          <w:tab w:val="clear" w:pos="3515"/>
        </w:tabs>
        <w:rPr>
          <w:b/>
          <w:bCs/>
          <w:i/>
          <w:iCs/>
          <w:sz w:val="17"/>
          <w:szCs w:val="17"/>
        </w:rPr>
      </w:pPr>
    </w:p>
    <w:p w14:paraId="52CE1DE6" w14:textId="77777777" w:rsidR="00997BCE" w:rsidRDefault="00997BCE" w:rsidP="00997BCE">
      <w:pPr>
        <w:tabs>
          <w:tab w:val="clear" w:pos="1247"/>
          <w:tab w:val="clear" w:pos="1814"/>
          <w:tab w:val="clear" w:pos="2381"/>
          <w:tab w:val="clear" w:pos="2948"/>
          <w:tab w:val="clear" w:pos="3515"/>
        </w:tabs>
        <w:rPr>
          <w:b/>
          <w:bCs/>
          <w:i/>
          <w:iCs/>
          <w:sz w:val="17"/>
          <w:szCs w:val="17"/>
        </w:rPr>
      </w:pPr>
    </w:p>
    <w:p w14:paraId="573C1C13" w14:textId="77777777" w:rsidR="00997BCE" w:rsidRDefault="00997BCE" w:rsidP="00997BCE">
      <w:pPr>
        <w:tabs>
          <w:tab w:val="clear" w:pos="1247"/>
          <w:tab w:val="clear" w:pos="1814"/>
          <w:tab w:val="clear" w:pos="2381"/>
          <w:tab w:val="clear" w:pos="2948"/>
          <w:tab w:val="clear" w:pos="3515"/>
        </w:tabs>
        <w:rPr>
          <w:b/>
          <w:bCs/>
          <w:i/>
          <w:iCs/>
          <w:sz w:val="17"/>
          <w:szCs w:val="17"/>
        </w:rPr>
      </w:pPr>
    </w:p>
    <w:p w14:paraId="065AD9E2" w14:textId="77777777" w:rsidR="00997BCE" w:rsidRDefault="00997BCE" w:rsidP="00997BCE">
      <w:pPr>
        <w:tabs>
          <w:tab w:val="clear" w:pos="1247"/>
          <w:tab w:val="clear" w:pos="1814"/>
          <w:tab w:val="clear" w:pos="2381"/>
          <w:tab w:val="clear" w:pos="2948"/>
          <w:tab w:val="clear" w:pos="3515"/>
        </w:tabs>
        <w:rPr>
          <w:b/>
          <w:bCs/>
          <w:i/>
          <w:iCs/>
          <w:sz w:val="17"/>
          <w:szCs w:val="17"/>
        </w:rPr>
      </w:pPr>
    </w:p>
    <w:p w14:paraId="58E6C6EA" w14:textId="77777777" w:rsidR="00997BCE" w:rsidRDefault="00997BCE" w:rsidP="00997BCE">
      <w:pPr>
        <w:tabs>
          <w:tab w:val="clear" w:pos="1247"/>
          <w:tab w:val="clear" w:pos="1814"/>
          <w:tab w:val="clear" w:pos="2381"/>
          <w:tab w:val="clear" w:pos="2948"/>
          <w:tab w:val="clear" w:pos="3515"/>
        </w:tabs>
        <w:rPr>
          <w:b/>
          <w:bCs/>
          <w:i/>
          <w:iCs/>
          <w:sz w:val="17"/>
          <w:szCs w:val="17"/>
        </w:rPr>
      </w:pPr>
    </w:p>
    <w:p w14:paraId="008E248D" w14:textId="77777777" w:rsidR="00997BCE" w:rsidRDefault="00997BCE" w:rsidP="00997BCE">
      <w:pPr>
        <w:tabs>
          <w:tab w:val="clear" w:pos="1247"/>
          <w:tab w:val="clear" w:pos="1814"/>
          <w:tab w:val="clear" w:pos="2381"/>
          <w:tab w:val="clear" w:pos="2948"/>
          <w:tab w:val="clear" w:pos="3515"/>
        </w:tabs>
        <w:rPr>
          <w:b/>
          <w:bCs/>
          <w:i/>
          <w:iCs/>
          <w:sz w:val="17"/>
          <w:szCs w:val="17"/>
        </w:rPr>
      </w:pPr>
    </w:p>
    <w:p w14:paraId="36771F74" w14:textId="77777777" w:rsidR="00997BCE" w:rsidRDefault="00997BCE" w:rsidP="00997BCE">
      <w:pPr>
        <w:tabs>
          <w:tab w:val="clear" w:pos="1247"/>
          <w:tab w:val="clear" w:pos="1814"/>
          <w:tab w:val="clear" w:pos="2381"/>
          <w:tab w:val="clear" w:pos="2948"/>
          <w:tab w:val="clear" w:pos="3515"/>
        </w:tabs>
        <w:rPr>
          <w:b/>
          <w:bCs/>
          <w:i/>
          <w:iCs/>
          <w:sz w:val="17"/>
          <w:szCs w:val="17"/>
        </w:rPr>
      </w:pPr>
    </w:p>
    <w:p w14:paraId="4790FDE8" w14:textId="77777777" w:rsidR="00997BCE" w:rsidRDefault="00997BCE" w:rsidP="00997BCE">
      <w:pPr>
        <w:tabs>
          <w:tab w:val="clear" w:pos="1247"/>
          <w:tab w:val="clear" w:pos="1814"/>
          <w:tab w:val="clear" w:pos="2381"/>
          <w:tab w:val="clear" w:pos="2948"/>
          <w:tab w:val="clear" w:pos="3515"/>
        </w:tabs>
        <w:rPr>
          <w:b/>
          <w:bCs/>
          <w:i/>
          <w:iCs/>
          <w:sz w:val="17"/>
          <w:szCs w:val="17"/>
        </w:rPr>
      </w:pPr>
    </w:p>
    <w:p w14:paraId="0E5CE050" w14:textId="77777777" w:rsidR="00997BCE" w:rsidRDefault="00997BCE" w:rsidP="00997BCE">
      <w:pPr>
        <w:tabs>
          <w:tab w:val="clear" w:pos="1247"/>
          <w:tab w:val="clear" w:pos="1814"/>
          <w:tab w:val="clear" w:pos="2381"/>
          <w:tab w:val="clear" w:pos="2948"/>
          <w:tab w:val="clear" w:pos="3515"/>
        </w:tabs>
        <w:rPr>
          <w:b/>
          <w:bCs/>
          <w:i/>
          <w:iCs/>
          <w:sz w:val="17"/>
          <w:szCs w:val="17"/>
        </w:rPr>
      </w:pPr>
    </w:p>
    <w:p w14:paraId="15DB8BEE" w14:textId="28EC8735" w:rsidR="00997BCE" w:rsidRPr="00FA5D35" w:rsidRDefault="00997BCE" w:rsidP="00FA5D35">
      <w:pPr>
        <w:tabs>
          <w:tab w:val="clear" w:pos="1247"/>
          <w:tab w:val="clear" w:pos="1814"/>
          <w:tab w:val="clear" w:pos="2381"/>
          <w:tab w:val="clear" w:pos="2948"/>
          <w:tab w:val="clear" w:pos="3515"/>
        </w:tabs>
        <w:ind w:left="-851"/>
        <w:rPr>
          <w:rFonts w:ascii="Arial Narrow" w:hAnsi="Arial Narrow"/>
          <w:sz w:val="17"/>
          <w:szCs w:val="17"/>
        </w:rPr>
      </w:pPr>
      <w:r w:rsidRPr="00FA5D35">
        <w:rPr>
          <w:rFonts w:ascii="Arial Narrow" w:hAnsi="Arial Narrow"/>
          <w:sz w:val="17"/>
          <w:szCs w:val="17"/>
        </w:rPr>
        <w:t>Figura 2</w:t>
      </w:r>
    </w:p>
    <w:p w14:paraId="55B673F4" w14:textId="5E777DE5" w:rsidR="00997BCE" w:rsidRPr="00FA5D35" w:rsidRDefault="00997BCE" w:rsidP="00FA5D35">
      <w:pPr>
        <w:tabs>
          <w:tab w:val="clear" w:pos="1247"/>
          <w:tab w:val="clear" w:pos="1814"/>
          <w:tab w:val="clear" w:pos="2381"/>
          <w:tab w:val="clear" w:pos="2948"/>
          <w:tab w:val="clear" w:pos="3515"/>
        </w:tabs>
        <w:ind w:left="-851"/>
        <w:rPr>
          <w:rFonts w:ascii="Arial Narrow" w:hAnsi="Arial Narrow"/>
          <w:sz w:val="17"/>
          <w:szCs w:val="17"/>
        </w:rPr>
      </w:pPr>
      <w:r w:rsidRPr="00FA5D35">
        <w:rPr>
          <w:rFonts w:ascii="Arial Narrow" w:hAnsi="Arial Narrow"/>
          <w:sz w:val="17"/>
          <w:szCs w:val="17"/>
        </w:rPr>
        <w:t xml:space="preserve">Arreglos institucionales en </w:t>
      </w:r>
      <w:r w:rsidR="00FA5D35">
        <w:rPr>
          <w:rFonts w:ascii="Arial Narrow" w:hAnsi="Arial Narrow"/>
          <w:sz w:val="17"/>
          <w:szCs w:val="17"/>
        </w:rPr>
        <w:t>r</w:t>
      </w:r>
      <w:r w:rsidRPr="00FA5D35">
        <w:rPr>
          <w:rFonts w:ascii="Arial Narrow" w:hAnsi="Arial Narrow"/>
          <w:sz w:val="17"/>
          <w:szCs w:val="17"/>
        </w:rPr>
        <w:t xml:space="preserve">elación con </w:t>
      </w:r>
      <w:r w:rsidR="00FA5D35">
        <w:rPr>
          <w:rFonts w:ascii="Arial Narrow" w:hAnsi="Arial Narrow"/>
          <w:sz w:val="17"/>
          <w:szCs w:val="17"/>
        </w:rPr>
        <w:br/>
      </w:r>
      <w:r w:rsidRPr="00FA5D35">
        <w:rPr>
          <w:rFonts w:ascii="Arial Narrow" w:hAnsi="Arial Narrow"/>
          <w:sz w:val="17"/>
          <w:szCs w:val="17"/>
        </w:rPr>
        <w:t>el marco</w:t>
      </w:r>
    </w:p>
    <w:p w14:paraId="1873F072" w14:textId="77777777" w:rsidR="00FA5D35" w:rsidRDefault="00FA5D35" w:rsidP="00997BCE">
      <w:pPr>
        <w:tabs>
          <w:tab w:val="clear" w:pos="1247"/>
          <w:tab w:val="clear" w:pos="1814"/>
          <w:tab w:val="clear" w:pos="2381"/>
          <w:tab w:val="clear" w:pos="2948"/>
          <w:tab w:val="clear" w:pos="3515"/>
        </w:tabs>
        <w:rPr>
          <w:b/>
          <w:bCs/>
          <w:i/>
          <w:iCs/>
          <w:sz w:val="17"/>
          <w:szCs w:val="17"/>
        </w:rPr>
      </w:pPr>
    </w:p>
    <w:p w14:paraId="76135BE5" w14:textId="77777777" w:rsidR="009A5154" w:rsidRPr="00997BCE" w:rsidRDefault="009A5154" w:rsidP="00997BCE">
      <w:pPr>
        <w:tabs>
          <w:tab w:val="clear" w:pos="1247"/>
          <w:tab w:val="clear" w:pos="1814"/>
          <w:tab w:val="clear" w:pos="2381"/>
          <w:tab w:val="clear" w:pos="2948"/>
          <w:tab w:val="clear" w:pos="3515"/>
        </w:tabs>
        <w:rPr>
          <w:sz w:val="17"/>
          <w:szCs w:val="17"/>
        </w:rPr>
      </w:pPr>
      <w:r w:rsidRPr="00997BCE">
        <w:rPr>
          <w:i/>
          <w:iCs/>
          <w:sz w:val="17"/>
          <w:szCs w:val="17"/>
        </w:rPr>
        <w:t>Abreviaciones:</w:t>
      </w:r>
      <w:r w:rsidRPr="00997BCE">
        <w:rPr>
          <w:sz w:val="17"/>
          <w:szCs w:val="17"/>
        </w:rPr>
        <w:t xml:space="preserve"> CAC, Comité de Aplicación y Cumplimiento; PIE, CP, Conferencia de </w:t>
      </w:r>
      <w:r w:rsidR="00997BCE" w:rsidRPr="00997BCE">
        <w:rPr>
          <w:sz w:val="17"/>
          <w:szCs w:val="17"/>
        </w:rPr>
        <w:br/>
      </w:r>
      <w:r w:rsidRPr="00997BCE">
        <w:rPr>
          <w:sz w:val="17"/>
          <w:szCs w:val="17"/>
        </w:rPr>
        <w:t>las Partes en el Convenio de Minamata sobre el Mercurio; Programa Internacional Específico.</w:t>
      </w:r>
    </w:p>
    <w:p w14:paraId="7AB6DFF1" w14:textId="5618BAD1" w:rsidR="003F4DA7" w:rsidRPr="009A5154" w:rsidRDefault="009A5154" w:rsidP="00417FE2">
      <w:pPr>
        <w:pStyle w:val="CH2"/>
        <w:rPr>
          <w:sz w:val="28"/>
          <w:szCs w:val="28"/>
          <w:lang w:val="es-ES_tradnl"/>
        </w:rPr>
      </w:pPr>
      <w:r>
        <w:rPr>
          <w:sz w:val="28"/>
          <w:szCs w:val="28"/>
          <w:lang w:val="es-ES_tradnl"/>
        </w:rPr>
        <w:lastRenderedPageBreak/>
        <w:tab/>
      </w:r>
      <w:r>
        <w:rPr>
          <w:sz w:val="28"/>
          <w:szCs w:val="28"/>
          <w:lang w:val="es-ES_tradnl"/>
        </w:rPr>
        <w:tab/>
      </w:r>
      <w:r w:rsidR="003F4DA7" w:rsidRPr="009A5154">
        <w:rPr>
          <w:sz w:val="28"/>
          <w:szCs w:val="28"/>
          <w:lang w:val="es-ES_tradnl"/>
        </w:rPr>
        <w:t xml:space="preserve">MC-3/11: </w:t>
      </w:r>
      <w:bookmarkEnd w:id="94"/>
      <w:r w:rsidR="00BF02B7" w:rsidRPr="009A5154">
        <w:rPr>
          <w:bCs/>
          <w:sz w:val="28"/>
          <w:szCs w:val="28"/>
          <w:lang w:val="es-ES_tradnl"/>
        </w:rPr>
        <w:t>Aumento de la cooperación entre la Secretaría del Convenio de Minamata y la Secretaría de los Convenios de Basilea, Estocolmo y Rotterdam</w:t>
      </w:r>
    </w:p>
    <w:p w14:paraId="54BA167D" w14:textId="4E0310DC" w:rsidR="003F4DA7" w:rsidRPr="002927A1" w:rsidRDefault="00BF02B7" w:rsidP="0088695B">
      <w:pPr>
        <w:keepNext/>
        <w:keepLines/>
        <w:tabs>
          <w:tab w:val="clear" w:pos="1247"/>
          <w:tab w:val="clear" w:pos="1814"/>
          <w:tab w:val="clear" w:pos="2381"/>
          <w:tab w:val="clear" w:pos="2948"/>
          <w:tab w:val="clear" w:pos="3515"/>
          <w:tab w:val="left" w:pos="624"/>
        </w:tabs>
        <w:spacing w:before="120" w:after="120"/>
        <w:ind w:left="1247" w:firstLine="624"/>
        <w:rPr>
          <w:i/>
        </w:rPr>
      </w:pPr>
      <w:r w:rsidRPr="002927A1">
        <w:rPr>
          <w:i/>
        </w:rPr>
        <w:t>La Conferencia de las Partes</w:t>
      </w:r>
      <w:r w:rsidR="003F4DA7" w:rsidRPr="002927A1">
        <w:rPr>
          <w:i/>
        </w:rPr>
        <w:t>,</w:t>
      </w:r>
    </w:p>
    <w:p w14:paraId="01FD8FA8" w14:textId="5E7343DC" w:rsidR="003F4DA7" w:rsidRPr="002927A1" w:rsidRDefault="00BF02B7" w:rsidP="009D563D">
      <w:pPr>
        <w:tabs>
          <w:tab w:val="clear" w:pos="1247"/>
          <w:tab w:val="clear" w:pos="1814"/>
          <w:tab w:val="clear" w:pos="2381"/>
          <w:tab w:val="clear" w:pos="2948"/>
          <w:tab w:val="clear" w:pos="3515"/>
          <w:tab w:val="left" w:pos="624"/>
        </w:tabs>
        <w:spacing w:before="120" w:after="120"/>
        <w:ind w:left="1247" w:firstLine="624"/>
      </w:pPr>
      <w:r w:rsidRPr="002927A1">
        <w:rPr>
          <w:i/>
        </w:rPr>
        <w:t>Recordando</w:t>
      </w:r>
      <w:r w:rsidRPr="002927A1">
        <w:t xml:space="preserve"> que el párrafo 4 del artículo 24 del Convenio estipula que la Conferencia de las Partes, en consulta con los órganos internacionales pertinentes, puede adoptar disposiciones para fomentar el aumento de la cooperación y la coordinación entre la Secretaría y las secretarías de otros instrumentos sobre productos químicos y desechos, y puede impartir orientación adicional sobre esta cuestión</w:t>
      </w:r>
      <w:r w:rsidR="003F4DA7" w:rsidRPr="002927A1">
        <w:t>,</w:t>
      </w:r>
    </w:p>
    <w:p w14:paraId="777CD620" w14:textId="06FF3C65" w:rsidR="003F4DA7" w:rsidRPr="002927A1" w:rsidRDefault="00BF02B7" w:rsidP="009D563D">
      <w:pPr>
        <w:tabs>
          <w:tab w:val="clear" w:pos="1247"/>
          <w:tab w:val="clear" w:pos="1814"/>
          <w:tab w:val="clear" w:pos="2381"/>
          <w:tab w:val="clear" w:pos="2948"/>
          <w:tab w:val="clear" w:pos="3515"/>
          <w:tab w:val="left" w:pos="624"/>
        </w:tabs>
        <w:spacing w:before="120" w:after="120"/>
        <w:ind w:left="1247" w:firstLine="624"/>
      </w:pPr>
      <w:r w:rsidRPr="002927A1">
        <w:rPr>
          <w:i/>
        </w:rPr>
        <w:t>Recordando también</w:t>
      </w:r>
      <w:r w:rsidRPr="002927A1">
        <w:t xml:space="preserve"> la decisión MC-2/7 de la Conferencia de las Partes en el Convenio de Minamata, así como de la decisión </w:t>
      </w:r>
      <w:r w:rsidRPr="002927A1">
        <w:rPr>
          <w:iCs/>
        </w:rPr>
        <w:t>BC</w:t>
      </w:r>
      <w:r w:rsidRPr="002927A1">
        <w:t>-14/22 de la Conferencia de las Partes en el Convenio de Basilea sobre el Control de los Movimientos Transfronterizos de los Desechos Peligrosos y su Eliminación, la decisión SC</w:t>
      </w:r>
      <w:r w:rsidRPr="002927A1">
        <w:noBreakHyphen/>
        <w:t>9/20 de la Conferencia de las Partes en el Convenio de Estocolmo sobre Contaminantes Orgánicos Persistentes y la decisión RC-9/10 de la Conferencia de las Partes en el Convenio de Rotterdam sobre el Procedimiento de Consentimiento Fundamentado Previo Aplicable a Ciertos Plaguicidas y Productos Químicos Peligrosos Objeto de Comercio Internacional, incluidas las peticiones formuladas en esas decisiones respecto de un marco estable para la distribución de los servicios entre las Secretarías de esos Convenios</w:t>
      </w:r>
      <w:r w:rsidR="003F4DA7" w:rsidRPr="002927A1">
        <w:t>,</w:t>
      </w:r>
    </w:p>
    <w:p w14:paraId="0B2F8F61" w14:textId="08BCB0A2" w:rsidR="003F4DA7" w:rsidRPr="002927A1" w:rsidRDefault="00BF02B7" w:rsidP="009D563D">
      <w:pPr>
        <w:tabs>
          <w:tab w:val="clear" w:pos="1247"/>
          <w:tab w:val="clear" w:pos="1814"/>
          <w:tab w:val="clear" w:pos="2381"/>
          <w:tab w:val="clear" w:pos="2948"/>
          <w:tab w:val="clear" w:pos="3515"/>
          <w:tab w:val="left" w:pos="624"/>
        </w:tabs>
        <w:spacing w:before="120" w:after="120"/>
        <w:ind w:left="1247" w:firstLine="624"/>
      </w:pPr>
      <w:r w:rsidRPr="002927A1">
        <w:rPr>
          <w:i/>
        </w:rPr>
        <w:t>Reconociendo</w:t>
      </w:r>
      <w:r w:rsidRPr="002927A1">
        <w:t xml:space="preserve"> que la distribución de los servicios dentro de un marco estable permitirá mejorar la cooperación y la coordinación sobre la base de la experiencia y la proximidad y puede promover la implementación eficaz del Convenio de Minamata, sin menoscabar la autonomía de las Secretarías y la rendición de cuentas de su jefatura ejecutiva</w:t>
      </w:r>
      <w:r w:rsidR="003F4DA7" w:rsidRPr="002927A1">
        <w:t>,</w:t>
      </w:r>
    </w:p>
    <w:p w14:paraId="3A9C291F" w14:textId="18E43959" w:rsidR="003F4DA7" w:rsidRPr="002927A1" w:rsidRDefault="00BF02B7" w:rsidP="009D563D">
      <w:pPr>
        <w:tabs>
          <w:tab w:val="clear" w:pos="1247"/>
          <w:tab w:val="clear" w:pos="1814"/>
          <w:tab w:val="clear" w:pos="2381"/>
          <w:tab w:val="clear" w:pos="2948"/>
          <w:tab w:val="clear" w:pos="3515"/>
          <w:tab w:val="left" w:pos="624"/>
        </w:tabs>
        <w:spacing w:before="120" w:after="120"/>
        <w:ind w:left="1247" w:firstLine="624"/>
      </w:pPr>
      <w:r w:rsidRPr="002927A1">
        <w:rPr>
          <w:i/>
        </w:rPr>
        <w:t>Expresando gratitud</w:t>
      </w:r>
      <w:r w:rsidRPr="002927A1">
        <w:t xml:space="preserve"> por la propuesta de parte dispositiva de la Directora Ejecutiva del Programa de las </w:t>
      </w:r>
      <w:r w:rsidR="0034570C" w:rsidRPr="002927A1">
        <w:t>Naciones Unidas</w:t>
      </w:r>
      <w:r w:rsidRPr="002927A1">
        <w:t xml:space="preserve"> para el Medio Ambiente relativa a la distribución de los servicios entre la Secretaría del Convenio de Minamata y la Secretaría de los Convenios de Basilea, Estocolmo y Rotterdam</w:t>
      </w:r>
      <w:r w:rsidRPr="002927A1">
        <w:rPr>
          <w:rStyle w:val="FootnoteReference"/>
          <w:rFonts w:asciiTheme="majorBidi" w:hAnsiTheme="majorBidi" w:cstheme="majorBidi"/>
          <w:szCs w:val="20"/>
        </w:rPr>
        <w:footnoteReference w:id="12"/>
      </w:r>
      <w:r w:rsidRPr="002927A1">
        <w:t>,</w:t>
      </w:r>
    </w:p>
    <w:p w14:paraId="58922341" w14:textId="42875346" w:rsidR="00BF02B7" w:rsidRPr="002927A1" w:rsidRDefault="00BF02B7" w:rsidP="009D563D">
      <w:pPr>
        <w:pStyle w:val="Style1"/>
        <w:keepNext w:val="0"/>
        <w:keepLines w:val="0"/>
      </w:pPr>
      <w:r w:rsidRPr="002927A1">
        <w:rPr>
          <w:i/>
        </w:rPr>
        <w:t>Toma nota</w:t>
      </w:r>
      <w:r w:rsidRPr="002927A1">
        <w:t xml:space="preserve"> del </w:t>
      </w:r>
      <w:r w:rsidRPr="002927A1">
        <w:rPr>
          <w:i/>
        </w:rPr>
        <w:t>contenido</w:t>
      </w:r>
      <w:r w:rsidRPr="002927A1">
        <w:t xml:space="preserve"> de la propuesta de</w:t>
      </w:r>
      <w:r w:rsidR="0035729C" w:rsidRPr="002927A1">
        <w:t xml:space="preserve"> </w:t>
      </w:r>
      <w:r w:rsidRPr="002927A1">
        <w:t>l</w:t>
      </w:r>
      <w:r w:rsidR="0035729C" w:rsidRPr="002927A1">
        <w:t>a</w:t>
      </w:r>
      <w:r w:rsidRPr="002927A1">
        <w:t xml:space="preserve"> parte dispositiva de la Directora Ejecutiva y de las diversas opciones que en ella se presentan;</w:t>
      </w:r>
    </w:p>
    <w:p w14:paraId="795F61DB" w14:textId="6333E63D" w:rsidR="00BF02B7" w:rsidRPr="002927A1" w:rsidRDefault="00BF02B7" w:rsidP="00A44EEE">
      <w:pPr>
        <w:numPr>
          <w:ilvl w:val="0"/>
          <w:numId w:val="57"/>
        </w:num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2927A1">
        <w:rPr>
          <w:i/>
        </w:rPr>
        <w:t>Afirma</w:t>
      </w:r>
      <w:r w:rsidRPr="002927A1">
        <w:t xml:space="preserve"> la importancia de la</w:t>
      </w:r>
      <w:r w:rsidRPr="002927A1">
        <w:rPr>
          <w:i/>
        </w:rPr>
        <w:t xml:space="preserve"> </w:t>
      </w:r>
      <w:r w:rsidRPr="002927A1">
        <w:t xml:space="preserve">cooperación continua sobre sinergias programáticas, la utilización del equipo de tareas entre las dos Secretarías y la Subdivisión de Productos Químicos y Salud del Programa de las </w:t>
      </w:r>
      <w:r w:rsidR="0034570C" w:rsidRPr="002927A1">
        <w:t>Naciones Unidas</w:t>
      </w:r>
      <w:r w:rsidRPr="002927A1">
        <w:t xml:space="preserve"> para el Medio Ambiente, y la posibilidad de que la Secretaría del Convenio de Minamata adquiera servicios de la Secretaría de los Convenios de Basilea, Estocolmo y Rotterdam sobre la base de la recuperación de costos, de conformidad con el programa de trabajo y presupuesto del Convenio de Minamata para cada bienio;</w:t>
      </w:r>
    </w:p>
    <w:p w14:paraId="5B3A0851" w14:textId="05628122" w:rsidR="00BF02B7" w:rsidRPr="002927A1" w:rsidRDefault="00BF02B7" w:rsidP="00A44EEE">
      <w:pPr>
        <w:numPr>
          <w:ilvl w:val="0"/>
          <w:numId w:val="57"/>
        </w:num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2927A1">
        <w:rPr>
          <w:i/>
        </w:rPr>
        <w:t>Acoge con beneplácito</w:t>
      </w:r>
      <w:r w:rsidRPr="002927A1">
        <w:t xml:space="preserve"> la recomendación formulada por el Programa de las </w:t>
      </w:r>
      <w:r w:rsidR="0034570C" w:rsidRPr="002927A1">
        <w:t>Naciones Unidas</w:t>
      </w:r>
      <w:r w:rsidRPr="002927A1">
        <w:t xml:space="preserve"> para el Medio Ambiente de establecer grupos de trabajo </w:t>
      </w:r>
      <w:r w:rsidR="001138CF" w:rsidRPr="002927A1">
        <w:t xml:space="preserve">entre secretarías </w:t>
      </w:r>
      <w:r w:rsidRPr="002927A1">
        <w:t>para abordar aspectos concretos de los servicios pertinentes;</w:t>
      </w:r>
    </w:p>
    <w:p w14:paraId="5C5DEBB5" w14:textId="02F0EAEF" w:rsidR="00BF02B7" w:rsidRPr="002927A1" w:rsidRDefault="00BF02B7" w:rsidP="00A44EEE">
      <w:pPr>
        <w:numPr>
          <w:ilvl w:val="0"/>
          <w:numId w:val="57"/>
        </w:num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2927A1">
        <w:rPr>
          <w:i/>
        </w:rPr>
        <w:t>Solicita</w:t>
      </w:r>
      <w:r w:rsidRPr="002927A1">
        <w:t xml:space="preserve"> a la Directora Ejecutiva del Programa de las </w:t>
      </w:r>
      <w:r w:rsidR="0034570C" w:rsidRPr="002927A1">
        <w:t>Naciones Unidas</w:t>
      </w:r>
      <w:r w:rsidRPr="002927A1">
        <w:t xml:space="preserve"> para el Medio Ambiente que en el desempeño de las funciones de secretaría del Convenio de Minamata y teniendo presente la autonomía jurídica de las Secretarías respectivas, brinde apoyo a la Secretaría del Convenio de Minamata en sus esfuerzos por aumentar la cooperación con la Secretaría de los Convenios de Basilea, Estocolmo y Rotterdam, entre otras cosas, mediante el uso periódico del equipo de tareas integrado por las dos Secretarías y la Subdivisión de Productos Químicos y Salud del Programa de las </w:t>
      </w:r>
      <w:r w:rsidR="0034570C" w:rsidRPr="002927A1">
        <w:t>Naciones Unidas</w:t>
      </w:r>
      <w:r w:rsidRPr="002927A1">
        <w:t xml:space="preserve"> para el Medio Ambiente como un marco estable para la cooperación y distribución de los servicios de secretaría pertinentes, de conformidad con la decisión MC-2/7;</w:t>
      </w:r>
    </w:p>
    <w:p w14:paraId="1A286841" w14:textId="77777777" w:rsidR="00BF02B7" w:rsidRPr="002927A1" w:rsidRDefault="00BF02B7" w:rsidP="00A44EEE">
      <w:pPr>
        <w:numPr>
          <w:ilvl w:val="0"/>
          <w:numId w:val="57"/>
        </w:numPr>
        <w:tabs>
          <w:tab w:val="clear" w:pos="1247"/>
          <w:tab w:val="clear" w:pos="1814"/>
          <w:tab w:val="clear" w:pos="2381"/>
          <w:tab w:val="clear" w:pos="2948"/>
          <w:tab w:val="clear" w:pos="3515"/>
          <w:tab w:val="left" w:pos="624"/>
        </w:tabs>
        <w:spacing w:before="120" w:after="120"/>
        <w:ind w:left="1247" w:firstLine="624"/>
        <w:rPr>
          <w:rFonts w:asciiTheme="majorBidi" w:hAnsiTheme="majorBidi" w:cstheme="majorBidi"/>
        </w:rPr>
      </w:pPr>
      <w:r w:rsidRPr="002927A1">
        <w:rPr>
          <w:i/>
        </w:rPr>
        <w:t xml:space="preserve">Solicita </w:t>
      </w:r>
      <w:r w:rsidRPr="002927A1">
        <w:t>a la Secretaria Ejecutiva que:</w:t>
      </w:r>
    </w:p>
    <w:p w14:paraId="1B3455DD" w14:textId="0E5C0E83" w:rsidR="00BF02B7" w:rsidRPr="002927A1" w:rsidRDefault="00BF02B7" w:rsidP="00A44EEE">
      <w:pPr>
        <w:numPr>
          <w:ilvl w:val="0"/>
          <w:numId w:val="58"/>
        </w:numPr>
        <w:tabs>
          <w:tab w:val="clear" w:pos="1247"/>
          <w:tab w:val="clear" w:pos="1814"/>
          <w:tab w:val="clear" w:pos="2381"/>
          <w:tab w:val="clear" w:pos="2948"/>
          <w:tab w:val="clear" w:pos="3515"/>
          <w:tab w:val="left" w:pos="624"/>
        </w:tabs>
        <w:spacing w:before="120" w:after="120"/>
        <w:ind w:left="1247" w:firstLine="624"/>
      </w:pPr>
      <w:r w:rsidRPr="002927A1">
        <w:t>Establezca junto con la Secretaría de los Convenios de Basilea, Estocolmo y Rotterdam, y bajo la orientación general del equipo de tareas de</w:t>
      </w:r>
      <w:r w:rsidR="00E545E1" w:rsidRPr="002927A1">
        <w:t>, grupos</w:t>
      </w:r>
      <w:r w:rsidRPr="002927A1">
        <w:t xml:space="preserve"> trabajo intersecretariales, según corresponda, para cooperar en las cuestiones administrativas, programáticas, técnicas y de asistencia técnica, de conformidad con el programa de trabajo y presupuesto;</w:t>
      </w:r>
    </w:p>
    <w:p w14:paraId="41CEC75E" w14:textId="77777777" w:rsidR="00BF02B7" w:rsidRPr="002927A1" w:rsidRDefault="00BF02B7" w:rsidP="00A524DB">
      <w:pPr>
        <w:keepNext/>
        <w:keepLines/>
        <w:numPr>
          <w:ilvl w:val="0"/>
          <w:numId w:val="58"/>
        </w:numPr>
        <w:tabs>
          <w:tab w:val="clear" w:pos="1247"/>
          <w:tab w:val="clear" w:pos="1814"/>
          <w:tab w:val="clear" w:pos="2381"/>
          <w:tab w:val="clear" w:pos="2948"/>
          <w:tab w:val="clear" w:pos="3515"/>
          <w:tab w:val="left" w:pos="624"/>
        </w:tabs>
        <w:spacing w:before="120" w:after="120"/>
        <w:ind w:left="1247" w:firstLine="624"/>
        <w:rPr>
          <w:rFonts w:asciiTheme="majorBidi" w:hAnsiTheme="majorBidi" w:cstheme="majorBidi"/>
        </w:rPr>
      </w:pPr>
      <w:r w:rsidRPr="002927A1">
        <w:lastRenderedPageBreak/>
        <w:t>Mantenga los servicios compartidos y la compra de los servicios pertinentes de la Secretaría de los Convenios de Basilea, Estocolmo y Rotterdam sobre la base de la recuperación de costos, según proceda y de conformidad con el programa de trabajo y presupuesto de cada bienio;</w:t>
      </w:r>
    </w:p>
    <w:p w14:paraId="63F5DE9C" w14:textId="60932198" w:rsidR="0096705F" w:rsidRPr="002927A1" w:rsidRDefault="00BF02B7" w:rsidP="00A524DB">
      <w:pPr>
        <w:keepNext/>
        <w:keepLines/>
        <w:numPr>
          <w:ilvl w:val="0"/>
          <w:numId w:val="58"/>
        </w:numPr>
        <w:tabs>
          <w:tab w:val="clear" w:pos="1247"/>
          <w:tab w:val="clear" w:pos="1814"/>
          <w:tab w:val="clear" w:pos="2381"/>
          <w:tab w:val="clear" w:pos="2948"/>
          <w:tab w:val="clear" w:pos="3515"/>
          <w:tab w:val="left" w:pos="624"/>
        </w:tabs>
        <w:spacing w:before="120" w:after="120"/>
        <w:ind w:left="1247" w:firstLine="624"/>
        <w:rPr>
          <w:bCs/>
        </w:rPr>
      </w:pPr>
      <w:r w:rsidRPr="002927A1">
        <w:t xml:space="preserve">Rinda informe sobre la aplicación de la presente decisión, </w:t>
      </w:r>
      <w:r w:rsidR="00336482" w:rsidRPr="002927A1">
        <w:t>por ejemplo,</w:t>
      </w:r>
      <w:r w:rsidRPr="002927A1">
        <w:t xml:space="preserve"> sobre un marco estable para la cooperación y distribución de servicios, </w:t>
      </w:r>
      <w:r w:rsidR="00B734A3" w:rsidRPr="002927A1">
        <w:t xml:space="preserve">junto con </w:t>
      </w:r>
      <w:r w:rsidRPr="002927A1">
        <w:t>una reseña de las actividades de cooperación previstas en ese marco para el período 2022-2023</w:t>
      </w:r>
      <w:r w:rsidR="00B734A3" w:rsidRPr="002927A1">
        <w:t>, para que la Conferencia de las Partes lo examine y, en caso necesario, brinde orientaciones al respecto, en su cuarta reunión</w:t>
      </w:r>
      <w:r w:rsidR="003F4DA7" w:rsidRPr="002927A1">
        <w:t>.</w:t>
      </w:r>
      <w:bookmarkStart w:id="95" w:name="_Toc27124753"/>
    </w:p>
    <w:p w14:paraId="7CDC3BFB" w14:textId="77777777" w:rsidR="0096705F" w:rsidRPr="002927A1" w:rsidRDefault="0096705F">
      <w:pPr>
        <w:tabs>
          <w:tab w:val="clear" w:pos="1247"/>
          <w:tab w:val="clear" w:pos="1814"/>
          <w:tab w:val="clear" w:pos="2381"/>
          <w:tab w:val="clear" w:pos="2948"/>
          <w:tab w:val="clear" w:pos="3515"/>
        </w:tabs>
        <w:rPr>
          <w:b/>
          <w:bCs/>
          <w:sz w:val="24"/>
          <w:szCs w:val="24"/>
        </w:rPr>
      </w:pPr>
      <w:r w:rsidRPr="002927A1">
        <w:rPr>
          <w:bCs/>
        </w:rPr>
        <w:br w:type="page"/>
      </w:r>
    </w:p>
    <w:p w14:paraId="4A44FF32" w14:textId="479A6B61" w:rsidR="003F4DA7" w:rsidRPr="00FA5D35" w:rsidRDefault="0096705F" w:rsidP="00546E2E">
      <w:pPr>
        <w:pStyle w:val="CH2"/>
        <w:rPr>
          <w:bCs/>
          <w:sz w:val="28"/>
          <w:szCs w:val="28"/>
          <w:lang w:val="es-ES_tradnl"/>
        </w:rPr>
      </w:pPr>
      <w:r w:rsidRPr="002927A1">
        <w:rPr>
          <w:bCs/>
          <w:lang w:val="es-ES_tradnl"/>
        </w:rPr>
        <w:lastRenderedPageBreak/>
        <w:tab/>
      </w:r>
      <w:r w:rsidRPr="00FA5D35">
        <w:rPr>
          <w:bCs/>
          <w:sz w:val="28"/>
          <w:szCs w:val="28"/>
          <w:lang w:val="es-ES_tradnl"/>
        </w:rPr>
        <w:tab/>
      </w:r>
      <w:r w:rsidR="003F4DA7" w:rsidRPr="00FA5D35">
        <w:rPr>
          <w:bCs/>
          <w:sz w:val="28"/>
          <w:szCs w:val="28"/>
          <w:lang w:val="es-ES_tradnl"/>
        </w:rPr>
        <w:t xml:space="preserve">MC-3/12: </w:t>
      </w:r>
      <w:bookmarkEnd w:id="95"/>
      <w:r w:rsidR="00A46C76" w:rsidRPr="00FA5D35">
        <w:rPr>
          <w:bCs/>
          <w:sz w:val="28"/>
          <w:szCs w:val="28"/>
          <w:lang w:val="es-ES_tradnl"/>
        </w:rPr>
        <w:t>Programa de trabajo y presupuesto para el bienio 2020</w:t>
      </w:r>
      <w:r w:rsidR="00FA5D35">
        <w:rPr>
          <w:bCs/>
          <w:sz w:val="28"/>
          <w:szCs w:val="28"/>
          <w:lang w:val="es-ES_tradnl"/>
        </w:rPr>
        <w:noBreakHyphen/>
      </w:r>
      <w:r w:rsidR="00A46C76" w:rsidRPr="00FA5D35">
        <w:rPr>
          <w:bCs/>
          <w:sz w:val="28"/>
          <w:szCs w:val="28"/>
          <w:lang w:val="es-ES_tradnl"/>
        </w:rPr>
        <w:t>2021</w:t>
      </w:r>
    </w:p>
    <w:p w14:paraId="69A83DEF" w14:textId="64697DAC" w:rsidR="00A46C76" w:rsidRPr="002927A1" w:rsidRDefault="00A46C76" w:rsidP="00B76433">
      <w:pPr>
        <w:pStyle w:val="Normal-pool"/>
        <w:tabs>
          <w:tab w:val="clear" w:pos="1247"/>
          <w:tab w:val="clear" w:pos="1814"/>
          <w:tab w:val="clear" w:pos="2381"/>
          <w:tab w:val="clear" w:pos="2948"/>
          <w:tab w:val="clear" w:pos="3515"/>
        </w:tabs>
        <w:spacing w:after="120"/>
        <w:ind w:left="1260" w:firstLine="540"/>
        <w:rPr>
          <w:i/>
          <w:lang w:val="es-ES_tradnl"/>
        </w:rPr>
      </w:pPr>
      <w:r w:rsidRPr="002927A1">
        <w:rPr>
          <w:i/>
          <w:iCs/>
          <w:lang w:val="es-ES_tradnl"/>
        </w:rPr>
        <w:t>La Conferencia de las Partes,</w:t>
      </w:r>
    </w:p>
    <w:p w14:paraId="765CECD6" w14:textId="77777777"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Recordando</w:t>
      </w:r>
      <w:r w:rsidRPr="002927A1">
        <w:rPr>
          <w:lang w:val="es-ES_tradnl"/>
        </w:rPr>
        <w:t xml:space="preserve"> su decisión MC-1/15, relativa al programa de trabajo de la Secretaría y el proyecto de presupuesto para el bienio 2018-2019,</w:t>
      </w:r>
    </w:p>
    <w:p w14:paraId="65F6C6F9" w14:textId="77777777"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lang w:val="es-ES_tradnl"/>
        </w:rPr>
        <w:t>Recordando también</w:t>
      </w:r>
      <w:r w:rsidRPr="002927A1">
        <w:rPr>
          <w:lang w:val="es-ES_tradnl"/>
        </w:rPr>
        <w:t xml:space="preserve"> su decisión MC-2/12, relativa a la información actualizada sobre el presupuesto para 2019,</w:t>
      </w:r>
    </w:p>
    <w:p w14:paraId="473C3AC3" w14:textId="77777777"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Acogiendo con beneplácito</w:t>
      </w:r>
      <w:r w:rsidRPr="002927A1">
        <w:rPr>
          <w:lang w:val="es-ES_tradnl"/>
        </w:rPr>
        <w:t xml:space="preserve"> el esfuerzo realizado por la Directora Ejecutiva del Programa de las Naciones Unidas para el Medio Ambiente en la preparación de una propuesta operativa, tal y como se solicita en el párrafo 1 de la decisión MC-2/7, a fin de maximizar el uso eficaz y eficiente de los recursos del Convenio de Minamata,</w:t>
      </w:r>
    </w:p>
    <w:p w14:paraId="6CA731CA" w14:textId="2CA0F3DB"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Acogiendo con beneplácito también</w:t>
      </w:r>
      <w:r w:rsidRPr="002927A1">
        <w:rPr>
          <w:lang w:val="es-ES_tradnl"/>
        </w:rPr>
        <w:t xml:space="preserve"> la contribución anual de Suiza, país anfitrión de la Secretaría, de un millón de francos suizos, el 60 % de los cuales se asigna al </w:t>
      </w:r>
      <w:r w:rsidR="00B15222" w:rsidRPr="002927A1">
        <w:rPr>
          <w:lang w:val="es-ES_tradnl"/>
        </w:rPr>
        <w:t>f</w:t>
      </w:r>
      <w:r w:rsidRPr="002927A1">
        <w:rPr>
          <w:lang w:val="es-ES_tradnl"/>
        </w:rPr>
        <w:t xml:space="preserve">ondo </w:t>
      </w:r>
      <w:r w:rsidR="00B15222" w:rsidRPr="002927A1">
        <w:rPr>
          <w:lang w:val="es-ES_tradnl"/>
        </w:rPr>
        <w:t>f</w:t>
      </w:r>
      <w:r w:rsidRPr="002927A1">
        <w:rPr>
          <w:lang w:val="es-ES_tradnl"/>
        </w:rPr>
        <w:t xml:space="preserve">iduciario </w:t>
      </w:r>
      <w:r w:rsidR="00B15222" w:rsidRPr="002927A1">
        <w:rPr>
          <w:lang w:val="es-ES_tradnl"/>
        </w:rPr>
        <w:t>g</w:t>
      </w:r>
      <w:r w:rsidRPr="002927A1">
        <w:rPr>
          <w:lang w:val="es-ES_tradnl"/>
        </w:rPr>
        <w:t>eneral y el</w:t>
      </w:r>
      <w:r w:rsidR="009A5154">
        <w:rPr>
          <w:lang w:val="es-ES_tradnl"/>
        </w:rPr>
        <w:t> </w:t>
      </w:r>
      <w:r w:rsidRPr="002927A1">
        <w:rPr>
          <w:lang w:val="es-ES_tradnl"/>
        </w:rPr>
        <w:t xml:space="preserve">40 % al </w:t>
      </w:r>
      <w:r w:rsidR="00B15222" w:rsidRPr="002927A1">
        <w:rPr>
          <w:lang w:val="es-ES_tradnl"/>
        </w:rPr>
        <w:t>f</w:t>
      </w:r>
      <w:r w:rsidRPr="002927A1">
        <w:rPr>
          <w:lang w:val="es-ES_tradnl"/>
        </w:rPr>
        <w:t xml:space="preserve">ondo </w:t>
      </w:r>
      <w:r w:rsidR="00B15222" w:rsidRPr="002927A1">
        <w:rPr>
          <w:lang w:val="es-ES_tradnl"/>
        </w:rPr>
        <w:t>f</w:t>
      </w:r>
      <w:r w:rsidRPr="002927A1">
        <w:rPr>
          <w:lang w:val="es-ES_tradnl"/>
        </w:rPr>
        <w:t xml:space="preserve">iduciario </w:t>
      </w:r>
      <w:r w:rsidR="00B15222" w:rsidRPr="002927A1">
        <w:rPr>
          <w:lang w:val="es-ES_tradnl"/>
        </w:rPr>
        <w:t>e</w:t>
      </w:r>
      <w:r w:rsidRPr="002927A1">
        <w:rPr>
          <w:lang w:val="es-ES_tradnl"/>
        </w:rPr>
        <w:t>special, destinados en forma prioritaria a apoyar la participación de los representantes de países en desarrollo en las reuniones de la Conferencia de las Partes,</w:t>
      </w:r>
    </w:p>
    <w:p w14:paraId="652E0240" w14:textId="185EF2F9"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 xml:space="preserve">Tomando nota </w:t>
      </w:r>
      <w:r w:rsidRPr="002927A1">
        <w:rPr>
          <w:lang w:val="es-ES_tradnl"/>
        </w:rPr>
        <w:t xml:space="preserve">de las contribuciones pagadas por las Partes al </w:t>
      </w:r>
      <w:r w:rsidR="00B15222" w:rsidRPr="002927A1">
        <w:rPr>
          <w:lang w:val="es-ES_tradnl"/>
        </w:rPr>
        <w:t>f</w:t>
      </w:r>
      <w:r w:rsidRPr="002927A1">
        <w:rPr>
          <w:lang w:val="es-ES_tradnl"/>
        </w:rPr>
        <w:t xml:space="preserve">ondo </w:t>
      </w:r>
      <w:r w:rsidR="00B15222" w:rsidRPr="002927A1">
        <w:rPr>
          <w:lang w:val="es-ES_tradnl"/>
        </w:rPr>
        <w:t>f</w:t>
      </w:r>
      <w:r w:rsidRPr="002927A1">
        <w:rPr>
          <w:lang w:val="es-ES_tradnl"/>
        </w:rPr>
        <w:t xml:space="preserve">iduciario </w:t>
      </w:r>
      <w:r w:rsidR="00B15222" w:rsidRPr="002927A1">
        <w:rPr>
          <w:lang w:val="es-ES_tradnl"/>
        </w:rPr>
        <w:t>g</w:t>
      </w:r>
      <w:r w:rsidRPr="002927A1">
        <w:rPr>
          <w:lang w:val="es-ES_tradnl"/>
        </w:rPr>
        <w:t>eneral,</w:t>
      </w:r>
    </w:p>
    <w:p w14:paraId="3119326F" w14:textId="4A01DB99"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Observando</w:t>
      </w:r>
      <w:r w:rsidRPr="002927A1">
        <w:rPr>
          <w:lang w:val="es-ES_tradnl"/>
        </w:rPr>
        <w:t xml:space="preserve"> que la totalidad de la reserva operacional del Convenio en el </w:t>
      </w:r>
      <w:r w:rsidR="004A7DFE" w:rsidRPr="002927A1">
        <w:rPr>
          <w:lang w:val="es-ES_tradnl"/>
        </w:rPr>
        <w:t>fondo f</w:t>
      </w:r>
      <w:r w:rsidRPr="002927A1">
        <w:rPr>
          <w:lang w:val="es-ES_tradnl"/>
        </w:rPr>
        <w:t xml:space="preserve">iduciario </w:t>
      </w:r>
      <w:r w:rsidR="004A7DFE" w:rsidRPr="002927A1">
        <w:rPr>
          <w:lang w:val="es-ES_tradnl"/>
        </w:rPr>
        <w:t>g</w:t>
      </w:r>
      <w:r w:rsidRPr="002927A1">
        <w:rPr>
          <w:lang w:val="es-ES_tradnl"/>
        </w:rPr>
        <w:t>eneral se estableció en 2018, y reafirmando que la reserva operacional se mantendrá al nivel del 15 % del presupuesto anual,</w:t>
      </w:r>
    </w:p>
    <w:p w14:paraId="2EB0965B" w14:textId="7EACA735"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Reconociendo con aprecio</w:t>
      </w:r>
      <w:r w:rsidRPr="002927A1">
        <w:rPr>
          <w:lang w:val="es-ES_tradnl"/>
        </w:rPr>
        <w:t xml:space="preserve"> las contribuciones y promesas de contribuciones al </w:t>
      </w:r>
      <w:r w:rsidR="004A7DFE" w:rsidRPr="002927A1">
        <w:rPr>
          <w:lang w:val="es-ES_tradnl"/>
        </w:rPr>
        <w:t>f</w:t>
      </w:r>
      <w:r w:rsidRPr="002927A1">
        <w:rPr>
          <w:lang w:val="es-ES_tradnl"/>
        </w:rPr>
        <w:t xml:space="preserve">ondo </w:t>
      </w:r>
      <w:r w:rsidR="004A7DFE" w:rsidRPr="002927A1">
        <w:rPr>
          <w:lang w:val="es-ES_tradnl"/>
        </w:rPr>
        <w:t>f</w:t>
      </w:r>
      <w:r w:rsidRPr="002927A1">
        <w:rPr>
          <w:lang w:val="es-ES_tradnl"/>
        </w:rPr>
        <w:t xml:space="preserve">iduciario </w:t>
      </w:r>
      <w:r w:rsidR="004A7DFE" w:rsidRPr="002927A1">
        <w:rPr>
          <w:lang w:val="es-ES_tradnl"/>
        </w:rPr>
        <w:t>e</w:t>
      </w:r>
      <w:r w:rsidRPr="002927A1">
        <w:rPr>
          <w:lang w:val="es-ES_tradnl"/>
        </w:rPr>
        <w:t>special hechas por Austria, Filipinas, Finlandia, Francia, el Japón, Noruega, Suecia, Suiza y la Unión Europea en el bienio 2018</w:t>
      </w:r>
      <w:r w:rsidRPr="002927A1">
        <w:rPr>
          <w:lang w:val="es-ES_tradnl"/>
        </w:rPr>
        <w:noBreakHyphen/>
        <w:t>2019,</w:t>
      </w:r>
    </w:p>
    <w:p w14:paraId="4784E638" w14:textId="525325AF" w:rsidR="00A46C76" w:rsidRPr="002927A1" w:rsidRDefault="00A46C76" w:rsidP="00B76433">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Reconociendo con aprecio también</w:t>
      </w:r>
      <w:r w:rsidRPr="002927A1">
        <w:rPr>
          <w:lang w:val="es-ES_tradnl"/>
        </w:rPr>
        <w:t xml:space="preserve"> las contribuciones y promesas de contribuciones al fondo fiduciario específico hechas por Alemania, Austria, Dinamarca, los Estados Unidos de América, Noruega, los Países Bajos, el Reino Unido de Gran Bretaña e Irlanda del Norte, Suecia y Suiza en el bienio 2018</w:t>
      </w:r>
      <w:r w:rsidRPr="002927A1">
        <w:rPr>
          <w:lang w:val="es-ES_tradnl"/>
        </w:rPr>
        <w:noBreakHyphen/>
        <w:t>2019,</w:t>
      </w:r>
    </w:p>
    <w:p w14:paraId="5080BEEB" w14:textId="77777777" w:rsidR="00A46C76" w:rsidRPr="002927A1" w:rsidRDefault="00A46C76" w:rsidP="00B76433">
      <w:pPr>
        <w:pStyle w:val="Normal-pool"/>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Recordando</w:t>
      </w:r>
      <w:r w:rsidRPr="002927A1">
        <w:rPr>
          <w:lang w:val="es-ES_tradnl"/>
        </w:rPr>
        <w:t xml:space="preserve"> su solicitud a la Secretaria Ejecutiva de que preparase un presupuesto para el bienio 2020</w:t>
      </w:r>
      <w:r w:rsidRPr="002927A1">
        <w:rPr>
          <w:lang w:val="es-ES_tradnl"/>
        </w:rPr>
        <w:noBreakHyphen/>
        <w:t>2021, para su examen por la Conferencia de las Partes en su tercera reunión, en 2019, en el que se explicasen los principios fundamentales, las hipótesis y la estrategia programática que sirven de fundamento al presupuesto y se presentasen los gastos correspondientes a ese bienio en un formato programático y desglosado por actividad presupuestaria, cada una de las cuales estaría apoyada por una ficha de datos sobre la actividad presupuestaria,</w:t>
      </w:r>
    </w:p>
    <w:p w14:paraId="76292FA2" w14:textId="77777777" w:rsidR="00A46C76" w:rsidRPr="002927A1" w:rsidRDefault="00A46C76" w:rsidP="00B76433">
      <w:pPr>
        <w:pStyle w:val="Normal-pool"/>
        <w:tabs>
          <w:tab w:val="clear" w:pos="1247"/>
          <w:tab w:val="clear" w:pos="1814"/>
          <w:tab w:val="clear" w:pos="2381"/>
          <w:tab w:val="clear" w:pos="2948"/>
          <w:tab w:val="clear" w:pos="3515"/>
        </w:tabs>
        <w:spacing w:after="120"/>
        <w:ind w:left="1247" w:firstLine="624"/>
        <w:rPr>
          <w:i/>
          <w:iCs/>
          <w:lang w:val="es-ES_tradnl"/>
        </w:rPr>
      </w:pPr>
      <w:r w:rsidRPr="002927A1">
        <w:rPr>
          <w:i/>
          <w:iCs/>
          <w:lang w:val="es-ES_tradnl"/>
        </w:rPr>
        <w:t>Recordando también</w:t>
      </w:r>
      <w:r w:rsidRPr="002927A1">
        <w:rPr>
          <w:lang w:val="es-ES_tradnl"/>
        </w:rPr>
        <w:t xml:space="preserve"> su solicitud a la Secretaria Ejecutiva de que, al preparar los presupuestos y el programa de trabajo para el bienio 2020-2021, presentase dos hipótesis:</w:t>
      </w:r>
    </w:p>
    <w:p w14:paraId="25155A21" w14:textId="58F159C6" w:rsidR="00A46C76" w:rsidRPr="002927A1" w:rsidRDefault="00A46C76" w:rsidP="00A524DB">
      <w:pPr>
        <w:pStyle w:val="Normal-pool"/>
        <w:numPr>
          <w:ilvl w:val="1"/>
          <w:numId w:val="56"/>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 xml:space="preserve">Una en </w:t>
      </w:r>
      <w:r w:rsidR="00270A6E" w:rsidRPr="002927A1">
        <w:rPr>
          <w:lang w:val="es-ES_tradnl"/>
        </w:rPr>
        <w:t xml:space="preserve">la </w:t>
      </w:r>
      <w:r w:rsidRPr="002927A1">
        <w:rPr>
          <w:lang w:val="es-ES_tradnl"/>
        </w:rPr>
        <w:t>que se mant</w:t>
      </w:r>
      <w:r w:rsidR="00270A6E" w:rsidRPr="002927A1">
        <w:rPr>
          <w:lang w:val="es-ES_tradnl"/>
        </w:rPr>
        <w:t>enga</w:t>
      </w:r>
      <w:r w:rsidRPr="002927A1">
        <w:rPr>
          <w:lang w:val="es-ES_tradnl"/>
        </w:rPr>
        <w:t xml:space="preserve"> el presupuesto operacional en el nivel de 2019 en términos nominales;</w:t>
      </w:r>
    </w:p>
    <w:p w14:paraId="3F2F7CA1" w14:textId="36437595" w:rsidR="00A46C76" w:rsidRPr="002927A1" w:rsidRDefault="00A46C76" w:rsidP="00A524DB">
      <w:pPr>
        <w:pStyle w:val="Normal-pool"/>
        <w:numPr>
          <w:ilvl w:val="1"/>
          <w:numId w:val="56"/>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Otra en la que se reflejen los cambios necesarios a la hipótesis antes mencionada para satisfacer las necesidades proyectadas y los costos o ahorros conexos;</w:t>
      </w:r>
    </w:p>
    <w:p w14:paraId="29E2A31A" w14:textId="24421B77" w:rsidR="003F4DA7" w:rsidRPr="002927A1" w:rsidRDefault="00A46C76" w:rsidP="00B76433">
      <w:pPr>
        <w:tabs>
          <w:tab w:val="clear" w:pos="1247"/>
          <w:tab w:val="clear" w:pos="1814"/>
          <w:tab w:val="clear" w:pos="2381"/>
          <w:tab w:val="clear" w:pos="2948"/>
          <w:tab w:val="clear" w:pos="3515"/>
          <w:tab w:val="left" w:pos="624"/>
        </w:tabs>
        <w:spacing w:after="120"/>
        <w:ind w:left="1247" w:firstLine="624"/>
      </w:pPr>
      <w:r w:rsidRPr="002927A1">
        <w:rPr>
          <w:i/>
          <w:iCs/>
        </w:rPr>
        <w:t>Recordando además</w:t>
      </w:r>
      <w:r w:rsidRPr="002927A1">
        <w:t xml:space="preserve"> la solicitud hecha a la Secretaria Ejecutiva de que tuviese en cuenta la propuesta operativa sobre un marco estable para el intercambio de servicios pertinentes presentada por</w:t>
      </w:r>
      <w:r w:rsidR="0096705F" w:rsidRPr="002927A1">
        <w:t> </w:t>
      </w:r>
      <w:r w:rsidRPr="002927A1">
        <w:t>la Directora Ejecutiva del Programa de las Naciones Unidas para el Medio Ambiente, incluidas las</w:t>
      </w:r>
      <w:r w:rsidR="0096705F" w:rsidRPr="002927A1">
        <w:t> </w:t>
      </w:r>
      <w:r w:rsidRPr="002927A1">
        <w:t>opciones pertinentes, en la preparación del programa de trabajo y presupuesto para el bienio</w:t>
      </w:r>
      <w:r w:rsidR="0096705F" w:rsidRPr="002927A1">
        <w:t> </w:t>
      </w:r>
      <w:r w:rsidRPr="002927A1">
        <w:t>2020</w:t>
      </w:r>
      <w:r w:rsidR="0096705F" w:rsidRPr="002927A1">
        <w:noBreakHyphen/>
      </w:r>
      <w:r w:rsidRPr="002927A1">
        <w:t>2021, de conformidad con el párrafo 2 de la decisión MC-2/7</w:t>
      </w:r>
      <w:r w:rsidR="003F4DA7" w:rsidRPr="002927A1">
        <w:t>,</w:t>
      </w:r>
    </w:p>
    <w:p w14:paraId="7697EE0A" w14:textId="3AA31503" w:rsidR="003F4DA7" w:rsidRPr="009A5154" w:rsidRDefault="003F4DA7"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rPr>
          <w:rFonts w:eastAsia="SimSun"/>
          <w:lang w:eastAsia="en-GB"/>
        </w:rPr>
      </w:pPr>
      <w:r w:rsidRPr="009A5154">
        <w:rPr>
          <w:rFonts w:eastAsia="SimSun"/>
          <w:i/>
          <w:iCs/>
          <w:lang w:eastAsia="en-GB"/>
        </w:rPr>
        <w:t>Invit</w:t>
      </w:r>
      <w:r w:rsidR="00A46C76" w:rsidRPr="009A5154">
        <w:rPr>
          <w:rFonts w:eastAsia="SimSun"/>
          <w:i/>
          <w:iCs/>
          <w:lang w:eastAsia="en-GB"/>
        </w:rPr>
        <w:t>a</w:t>
      </w:r>
      <w:r w:rsidRPr="009A5154">
        <w:rPr>
          <w:rFonts w:eastAsia="SimSun"/>
          <w:lang w:eastAsia="en-GB"/>
        </w:rPr>
        <w:t xml:space="preserve"> </w:t>
      </w:r>
      <w:r w:rsidR="00A46C76" w:rsidRPr="009A5154">
        <w:rPr>
          <w:rFonts w:eastAsia="SimSun"/>
          <w:lang w:eastAsia="en-GB"/>
        </w:rPr>
        <w:t>a las Partes y a otros interesados que tenga</w:t>
      </w:r>
      <w:r w:rsidR="00CA3392" w:rsidRPr="009A5154">
        <w:rPr>
          <w:rFonts w:eastAsia="SimSun"/>
          <w:lang w:eastAsia="en-GB"/>
        </w:rPr>
        <w:t>n</w:t>
      </w:r>
      <w:r w:rsidR="00A46C76" w:rsidRPr="009A5154">
        <w:rPr>
          <w:rFonts w:eastAsia="SimSun"/>
          <w:lang w:eastAsia="en-GB"/>
        </w:rPr>
        <w:t xml:space="preserve"> posibilidades de aportar contribuciones en</w:t>
      </w:r>
      <w:r w:rsidR="008714CE" w:rsidRPr="009A5154">
        <w:rPr>
          <w:rFonts w:eastAsia="SimSun"/>
          <w:lang w:eastAsia="en-GB"/>
        </w:rPr>
        <w:t> </w:t>
      </w:r>
      <w:r w:rsidR="00A46C76" w:rsidRPr="009A5154">
        <w:rPr>
          <w:rFonts w:eastAsia="SimSun"/>
          <w:lang w:eastAsia="en-GB"/>
        </w:rPr>
        <w:t>especie, en forma de préstamo/</w:t>
      </w:r>
      <w:r w:rsidR="00A46C76" w:rsidRPr="002927A1">
        <w:t>personal</w:t>
      </w:r>
      <w:r w:rsidR="00A46C76" w:rsidRPr="009A5154">
        <w:rPr>
          <w:rFonts w:eastAsia="SimSun"/>
          <w:lang w:eastAsia="en-GB"/>
        </w:rPr>
        <w:t xml:space="preserve"> subalterno del Cuadro Orgánico,</w:t>
      </w:r>
      <w:r w:rsidRPr="009A5154">
        <w:rPr>
          <w:rFonts w:eastAsia="SimSun"/>
          <w:lang w:eastAsia="en-GB"/>
        </w:rPr>
        <w:t xml:space="preserve"> </w:t>
      </w:r>
      <w:r w:rsidR="00A46C76" w:rsidRPr="009A5154">
        <w:rPr>
          <w:rFonts w:eastAsia="SimSun"/>
          <w:lang w:eastAsia="en-GB"/>
        </w:rPr>
        <w:t xml:space="preserve">para apoyar el funcionamiento del </w:t>
      </w:r>
      <w:r w:rsidR="00B33F64" w:rsidRPr="009A5154">
        <w:rPr>
          <w:rFonts w:eastAsia="SimSun"/>
          <w:lang w:eastAsia="en-GB"/>
        </w:rPr>
        <w:t>Programa Internacional Específico</w:t>
      </w:r>
      <w:r w:rsidR="00A46C76" w:rsidRPr="009A5154">
        <w:rPr>
          <w:rFonts w:eastAsia="SimSun"/>
          <w:lang w:eastAsia="en-GB"/>
        </w:rPr>
        <w:t xml:space="preserve"> en el </w:t>
      </w:r>
      <w:r w:rsidR="00802517" w:rsidRPr="009A5154">
        <w:rPr>
          <w:rFonts w:eastAsia="SimSun"/>
          <w:lang w:eastAsia="en-GB"/>
        </w:rPr>
        <w:t>bieni</w:t>
      </w:r>
      <w:r w:rsidR="00A46C76" w:rsidRPr="009A5154">
        <w:rPr>
          <w:rFonts w:eastAsia="SimSun"/>
          <w:lang w:eastAsia="en-GB"/>
        </w:rPr>
        <w:t>o 2</w:t>
      </w:r>
      <w:r w:rsidRPr="009A5154">
        <w:rPr>
          <w:rFonts w:eastAsia="SimSun"/>
          <w:lang w:eastAsia="en-GB"/>
        </w:rPr>
        <w:t>020</w:t>
      </w:r>
      <w:r w:rsidR="0096705F" w:rsidRPr="009A5154">
        <w:rPr>
          <w:rFonts w:eastAsia="SimSun"/>
          <w:lang w:eastAsia="en-GB"/>
        </w:rPr>
        <w:noBreakHyphen/>
      </w:r>
      <w:r w:rsidRPr="009A5154">
        <w:rPr>
          <w:rFonts w:eastAsia="SimSun"/>
          <w:lang w:eastAsia="en-GB"/>
        </w:rPr>
        <w:t>2021</w:t>
      </w:r>
      <w:r w:rsidR="009A5154" w:rsidRPr="009A5154">
        <w:rPr>
          <w:rFonts w:eastAsia="SimSun"/>
          <w:lang w:eastAsia="en-GB"/>
        </w:rPr>
        <w:t>;</w:t>
      </w:r>
    </w:p>
    <w:p w14:paraId="3D93EE6B" w14:textId="77777777" w:rsidR="003F4DA7" w:rsidRPr="002927A1" w:rsidRDefault="003F4DA7" w:rsidP="00B76433">
      <w:pPr>
        <w:keepNext/>
        <w:keepLines/>
        <w:tabs>
          <w:tab w:val="right" w:pos="851"/>
        </w:tabs>
        <w:suppressAutoHyphens/>
        <w:spacing w:before="240" w:after="120"/>
        <w:ind w:left="1247" w:right="284"/>
        <w:jc w:val="center"/>
        <w:rPr>
          <w:b/>
          <w:sz w:val="24"/>
          <w:szCs w:val="24"/>
        </w:rPr>
      </w:pPr>
      <w:r w:rsidRPr="002927A1">
        <w:rPr>
          <w:b/>
          <w:sz w:val="24"/>
          <w:szCs w:val="24"/>
        </w:rPr>
        <w:lastRenderedPageBreak/>
        <w:t>I</w:t>
      </w:r>
    </w:p>
    <w:p w14:paraId="6F2E5137" w14:textId="621E0E3F" w:rsidR="003F4DA7" w:rsidRPr="002927A1" w:rsidRDefault="00AA4016" w:rsidP="00B76433">
      <w:pPr>
        <w:keepNext/>
        <w:keepLines/>
        <w:tabs>
          <w:tab w:val="right" w:pos="851"/>
        </w:tabs>
        <w:suppressAutoHyphens/>
        <w:spacing w:after="120"/>
        <w:ind w:left="1247" w:right="284"/>
        <w:jc w:val="center"/>
        <w:rPr>
          <w:b/>
          <w:sz w:val="24"/>
          <w:szCs w:val="24"/>
        </w:rPr>
      </w:pPr>
      <w:r w:rsidRPr="002927A1">
        <w:rPr>
          <w:b/>
          <w:bCs/>
          <w:sz w:val="24"/>
          <w:szCs w:val="24"/>
        </w:rPr>
        <w:t>Fondo fiduciario general del Convenio de Minamata sobre el Mercurio</w:t>
      </w:r>
    </w:p>
    <w:p w14:paraId="03AD908D" w14:textId="1B8E5771" w:rsidR="00AA4016"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Toma nota</w:t>
      </w:r>
      <w:r w:rsidRPr="002927A1">
        <w:t xml:space="preserve"> del informe presentado por la Secretaria Ejecutiva sobre las actividades principales de la Secretaría en los </w:t>
      </w:r>
      <w:r w:rsidRPr="009A5154">
        <w:rPr>
          <w:rFonts w:eastAsia="SimSun"/>
          <w:lang w:eastAsia="en-GB"/>
        </w:rPr>
        <w:t>períodos</w:t>
      </w:r>
      <w:r w:rsidRPr="002927A1">
        <w:t xml:space="preserve"> entre reuniones</w:t>
      </w:r>
      <w:r w:rsidRPr="002927A1">
        <w:rPr>
          <w:rStyle w:val="FootnoteReference"/>
          <w:szCs w:val="20"/>
        </w:rPr>
        <w:footnoteReference w:id="13"/>
      </w:r>
      <w:r w:rsidRPr="002927A1">
        <w:t>, así como del informe sobre los gastos para el bienio 2018</w:t>
      </w:r>
      <w:r w:rsidRPr="002927A1">
        <w:noBreakHyphen/>
        <w:t>2019 proporcionado en la información sobre cuestiones financieras</w:t>
      </w:r>
      <w:r w:rsidRPr="002927A1">
        <w:rPr>
          <w:rStyle w:val="FootnoteReference"/>
          <w:szCs w:val="20"/>
        </w:rPr>
        <w:footnoteReference w:id="14"/>
      </w:r>
      <w:r w:rsidRPr="002927A1">
        <w:t>;</w:t>
      </w:r>
    </w:p>
    <w:p w14:paraId="348F200E" w14:textId="1A152098" w:rsidR="00AA4016"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 xml:space="preserve">Toma </w:t>
      </w:r>
      <w:r w:rsidRPr="009A5154">
        <w:rPr>
          <w:rFonts w:eastAsia="SimSun"/>
          <w:lang w:eastAsia="en-GB"/>
        </w:rPr>
        <w:t>nota</w:t>
      </w:r>
      <w:r w:rsidRPr="002927A1">
        <w:rPr>
          <w:i/>
          <w:iCs/>
        </w:rPr>
        <w:t xml:space="preserve"> </w:t>
      </w:r>
      <w:r w:rsidRPr="002927A1">
        <w:t>también</w:t>
      </w:r>
      <w:r w:rsidRPr="002927A1">
        <w:rPr>
          <w:i/>
          <w:iCs/>
        </w:rPr>
        <w:t xml:space="preserve"> </w:t>
      </w:r>
      <w:r w:rsidRPr="002927A1">
        <w:rPr>
          <w:iCs/>
        </w:rPr>
        <w:t>del proyecto de programa de trabajo y presupuesto para el bienio 2020-</w:t>
      </w:r>
      <w:r w:rsidRPr="002927A1">
        <w:t>2021</w:t>
      </w:r>
      <w:r w:rsidRPr="002927A1">
        <w:rPr>
          <w:rStyle w:val="FootnoteReference"/>
          <w:szCs w:val="20"/>
        </w:rPr>
        <w:footnoteReference w:id="15"/>
      </w:r>
      <w:r w:rsidRPr="002927A1">
        <w:t>, así como de la información adicional sobre las cuestiones financieras</w:t>
      </w:r>
      <w:r w:rsidRPr="002927A1">
        <w:rPr>
          <w:rStyle w:val="FootnoteReference"/>
          <w:szCs w:val="20"/>
        </w:rPr>
        <w:footnoteReference w:id="16"/>
      </w:r>
      <w:r w:rsidRPr="002927A1">
        <w:t>, los presupuestos operacionales propuestos para las dos hipótesis de financiación</w:t>
      </w:r>
      <w:r w:rsidRPr="002927A1">
        <w:rPr>
          <w:rStyle w:val="FootnoteReference"/>
          <w:szCs w:val="20"/>
        </w:rPr>
        <w:footnoteReference w:id="17"/>
      </w:r>
      <w:r w:rsidRPr="002927A1">
        <w:t xml:space="preserve"> y las fichas descriptivas de las actividades presupuestarias</w:t>
      </w:r>
      <w:r w:rsidRPr="002927A1">
        <w:rPr>
          <w:rStyle w:val="FootnoteReference"/>
          <w:szCs w:val="20"/>
        </w:rPr>
        <w:footnoteReference w:id="18"/>
      </w:r>
      <w:r w:rsidRPr="002927A1">
        <w:t>;</w:t>
      </w:r>
    </w:p>
    <w:p w14:paraId="71CD80B7" w14:textId="0DDF3FBC" w:rsidR="00AA4016"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Aprueba</w:t>
      </w:r>
      <w:r w:rsidRPr="002927A1">
        <w:t xml:space="preserve"> el </w:t>
      </w:r>
      <w:r w:rsidRPr="009A5154">
        <w:rPr>
          <w:rFonts w:eastAsia="SimSun"/>
          <w:lang w:eastAsia="en-GB"/>
        </w:rPr>
        <w:t>presupuesto</w:t>
      </w:r>
      <w:r w:rsidRPr="002927A1">
        <w:t xml:space="preserve"> del fondo fiduciario general para el bienio 2020</w:t>
      </w:r>
      <w:r w:rsidRPr="002927A1">
        <w:noBreakHyphen/>
        <w:t>2021 de</w:t>
      </w:r>
      <w:bookmarkStart w:id="96" w:name="_DV_C1629"/>
      <w:r w:rsidR="00801181" w:rsidRPr="002927A1">
        <w:t> </w:t>
      </w:r>
      <w:r w:rsidRPr="002927A1">
        <w:rPr>
          <w:rFonts w:eastAsia="SimSun"/>
          <w:w w:val="0"/>
        </w:rPr>
        <w:t>7.</w:t>
      </w:r>
      <w:r w:rsidR="008714CE" w:rsidRPr="002927A1">
        <w:rPr>
          <w:rFonts w:eastAsia="SimSun"/>
          <w:w w:val="0"/>
        </w:rPr>
        <w:t>5</w:t>
      </w:r>
      <w:r w:rsidRPr="002927A1">
        <w:rPr>
          <w:rFonts w:eastAsia="SimSun"/>
          <w:w w:val="0"/>
        </w:rPr>
        <w:t>79.959</w:t>
      </w:r>
      <w:bookmarkEnd w:id="96"/>
      <w:r w:rsidR="00FA6A30" w:rsidRPr="002927A1">
        <w:rPr>
          <w:rFonts w:eastAsia="SimSun"/>
          <w:w w:val="0"/>
        </w:rPr>
        <w:t xml:space="preserve"> </w:t>
      </w:r>
      <w:r w:rsidRPr="002927A1">
        <w:t>dólares de los Estados Unidos;</w:t>
      </w:r>
    </w:p>
    <w:p w14:paraId="08B25E9A" w14:textId="31C0D96A" w:rsidR="00AA4016"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Aprueba</w:t>
      </w:r>
      <w:r w:rsidRPr="002927A1">
        <w:t xml:space="preserve"> la escala indicativa de cuotas para el prorrateo de los gastos correspondientes a 2020</w:t>
      </w:r>
      <w:r w:rsidR="00801181" w:rsidRPr="002927A1">
        <w:noBreakHyphen/>
      </w:r>
      <w:r w:rsidRPr="002927A1">
        <w:t>2021 que figura en el cuadro 2 de la presente decisión y autoriza a la Secretaria Ejecutiva, de conformidad con el Reglamento Financiero y la Reglamentación Financiera Detallada de las Naciones Unidas, a que ajuste la escala de manera que se incluya a todas las Partes para las cuales el Convenio entrará en vigor a partir del 1 de enero de 2020;</w:t>
      </w:r>
    </w:p>
    <w:p w14:paraId="3DE400E7" w14:textId="7A027242" w:rsidR="00AA4016"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Recuerda</w:t>
      </w:r>
      <w:r w:rsidRPr="002927A1">
        <w:t xml:space="preserve"> que las contribuciones al </w:t>
      </w:r>
      <w:r w:rsidR="00DB1314" w:rsidRPr="002927A1">
        <w:t>f</w:t>
      </w:r>
      <w:r w:rsidRPr="002927A1">
        <w:t xml:space="preserve">ondo </w:t>
      </w:r>
      <w:r w:rsidR="00DB1314" w:rsidRPr="002927A1">
        <w:t>f</w:t>
      </w:r>
      <w:r w:rsidRPr="002927A1">
        <w:t xml:space="preserve">iduciario </w:t>
      </w:r>
      <w:r w:rsidR="00DB1314" w:rsidRPr="002927A1">
        <w:t>g</w:t>
      </w:r>
      <w:r w:rsidRPr="002927A1">
        <w:t>eneral han de abonarse antes del</w:t>
      </w:r>
      <w:r w:rsidR="00801181" w:rsidRPr="002927A1">
        <w:t> </w:t>
      </w:r>
      <w:r w:rsidRPr="002927A1">
        <w:t>1 de enero del año para el que se hayan presupuestado, y a más tardar el 31 de diciembre de ese año, y solicita a las Partes que paguen sus contribuciones lo antes posible para que la Secretaría pueda llevar a cabo su labor;</w:t>
      </w:r>
    </w:p>
    <w:p w14:paraId="4A94A99C" w14:textId="77777777" w:rsidR="003F4DA7" w:rsidRPr="002927A1" w:rsidRDefault="003F4DA7" w:rsidP="00801181">
      <w:pPr>
        <w:tabs>
          <w:tab w:val="right" w:pos="851"/>
        </w:tabs>
        <w:suppressAutoHyphens/>
        <w:spacing w:before="240" w:after="120"/>
        <w:ind w:left="1247" w:right="284"/>
        <w:jc w:val="center"/>
        <w:rPr>
          <w:b/>
          <w:sz w:val="24"/>
          <w:szCs w:val="24"/>
        </w:rPr>
      </w:pPr>
      <w:r w:rsidRPr="002927A1">
        <w:rPr>
          <w:b/>
          <w:sz w:val="24"/>
          <w:szCs w:val="24"/>
        </w:rPr>
        <w:t>II</w:t>
      </w:r>
    </w:p>
    <w:p w14:paraId="443B9446" w14:textId="0A25F377" w:rsidR="003F4DA7" w:rsidRPr="002927A1" w:rsidRDefault="00AA4016" w:rsidP="00801181">
      <w:pPr>
        <w:tabs>
          <w:tab w:val="right" w:pos="851"/>
        </w:tabs>
        <w:suppressAutoHyphens/>
        <w:spacing w:before="120" w:after="120"/>
        <w:ind w:left="1247" w:right="284"/>
        <w:jc w:val="center"/>
        <w:rPr>
          <w:b/>
          <w:sz w:val="24"/>
          <w:szCs w:val="24"/>
        </w:rPr>
      </w:pPr>
      <w:r w:rsidRPr="002927A1">
        <w:rPr>
          <w:b/>
          <w:sz w:val="24"/>
          <w:szCs w:val="24"/>
        </w:rPr>
        <w:t>Fondo fiduciario especial del Convenio de Minamata sobre el Mercurio</w:t>
      </w:r>
    </w:p>
    <w:p w14:paraId="3CB409A9" w14:textId="7222A824" w:rsidR="003F4DA7"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Toma nota</w:t>
      </w:r>
      <w:r w:rsidRPr="002927A1">
        <w:t xml:space="preserve"> de la información actualizada proporcionada por la Secretaria Ejecutiva sobre las actividades de 2019 y los </w:t>
      </w:r>
      <w:r w:rsidRPr="009A5154">
        <w:rPr>
          <w:rFonts w:eastAsia="SimSun"/>
          <w:lang w:eastAsia="en-GB"/>
        </w:rPr>
        <w:t>gastos</w:t>
      </w:r>
      <w:r w:rsidRPr="002927A1">
        <w:t xml:space="preserve"> de 2018-2019 por medio del </w:t>
      </w:r>
      <w:r w:rsidR="00C0114A" w:rsidRPr="002927A1">
        <w:t>fondo f</w:t>
      </w:r>
      <w:r w:rsidRPr="002927A1">
        <w:t xml:space="preserve">iduciario </w:t>
      </w:r>
      <w:r w:rsidR="00C0114A" w:rsidRPr="002927A1">
        <w:t>e</w:t>
      </w:r>
      <w:r w:rsidRPr="002927A1">
        <w:t>special, que figura en la información sobre los asuntos financieros</w:t>
      </w:r>
      <w:r w:rsidRPr="002927A1">
        <w:rPr>
          <w:rStyle w:val="FootnoteReference"/>
          <w:szCs w:val="20"/>
        </w:rPr>
        <w:footnoteReference w:id="19"/>
      </w:r>
      <w:r w:rsidRPr="002927A1">
        <w:t>, así como del informe sobre las principales actividades de la Secretaría en el período entre reuniones</w:t>
      </w:r>
      <w:r w:rsidR="003F4DA7" w:rsidRPr="002927A1">
        <w:rPr>
          <w:vertAlign w:val="superscript"/>
        </w:rPr>
        <w:footnoteReference w:id="20"/>
      </w:r>
      <w:r w:rsidRPr="002927A1">
        <w:t>;</w:t>
      </w:r>
      <w:r w:rsidR="003F4DA7" w:rsidRPr="002927A1">
        <w:t xml:space="preserve"> </w:t>
      </w:r>
    </w:p>
    <w:p w14:paraId="61E37621" w14:textId="613BA70E" w:rsidR="003F4DA7" w:rsidRPr="002927A1" w:rsidRDefault="00AA4016"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 xml:space="preserve">Toma </w:t>
      </w:r>
      <w:r w:rsidRPr="009A5154">
        <w:rPr>
          <w:rFonts w:eastAsia="SimSun"/>
          <w:lang w:eastAsia="en-GB"/>
        </w:rPr>
        <w:t>nota</w:t>
      </w:r>
      <w:r w:rsidRPr="002927A1">
        <w:rPr>
          <w:i/>
          <w:iCs/>
        </w:rPr>
        <w:t xml:space="preserve"> también</w:t>
      </w:r>
      <w:r w:rsidRPr="002927A1">
        <w:t xml:space="preserve"> del proyecto de programa de trabajo y presupuesto para el bienio 2020-2021</w:t>
      </w:r>
      <w:r w:rsidRPr="002927A1">
        <w:rPr>
          <w:rStyle w:val="FootnoteReference"/>
          <w:szCs w:val="20"/>
        </w:rPr>
        <w:footnoteReference w:id="21"/>
      </w:r>
      <w:r w:rsidRPr="002927A1">
        <w:t>, así como de la información adicional sobre las cuestiones financieras</w:t>
      </w:r>
      <w:r w:rsidRPr="002927A1">
        <w:rPr>
          <w:rStyle w:val="FootnoteReference"/>
          <w:szCs w:val="20"/>
        </w:rPr>
        <w:footnoteReference w:id="22"/>
      </w:r>
      <w:r w:rsidRPr="002927A1">
        <w:t>, los presupuestos operacionales propuestos para las dos hipótesis de financiación</w:t>
      </w:r>
      <w:r w:rsidRPr="002927A1">
        <w:rPr>
          <w:rStyle w:val="FootnoteReference"/>
          <w:szCs w:val="20"/>
        </w:rPr>
        <w:footnoteReference w:id="23"/>
      </w:r>
      <w:r w:rsidRPr="002927A1">
        <w:t xml:space="preserve"> y las fichas descriptivas de las actividades presupuestarias</w:t>
      </w:r>
      <w:r w:rsidRPr="002927A1">
        <w:rPr>
          <w:rStyle w:val="FootnoteReference"/>
          <w:szCs w:val="20"/>
        </w:rPr>
        <w:footnoteReference w:id="24"/>
      </w:r>
      <w:r w:rsidR="003F4DA7" w:rsidRPr="002927A1">
        <w:t>;</w:t>
      </w:r>
    </w:p>
    <w:p w14:paraId="6E37B2BE" w14:textId="4FC93C19" w:rsidR="003F4DA7" w:rsidRPr="002927A1" w:rsidRDefault="00C0114A"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 xml:space="preserve">Toma nota además </w:t>
      </w:r>
      <w:r w:rsidRPr="002927A1">
        <w:t>de las estimaciones destinadas al fondo fiduciario especial para el bienio 2020-2021, de 4.377.620</w:t>
      </w:r>
      <w:r w:rsidR="00FA6A30" w:rsidRPr="002927A1">
        <w:t xml:space="preserve"> </w:t>
      </w:r>
      <w:r w:rsidRPr="002927A1">
        <w:t>dólares de los Estados Unidos</w:t>
      </w:r>
      <w:r w:rsidR="003F4DA7" w:rsidRPr="002927A1">
        <w:t xml:space="preserve">; </w:t>
      </w:r>
    </w:p>
    <w:p w14:paraId="69D10C4C" w14:textId="35A275BA" w:rsidR="003F4DA7" w:rsidRPr="002927A1" w:rsidRDefault="00C0114A"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Observa</w:t>
      </w:r>
      <w:r w:rsidRPr="002927A1">
        <w:t xml:space="preserve"> que la puesta en práctica de las actividades planificadas está sujeta a la disponibilidad de recursos aportados </w:t>
      </w:r>
      <w:r w:rsidRPr="009A5154">
        <w:rPr>
          <w:rFonts w:eastAsia="SimSun"/>
          <w:lang w:eastAsia="en-GB"/>
        </w:rPr>
        <w:t>al</w:t>
      </w:r>
      <w:r w:rsidRPr="002927A1">
        <w:t xml:space="preserve"> fondo fiduciario especial</w:t>
      </w:r>
      <w:r w:rsidR="003F4DA7" w:rsidRPr="002927A1">
        <w:t>;</w:t>
      </w:r>
    </w:p>
    <w:p w14:paraId="13D1A165" w14:textId="51558344" w:rsidR="003F4DA7" w:rsidRPr="002927A1" w:rsidRDefault="00C0114A"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las Partes en el Convenio, e invita a los Estados que no son Partes en el Convenio y a otras entidades que estén en condiciones de hacerlo, a que contribuyan al fondo fiduciario especial para apoyar la creación de capacidad y las actividades de asistencia técnica de la Secretaría del Convenio de Minamata de conformidad con el artículo 14 del Convenio</w:t>
      </w:r>
      <w:r w:rsidR="003F4DA7" w:rsidRPr="002927A1">
        <w:t>;</w:t>
      </w:r>
    </w:p>
    <w:p w14:paraId="6C2954BD" w14:textId="05AD3784" w:rsidR="003F4DA7" w:rsidRPr="002927A1" w:rsidRDefault="00C0114A"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lastRenderedPageBreak/>
        <w:t>Invita</w:t>
      </w:r>
      <w:r w:rsidRPr="002927A1">
        <w:t xml:space="preserve"> a las Partes y a los Estados que no son Partes en el Convenio y a otras entidades que estén en condiciones de hacerlo a </w:t>
      </w:r>
      <w:r w:rsidRPr="009A5154">
        <w:rPr>
          <w:rFonts w:eastAsia="SimSun"/>
          <w:lang w:eastAsia="en-GB"/>
        </w:rPr>
        <w:t>contribuir</w:t>
      </w:r>
      <w:r w:rsidRPr="002927A1">
        <w:t xml:space="preserve"> al fondo fiduciario especial para apoyar la participación de representantes de los países en desarrollo y de países con economías en transición en las reuniones de la Conferencia de las Partes y sus órganos subsidiarios</w:t>
      </w:r>
      <w:r w:rsidR="003F4DA7" w:rsidRPr="002927A1">
        <w:t>;</w:t>
      </w:r>
    </w:p>
    <w:p w14:paraId="08A4C795" w14:textId="77777777" w:rsidR="003F4DA7" w:rsidRPr="002927A1" w:rsidRDefault="003F4DA7" w:rsidP="003F4DA7">
      <w:pPr>
        <w:keepNext/>
        <w:keepLines/>
        <w:tabs>
          <w:tab w:val="right" w:pos="851"/>
        </w:tabs>
        <w:suppressAutoHyphens/>
        <w:spacing w:before="240" w:after="120"/>
        <w:ind w:left="1247" w:right="284"/>
        <w:jc w:val="center"/>
        <w:rPr>
          <w:b/>
          <w:sz w:val="24"/>
          <w:szCs w:val="24"/>
        </w:rPr>
      </w:pPr>
      <w:r w:rsidRPr="002927A1">
        <w:rPr>
          <w:b/>
          <w:sz w:val="24"/>
          <w:szCs w:val="24"/>
        </w:rPr>
        <w:t>III</w:t>
      </w:r>
    </w:p>
    <w:p w14:paraId="3489486A" w14:textId="6999885C" w:rsidR="003F4DA7" w:rsidRPr="002927A1" w:rsidRDefault="00C0114A" w:rsidP="003F4DA7">
      <w:pPr>
        <w:keepNext/>
        <w:keepLines/>
        <w:tabs>
          <w:tab w:val="right" w:pos="851"/>
        </w:tabs>
        <w:suppressAutoHyphens/>
        <w:spacing w:before="120" w:after="120"/>
        <w:ind w:left="1247" w:right="284"/>
        <w:jc w:val="center"/>
        <w:rPr>
          <w:b/>
          <w:sz w:val="24"/>
          <w:szCs w:val="24"/>
        </w:rPr>
      </w:pPr>
      <w:r w:rsidRPr="002927A1">
        <w:rPr>
          <w:b/>
          <w:bCs/>
          <w:sz w:val="24"/>
          <w:szCs w:val="24"/>
        </w:rPr>
        <w:t>Fondo fiduciario específico del Convenio de Minamata sobre el Mercurio</w:t>
      </w:r>
    </w:p>
    <w:p w14:paraId="11ABE792" w14:textId="6D85C87F" w:rsidR="003F4DA7" w:rsidRPr="002927A1" w:rsidRDefault="00C0114A"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Toma nota</w:t>
      </w:r>
      <w:r w:rsidRPr="002927A1">
        <w:t xml:space="preserve"> del informe general sobre el </w:t>
      </w:r>
      <w:r w:rsidR="00B33F64" w:rsidRPr="002927A1">
        <w:t>Programa Internacional Específico</w:t>
      </w:r>
      <w:r w:rsidRPr="002927A1">
        <w:t xml:space="preserve"> para apoyar la creación de capacidad y la </w:t>
      </w:r>
      <w:r w:rsidRPr="009A5154">
        <w:rPr>
          <w:rFonts w:eastAsia="SimSun"/>
          <w:lang w:eastAsia="en-GB"/>
        </w:rPr>
        <w:t>asistencia</w:t>
      </w:r>
      <w:r w:rsidRPr="002927A1">
        <w:t xml:space="preserve"> técnica y el fondo fiduciario específico establecido para esas actividades</w:t>
      </w:r>
      <w:r w:rsidRPr="002927A1">
        <w:rPr>
          <w:rStyle w:val="FootnoteReference"/>
          <w:szCs w:val="20"/>
        </w:rPr>
        <w:footnoteReference w:id="25"/>
      </w:r>
      <w:r w:rsidR="003F4DA7" w:rsidRPr="002927A1">
        <w:t xml:space="preserve">; </w:t>
      </w:r>
    </w:p>
    <w:p w14:paraId="0ADF9672" w14:textId="25ADCD6D" w:rsidR="003F4DA7" w:rsidRPr="002927A1" w:rsidRDefault="005123A0" w:rsidP="009A5154">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Invita</w:t>
      </w:r>
      <w:r w:rsidRPr="002927A1">
        <w:t xml:space="preserve"> a las Partes y a los Estados que no son Partes en el Convenio, y a otras entidades que estén en condiciones de hacerlo, a que contribuyan al </w:t>
      </w:r>
      <w:r w:rsidR="00424AA1" w:rsidRPr="002927A1">
        <w:t>f</w:t>
      </w:r>
      <w:r w:rsidRPr="002927A1">
        <w:t xml:space="preserve">ondo </w:t>
      </w:r>
      <w:r w:rsidR="00424AA1" w:rsidRPr="002927A1">
        <w:t>f</w:t>
      </w:r>
      <w:r w:rsidRPr="002927A1">
        <w:t xml:space="preserve">iduciario </w:t>
      </w:r>
      <w:r w:rsidR="00424AA1" w:rsidRPr="002927A1">
        <w:t>e</w:t>
      </w:r>
      <w:r w:rsidRPr="002927A1">
        <w:t>specífico para apoyar la creación de capacidad y actividades de asistencia técnica de conformidad con el artículo 13 del Convenio</w:t>
      </w:r>
      <w:r w:rsidR="003F4DA7" w:rsidRPr="002927A1">
        <w:t xml:space="preserve">; </w:t>
      </w:r>
    </w:p>
    <w:p w14:paraId="681AB20E" w14:textId="77777777" w:rsidR="003F4DA7" w:rsidRPr="002927A1" w:rsidRDefault="003F4DA7" w:rsidP="003F4DA7">
      <w:pPr>
        <w:keepNext/>
        <w:keepLines/>
        <w:tabs>
          <w:tab w:val="right" w:pos="851"/>
        </w:tabs>
        <w:suppressAutoHyphens/>
        <w:spacing w:before="240" w:after="120"/>
        <w:ind w:left="1247" w:right="284"/>
        <w:jc w:val="center"/>
        <w:rPr>
          <w:b/>
          <w:sz w:val="24"/>
          <w:szCs w:val="24"/>
        </w:rPr>
      </w:pPr>
      <w:r w:rsidRPr="002927A1">
        <w:rPr>
          <w:b/>
          <w:sz w:val="24"/>
          <w:szCs w:val="24"/>
        </w:rPr>
        <w:t>IV</w:t>
      </w:r>
    </w:p>
    <w:p w14:paraId="632DB739" w14:textId="393490BE" w:rsidR="003F4DA7" w:rsidRPr="002927A1" w:rsidRDefault="005123A0" w:rsidP="003F4DA7">
      <w:pPr>
        <w:keepNext/>
        <w:keepLines/>
        <w:tabs>
          <w:tab w:val="right" w:pos="851"/>
        </w:tabs>
        <w:suppressAutoHyphens/>
        <w:spacing w:before="120" w:after="120"/>
        <w:ind w:left="1247" w:right="284"/>
        <w:jc w:val="center"/>
        <w:rPr>
          <w:b/>
          <w:sz w:val="24"/>
          <w:szCs w:val="24"/>
        </w:rPr>
      </w:pPr>
      <w:r w:rsidRPr="002927A1">
        <w:rPr>
          <w:b/>
          <w:bCs/>
          <w:sz w:val="24"/>
          <w:szCs w:val="24"/>
        </w:rPr>
        <w:t>Preparativos para el bienio 2022-2023</w:t>
      </w:r>
    </w:p>
    <w:p w14:paraId="6BDAF460" w14:textId="13B38C50" w:rsidR="003F4DA7" w:rsidRPr="002927A1" w:rsidRDefault="005123A0" w:rsidP="00EE3279">
      <w:pPr>
        <w:pStyle w:val="ListParagraph"/>
        <w:numPr>
          <w:ilvl w:val="0"/>
          <w:numId w:val="71"/>
        </w:numPr>
        <w:tabs>
          <w:tab w:val="clear" w:pos="1247"/>
          <w:tab w:val="clear" w:pos="1814"/>
          <w:tab w:val="clear" w:pos="2381"/>
          <w:tab w:val="clear" w:pos="2948"/>
          <w:tab w:val="clear" w:pos="3515"/>
          <w:tab w:val="left" w:pos="624"/>
        </w:tabs>
        <w:spacing w:after="120"/>
        <w:ind w:left="1247" w:firstLine="624"/>
        <w:rPr>
          <w:i/>
          <w:iCs/>
          <w:lang w:eastAsia="en-GB"/>
        </w:rPr>
      </w:pPr>
      <w:r w:rsidRPr="002927A1">
        <w:rPr>
          <w:i/>
          <w:iCs/>
        </w:rPr>
        <w:t xml:space="preserve">Solicita </w:t>
      </w:r>
      <w:r w:rsidRPr="002927A1">
        <w:t xml:space="preserve">a la Secretaria Ejecutiva que prepare un presupuesto para el bienio 2022-2023 para su examen por la Conferencia de las Partes en su cuarta reunión, en 2021, en el que se expliquen los principios fundamentales, las hipótesis y la estrategia programática en </w:t>
      </w:r>
      <w:r w:rsidR="008834F4" w:rsidRPr="002927A1">
        <w:t xml:space="preserve">la </w:t>
      </w:r>
      <w:r w:rsidRPr="002927A1">
        <w:t>que se basa el presupuesto y se presenten los gastos correspondientes a ese bienio en un formato programático y desglosado por actividades presupuestarias, y que por cada actividad se justifique en una ficha descriptiva de la actividad</w:t>
      </w:r>
      <w:r w:rsidR="003F4DA7" w:rsidRPr="002927A1">
        <w:rPr>
          <w:iCs/>
        </w:rPr>
        <w:t>;</w:t>
      </w:r>
    </w:p>
    <w:p w14:paraId="49DDEB94" w14:textId="45A7E6B1" w:rsidR="003F4DA7" w:rsidRPr="002927A1" w:rsidRDefault="005123A0" w:rsidP="0013314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 también</w:t>
      </w:r>
      <w:r w:rsidRPr="002927A1">
        <w:t xml:space="preserve"> a la Secretaria Ejecutiva que, al preparar el presupuesto y programa de trabajo para el bienio 2022-2023, presente dos hipótesis</w:t>
      </w:r>
      <w:r w:rsidR="003F4DA7" w:rsidRPr="002927A1">
        <w:t>:</w:t>
      </w:r>
    </w:p>
    <w:p w14:paraId="61A36B66" w14:textId="698E2328" w:rsidR="003F4DA7" w:rsidRPr="002927A1" w:rsidRDefault="005123A0" w:rsidP="00A524DB">
      <w:pPr>
        <w:pStyle w:val="List3"/>
        <w:numPr>
          <w:ilvl w:val="1"/>
          <w:numId w:val="23"/>
        </w:numPr>
        <w:spacing w:after="120"/>
        <w:ind w:left="1247" w:firstLine="624"/>
        <w:contextualSpacing w:val="0"/>
      </w:pPr>
      <w:r w:rsidRPr="002927A1">
        <w:t xml:space="preserve">Una </w:t>
      </w:r>
      <w:r w:rsidR="00F23252" w:rsidRPr="002927A1">
        <w:t xml:space="preserve">hipótesis </w:t>
      </w:r>
      <w:r w:rsidRPr="002927A1">
        <w:t xml:space="preserve">en </w:t>
      </w:r>
      <w:r w:rsidR="00F23252" w:rsidRPr="002927A1">
        <w:t xml:space="preserve">la </w:t>
      </w:r>
      <w:r w:rsidRPr="002927A1">
        <w:t>que se mant</w:t>
      </w:r>
      <w:r w:rsidR="00F23252" w:rsidRPr="002927A1">
        <w:t>iene</w:t>
      </w:r>
      <w:r w:rsidRPr="002927A1">
        <w:t xml:space="preserve"> el presupuesto operacional en el nivel de 2020-2021 en términos nominales</w:t>
      </w:r>
      <w:r w:rsidR="003F4DA7" w:rsidRPr="002927A1">
        <w:t xml:space="preserve">; </w:t>
      </w:r>
    </w:p>
    <w:p w14:paraId="555C11B4" w14:textId="0CE79F55" w:rsidR="003F4DA7" w:rsidRPr="002927A1" w:rsidRDefault="005123A0" w:rsidP="00A524DB">
      <w:pPr>
        <w:pStyle w:val="List3"/>
        <w:numPr>
          <w:ilvl w:val="1"/>
          <w:numId w:val="23"/>
        </w:numPr>
        <w:spacing w:after="120"/>
        <w:ind w:left="1247" w:firstLine="624"/>
        <w:contextualSpacing w:val="0"/>
      </w:pPr>
      <w:r w:rsidRPr="002927A1">
        <w:t>Otra que reflej</w:t>
      </w:r>
      <w:r w:rsidR="00F23252" w:rsidRPr="002927A1">
        <w:t>a</w:t>
      </w:r>
      <w:r w:rsidRPr="002927A1">
        <w:t xml:space="preserve"> los cambios necesarios en la hipótesis antes mencionada para satisfacer las necesidades proyectadas y los costos o ahorros conexos, que no deberán exceder de un [</w:t>
      </w:r>
      <w:r w:rsidR="001138CF" w:rsidRPr="002927A1">
        <w:t>cinco</w:t>
      </w:r>
      <w:r w:rsidRPr="002927A1">
        <w:t>] % de aumento con respecto al nivel de 2020-2021 en valores nominales</w:t>
      </w:r>
      <w:r w:rsidR="003F4DA7" w:rsidRPr="002927A1">
        <w:t>;</w:t>
      </w:r>
    </w:p>
    <w:p w14:paraId="48200493" w14:textId="2A6A61F6" w:rsidR="003F4DA7" w:rsidRPr="002927A1" w:rsidRDefault="005123A0" w:rsidP="009C638E">
      <w:pPr>
        <w:pStyle w:val="ListParagraph"/>
        <w:numPr>
          <w:ilvl w:val="0"/>
          <w:numId w:val="71"/>
        </w:numPr>
        <w:tabs>
          <w:tab w:val="clear" w:pos="1247"/>
          <w:tab w:val="clear" w:pos="1814"/>
          <w:tab w:val="clear" w:pos="2381"/>
          <w:tab w:val="clear" w:pos="2948"/>
          <w:tab w:val="clear" w:pos="3515"/>
          <w:tab w:val="left" w:pos="624"/>
        </w:tabs>
        <w:spacing w:after="120"/>
        <w:ind w:left="1247" w:firstLine="624"/>
        <w:rPr>
          <w:iCs/>
        </w:rPr>
      </w:pPr>
      <w:r w:rsidRPr="002927A1">
        <w:rPr>
          <w:i/>
          <w:iCs/>
        </w:rPr>
        <w:t>Subraya</w:t>
      </w:r>
      <w:r w:rsidRPr="002927A1">
        <w:t xml:space="preserve"> la </w:t>
      </w:r>
      <w:r w:rsidRPr="002927A1">
        <w:rPr>
          <w:iCs/>
        </w:rPr>
        <w:t>necesidad de</w:t>
      </w:r>
      <w:r w:rsidRPr="002927A1">
        <w:t xml:space="preserve"> velar por que los proyectos de presupuesto sean realistas y representen las prioridades acordadas de todas las Partes para contribuir a garantizar la sostenibilidad y la estabilidad de los fondos y de sus saldos de caja, incluso de las contribuciones</w:t>
      </w:r>
      <w:r w:rsidR="008E64BE">
        <w:t xml:space="preserve"> recibidas</w:t>
      </w:r>
      <w:r w:rsidR="003F4DA7" w:rsidRPr="002927A1">
        <w:rPr>
          <w:iCs/>
        </w:rPr>
        <w:t>;</w:t>
      </w:r>
    </w:p>
    <w:p w14:paraId="0F5C619C" w14:textId="2416F368" w:rsidR="003F4DA7" w:rsidRPr="002927A1" w:rsidRDefault="005123A0" w:rsidP="009C638E">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 Secretaria Ejecutiva que, en consonancia con el párrafo 8 del artículo 5 del Reglamento Financiero</w:t>
      </w:r>
      <w:r w:rsidR="00CA3D46" w:rsidRPr="002927A1">
        <w:t xml:space="preserve"> del Convenio de Minamata</w:t>
      </w:r>
      <w:r w:rsidRPr="002927A1">
        <w:t>, acuse recibo sin demora de todas las promesas de contribución y de las contribuciones, e informe a las Partes al respecto, dando a conocer en el sitio web del Convenio la información actualizada sobre el estado de las promesas de contribución y los pagos de las contribuciones, y solicita también a la Secretaria Ejecutiva que facilite información detallada y actualizada sobre los ingresos y los gastos reales de los tres fondos fiduciarios</w:t>
      </w:r>
      <w:r w:rsidR="003F4DA7" w:rsidRPr="002927A1">
        <w:t>;</w:t>
      </w:r>
    </w:p>
    <w:p w14:paraId="661947DB" w14:textId="78D1F42F" w:rsidR="003F4DA7" w:rsidRPr="002927A1" w:rsidRDefault="005123A0" w:rsidP="009C638E">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rPr>
          <w:i/>
        </w:rPr>
        <w:t xml:space="preserve"> también</w:t>
      </w:r>
      <w:r w:rsidRPr="002927A1">
        <w:t xml:space="preserve"> a la Secretaria Ejecutiva que, en las reuniones de la Conferencia de las Partes, proporcione, cuando corresponda, las estimaciones de gastos en relación con las medidas que tengan consecuencias para el presupuesto que no estén previstas en el proyecto de programa de trabajo, aunque sí lo estén en los proyectos de decisiones propuestos antes de que la Conferencia de las Partes adopte esas decisiones</w:t>
      </w:r>
      <w:r w:rsidR="003F4DA7" w:rsidRPr="002927A1">
        <w:t xml:space="preserve">. </w:t>
      </w:r>
    </w:p>
    <w:p w14:paraId="7A68E705" w14:textId="18DD3B12" w:rsidR="00F22360" w:rsidRPr="002927A1" w:rsidRDefault="00A60CBD" w:rsidP="00D41D02">
      <w:pPr>
        <w:pStyle w:val="Titletable"/>
        <w:rPr>
          <w:lang w:val="es-ES_tradnl"/>
        </w:rPr>
      </w:pPr>
      <w:r w:rsidRPr="002927A1">
        <w:rPr>
          <w:b w:val="0"/>
          <w:lang w:val="es-ES_tradnl"/>
        </w:rPr>
        <w:lastRenderedPageBreak/>
        <w:t>Cuadro</w:t>
      </w:r>
      <w:r w:rsidR="00DA659A" w:rsidRPr="002927A1">
        <w:rPr>
          <w:b w:val="0"/>
          <w:lang w:val="es-ES_tradnl"/>
        </w:rPr>
        <w:t xml:space="preserve"> 1</w:t>
      </w:r>
      <w:r w:rsidR="00DA659A" w:rsidRPr="002927A1">
        <w:rPr>
          <w:lang w:val="es-ES_tradnl"/>
        </w:rPr>
        <w:t xml:space="preserve"> </w:t>
      </w:r>
      <w:r w:rsidR="00DA659A" w:rsidRPr="002927A1">
        <w:rPr>
          <w:lang w:val="es-ES_tradnl"/>
        </w:rPr>
        <w:br/>
        <w:t>Program</w:t>
      </w:r>
      <w:r w:rsidR="005123A0" w:rsidRPr="002927A1">
        <w:rPr>
          <w:lang w:val="es-ES_tradnl"/>
        </w:rPr>
        <w:t xml:space="preserve">a de trabajo y presupuesto para el </w:t>
      </w:r>
      <w:r w:rsidR="00DA659A" w:rsidRPr="002927A1">
        <w:rPr>
          <w:lang w:val="es-ES_tradnl"/>
        </w:rPr>
        <w:t>bieni</w:t>
      </w:r>
      <w:r w:rsidR="005123A0" w:rsidRPr="002927A1">
        <w:rPr>
          <w:lang w:val="es-ES_tradnl"/>
        </w:rPr>
        <w:t xml:space="preserve">o </w:t>
      </w:r>
      <w:r w:rsidR="00DA659A" w:rsidRPr="002927A1">
        <w:rPr>
          <w:lang w:val="es-ES_tradnl"/>
        </w:rPr>
        <w:t>2020</w:t>
      </w:r>
      <w:r w:rsidR="00F4240C" w:rsidRPr="002927A1">
        <w:rPr>
          <w:lang w:val="es-ES_tradnl"/>
        </w:rPr>
        <w:noBreakHyphen/>
      </w:r>
      <w:r w:rsidR="00DA659A" w:rsidRPr="002927A1">
        <w:rPr>
          <w:lang w:val="es-ES_tradnl"/>
        </w:rPr>
        <w:t xml:space="preserve">2021 </w:t>
      </w:r>
    </w:p>
    <w:p w14:paraId="54402EBD" w14:textId="510FD379" w:rsidR="00DA659A" w:rsidRPr="002927A1" w:rsidRDefault="00DA659A" w:rsidP="00D41D02">
      <w:pPr>
        <w:pStyle w:val="Titletable"/>
        <w:rPr>
          <w:b w:val="0"/>
          <w:sz w:val="18"/>
          <w:szCs w:val="18"/>
          <w:lang w:val="es-ES_tradnl"/>
        </w:rPr>
      </w:pPr>
      <w:r w:rsidRPr="002927A1">
        <w:rPr>
          <w:b w:val="0"/>
          <w:sz w:val="18"/>
          <w:szCs w:val="18"/>
          <w:lang w:val="es-ES_tradnl"/>
        </w:rPr>
        <w:t>(</w:t>
      </w:r>
      <w:r w:rsidR="005123A0" w:rsidRPr="002927A1">
        <w:rPr>
          <w:b w:val="0"/>
          <w:sz w:val="18"/>
          <w:szCs w:val="18"/>
          <w:lang w:val="es-ES_tradnl"/>
        </w:rPr>
        <w:t>en dólares de los Estados Unidos</w:t>
      </w:r>
      <w:r w:rsidRPr="002927A1">
        <w:rPr>
          <w:b w:val="0"/>
          <w:sz w:val="18"/>
          <w:szCs w:val="18"/>
          <w:lang w:val="es-ES_tradnl"/>
        </w:rPr>
        <w:t>)</w:t>
      </w:r>
    </w:p>
    <w:tbl>
      <w:tblPr>
        <w:tblW w:w="8789" w:type="dxa"/>
        <w:tblInd w:w="1247" w:type="dxa"/>
        <w:tblLayout w:type="fixed"/>
        <w:tblLook w:val="04A0" w:firstRow="1" w:lastRow="0" w:firstColumn="1" w:lastColumn="0" w:noHBand="0" w:noVBand="1"/>
      </w:tblPr>
      <w:tblGrid>
        <w:gridCol w:w="927"/>
        <w:gridCol w:w="3638"/>
        <w:gridCol w:w="1134"/>
        <w:gridCol w:w="992"/>
        <w:gridCol w:w="1073"/>
        <w:gridCol w:w="1025"/>
      </w:tblGrid>
      <w:tr w:rsidR="00DA659A" w:rsidRPr="002927A1" w14:paraId="5AC96CF1" w14:textId="77777777" w:rsidTr="008C5A39">
        <w:trPr>
          <w:trHeight w:val="358"/>
          <w:tblHeader/>
        </w:trPr>
        <w:tc>
          <w:tcPr>
            <w:tcW w:w="927" w:type="dxa"/>
            <w:tcBorders>
              <w:top w:val="single" w:sz="4" w:space="0" w:color="000000" w:themeColor="text1"/>
            </w:tcBorders>
            <w:shd w:val="clear" w:color="auto" w:fill="auto"/>
            <w:hideMark/>
          </w:tcPr>
          <w:p w14:paraId="3D4DED70" w14:textId="2F407800" w:rsidR="00DA659A" w:rsidRPr="002927A1" w:rsidRDefault="00BF4B4F" w:rsidP="00D41D02">
            <w:pPr>
              <w:keepNext/>
              <w:keepLines/>
              <w:tabs>
                <w:tab w:val="clear" w:pos="1247"/>
                <w:tab w:val="clear" w:pos="1814"/>
                <w:tab w:val="clear" w:pos="2381"/>
                <w:tab w:val="clear" w:pos="2948"/>
                <w:tab w:val="clear" w:pos="3515"/>
              </w:tabs>
              <w:spacing w:before="40" w:after="40"/>
              <w:rPr>
                <w:bCs/>
                <w:i/>
                <w:color w:val="000000"/>
                <w:sz w:val="18"/>
                <w:szCs w:val="18"/>
                <w:lang w:eastAsia="zh-CN"/>
              </w:rPr>
            </w:pPr>
            <w:r w:rsidRPr="002927A1">
              <w:rPr>
                <w:bCs/>
                <w:i/>
                <w:color w:val="000000"/>
                <w:sz w:val="18"/>
                <w:szCs w:val="18"/>
                <w:lang w:eastAsia="zh-CN"/>
              </w:rPr>
              <w:t>Número de la actividad</w:t>
            </w:r>
          </w:p>
        </w:tc>
        <w:tc>
          <w:tcPr>
            <w:tcW w:w="3638" w:type="dxa"/>
            <w:tcBorders>
              <w:top w:val="single" w:sz="4" w:space="0" w:color="000000" w:themeColor="text1"/>
            </w:tcBorders>
            <w:shd w:val="clear" w:color="auto" w:fill="auto"/>
            <w:noWrap/>
            <w:hideMark/>
          </w:tcPr>
          <w:p w14:paraId="719AC74A" w14:textId="511BED35" w:rsidR="00DA659A" w:rsidRPr="002927A1" w:rsidRDefault="00DA659A"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Activi</w:t>
            </w:r>
            <w:r w:rsidR="00BF4B4F" w:rsidRPr="002927A1">
              <w:rPr>
                <w:bCs/>
                <w:i/>
                <w:color w:val="000000"/>
                <w:sz w:val="18"/>
                <w:szCs w:val="18"/>
                <w:lang w:eastAsia="zh-CN"/>
              </w:rPr>
              <w:t>dad</w:t>
            </w:r>
          </w:p>
        </w:tc>
        <w:tc>
          <w:tcPr>
            <w:tcW w:w="2126" w:type="dxa"/>
            <w:gridSpan w:val="2"/>
            <w:tcBorders>
              <w:top w:val="single" w:sz="4" w:space="0" w:color="000000" w:themeColor="text1"/>
            </w:tcBorders>
            <w:shd w:val="clear" w:color="auto" w:fill="auto"/>
            <w:hideMark/>
          </w:tcPr>
          <w:p w14:paraId="59DC4769" w14:textId="641C6081" w:rsidR="00DA659A" w:rsidRPr="002927A1" w:rsidRDefault="00DA659A"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(2020)</w:t>
            </w:r>
          </w:p>
        </w:tc>
        <w:tc>
          <w:tcPr>
            <w:tcW w:w="2098" w:type="dxa"/>
            <w:gridSpan w:val="2"/>
            <w:tcBorders>
              <w:top w:val="single" w:sz="4" w:space="0" w:color="000000" w:themeColor="text1"/>
            </w:tcBorders>
            <w:shd w:val="clear" w:color="auto" w:fill="auto"/>
            <w:hideMark/>
          </w:tcPr>
          <w:p w14:paraId="72AC65C7" w14:textId="02F8A8C2" w:rsidR="00DA659A" w:rsidRPr="002927A1" w:rsidRDefault="00DA659A"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(2021)</w:t>
            </w:r>
          </w:p>
        </w:tc>
      </w:tr>
      <w:tr w:rsidR="00DA659A" w:rsidRPr="002927A1" w14:paraId="54890504" w14:textId="77777777" w:rsidTr="008C5A39">
        <w:trPr>
          <w:trHeight w:val="57"/>
          <w:tblHeader/>
        </w:trPr>
        <w:tc>
          <w:tcPr>
            <w:tcW w:w="927" w:type="dxa"/>
            <w:tcBorders>
              <w:bottom w:val="single" w:sz="12" w:space="0" w:color="000000" w:themeColor="text1"/>
            </w:tcBorders>
            <w:shd w:val="clear" w:color="auto" w:fill="auto"/>
            <w:noWrap/>
            <w:hideMark/>
          </w:tcPr>
          <w:p w14:paraId="7C6537E2"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bottom w:val="single" w:sz="12" w:space="0" w:color="000000" w:themeColor="text1"/>
            </w:tcBorders>
            <w:shd w:val="clear" w:color="auto" w:fill="auto"/>
            <w:noWrap/>
            <w:hideMark/>
          </w:tcPr>
          <w:p w14:paraId="521DCD3D" w14:textId="77777777" w:rsidR="00DA659A" w:rsidRPr="002927A1" w:rsidRDefault="00DA659A"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134" w:type="dxa"/>
            <w:tcBorders>
              <w:bottom w:val="single" w:sz="12" w:space="0" w:color="000000" w:themeColor="text1"/>
            </w:tcBorders>
            <w:shd w:val="clear" w:color="auto" w:fill="auto"/>
            <w:hideMark/>
          </w:tcPr>
          <w:p w14:paraId="5C578BFA" w14:textId="778807AF" w:rsidR="00DA659A" w:rsidRPr="002927A1" w:rsidRDefault="00BF4B4F"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 xml:space="preserve">Fondo </w:t>
            </w:r>
            <w:r w:rsidR="00A60CBD" w:rsidRPr="002927A1">
              <w:rPr>
                <w:bCs/>
                <w:i/>
                <w:color w:val="000000"/>
                <w:sz w:val="18"/>
                <w:szCs w:val="18"/>
                <w:lang w:eastAsia="zh-CN"/>
              </w:rPr>
              <w:t>fiduciario</w:t>
            </w:r>
            <w:r w:rsidRPr="002927A1">
              <w:rPr>
                <w:bCs/>
                <w:i/>
                <w:color w:val="000000"/>
                <w:sz w:val="18"/>
                <w:szCs w:val="18"/>
                <w:lang w:eastAsia="zh-CN"/>
              </w:rPr>
              <w:t xml:space="preserve"> g</w:t>
            </w:r>
            <w:r w:rsidR="00DA659A" w:rsidRPr="002927A1">
              <w:rPr>
                <w:bCs/>
                <w:i/>
                <w:color w:val="000000"/>
                <w:sz w:val="18"/>
                <w:szCs w:val="18"/>
                <w:lang w:eastAsia="zh-CN"/>
              </w:rPr>
              <w:t>eneral</w:t>
            </w:r>
          </w:p>
        </w:tc>
        <w:tc>
          <w:tcPr>
            <w:tcW w:w="992" w:type="dxa"/>
            <w:tcBorders>
              <w:bottom w:val="single" w:sz="12" w:space="0" w:color="000000" w:themeColor="text1"/>
            </w:tcBorders>
            <w:shd w:val="clear" w:color="auto" w:fill="auto"/>
            <w:hideMark/>
          </w:tcPr>
          <w:p w14:paraId="25A1E876" w14:textId="222F699C" w:rsidR="00DA659A" w:rsidRPr="002927A1" w:rsidRDefault="00BF4B4F"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Fondo fiduciario es</w:t>
            </w:r>
            <w:r w:rsidR="00DA659A" w:rsidRPr="002927A1">
              <w:rPr>
                <w:bCs/>
                <w:i/>
                <w:color w:val="000000"/>
                <w:sz w:val="18"/>
                <w:szCs w:val="18"/>
                <w:lang w:eastAsia="zh-CN"/>
              </w:rPr>
              <w:t>pecia</w:t>
            </w:r>
            <w:r w:rsidRPr="002927A1">
              <w:rPr>
                <w:bCs/>
                <w:i/>
                <w:color w:val="000000"/>
                <w:sz w:val="18"/>
                <w:szCs w:val="18"/>
                <w:lang w:eastAsia="zh-CN"/>
              </w:rPr>
              <w:t>l</w:t>
            </w:r>
          </w:p>
        </w:tc>
        <w:tc>
          <w:tcPr>
            <w:tcW w:w="1073" w:type="dxa"/>
            <w:tcBorders>
              <w:bottom w:val="single" w:sz="12" w:space="0" w:color="000000" w:themeColor="text1"/>
            </w:tcBorders>
            <w:shd w:val="clear" w:color="auto" w:fill="auto"/>
            <w:hideMark/>
          </w:tcPr>
          <w:p w14:paraId="4F5FCD42" w14:textId="4AE45786" w:rsidR="00DA659A" w:rsidRPr="002927A1" w:rsidRDefault="00BF4B4F"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 xml:space="preserve">Fondo </w:t>
            </w:r>
            <w:r w:rsidR="00A60CBD" w:rsidRPr="002927A1">
              <w:rPr>
                <w:bCs/>
                <w:i/>
                <w:color w:val="000000"/>
                <w:sz w:val="18"/>
                <w:szCs w:val="18"/>
                <w:lang w:eastAsia="zh-CN"/>
              </w:rPr>
              <w:t>fiduciario</w:t>
            </w:r>
            <w:r w:rsidRPr="002927A1">
              <w:rPr>
                <w:bCs/>
                <w:i/>
                <w:color w:val="000000"/>
                <w:sz w:val="18"/>
                <w:szCs w:val="18"/>
                <w:lang w:eastAsia="zh-CN"/>
              </w:rPr>
              <w:t xml:space="preserve"> general</w:t>
            </w:r>
          </w:p>
        </w:tc>
        <w:tc>
          <w:tcPr>
            <w:tcW w:w="1025" w:type="dxa"/>
            <w:tcBorders>
              <w:bottom w:val="single" w:sz="12" w:space="0" w:color="000000" w:themeColor="text1"/>
            </w:tcBorders>
            <w:shd w:val="clear" w:color="auto" w:fill="auto"/>
            <w:hideMark/>
          </w:tcPr>
          <w:p w14:paraId="29524760" w14:textId="28FECE1B" w:rsidR="00DA659A" w:rsidRPr="002927A1" w:rsidRDefault="00BF4B4F" w:rsidP="00D41D02">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Fondo fiduciario especial</w:t>
            </w:r>
          </w:p>
        </w:tc>
      </w:tr>
      <w:tr w:rsidR="00DA659A" w:rsidRPr="002927A1" w14:paraId="2EDAF730" w14:textId="77777777" w:rsidTr="008C5A39">
        <w:trPr>
          <w:trHeight w:val="57"/>
        </w:trPr>
        <w:tc>
          <w:tcPr>
            <w:tcW w:w="927" w:type="dxa"/>
            <w:tcBorders>
              <w:top w:val="single" w:sz="12" w:space="0" w:color="000000" w:themeColor="text1"/>
            </w:tcBorders>
            <w:shd w:val="clear" w:color="auto" w:fill="auto"/>
            <w:noWrap/>
            <w:hideMark/>
          </w:tcPr>
          <w:p w14:paraId="27924DCF"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A.</w:t>
            </w:r>
          </w:p>
        </w:tc>
        <w:tc>
          <w:tcPr>
            <w:tcW w:w="3638" w:type="dxa"/>
            <w:tcBorders>
              <w:top w:val="single" w:sz="12" w:space="0" w:color="000000" w:themeColor="text1"/>
            </w:tcBorders>
            <w:shd w:val="clear" w:color="auto" w:fill="auto"/>
            <w:noWrap/>
            <w:hideMark/>
          </w:tcPr>
          <w:p w14:paraId="32BFD27F" w14:textId="16C6249E" w:rsidR="00DA659A" w:rsidRPr="002927A1" w:rsidRDefault="00DA659A"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Conferenc</w:t>
            </w:r>
            <w:r w:rsidR="00BF4B4F" w:rsidRPr="002927A1">
              <w:rPr>
                <w:b/>
                <w:bCs/>
                <w:color w:val="000000"/>
                <w:sz w:val="18"/>
                <w:szCs w:val="18"/>
                <w:lang w:eastAsia="zh-CN"/>
              </w:rPr>
              <w:t>ias y reuniones</w:t>
            </w:r>
          </w:p>
        </w:tc>
        <w:tc>
          <w:tcPr>
            <w:tcW w:w="1134" w:type="dxa"/>
            <w:tcBorders>
              <w:top w:val="single" w:sz="12" w:space="0" w:color="000000" w:themeColor="text1"/>
            </w:tcBorders>
            <w:shd w:val="clear" w:color="auto" w:fill="auto"/>
            <w:noWrap/>
            <w:hideMark/>
          </w:tcPr>
          <w:p w14:paraId="03FB12E1"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12" w:space="0" w:color="000000" w:themeColor="text1"/>
            </w:tcBorders>
            <w:shd w:val="clear" w:color="auto" w:fill="auto"/>
            <w:noWrap/>
            <w:hideMark/>
          </w:tcPr>
          <w:p w14:paraId="520FF2D1"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12" w:space="0" w:color="000000" w:themeColor="text1"/>
            </w:tcBorders>
            <w:shd w:val="clear" w:color="auto" w:fill="auto"/>
            <w:noWrap/>
            <w:hideMark/>
          </w:tcPr>
          <w:p w14:paraId="48E314CA"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12" w:space="0" w:color="000000" w:themeColor="text1"/>
            </w:tcBorders>
            <w:shd w:val="clear" w:color="auto" w:fill="auto"/>
            <w:noWrap/>
            <w:hideMark/>
          </w:tcPr>
          <w:p w14:paraId="4AA1738E"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2E2EF333" w14:textId="77777777" w:rsidTr="008C5A39">
        <w:trPr>
          <w:trHeight w:val="57"/>
        </w:trPr>
        <w:tc>
          <w:tcPr>
            <w:tcW w:w="927" w:type="dxa"/>
            <w:shd w:val="clear" w:color="auto" w:fill="auto"/>
            <w:noWrap/>
            <w:hideMark/>
          </w:tcPr>
          <w:p w14:paraId="2149B5CB"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w:t>
            </w:r>
          </w:p>
        </w:tc>
        <w:tc>
          <w:tcPr>
            <w:tcW w:w="3638" w:type="dxa"/>
            <w:shd w:val="clear" w:color="000000" w:fill="FFFFFF"/>
            <w:noWrap/>
            <w:hideMark/>
          </w:tcPr>
          <w:p w14:paraId="23CFFFEB" w14:textId="4824A093" w:rsidR="00DA659A" w:rsidRPr="002927A1" w:rsidRDefault="00BF4B4F"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Cuarta reunión de la </w:t>
            </w:r>
            <w:r w:rsidR="00DA659A" w:rsidRPr="002927A1">
              <w:rPr>
                <w:b/>
                <w:bCs/>
                <w:color w:val="000000"/>
                <w:sz w:val="18"/>
                <w:szCs w:val="18"/>
                <w:lang w:eastAsia="zh-CN"/>
              </w:rPr>
              <w:t>Conferenc</w:t>
            </w:r>
            <w:r w:rsidRPr="002927A1">
              <w:rPr>
                <w:b/>
                <w:bCs/>
                <w:color w:val="000000"/>
                <w:sz w:val="18"/>
                <w:szCs w:val="18"/>
                <w:lang w:eastAsia="zh-CN"/>
              </w:rPr>
              <w:t>ia de las Partes</w:t>
            </w:r>
          </w:p>
        </w:tc>
        <w:tc>
          <w:tcPr>
            <w:tcW w:w="1134" w:type="dxa"/>
            <w:shd w:val="clear" w:color="auto" w:fill="auto"/>
            <w:noWrap/>
            <w:hideMark/>
          </w:tcPr>
          <w:p w14:paraId="7D99A5AC"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A75A662"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5E7CAA7B"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6FA52951"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08721C2" w14:textId="77777777" w:rsidTr="008C5A39">
        <w:trPr>
          <w:trHeight w:val="57"/>
        </w:trPr>
        <w:tc>
          <w:tcPr>
            <w:tcW w:w="927" w:type="dxa"/>
            <w:shd w:val="clear" w:color="auto" w:fill="auto"/>
            <w:noWrap/>
            <w:hideMark/>
          </w:tcPr>
          <w:p w14:paraId="5A34BF39"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3498C36D" w14:textId="2F7ABDFC" w:rsidR="00DA659A" w:rsidRPr="002927A1" w:rsidRDefault="00DA659A" w:rsidP="00D41D02">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1.1 </w:t>
            </w:r>
            <w:r w:rsidR="00A60CBD" w:rsidRPr="002927A1">
              <w:rPr>
                <w:color w:val="000000"/>
                <w:sz w:val="18"/>
                <w:szCs w:val="18"/>
                <w:lang w:val="es-ES_tradnl" w:eastAsia="zh-CN"/>
              </w:rPr>
              <w:t>Cuarta reunión</w:t>
            </w:r>
          </w:p>
        </w:tc>
        <w:tc>
          <w:tcPr>
            <w:tcW w:w="1134" w:type="dxa"/>
            <w:shd w:val="clear" w:color="auto" w:fill="auto"/>
            <w:noWrap/>
            <w:hideMark/>
          </w:tcPr>
          <w:p w14:paraId="638DFEA4"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596ED5CF"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0C0D4630" w14:textId="77E73E0C"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r w:rsidR="00F22360" w:rsidRPr="002927A1">
              <w:rPr>
                <w:color w:val="000000"/>
                <w:sz w:val="18"/>
                <w:szCs w:val="18"/>
                <w:lang w:eastAsia="zh-CN"/>
              </w:rPr>
              <w:t xml:space="preserve"> </w:t>
            </w:r>
            <w:r w:rsidRPr="002927A1">
              <w:rPr>
                <w:color w:val="000000"/>
                <w:sz w:val="18"/>
                <w:szCs w:val="18"/>
                <w:lang w:eastAsia="zh-CN"/>
              </w:rPr>
              <w:t>055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shd w:val="clear" w:color="auto" w:fill="auto"/>
            <w:noWrap/>
            <w:hideMark/>
          </w:tcPr>
          <w:p w14:paraId="744A46B2" w14:textId="528A5F46"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425</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6806C8B2" w14:textId="77777777" w:rsidTr="008C5A39">
        <w:trPr>
          <w:trHeight w:val="57"/>
        </w:trPr>
        <w:tc>
          <w:tcPr>
            <w:tcW w:w="927" w:type="dxa"/>
            <w:shd w:val="clear" w:color="auto" w:fill="auto"/>
            <w:noWrap/>
            <w:hideMark/>
          </w:tcPr>
          <w:p w14:paraId="3B26FC7F"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61B178FD" w14:textId="74101731" w:rsidR="00DA659A" w:rsidRPr="002927A1" w:rsidRDefault="00DA659A" w:rsidP="00D41D02">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1.2 </w:t>
            </w:r>
            <w:r w:rsidR="00BF4B4F" w:rsidRPr="002927A1">
              <w:rPr>
                <w:sz w:val="17"/>
                <w:szCs w:val="17"/>
                <w:lang w:val="es-ES_tradnl"/>
              </w:rPr>
              <w:t xml:space="preserve">Reuniones </w:t>
            </w:r>
            <w:r w:rsidR="00BF4B4F" w:rsidRPr="002927A1">
              <w:rPr>
                <w:color w:val="000000"/>
                <w:sz w:val="18"/>
                <w:szCs w:val="18"/>
                <w:lang w:val="es-ES_tradnl" w:eastAsia="zh-CN"/>
              </w:rPr>
              <w:t>preparatorias</w:t>
            </w:r>
            <w:r w:rsidR="00BF4B4F" w:rsidRPr="002927A1">
              <w:rPr>
                <w:sz w:val="17"/>
                <w:szCs w:val="17"/>
                <w:lang w:val="es-ES_tradnl"/>
              </w:rPr>
              <w:t xml:space="preserve"> regionales</w:t>
            </w:r>
          </w:p>
        </w:tc>
        <w:tc>
          <w:tcPr>
            <w:tcW w:w="1134" w:type="dxa"/>
            <w:shd w:val="clear" w:color="auto" w:fill="auto"/>
            <w:noWrap/>
            <w:hideMark/>
          </w:tcPr>
          <w:p w14:paraId="707B6E7B"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4A4A4617"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1E6FBF4B"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00A590B" w14:textId="7EBCAF91"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420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2F423F6B" w14:textId="77777777" w:rsidTr="008C5A39">
        <w:trPr>
          <w:trHeight w:val="57"/>
        </w:trPr>
        <w:tc>
          <w:tcPr>
            <w:tcW w:w="927" w:type="dxa"/>
            <w:tcBorders>
              <w:bottom w:val="single" w:sz="4" w:space="0" w:color="000000" w:themeColor="text1"/>
            </w:tcBorders>
            <w:shd w:val="clear" w:color="auto" w:fill="auto"/>
            <w:noWrap/>
            <w:hideMark/>
          </w:tcPr>
          <w:p w14:paraId="674E3C5D"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hideMark/>
          </w:tcPr>
          <w:p w14:paraId="3F6EA49C" w14:textId="1F4C69AF" w:rsidR="00DA659A" w:rsidRPr="002927A1" w:rsidRDefault="00DA659A" w:rsidP="00D41D02">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1</w:t>
            </w:r>
            <w:r w:rsidRPr="002927A1">
              <w:rPr>
                <w:sz w:val="18"/>
                <w:szCs w:val="18"/>
                <w:lang w:val="es-ES_tradnl" w:eastAsia="zh-CN"/>
              </w:rPr>
              <w:t xml:space="preserve">.3 </w:t>
            </w:r>
            <w:r w:rsidR="00BF4B4F" w:rsidRPr="002927A1">
              <w:rPr>
                <w:sz w:val="18"/>
                <w:szCs w:val="18"/>
                <w:lang w:val="es-ES_tradnl" w:eastAsia="zh-CN"/>
              </w:rPr>
              <w:t>Grupos de expertos entre reuniones, de</w:t>
            </w:r>
            <w:r w:rsidR="007D149F" w:rsidRPr="002927A1">
              <w:rPr>
                <w:sz w:val="18"/>
                <w:szCs w:val="18"/>
                <w:lang w:val="es-ES_tradnl" w:eastAsia="zh-CN"/>
              </w:rPr>
              <w:t xml:space="preserve"> </w:t>
            </w:r>
            <w:r w:rsidR="00BF4B4F" w:rsidRPr="002927A1">
              <w:rPr>
                <w:sz w:val="18"/>
                <w:szCs w:val="18"/>
                <w:lang w:val="es-ES_tradnl" w:eastAsia="zh-CN"/>
              </w:rPr>
              <w:t>duración limitada, establecidos por la Conferencia de las Partes</w:t>
            </w:r>
          </w:p>
        </w:tc>
        <w:tc>
          <w:tcPr>
            <w:tcW w:w="1134" w:type="dxa"/>
            <w:tcBorders>
              <w:bottom w:val="single" w:sz="4" w:space="0" w:color="000000" w:themeColor="text1"/>
            </w:tcBorders>
            <w:shd w:val="clear" w:color="auto" w:fill="auto"/>
            <w:noWrap/>
            <w:hideMark/>
          </w:tcPr>
          <w:p w14:paraId="12ADD2EF" w14:textId="1270C3F1"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100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tcBorders>
              <w:bottom w:val="single" w:sz="4" w:space="0" w:color="000000" w:themeColor="text1"/>
            </w:tcBorders>
            <w:shd w:val="clear" w:color="auto" w:fill="auto"/>
            <w:noWrap/>
            <w:hideMark/>
          </w:tcPr>
          <w:p w14:paraId="3181E1A2" w14:textId="79B6DD5A"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85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5EB9D047"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sz w:val="18"/>
                <w:szCs w:val="18"/>
                <w:lang w:eastAsia="zh-CN"/>
              </w:rPr>
            </w:pPr>
            <w:r w:rsidRPr="002927A1">
              <w:rPr>
                <w:sz w:val="18"/>
                <w:szCs w:val="18"/>
                <w:lang w:eastAsia="zh-CN"/>
              </w:rPr>
              <w:t> </w:t>
            </w:r>
          </w:p>
        </w:tc>
        <w:tc>
          <w:tcPr>
            <w:tcW w:w="1025" w:type="dxa"/>
            <w:tcBorders>
              <w:bottom w:val="single" w:sz="4" w:space="0" w:color="000000" w:themeColor="text1"/>
            </w:tcBorders>
            <w:shd w:val="clear" w:color="auto" w:fill="auto"/>
            <w:noWrap/>
            <w:hideMark/>
          </w:tcPr>
          <w:p w14:paraId="19781820" w14:textId="7E6C2AD2" w:rsidR="00DA659A" w:rsidRPr="002927A1" w:rsidRDefault="00DA659A" w:rsidP="008C5A39">
            <w:pPr>
              <w:keepNext/>
              <w:keepLines/>
              <w:tabs>
                <w:tab w:val="clear" w:pos="1247"/>
                <w:tab w:val="clear" w:pos="1814"/>
                <w:tab w:val="clear" w:pos="2381"/>
                <w:tab w:val="clear" w:pos="2948"/>
                <w:tab w:val="clear" w:pos="3515"/>
              </w:tabs>
              <w:spacing w:before="40" w:after="40"/>
              <w:jc w:val="right"/>
              <w:rPr>
                <w:sz w:val="18"/>
                <w:szCs w:val="18"/>
                <w:lang w:eastAsia="zh-CN"/>
              </w:rPr>
            </w:pPr>
            <w:r w:rsidRPr="002927A1">
              <w:rPr>
                <w:sz w:val="18"/>
                <w:szCs w:val="18"/>
                <w:lang w:eastAsia="zh-CN"/>
              </w:rPr>
              <w:t>100</w:t>
            </w:r>
            <w:r w:rsidR="00F22360" w:rsidRPr="002927A1">
              <w:rPr>
                <w:sz w:val="18"/>
                <w:szCs w:val="18"/>
                <w:lang w:eastAsia="zh-CN"/>
              </w:rPr>
              <w:t xml:space="preserve"> </w:t>
            </w:r>
            <w:r w:rsidRPr="002927A1">
              <w:rPr>
                <w:sz w:val="18"/>
                <w:szCs w:val="18"/>
                <w:lang w:eastAsia="zh-CN"/>
              </w:rPr>
              <w:t xml:space="preserve">000 </w:t>
            </w:r>
          </w:p>
        </w:tc>
      </w:tr>
      <w:tr w:rsidR="00DA659A" w:rsidRPr="002927A1" w14:paraId="6C2BB300"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1B87C3C4"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26DEC27" w14:textId="36D8D4F6" w:rsidR="00DA659A" w:rsidRPr="002927A1" w:rsidRDefault="00BF4B4F"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w:t>
            </w:r>
            <w:r w:rsidR="00DA659A" w:rsidRPr="002927A1">
              <w:rPr>
                <w:b/>
                <w:bCs/>
                <w:color w:val="000000"/>
                <w:sz w:val="18"/>
                <w:szCs w:val="18"/>
                <w:lang w:eastAsia="zh-CN"/>
              </w:rPr>
              <w:t>omponent</w:t>
            </w:r>
            <w:r w:rsidRPr="002927A1">
              <w:rPr>
                <w:b/>
                <w:bCs/>
                <w:color w:val="000000"/>
                <w:sz w:val="18"/>
                <w:szCs w:val="18"/>
                <w:lang w:eastAsia="zh-CN"/>
              </w:rPr>
              <w:t>e</w:t>
            </w:r>
          </w:p>
        </w:tc>
        <w:tc>
          <w:tcPr>
            <w:tcW w:w="1134" w:type="dxa"/>
            <w:tcBorders>
              <w:top w:val="single" w:sz="4" w:space="0" w:color="000000" w:themeColor="text1"/>
              <w:bottom w:val="single" w:sz="4" w:space="0" w:color="000000" w:themeColor="text1"/>
            </w:tcBorders>
            <w:shd w:val="clear" w:color="auto" w:fill="auto"/>
            <w:noWrap/>
            <w:hideMark/>
          </w:tcPr>
          <w:p w14:paraId="0E09659E" w14:textId="6AEE131A"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100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198C22E3" w14:textId="70316C3B"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85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302312B1" w14:textId="04F319DE"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w:t>
            </w:r>
            <w:r w:rsidR="00F22360" w:rsidRPr="002927A1">
              <w:rPr>
                <w:b/>
                <w:bCs/>
                <w:color w:val="000000"/>
                <w:sz w:val="18"/>
                <w:szCs w:val="18"/>
                <w:lang w:eastAsia="zh-CN"/>
              </w:rPr>
              <w:t xml:space="preserve"> </w:t>
            </w:r>
            <w:r w:rsidRPr="002927A1">
              <w:rPr>
                <w:b/>
                <w:bCs/>
                <w:color w:val="000000"/>
                <w:sz w:val="18"/>
                <w:szCs w:val="18"/>
                <w:lang w:eastAsia="zh-CN"/>
              </w:rPr>
              <w:t>055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4C90DAEE" w14:textId="133C0ABC"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945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5C62B1EB" w14:textId="77777777" w:rsidTr="008C5A39">
        <w:trPr>
          <w:trHeight w:val="57"/>
        </w:trPr>
        <w:tc>
          <w:tcPr>
            <w:tcW w:w="927" w:type="dxa"/>
            <w:tcBorders>
              <w:top w:val="single" w:sz="4" w:space="0" w:color="000000" w:themeColor="text1"/>
            </w:tcBorders>
            <w:shd w:val="clear" w:color="auto" w:fill="auto"/>
            <w:noWrap/>
            <w:hideMark/>
          </w:tcPr>
          <w:p w14:paraId="637EFF55"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2</w:t>
            </w:r>
          </w:p>
        </w:tc>
        <w:tc>
          <w:tcPr>
            <w:tcW w:w="3638" w:type="dxa"/>
            <w:tcBorders>
              <w:top w:val="single" w:sz="4" w:space="0" w:color="000000" w:themeColor="text1"/>
            </w:tcBorders>
            <w:shd w:val="clear" w:color="auto" w:fill="auto"/>
            <w:noWrap/>
            <w:hideMark/>
          </w:tcPr>
          <w:p w14:paraId="1A16554B" w14:textId="07210E4C" w:rsidR="00DA659A" w:rsidRPr="002927A1" w:rsidRDefault="00BF4B4F"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Mesa de la </w:t>
            </w:r>
            <w:r w:rsidR="00DA659A" w:rsidRPr="002927A1">
              <w:rPr>
                <w:b/>
                <w:bCs/>
                <w:color w:val="000000"/>
                <w:sz w:val="18"/>
                <w:szCs w:val="18"/>
                <w:lang w:eastAsia="zh-CN"/>
              </w:rPr>
              <w:t>Conferenc</w:t>
            </w:r>
            <w:r w:rsidRPr="002927A1">
              <w:rPr>
                <w:b/>
                <w:bCs/>
                <w:color w:val="000000"/>
                <w:sz w:val="18"/>
                <w:szCs w:val="18"/>
                <w:lang w:eastAsia="zh-CN"/>
              </w:rPr>
              <w:t>ia de las Part</w:t>
            </w:r>
            <w:r w:rsidR="00DA659A" w:rsidRPr="002927A1">
              <w:rPr>
                <w:b/>
                <w:bCs/>
                <w:color w:val="000000"/>
                <w:sz w:val="18"/>
                <w:szCs w:val="18"/>
                <w:lang w:eastAsia="zh-CN"/>
              </w:rPr>
              <w:t>es</w:t>
            </w:r>
          </w:p>
        </w:tc>
        <w:tc>
          <w:tcPr>
            <w:tcW w:w="1134" w:type="dxa"/>
            <w:tcBorders>
              <w:top w:val="single" w:sz="4" w:space="0" w:color="000000" w:themeColor="text1"/>
            </w:tcBorders>
            <w:shd w:val="clear" w:color="auto" w:fill="auto"/>
            <w:noWrap/>
            <w:hideMark/>
          </w:tcPr>
          <w:p w14:paraId="65D2E9EC"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6764EE1B"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60F66D0"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37E80DB5"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40257B59" w14:textId="77777777" w:rsidTr="008C5A39">
        <w:trPr>
          <w:trHeight w:val="57"/>
        </w:trPr>
        <w:tc>
          <w:tcPr>
            <w:tcW w:w="927" w:type="dxa"/>
            <w:tcBorders>
              <w:bottom w:val="single" w:sz="4" w:space="0" w:color="000000" w:themeColor="text1"/>
            </w:tcBorders>
            <w:shd w:val="clear" w:color="auto" w:fill="auto"/>
            <w:noWrap/>
            <w:hideMark/>
          </w:tcPr>
          <w:p w14:paraId="5150640E"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141B4534" w14:textId="6413566E" w:rsidR="00DA659A" w:rsidRPr="002927A1" w:rsidRDefault="00DA659A" w:rsidP="00D41D02">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2.1 </w:t>
            </w:r>
            <w:r w:rsidR="00BF4B4F" w:rsidRPr="002927A1">
              <w:rPr>
                <w:color w:val="000000"/>
                <w:sz w:val="18"/>
                <w:szCs w:val="18"/>
                <w:lang w:val="es-ES_tradnl" w:eastAsia="zh-CN"/>
              </w:rPr>
              <w:t>Reunión de la Mesa</w:t>
            </w:r>
          </w:p>
        </w:tc>
        <w:tc>
          <w:tcPr>
            <w:tcW w:w="1134" w:type="dxa"/>
            <w:tcBorders>
              <w:bottom w:val="single" w:sz="4" w:space="0" w:color="000000" w:themeColor="text1"/>
            </w:tcBorders>
            <w:shd w:val="clear" w:color="auto" w:fill="auto"/>
            <w:noWrap/>
            <w:hideMark/>
          </w:tcPr>
          <w:p w14:paraId="753AA6BE"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p>
        </w:tc>
        <w:tc>
          <w:tcPr>
            <w:tcW w:w="992" w:type="dxa"/>
            <w:tcBorders>
              <w:bottom w:val="single" w:sz="4" w:space="0" w:color="000000" w:themeColor="text1"/>
            </w:tcBorders>
            <w:shd w:val="clear" w:color="auto" w:fill="auto"/>
            <w:noWrap/>
            <w:hideMark/>
          </w:tcPr>
          <w:p w14:paraId="661BB278"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4F9A91B7" w14:textId="241A23B1"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26</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77D4F770"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34D3F9E7"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78F9E251"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256C273A" w14:textId="6D015EF8" w:rsidR="00DA659A" w:rsidRPr="002927A1" w:rsidRDefault="00BF4B4F"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4129A1D4"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75321FF9"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1F018B1F" w14:textId="0BAB41EF"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26</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1942DAE3"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DA659A" w:rsidRPr="002927A1" w14:paraId="1A0E9DCD" w14:textId="77777777" w:rsidTr="008C5A39">
        <w:trPr>
          <w:trHeight w:val="57"/>
        </w:trPr>
        <w:tc>
          <w:tcPr>
            <w:tcW w:w="927" w:type="dxa"/>
            <w:tcBorders>
              <w:top w:val="single" w:sz="4" w:space="0" w:color="000000" w:themeColor="text1"/>
            </w:tcBorders>
            <w:shd w:val="clear" w:color="auto" w:fill="auto"/>
            <w:noWrap/>
            <w:hideMark/>
          </w:tcPr>
          <w:p w14:paraId="4326D8AD" w14:textId="77777777" w:rsidR="00DA659A" w:rsidRPr="002927A1" w:rsidRDefault="00DA659A" w:rsidP="00D41D02">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3</w:t>
            </w:r>
          </w:p>
        </w:tc>
        <w:tc>
          <w:tcPr>
            <w:tcW w:w="3638" w:type="dxa"/>
            <w:tcBorders>
              <w:top w:val="single" w:sz="4" w:space="0" w:color="000000" w:themeColor="text1"/>
            </w:tcBorders>
            <w:shd w:val="clear" w:color="auto" w:fill="auto"/>
            <w:noWrap/>
            <w:hideMark/>
          </w:tcPr>
          <w:p w14:paraId="445342CF" w14:textId="7AF06323" w:rsidR="00DA659A" w:rsidRPr="002927A1" w:rsidRDefault="00BF4B4F" w:rsidP="00D41D02">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Comité de Aplicación y Cumplimiento</w:t>
            </w:r>
          </w:p>
        </w:tc>
        <w:tc>
          <w:tcPr>
            <w:tcW w:w="1134" w:type="dxa"/>
            <w:tcBorders>
              <w:top w:val="single" w:sz="4" w:space="0" w:color="000000" w:themeColor="text1"/>
            </w:tcBorders>
            <w:shd w:val="clear" w:color="auto" w:fill="auto"/>
            <w:noWrap/>
            <w:hideMark/>
          </w:tcPr>
          <w:p w14:paraId="4936D07F"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6E9750C"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553C3030"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011191AF" w14:textId="77777777" w:rsidR="00DA659A" w:rsidRPr="002927A1" w:rsidRDefault="00DA659A" w:rsidP="008C5A39">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1E248D58" w14:textId="77777777" w:rsidTr="008C5A39">
        <w:trPr>
          <w:trHeight w:val="57"/>
        </w:trPr>
        <w:tc>
          <w:tcPr>
            <w:tcW w:w="927" w:type="dxa"/>
            <w:tcBorders>
              <w:bottom w:val="single" w:sz="4" w:space="0" w:color="000000" w:themeColor="text1"/>
            </w:tcBorders>
            <w:shd w:val="clear" w:color="auto" w:fill="auto"/>
            <w:noWrap/>
            <w:hideMark/>
          </w:tcPr>
          <w:p w14:paraId="3DC86FEE"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4D7AD41D" w14:textId="09F4CC50" w:rsidR="00DA659A" w:rsidRPr="002927A1" w:rsidRDefault="00DA659A" w:rsidP="00ED1B1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3.1 </w:t>
            </w:r>
            <w:r w:rsidR="00BF4B4F" w:rsidRPr="002927A1">
              <w:rPr>
                <w:color w:val="000000"/>
                <w:sz w:val="18"/>
                <w:szCs w:val="18"/>
                <w:lang w:val="es-ES_tradnl" w:eastAsia="zh-CN"/>
              </w:rPr>
              <w:t>Reunión del Comité</w:t>
            </w:r>
          </w:p>
        </w:tc>
        <w:tc>
          <w:tcPr>
            <w:tcW w:w="1134" w:type="dxa"/>
            <w:tcBorders>
              <w:bottom w:val="single" w:sz="4" w:space="0" w:color="000000" w:themeColor="text1"/>
            </w:tcBorders>
            <w:shd w:val="clear" w:color="auto" w:fill="auto"/>
            <w:noWrap/>
            <w:hideMark/>
          </w:tcPr>
          <w:p w14:paraId="7C284C2D"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30FF4CE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4D367C82" w14:textId="68ED3752"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53</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3E53565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3306A265"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7B4F29DA"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27059BF0" w14:textId="359656AF" w:rsidR="00DA659A" w:rsidRPr="002927A1" w:rsidRDefault="00BF4B4F"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1D3C16E3"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2546CDFF"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285966B6" w14:textId="69A6D692"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53</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08C61B01"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DA659A" w:rsidRPr="002927A1" w14:paraId="4170A8CE"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2090DCE7"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70774615"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(A)</w:t>
            </w:r>
          </w:p>
        </w:tc>
        <w:tc>
          <w:tcPr>
            <w:tcW w:w="1134" w:type="dxa"/>
            <w:tcBorders>
              <w:top w:val="single" w:sz="4" w:space="0" w:color="000000" w:themeColor="text1"/>
              <w:bottom w:val="single" w:sz="4" w:space="0" w:color="000000" w:themeColor="text1"/>
            </w:tcBorders>
            <w:shd w:val="clear" w:color="auto" w:fill="auto"/>
            <w:noWrap/>
            <w:hideMark/>
          </w:tcPr>
          <w:p w14:paraId="2AC88E5D" w14:textId="3D1F9A53"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100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6B0A4DA4" w14:textId="28BEEED8"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85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05516DD7" w14:textId="6C72A83D"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w:t>
            </w:r>
            <w:r w:rsidR="00F22360" w:rsidRPr="002927A1">
              <w:rPr>
                <w:b/>
                <w:bCs/>
                <w:color w:val="000000"/>
                <w:sz w:val="18"/>
                <w:szCs w:val="18"/>
                <w:lang w:eastAsia="zh-CN"/>
              </w:rPr>
              <w:t xml:space="preserve"> </w:t>
            </w:r>
            <w:r w:rsidRPr="002927A1">
              <w:rPr>
                <w:b/>
                <w:bCs/>
                <w:color w:val="000000"/>
                <w:sz w:val="18"/>
                <w:szCs w:val="18"/>
                <w:lang w:eastAsia="zh-CN"/>
              </w:rPr>
              <w:t>134</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1FEF7BE4" w14:textId="4B8AF544"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945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34429D74" w14:textId="77777777" w:rsidTr="008C5A39">
        <w:trPr>
          <w:trHeight w:val="57"/>
        </w:trPr>
        <w:tc>
          <w:tcPr>
            <w:tcW w:w="927" w:type="dxa"/>
            <w:tcBorders>
              <w:top w:val="single" w:sz="4" w:space="0" w:color="000000" w:themeColor="text1"/>
            </w:tcBorders>
            <w:shd w:val="clear" w:color="auto" w:fill="auto"/>
            <w:noWrap/>
            <w:hideMark/>
          </w:tcPr>
          <w:p w14:paraId="1A08AB8C"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B.</w:t>
            </w:r>
          </w:p>
        </w:tc>
        <w:tc>
          <w:tcPr>
            <w:tcW w:w="3638" w:type="dxa"/>
            <w:tcBorders>
              <w:top w:val="single" w:sz="4" w:space="0" w:color="000000" w:themeColor="text1"/>
            </w:tcBorders>
            <w:shd w:val="clear" w:color="auto" w:fill="auto"/>
            <w:noWrap/>
            <w:hideMark/>
          </w:tcPr>
          <w:p w14:paraId="59A9E2FD" w14:textId="6B18A454" w:rsidR="00DA659A" w:rsidRPr="002927A1" w:rsidRDefault="00BF4B4F"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Creación de capacidad y asistencia técnica</w:t>
            </w:r>
          </w:p>
        </w:tc>
        <w:tc>
          <w:tcPr>
            <w:tcW w:w="1134" w:type="dxa"/>
            <w:tcBorders>
              <w:top w:val="single" w:sz="4" w:space="0" w:color="000000" w:themeColor="text1"/>
            </w:tcBorders>
            <w:shd w:val="clear" w:color="auto" w:fill="auto"/>
            <w:noWrap/>
            <w:hideMark/>
          </w:tcPr>
          <w:p w14:paraId="6575E88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7766CDC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3DF1F8E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06E5ADA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796A461A" w14:textId="77777777" w:rsidTr="008C5A39">
        <w:trPr>
          <w:trHeight w:val="57"/>
        </w:trPr>
        <w:tc>
          <w:tcPr>
            <w:tcW w:w="927" w:type="dxa"/>
            <w:shd w:val="clear" w:color="auto" w:fill="auto"/>
            <w:noWrap/>
            <w:hideMark/>
          </w:tcPr>
          <w:p w14:paraId="7A9F4C2B"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4</w:t>
            </w:r>
          </w:p>
        </w:tc>
        <w:tc>
          <w:tcPr>
            <w:tcW w:w="3638" w:type="dxa"/>
            <w:shd w:val="clear" w:color="000000" w:fill="FFFFFF"/>
            <w:noWrap/>
            <w:hideMark/>
          </w:tcPr>
          <w:p w14:paraId="4C3A1671" w14:textId="2C3CE9CA" w:rsidR="00DA659A" w:rsidRPr="002927A1" w:rsidRDefault="00BF4B4F"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Programa de creación de capacidad y asistencia técnica del Convenio de Minamata</w:t>
            </w:r>
          </w:p>
        </w:tc>
        <w:tc>
          <w:tcPr>
            <w:tcW w:w="1134" w:type="dxa"/>
            <w:shd w:val="clear" w:color="auto" w:fill="auto"/>
            <w:noWrap/>
            <w:hideMark/>
          </w:tcPr>
          <w:p w14:paraId="6B7BBA9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4B27FB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4EDA33F8"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24089C8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71EEE6CB" w14:textId="77777777" w:rsidTr="008C5A39">
        <w:trPr>
          <w:trHeight w:val="57"/>
        </w:trPr>
        <w:tc>
          <w:tcPr>
            <w:tcW w:w="927" w:type="dxa"/>
            <w:shd w:val="clear" w:color="auto" w:fill="auto"/>
            <w:noWrap/>
            <w:hideMark/>
          </w:tcPr>
          <w:p w14:paraId="7D1049D4"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000000" w:fill="FFFFFF"/>
            <w:noWrap/>
            <w:hideMark/>
          </w:tcPr>
          <w:p w14:paraId="74ED49EA" w14:textId="36A01787" w:rsidR="00DA659A" w:rsidRPr="002927A1" w:rsidRDefault="00DA659A" w:rsidP="00ED1B1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4.1 </w:t>
            </w:r>
            <w:r w:rsidR="00BF4B4F" w:rsidRPr="002927A1">
              <w:rPr>
                <w:color w:val="000000"/>
                <w:sz w:val="18"/>
                <w:szCs w:val="18"/>
                <w:lang w:val="es-ES_tradnl" w:eastAsia="zh-CN"/>
              </w:rPr>
              <w:t>Instrumentos y metodologías</w:t>
            </w:r>
          </w:p>
        </w:tc>
        <w:tc>
          <w:tcPr>
            <w:tcW w:w="1134" w:type="dxa"/>
            <w:shd w:val="clear" w:color="auto" w:fill="auto"/>
            <w:noWrap/>
            <w:hideMark/>
          </w:tcPr>
          <w:p w14:paraId="4E39989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12A0633B" w14:textId="7BCE29B3"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40</w:t>
            </w:r>
            <w:r w:rsidR="001E1196"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2E0B77A5"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08F9CB0A" w14:textId="56A4A56E"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60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0208C898" w14:textId="77777777" w:rsidTr="008C5A39">
        <w:trPr>
          <w:trHeight w:val="57"/>
        </w:trPr>
        <w:tc>
          <w:tcPr>
            <w:tcW w:w="927" w:type="dxa"/>
            <w:shd w:val="clear" w:color="auto" w:fill="auto"/>
            <w:noWrap/>
            <w:hideMark/>
          </w:tcPr>
          <w:p w14:paraId="7518E15E"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568ADB71" w14:textId="0BD7C215" w:rsidR="00DA659A" w:rsidRPr="002927A1" w:rsidRDefault="00DA659A" w:rsidP="00ED1B1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4.2 </w:t>
            </w:r>
            <w:r w:rsidR="00BF4B4F" w:rsidRPr="002927A1">
              <w:rPr>
                <w:color w:val="000000"/>
                <w:sz w:val="18"/>
                <w:szCs w:val="18"/>
                <w:lang w:val="es-ES_tradnl" w:eastAsia="zh-CN"/>
              </w:rPr>
              <w:t>Actividades específicas de desarrollo de</w:t>
            </w:r>
            <w:r w:rsidR="00ED1B1A" w:rsidRPr="002927A1">
              <w:rPr>
                <w:color w:val="000000"/>
                <w:sz w:val="18"/>
                <w:szCs w:val="18"/>
                <w:lang w:val="es-ES_tradnl" w:eastAsia="zh-CN"/>
              </w:rPr>
              <w:t xml:space="preserve"> </w:t>
            </w:r>
            <w:r w:rsidR="00BF4B4F" w:rsidRPr="002927A1">
              <w:rPr>
                <w:color w:val="000000"/>
                <w:sz w:val="18"/>
                <w:szCs w:val="18"/>
                <w:lang w:val="es-ES_tradnl" w:eastAsia="zh-CN"/>
              </w:rPr>
              <w:t>la capacidad</w:t>
            </w:r>
          </w:p>
        </w:tc>
        <w:tc>
          <w:tcPr>
            <w:tcW w:w="1134" w:type="dxa"/>
            <w:shd w:val="clear" w:color="auto" w:fill="auto"/>
            <w:noWrap/>
            <w:hideMark/>
          </w:tcPr>
          <w:p w14:paraId="2811677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EBB7C9A" w14:textId="063E01AE"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270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39A7EC26"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7A1B3D3A" w14:textId="0FD1910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270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54894BBB" w14:textId="77777777" w:rsidTr="008C5A39">
        <w:trPr>
          <w:trHeight w:val="57"/>
        </w:trPr>
        <w:tc>
          <w:tcPr>
            <w:tcW w:w="927" w:type="dxa"/>
            <w:shd w:val="clear" w:color="auto" w:fill="auto"/>
            <w:noWrap/>
            <w:hideMark/>
          </w:tcPr>
          <w:p w14:paraId="26041FB3"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0740DD84" w14:textId="23240DAB" w:rsidR="00DA659A" w:rsidRPr="002927A1" w:rsidRDefault="00DA659A" w:rsidP="00ED1B1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4.3 </w:t>
            </w:r>
            <w:r w:rsidR="00BF4B4F" w:rsidRPr="002927A1">
              <w:rPr>
                <w:color w:val="000000"/>
                <w:sz w:val="18"/>
                <w:szCs w:val="18"/>
                <w:lang w:val="es-ES_tradnl" w:eastAsia="zh-CN"/>
              </w:rPr>
              <w:t>Actividades solicitadas de creación de</w:t>
            </w:r>
            <w:r w:rsidR="00ED1B1A" w:rsidRPr="002927A1">
              <w:rPr>
                <w:color w:val="000000"/>
                <w:sz w:val="18"/>
                <w:szCs w:val="18"/>
                <w:lang w:val="es-ES_tradnl" w:eastAsia="zh-CN"/>
              </w:rPr>
              <w:t xml:space="preserve"> </w:t>
            </w:r>
            <w:r w:rsidR="00BF4B4F" w:rsidRPr="002927A1">
              <w:rPr>
                <w:color w:val="000000"/>
                <w:sz w:val="18"/>
                <w:szCs w:val="18"/>
                <w:lang w:val="es-ES_tradnl" w:eastAsia="zh-CN"/>
              </w:rPr>
              <w:t>capacidad</w:t>
            </w:r>
          </w:p>
        </w:tc>
        <w:tc>
          <w:tcPr>
            <w:tcW w:w="1134" w:type="dxa"/>
            <w:shd w:val="clear" w:color="auto" w:fill="auto"/>
            <w:noWrap/>
            <w:hideMark/>
          </w:tcPr>
          <w:p w14:paraId="5E7EC00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F98E943" w14:textId="56AA592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683995B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043085CA" w14:textId="2F56F7A3"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90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25860388" w14:textId="77777777" w:rsidTr="008C5A39">
        <w:trPr>
          <w:trHeight w:val="57"/>
        </w:trPr>
        <w:tc>
          <w:tcPr>
            <w:tcW w:w="927" w:type="dxa"/>
            <w:tcBorders>
              <w:bottom w:val="single" w:sz="4" w:space="0" w:color="000000" w:themeColor="text1"/>
            </w:tcBorders>
            <w:shd w:val="clear" w:color="auto" w:fill="auto"/>
            <w:noWrap/>
            <w:hideMark/>
          </w:tcPr>
          <w:p w14:paraId="322B2B5D"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3D2B4DE0" w14:textId="53642C21" w:rsidR="00DA659A" w:rsidRPr="002927A1" w:rsidRDefault="00DA659A" w:rsidP="00ED1B1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4.4 </w:t>
            </w:r>
            <w:r w:rsidR="00BF4B4F" w:rsidRPr="002927A1">
              <w:rPr>
                <w:color w:val="000000"/>
                <w:sz w:val="18"/>
                <w:szCs w:val="18"/>
                <w:lang w:val="es-ES_tradnl" w:eastAsia="zh-CN"/>
              </w:rPr>
              <w:t>Actividades transversales</w:t>
            </w:r>
          </w:p>
        </w:tc>
        <w:tc>
          <w:tcPr>
            <w:tcW w:w="1134" w:type="dxa"/>
            <w:tcBorders>
              <w:bottom w:val="single" w:sz="4" w:space="0" w:color="000000" w:themeColor="text1"/>
            </w:tcBorders>
            <w:shd w:val="clear" w:color="auto" w:fill="auto"/>
            <w:noWrap/>
            <w:hideMark/>
          </w:tcPr>
          <w:p w14:paraId="415761F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50562788" w14:textId="1544AC3C"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230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14376E5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2D90C298" w14:textId="4F9AE6F5"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230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2D8FECDC"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214248BB"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06ECFCFD" w14:textId="39628D40" w:rsidR="00DA659A" w:rsidRPr="002927A1" w:rsidRDefault="00BF4B4F"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4CB21B39"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67CB4514" w14:textId="4A109F18"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585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7C25F544"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573F2C36" w14:textId="7FFECA7E"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650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20085B9F"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057E7437"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5F3D0F9C"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(B)</w:t>
            </w:r>
          </w:p>
        </w:tc>
        <w:tc>
          <w:tcPr>
            <w:tcW w:w="1134" w:type="dxa"/>
            <w:tcBorders>
              <w:top w:val="single" w:sz="4" w:space="0" w:color="000000" w:themeColor="text1"/>
              <w:bottom w:val="single" w:sz="4" w:space="0" w:color="000000" w:themeColor="text1"/>
            </w:tcBorders>
            <w:shd w:val="clear" w:color="auto" w:fill="auto"/>
            <w:noWrap/>
            <w:hideMark/>
          </w:tcPr>
          <w:p w14:paraId="448CC543"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67788343" w14:textId="0DFF4104"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585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15509F13"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50F3476F" w14:textId="5D9EBF8C"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650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708D1098" w14:textId="77777777" w:rsidTr="008C5A39">
        <w:trPr>
          <w:trHeight w:val="57"/>
        </w:trPr>
        <w:tc>
          <w:tcPr>
            <w:tcW w:w="927" w:type="dxa"/>
            <w:tcBorders>
              <w:top w:val="single" w:sz="4" w:space="0" w:color="000000" w:themeColor="text1"/>
            </w:tcBorders>
            <w:shd w:val="clear" w:color="auto" w:fill="auto"/>
            <w:noWrap/>
            <w:hideMark/>
          </w:tcPr>
          <w:p w14:paraId="7BAFA49F"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C.</w:t>
            </w:r>
          </w:p>
        </w:tc>
        <w:tc>
          <w:tcPr>
            <w:tcW w:w="3638" w:type="dxa"/>
            <w:tcBorders>
              <w:top w:val="single" w:sz="4" w:space="0" w:color="000000" w:themeColor="text1"/>
            </w:tcBorders>
            <w:shd w:val="clear" w:color="auto" w:fill="auto"/>
            <w:noWrap/>
            <w:hideMark/>
          </w:tcPr>
          <w:p w14:paraId="1C4B5B01" w14:textId="2387045B" w:rsidR="00DA659A" w:rsidRPr="002927A1" w:rsidRDefault="00BF4B4F"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Actividades científicas y técnicas</w:t>
            </w:r>
          </w:p>
        </w:tc>
        <w:tc>
          <w:tcPr>
            <w:tcW w:w="1134" w:type="dxa"/>
            <w:tcBorders>
              <w:top w:val="single" w:sz="4" w:space="0" w:color="000000" w:themeColor="text1"/>
            </w:tcBorders>
            <w:shd w:val="clear" w:color="auto" w:fill="auto"/>
            <w:noWrap/>
            <w:hideMark/>
          </w:tcPr>
          <w:p w14:paraId="11EEF6E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1783B978"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336EDC2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3EFFA5E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3D5F1441" w14:textId="77777777" w:rsidTr="008C5A39">
        <w:trPr>
          <w:trHeight w:val="57"/>
        </w:trPr>
        <w:tc>
          <w:tcPr>
            <w:tcW w:w="927" w:type="dxa"/>
            <w:shd w:val="clear" w:color="auto" w:fill="auto"/>
            <w:noWrap/>
            <w:hideMark/>
          </w:tcPr>
          <w:p w14:paraId="6EC28A75"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5</w:t>
            </w:r>
          </w:p>
        </w:tc>
        <w:tc>
          <w:tcPr>
            <w:tcW w:w="3638" w:type="dxa"/>
            <w:shd w:val="clear" w:color="auto" w:fill="auto"/>
            <w:noWrap/>
            <w:hideMark/>
          </w:tcPr>
          <w:p w14:paraId="3846926E" w14:textId="60D389B5" w:rsidR="00DA659A" w:rsidRPr="002927A1" w:rsidRDefault="00BF4B4F"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Apoyo científico a los Estados que son Partes en el Convenio de Minamata</w:t>
            </w:r>
          </w:p>
        </w:tc>
        <w:tc>
          <w:tcPr>
            <w:tcW w:w="1134" w:type="dxa"/>
            <w:shd w:val="clear" w:color="auto" w:fill="auto"/>
            <w:noWrap/>
            <w:hideMark/>
          </w:tcPr>
          <w:p w14:paraId="066C5D68"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648114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15CBE155"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9903C1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121A891" w14:textId="77777777" w:rsidTr="008C5A39">
        <w:trPr>
          <w:trHeight w:val="57"/>
        </w:trPr>
        <w:tc>
          <w:tcPr>
            <w:tcW w:w="927" w:type="dxa"/>
            <w:shd w:val="clear" w:color="auto" w:fill="auto"/>
            <w:noWrap/>
            <w:hideMark/>
          </w:tcPr>
          <w:p w14:paraId="0398D4CA"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1927EE53" w14:textId="3E0943F1" w:rsidR="00DA659A" w:rsidRPr="002927A1" w:rsidRDefault="00DA659A" w:rsidP="001E1196">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5.1 </w:t>
            </w:r>
            <w:r w:rsidR="001E1196" w:rsidRPr="002927A1">
              <w:rPr>
                <w:color w:val="000000"/>
                <w:sz w:val="18"/>
                <w:szCs w:val="18"/>
                <w:lang w:val="es-ES_tradnl" w:eastAsia="zh-CN"/>
              </w:rPr>
              <w:t>Reunión y análisis de información sobre códigos aduaneros, productos y procesos</w:t>
            </w:r>
          </w:p>
        </w:tc>
        <w:tc>
          <w:tcPr>
            <w:tcW w:w="1134" w:type="dxa"/>
            <w:shd w:val="clear" w:color="auto" w:fill="auto"/>
            <w:noWrap/>
            <w:hideMark/>
          </w:tcPr>
          <w:p w14:paraId="2BEEAEAF" w14:textId="3260E1BF"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shd w:val="clear" w:color="auto" w:fill="auto"/>
            <w:noWrap/>
            <w:hideMark/>
          </w:tcPr>
          <w:p w14:paraId="7EB042D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4B00448F" w14:textId="128C7556"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shd w:val="clear" w:color="auto" w:fill="auto"/>
            <w:noWrap/>
            <w:hideMark/>
          </w:tcPr>
          <w:p w14:paraId="64530CDF"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3CA4385E" w14:textId="77777777" w:rsidTr="008C5A39">
        <w:trPr>
          <w:trHeight w:val="57"/>
        </w:trPr>
        <w:tc>
          <w:tcPr>
            <w:tcW w:w="927" w:type="dxa"/>
            <w:shd w:val="clear" w:color="auto" w:fill="auto"/>
            <w:noWrap/>
            <w:hideMark/>
          </w:tcPr>
          <w:p w14:paraId="634CAF8B"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0FF764C8" w14:textId="51643574"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5.2 </w:t>
            </w:r>
            <w:r w:rsidR="001E1196" w:rsidRPr="002927A1">
              <w:rPr>
                <w:color w:val="000000"/>
                <w:sz w:val="18"/>
                <w:szCs w:val="18"/>
                <w:lang w:val="es-ES_tradnl" w:eastAsia="zh-CN"/>
              </w:rPr>
              <w:t>Actualización de la orientación sobre los</w:t>
            </w:r>
            <w:r w:rsidR="00617154" w:rsidRPr="002927A1">
              <w:rPr>
                <w:color w:val="000000"/>
                <w:sz w:val="18"/>
                <w:szCs w:val="18"/>
                <w:lang w:val="es-ES_tradnl" w:eastAsia="zh-CN"/>
              </w:rPr>
              <w:t> </w:t>
            </w:r>
            <w:r w:rsidR="001E1196" w:rsidRPr="002927A1">
              <w:rPr>
                <w:color w:val="000000"/>
                <w:sz w:val="18"/>
                <w:szCs w:val="18"/>
                <w:lang w:val="es-ES_tradnl" w:eastAsia="zh-CN"/>
              </w:rPr>
              <w:t>planes de acción nacionales en el ámbito de la extracción de oro artesanal y en pequeña escala</w:t>
            </w:r>
          </w:p>
        </w:tc>
        <w:tc>
          <w:tcPr>
            <w:tcW w:w="1134" w:type="dxa"/>
            <w:shd w:val="clear" w:color="auto" w:fill="auto"/>
            <w:noWrap/>
            <w:hideMark/>
          </w:tcPr>
          <w:p w14:paraId="20E1F4BF"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1776FDAF" w14:textId="32BC606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4AEEE230"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9682D72" w14:textId="008DE413"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5AC20429" w14:textId="77777777" w:rsidTr="008C5A39">
        <w:trPr>
          <w:trHeight w:val="57"/>
        </w:trPr>
        <w:tc>
          <w:tcPr>
            <w:tcW w:w="927" w:type="dxa"/>
            <w:shd w:val="clear" w:color="auto" w:fill="auto"/>
            <w:noWrap/>
            <w:hideMark/>
          </w:tcPr>
          <w:p w14:paraId="031352B5"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17589417" w14:textId="269B5908" w:rsidR="00DA659A" w:rsidRPr="002927A1" w:rsidRDefault="00DA659A" w:rsidP="001E1196">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5.3 </w:t>
            </w:r>
            <w:r w:rsidR="001E1196" w:rsidRPr="002927A1">
              <w:rPr>
                <w:color w:val="000000"/>
                <w:sz w:val="18"/>
                <w:szCs w:val="18"/>
                <w:lang w:val="es-ES_tradnl" w:eastAsia="zh-CN"/>
              </w:rPr>
              <w:t>Actualización/elaboración de una orientación sobre las emisiones/liberaciones de mercurio</w:t>
            </w:r>
          </w:p>
        </w:tc>
        <w:tc>
          <w:tcPr>
            <w:tcW w:w="1134" w:type="dxa"/>
            <w:shd w:val="clear" w:color="auto" w:fill="auto"/>
            <w:noWrap/>
            <w:hideMark/>
          </w:tcPr>
          <w:p w14:paraId="3C3601E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7EF32F89" w14:textId="774C78C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5273A550"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3999C25C" w14:textId="26479D9A"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55E0F7A9" w14:textId="77777777" w:rsidTr="008C5A39">
        <w:trPr>
          <w:trHeight w:val="57"/>
        </w:trPr>
        <w:tc>
          <w:tcPr>
            <w:tcW w:w="927" w:type="dxa"/>
            <w:shd w:val="clear" w:color="auto" w:fill="auto"/>
            <w:noWrap/>
            <w:hideMark/>
          </w:tcPr>
          <w:p w14:paraId="60267056"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3DB06C1C" w14:textId="0A45E160" w:rsidR="00DA659A" w:rsidRPr="002927A1" w:rsidRDefault="00DA659A" w:rsidP="001E1196">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5.4 </w:t>
            </w:r>
            <w:r w:rsidR="001E1196" w:rsidRPr="002927A1">
              <w:rPr>
                <w:color w:val="000000"/>
                <w:sz w:val="18"/>
                <w:szCs w:val="18"/>
                <w:lang w:val="es-ES_tradnl" w:eastAsia="zh-CN"/>
              </w:rPr>
              <w:t>Reunión y análisis de información sobre desechos de mercurio y sitios contaminados</w:t>
            </w:r>
          </w:p>
        </w:tc>
        <w:tc>
          <w:tcPr>
            <w:tcW w:w="1134" w:type="dxa"/>
            <w:shd w:val="clear" w:color="auto" w:fill="auto"/>
            <w:noWrap/>
            <w:hideMark/>
          </w:tcPr>
          <w:p w14:paraId="343031FC" w14:textId="036A5B9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shd w:val="clear" w:color="auto" w:fill="auto"/>
            <w:noWrap/>
            <w:hideMark/>
          </w:tcPr>
          <w:p w14:paraId="37FA52C9" w14:textId="6D9B77F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1946B261" w14:textId="469CDBB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shd w:val="clear" w:color="auto" w:fill="auto"/>
            <w:noWrap/>
            <w:hideMark/>
          </w:tcPr>
          <w:p w14:paraId="4835E00C" w14:textId="3AA34A4C"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3F8701FD" w14:textId="77777777" w:rsidTr="008C5A39">
        <w:trPr>
          <w:trHeight w:val="57"/>
        </w:trPr>
        <w:tc>
          <w:tcPr>
            <w:tcW w:w="927" w:type="dxa"/>
            <w:tcBorders>
              <w:bottom w:val="single" w:sz="4" w:space="0" w:color="000000" w:themeColor="text1"/>
            </w:tcBorders>
            <w:shd w:val="clear" w:color="auto" w:fill="auto"/>
            <w:noWrap/>
            <w:hideMark/>
          </w:tcPr>
          <w:p w14:paraId="3289FD4A"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72C6D320" w14:textId="761369B7" w:rsidR="00DA659A" w:rsidRPr="002927A1" w:rsidRDefault="00DA659A" w:rsidP="001E1196">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5.5 </w:t>
            </w:r>
            <w:r w:rsidR="001E1196" w:rsidRPr="002927A1">
              <w:rPr>
                <w:color w:val="000000"/>
                <w:sz w:val="18"/>
                <w:szCs w:val="18"/>
                <w:lang w:val="es-ES_tradnl" w:eastAsia="zh-CN"/>
              </w:rPr>
              <w:t>Actividades científicas y</w:t>
            </w:r>
            <w:r w:rsidR="00FA6A30" w:rsidRPr="002927A1">
              <w:rPr>
                <w:color w:val="000000"/>
                <w:sz w:val="18"/>
                <w:szCs w:val="18"/>
                <w:lang w:val="es-ES_tradnl" w:eastAsia="zh-CN"/>
              </w:rPr>
              <w:t xml:space="preserve"> </w:t>
            </w:r>
            <w:r w:rsidR="001E1196" w:rsidRPr="002927A1">
              <w:rPr>
                <w:color w:val="000000"/>
                <w:sz w:val="18"/>
                <w:szCs w:val="18"/>
                <w:lang w:val="es-ES_tradnl" w:eastAsia="zh-CN"/>
              </w:rPr>
              <w:t>técnicas transversales</w:t>
            </w:r>
          </w:p>
        </w:tc>
        <w:tc>
          <w:tcPr>
            <w:tcW w:w="1134" w:type="dxa"/>
            <w:tcBorders>
              <w:bottom w:val="single" w:sz="4" w:space="0" w:color="000000" w:themeColor="text1"/>
            </w:tcBorders>
            <w:shd w:val="clear" w:color="auto" w:fill="auto"/>
            <w:noWrap/>
            <w:hideMark/>
          </w:tcPr>
          <w:p w14:paraId="509E6B4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6885ADE6" w14:textId="504816AA"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500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6B6D321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5728490B" w14:textId="4C7779BF"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400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472DF1E2"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39641C54"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509F9F0D" w14:textId="31C73472" w:rsidR="00DA659A" w:rsidRPr="002927A1" w:rsidRDefault="001E1196" w:rsidP="001E1196">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w:t>
            </w:r>
            <w:r w:rsidR="00DA659A" w:rsidRPr="002927A1">
              <w:rPr>
                <w:b/>
                <w:bCs/>
                <w:color w:val="000000"/>
                <w:sz w:val="18"/>
                <w:szCs w:val="18"/>
                <w:lang w:eastAsia="zh-CN"/>
              </w:rPr>
              <w:t>omponent</w:t>
            </w:r>
            <w:r w:rsidRPr="002927A1">
              <w:rPr>
                <w:b/>
                <w:bCs/>
                <w:color w:val="000000"/>
                <w:sz w:val="18"/>
                <w:szCs w:val="18"/>
                <w:lang w:eastAsia="zh-CN"/>
              </w:rPr>
              <w:t>e</w:t>
            </w:r>
          </w:p>
        </w:tc>
        <w:tc>
          <w:tcPr>
            <w:tcW w:w="1134" w:type="dxa"/>
            <w:tcBorders>
              <w:top w:val="single" w:sz="4" w:space="0" w:color="000000" w:themeColor="text1"/>
              <w:bottom w:val="single" w:sz="4" w:space="0" w:color="000000" w:themeColor="text1"/>
            </w:tcBorders>
            <w:shd w:val="clear" w:color="auto" w:fill="auto"/>
            <w:noWrap/>
            <w:hideMark/>
          </w:tcPr>
          <w:p w14:paraId="16A59C14" w14:textId="2EDD77F1"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60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6A616362" w14:textId="7586765C"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620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352EA8AE" w14:textId="4A2C8948"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60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5A09DB46" w14:textId="6109A77F"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520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7CC10F25" w14:textId="77777777" w:rsidTr="008C5A39">
        <w:trPr>
          <w:trHeight w:val="57"/>
        </w:trPr>
        <w:tc>
          <w:tcPr>
            <w:tcW w:w="927" w:type="dxa"/>
            <w:tcBorders>
              <w:top w:val="single" w:sz="4" w:space="0" w:color="000000" w:themeColor="text1"/>
            </w:tcBorders>
            <w:shd w:val="clear" w:color="auto" w:fill="auto"/>
            <w:noWrap/>
            <w:hideMark/>
          </w:tcPr>
          <w:p w14:paraId="48A542B1"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lastRenderedPageBreak/>
              <w:t>6</w:t>
            </w:r>
          </w:p>
        </w:tc>
        <w:tc>
          <w:tcPr>
            <w:tcW w:w="3638" w:type="dxa"/>
            <w:tcBorders>
              <w:top w:val="single" w:sz="4" w:space="0" w:color="000000" w:themeColor="text1"/>
            </w:tcBorders>
            <w:shd w:val="clear" w:color="auto" w:fill="auto"/>
            <w:noWrap/>
            <w:hideMark/>
          </w:tcPr>
          <w:p w14:paraId="06FC671B" w14:textId="3C8A7EBA" w:rsidR="00DA659A" w:rsidRPr="002927A1" w:rsidRDefault="00F533DC" w:rsidP="00F533DC">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Evaluación de la eficacia</w:t>
            </w:r>
            <w:r w:rsidR="00157E17">
              <w:rPr>
                <w:rStyle w:val="FootnoteReference"/>
                <w:b/>
                <w:bCs/>
              </w:rPr>
              <w:footnoteReference w:id="26"/>
            </w:r>
            <w:r w:rsidR="00DA659A" w:rsidRPr="002927A1">
              <w:rPr>
                <w:b/>
                <w:bCs/>
                <w:color w:val="000000"/>
                <w:sz w:val="18"/>
                <w:szCs w:val="18"/>
                <w:lang w:eastAsia="zh-CN"/>
              </w:rPr>
              <w:t xml:space="preserve"> </w:t>
            </w:r>
          </w:p>
        </w:tc>
        <w:tc>
          <w:tcPr>
            <w:tcW w:w="1134" w:type="dxa"/>
            <w:tcBorders>
              <w:top w:val="single" w:sz="4" w:space="0" w:color="000000" w:themeColor="text1"/>
            </w:tcBorders>
            <w:shd w:val="clear" w:color="auto" w:fill="auto"/>
            <w:noWrap/>
            <w:hideMark/>
          </w:tcPr>
          <w:p w14:paraId="1C0C326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1AF5763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55C5516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0DCFECE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CC39EFA" w14:textId="77777777" w:rsidTr="008C5A39">
        <w:trPr>
          <w:trHeight w:val="57"/>
        </w:trPr>
        <w:tc>
          <w:tcPr>
            <w:tcW w:w="927" w:type="dxa"/>
            <w:shd w:val="clear" w:color="auto" w:fill="auto"/>
            <w:noWrap/>
            <w:hideMark/>
          </w:tcPr>
          <w:p w14:paraId="156EF07C"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5C0C8A34" w14:textId="29F01BA7" w:rsidR="00DA659A" w:rsidRPr="002927A1" w:rsidRDefault="00DA659A" w:rsidP="00F533DC">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6.1 </w:t>
            </w:r>
            <w:r w:rsidR="00F533DC" w:rsidRPr="002927A1">
              <w:rPr>
                <w:color w:val="000000"/>
                <w:sz w:val="18"/>
                <w:szCs w:val="18"/>
                <w:lang w:val="es-ES_tradnl" w:eastAsia="zh-CN"/>
              </w:rPr>
              <w:t>Elaboración de un proyecto de orientación sobre vigilancia</w:t>
            </w:r>
            <w:r w:rsidRPr="002927A1">
              <w:rPr>
                <w:color w:val="000000"/>
                <w:sz w:val="18"/>
                <w:szCs w:val="18"/>
                <w:lang w:val="es-ES_tradnl" w:eastAsia="zh-CN"/>
              </w:rPr>
              <w:t xml:space="preserve"> </w:t>
            </w:r>
          </w:p>
        </w:tc>
        <w:tc>
          <w:tcPr>
            <w:tcW w:w="1134" w:type="dxa"/>
            <w:shd w:val="clear" w:color="auto" w:fill="auto"/>
            <w:noWrap/>
            <w:hideMark/>
          </w:tcPr>
          <w:p w14:paraId="681EDFD4" w14:textId="33E6DD71"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85</w:t>
            </w:r>
            <w:r w:rsidR="00F22360" w:rsidRPr="002927A1">
              <w:rPr>
                <w:color w:val="000000"/>
                <w:sz w:val="18"/>
                <w:szCs w:val="18"/>
                <w:lang w:eastAsia="zh-CN"/>
              </w:rPr>
              <w:t xml:space="preserve"> </w:t>
            </w:r>
            <w:r w:rsidRPr="002927A1">
              <w:rPr>
                <w:color w:val="000000"/>
                <w:sz w:val="18"/>
                <w:szCs w:val="18"/>
                <w:lang w:eastAsia="zh-CN"/>
              </w:rPr>
              <w:t>000</w:t>
            </w:r>
          </w:p>
        </w:tc>
        <w:tc>
          <w:tcPr>
            <w:tcW w:w="992" w:type="dxa"/>
            <w:shd w:val="clear" w:color="auto" w:fill="auto"/>
            <w:noWrap/>
            <w:hideMark/>
          </w:tcPr>
          <w:p w14:paraId="037DBA49" w14:textId="2EF8C4CC"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150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shd w:val="clear" w:color="auto" w:fill="auto"/>
            <w:noWrap/>
            <w:hideMark/>
          </w:tcPr>
          <w:p w14:paraId="09603613" w14:textId="7C7F55E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85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shd w:val="clear" w:color="auto" w:fill="auto"/>
            <w:noWrap/>
            <w:hideMark/>
          </w:tcPr>
          <w:p w14:paraId="4B07292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54E87368" w14:textId="77777777" w:rsidTr="008C5A39">
        <w:trPr>
          <w:trHeight w:val="57"/>
        </w:trPr>
        <w:tc>
          <w:tcPr>
            <w:tcW w:w="927" w:type="dxa"/>
            <w:shd w:val="clear" w:color="auto" w:fill="auto"/>
            <w:noWrap/>
            <w:hideMark/>
          </w:tcPr>
          <w:p w14:paraId="27B6D1C9"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2B9AD454" w14:textId="2F12265F" w:rsidR="00DA659A" w:rsidRPr="002927A1" w:rsidRDefault="00DA659A" w:rsidP="00F533DC">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6.2 </w:t>
            </w:r>
            <w:r w:rsidR="00F533DC" w:rsidRPr="002927A1">
              <w:rPr>
                <w:color w:val="000000"/>
                <w:sz w:val="18"/>
                <w:szCs w:val="18"/>
                <w:lang w:val="es-ES_tradnl" w:eastAsia="zh-CN"/>
              </w:rPr>
              <w:t>Elaboración de informes sobre comercio, suministro y demanda</w:t>
            </w:r>
            <w:r w:rsidRPr="002927A1">
              <w:rPr>
                <w:color w:val="000000"/>
                <w:sz w:val="18"/>
                <w:szCs w:val="18"/>
                <w:lang w:val="es-ES_tradnl" w:eastAsia="zh-CN"/>
              </w:rPr>
              <w:t xml:space="preserve"> </w:t>
            </w:r>
          </w:p>
        </w:tc>
        <w:tc>
          <w:tcPr>
            <w:tcW w:w="1134" w:type="dxa"/>
            <w:shd w:val="clear" w:color="auto" w:fill="auto"/>
            <w:noWrap/>
            <w:hideMark/>
          </w:tcPr>
          <w:p w14:paraId="6DD058D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6CEDA83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745A4986" w14:textId="0990CB4F"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200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shd w:val="clear" w:color="auto" w:fill="auto"/>
            <w:noWrap/>
            <w:hideMark/>
          </w:tcPr>
          <w:p w14:paraId="46C37EE8"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58498A1" w14:textId="77777777" w:rsidTr="008C5A39">
        <w:trPr>
          <w:trHeight w:val="57"/>
        </w:trPr>
        <w:tc>
          <w:tcPr>
            <w:tcW w:w="927" w:type="dxa"/>
            <w:shd w:val="clear" w:color="auto" w:fill="auto"/>
            <w:noWrap/>
            <w:hideMark/>
          </w:tcPr>
          <w:p w14:paraId="74A0308C"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40736DE9" w14:textId="30309A55"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shd w:val="clear" w:color="auto" w:fill="auto"/>
            <w:noWrap/>
            <w:hideMark/>
          </w:tcPr>
          <w:p w14:paraId="274C51A6" w14:textId="00883582" w:rsidR="00DA659A" w:rsidRPr="002927A1" w:rsidRDefault="00DA659A" w:rsidP="008C5A39">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85</w:t>
            </w:r>
            <w:r w:rsidR="00F22360" w:rsidRPr="002927A1">
              <w:rPr>
                <w:b/>
                <w:bCs/>
                <w:sz w:val="18"/>
                <w:szCs w:val="18"/>
                <w:lang w:eastAsia="zh-CN"/>
              </w:rPr>
              <w:t xml:space="preserve"> </w:t>
            </w:r>
            <w:r w:rsidRPr="002927A1">
              <w:rPr>
                <w:b/>
                <w:bCs/>
                <w:sz w:val="18"/>
                <w:szCs w:val="18"/>
                <w:lang w:eastAsia="zh-CN"/>
              </w:rPr>
              <w:t xml:space="preserve">000 </w:t>
            </w:r>
          </w:p>
        </w:tc>
        <w:tc>
          <w:tcPr>
            <w:tcW w:w="992" w:type="dxa"/>
            <w:shd w:val="clear" w:color="auto" w:fill="auto"/>
            <w:noWrap/>
            <w:hideMark/>
          </w:tcPr>
          <w:p w14:paraId="35E50427" w14:textId="79D85F4D" w:rsidR="00DA659A" w:rsidRPr="002927A1" w:rsidRDefault="00DA659A" w:rsidP="008C5A39">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150</w:t>
            </w:r>
            <w:r w:rsidR="00F22360" w:rsidRPr="002927A1">
              <w:rPr>
                <w:b/>
                <w:bCs/>
                <w:sz w:val="18"/>
                <w:szCs w:val="18"/>
                <w:lang w:eastAsia="zh-CN"/>
              </w:rPr>
              <w:t xml:space="preserve"> </w:t>
            </w:r>
            <w:r w:rsidRPr="002927A1">
              <w:rPr>
                <w:b/>
                <w:bCs/>
                <w:sz w:val="18"/>
                <w:szCs w:val="18"/>
                <w:lang w:eastAsia="zh-CN"/>
              </w:rPr>
              <w:t xml:space="preserve">000 </w:t>
            </w:r>
          </w:p>
        </w:tc>
        <w:tc>
          <w:tcPr>
            <w:tcW w:w="1073" w:type="dxa"/>
            <w:shd w:val="clear" w:color="auto" w:fill="auto"/>
            <w:noWrap/>
            <w:hideMark/>
          </w:tcPr>
          <w:p w14:paraId="2DDD2483" w14:textId="2B69E528" w:rsidR="00DA659A" w:rsidRPr="002927A1" w:rsidRDefault="00DA659A" w:rsidP="008C5A39">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285</w:t>
            </w:r>
            <w:r w:rsidR="00F22360" w:rsidRPr="002927A1">
              <w:rPr>
                <w:b/>
                <w:bCs/>
                <w:sz w:val="18"/>
                <w:szCs w:val="18"/>
                <w:lang w:eastAsia="zh-CN"/>
              </w:rPr>
              <w:t xml:space="preserve"> </w:t>
            </w:r>
            <w:r w:rsidRPr="002927A1">
              <w:rPr>
                <w:b/>
                <w:bCs/>
                <w:sz w:val="18"/>
                <w:szCs w:val="18"/>
                <w:lang w:eastAsia="zh-CN"/>
              </w:rPr>
              <w:t xml:space="preserve">000 </w:t>
            </w:r>
          </w:p>
        </w:tc>
        <w:tc>
          <w:tcPr>
            <w:tcW w:w="1025" w:type="dxa"/>
            <w:shd w:val="clear" w:color="auto" w:fill="auto"/>
            <w:noWrap/>
            <w:hideMark/>
          </w:tcPr>
          <w:p w14:paraId="17CE6EFD"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 </w:t>
            </w:r>
          </w:p>
        </w:tc>
      </w:tr>
      <w:tr w:rsidR="00DA659A" w:rsidRPr="002927A1" w14:paraId="30ADBA8D" w14:textId="77777777" w:rsidTr="008C5A39">
        <w:trPr>
          <w:trHeight w:val="57"/>
        </w:trPr>
        <w:tc>
          <w:tcPr>
            <w:tcW w:w="927" w:type="dxa"/>
            <w:shd w:val="clear" w:color="auto" w:fill="auto"/>
            <w:noWrap/>
            <w:hideMark/>
          </w:tcPr>
          <w:p w14:paraId="2AE04596"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7</w:t>
            </w:r>
          </w:p>
        </w:tc>
        <w:tc>
          <w:tcPr>
            <w:tcW w:w="3638" w:type="dxa"/>
            <w:shd w:val="clear" w:color="auto" w:fill="auto"/>
            <w:noWrap/>
            <w:hideMark/>
          </w:tcPr>
          <w:p w14:paraId="78DA50F3" w14:textId="512A27E9"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Presentación de informes nacionales de conformidad con el Convenio de Minamata</w:t>
            </w:r>
          </w:p>
        </w:tc>
        <w:tc>
          <w:tcPr>
            <w:tcW w:w="1134" w:type="dxa"/>
            <w:shd w:val="clear" w:color="auto" w:fill="auto"/>
            <w:noWrap/>
            <w:hideMark/>
          </w:tcPr>
          <w:p w14:paraId="6A6062B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EB85B8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519B26D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82E3B8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7C6BB890" w14:textId="77777777" w:rsidTr="008C5A39">
        <w:trPr>
          <w:trHeight w:val="57"/>
        </w:trPr>
        <w:tc>
          <w:tcPr>
            <w:tcW w:w="927" w:type="dxa"/>
            <w:tcBorders>
              <w:bottom w:val="single" w:sz="4" w:space="0" w:color="000000" w:themeColor="text1"/>
            </w:tcBorders>
            <w:shd w:val="clear" w:color="auto" w:fill="auto"/>
            <w:noWrap/>
            <w:hideMark/>
          </w:tcPr>
          <w:p w14:paraId="13DA8246"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40C4831C" w14:textId="102EDCB7"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7.1 </w:t>
            </w:r>
            <w:r w:rsidR="00597295" w:rsidRPr="002927A1">
              <w:rPr>
                <w:sz w:val="17"/>
                <w:szCs w:val="17"/>
                <w:lang w:val="es-ES_tradnl"/>
              </w:rPr>
              <w:t>Presentación de informes nacionales de conformidad con el Convenio de Minamata</w:t>
            </w:r>
          </w:p>
        </w:tc>
        <w:tc>
          <w:tcPr>
            <w:tcW w:w="1134" w:type="dxa"/>
            <w:tcBorders>
              <w:bottom w:val="single" w:sz="4" w:space="0" w:color="000000" w:themeColor="text1"/>
            </w:tcBorders>
            <w:shd w:val="clear" w:color="auto" w:fill="auto"/>
            <w:noWrap/>
            <w:hideMark/>
          </w:tcPr>
          <w:p w14:paraId="4DE68E2E" w14:textId="2826F13F"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tcBorders>
              <w:bottom w:val="single" w:sz="4" w:space="0" w:color="000000" w:themeColor="text1"/>
            </w:tcBorders>
            <w:shd w:val="clear" w:color="auto" w:fill="auto"/>
            <w:noWrap/>
            <w:hideMark/>
          </w:tcPr>
          <w:p w14:paraId="20E95FB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3409C3A0" w14:textId="7EE5CC22"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76</w:t>
            </w:r>
            <w:r w:rsidR="00F22360" w:rsidRPr="002927A1">
              <w:rPr>
                <w:color w:val="000000"/>
                <w:sz w:val="18"/>
                <w:szCs w:val="18"/>
                <w:lang w:eastAsia="zh-CN"/>
              </w:rPr>
              <w:t xml:space="preserve"> </w:t>
            </w:r>
            <w:r w:rsidRPr="002927A1">
              <w:rPr>
                <w:color w:val="000000"/>
                <w:sz w:val="18"/>
                <w:szCs w:val="18"/>
                <w:lang w:eastAsia="zh-CN"/>
              </w:rPr>
              <w:t xml:space="preserve">500 </w:t>
            </w:r>
          </w:p>
        </w:tc>
        <w:tc>
          <w:tcPr>
            <w:tcW w:w="1025" w:type="dxa"/>
            <w:tcBorders>
              <w:bottom w:val="single" w:sz="4" w:space="0" w:color="000000" w:themeColor="text1"/>
            </w:tcBorders>
            <w:shd w:val="clear" w:color="auto" w:fill="auto"/>
            <w:noWrap/>
            <w:hideMark/>
          </w:tcPr>
          <w:p w14:paraId="75A2AA4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AAEA0A4"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4B946ADE"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17D4988C" w14:textId="7CF5ED6D"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51ECFACA" w14:textId="2305BDDD"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40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0B5DFF9D"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3023D08D" w14:textId="1C6AA5E2"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76</w:t>
            </w:r>
            <w:r w:rsidR="00F22360" w:rsidRPr="002927A1">
              <w:rPr>
                <w:b/>
                <w:bCs/>
                <w:color w:val="000000"/>
                <w:sz w:val="18"/>
                <w:szCs w:val="18"/>
                <w:lang w:eastAsia="zh-CN"/>
              </w:rPr>
              <w:t xml:space="preserve"> </w:t>
            </w:r>
            <w:r w:rsidRPr="002927A1">
              <w:rPr>
                <w:b/>
                <w:bCs/>
                <w:color w:val="000000"/>
                <w:sz w:val="18"/>
                <w:szCs w:val="18"/>
                <w:lang w:eastAsia="zh-CN"/>
              </w:rPr>
              <w:t xml:space="preserve">500 </w:t>
            </w:r>
          </w:p>
        </w:tc>
        <w:tc>
          <w:tcPr>
            <w:tcW w:w="1025" w:type="dxa"/>
            <w:tcBorders>
              <w:top w:val="single" w:sz="4" w:space="0" w:color="000000" w:themeColor="text1"/>
              <w:bottom w:val="single" w:sz="4" w:space="0" w:color="000000" w:themeColor="text1"/>
            </w:tcBorders>
            <w:shd w:val="clear" w:color="auto" w:fill="auto"/>
            <w:noWrap/>
            <w:hideMark/>
          </w:tcPr>
          <w:p w14:paraId="690472A2"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DA659A" w:rsidRPr="002927A1" w14:paraId="117F1766"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4855B414"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1AEA50D0" w14:textId="1BCDEB3B"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Total </w:t>
            </w:r>
            <w:r w:rsidR="00A666C7" w:rsidRPr="002927A1">
              <w:rPr>
                <w:b/>
                <w:bCs/>
                <w:color w:val="000000"/>
                <w:sz w:val="18"/>
                <w:szCs w:val="18"/>
                <w:lang w:eastAsia="zh-CN"/>
              </w:rPr>
              <w:t>(C)</w:t>
            </w:r>
          </w:p>
        </w:tc>
        <w:tc>
          <w:tcPr>
            <w:tcW w:w="1134" w:type="dxa"/>
            <w:tcBorders>
              <w:top w:val="single" w:sz="4" w:space="0" w:color="000000" w:themeColor="text1"/>
              <w:bottom w:val="single" w:sz="4" w:space="0" w:color="000000" w:themeColor="text1"/>
            </w:tcBorders>
            <w:shd w:val="clear" w:color="auto" w:fill="auto"/>
            <w:noWrap/>
            <w:hideMark/>
          </w:tcPr>
          <w:p w14:paraId="2A2B0478" w14:textId="5DAD4F50"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185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4F573F51" w14:textId="4A7CB25D"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770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6124EA74" w14:textId="2DC35BEB"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421</w:t>
            </w:r>
            <w:r w:rsidR="00F22360" w:rsidRPr="002927A1">
              <w:rPr>
                <w:b/>
                <w:bCs/>
                <w:color w:val="000000"/>
                <w:sz w:val="18"/>
                <w:szCs w:val="18"/>
                <w:lang w:eastAsia="zh-CN"/>
              </w:rPr>
              <w:t xml:space="preserve"> </w:t>
            </w:r>
            <w:r w:rsidRPr="002927A1">
              <w:rPr>
                <w:b/>
                <w:bCs/>
                <w:color w:val="000000"/>
                <w:sz w:val="18"/>
                <w:szCs w:val="18"/>
                <w:lang w:eastAsia="zh-CN"/>
              </w:rPr>
              <w:t xml:space="preserve">500 </w:t>
            </w:r>
          </w:p>
        </w:tc>
        <w:tc>
          <w:tcPr>
            <w:tcW w:w="1025" w:type="dxa"/>
            <w:tcBorders>
              <w:top w:val="single" w:sz="4" w:space="0" w:color="000000" w:themeColor="text1"/>
              <w:bottom w:val="single" w:sz="4" w:space="0" w:color="000000" w:themeColor="text1"/>
            </w:tcBorders>
            <w:shd w:val="clear" w:color="auto" w:fill="auto"/>
            <w:noWrap/>
            <w:hideMark/>
          </w:tcPr>
          <w:p w14:paraId="604350C9" w14:textId="1A2B7209"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520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08F8D68A" w14:textId="77777777" w:rsidTr="008C5A39">
        <w:trPr>
          <w:trHeight w:val="57"/>
        </w:trPr>
        <w:tc>
          <w:tcPr>
            <w:tcW w:w="927" w:type="dxa"/>
            <w:tcBorders>
              <w:top w:val="single" w:sz="4" w:space="0" w:color="000000" w:themeColor="text1"/>
            </w:tcBorders>
            <w:shd w:val="clear" w:color="auto" w:fill="auto"/>
            <w:noWrap/>
            <w:hideMark/>
          </w:tcPr>
          <w:p w14:paraId="53B15881"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D.</w:t>
            </w:r>
          </w:p>
        </w:tc>
        <w:tc>
          <w:tcPr>
            <w:tcW w:w="3638" w:type="dxa"/>
            <w:tcBorders>
              <w:top w:val="single" w:sz="4" w:space="0" w:color="000000" w:themeColor="text1"/>
            </w:tcBorders>
            <w:shd w:val="clear" w:color="auto" w:fill="auto"/>
            <w:noWrap/>
            <w:hideMark/>
          </w:tcPr>
          <w:p w14:paraId="559D2C65" w14:textId="73CF6774"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Gestión de los conocimientos y la información y actividades de divulgación</w:t>
            </w:r>
          </w:p>
        </w:tc>
        <w:tc>
          <w:tcPr>
            <w:tcW w:w="1134" w:type="dxa"/>
            <w:tcBorders>
              <w:top w:val="single" w:sz="4" w:space="0" w:color="000000" w:themeColor="text1"/>
            </w:tcBorders>
            <w:shd w:val="clear" w:color="auto" w:fill="auto"/>
            <w:noWrap/>
            <w:hideMark/>
          </w:tcPr>
          <w:p w14:paraId="09BD0F3D"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34FE43E5"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97F6C8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487343B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07835625" w14:textId="77777777" w:rsidTr="008C5A39">
        <w:trPr>
          <w:trHeight w:val="57"/>
        </w:trPr>
        <w:tc>
          <w:tcPr>
            <w:tcW w:w="927" w:type="dxa"/>
            <w:shd w:val="clear" w:color="auto" w:fill="auto"/>
            <w:noWrap/>
            <w:hideMark/>
          </w:tcPr>
          <w:p w14:paraId="4D4B1B90"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8</w:t>
            </w:r>
          </w:p>
        </w:tc>
        <w:tc>
          <w:tcPr>
            <w:tcW w:w="3638" w:type="dxa"/>
            <w:shd w:val="clear" w:color="auto" w:fill="auto"/>
            <w:noWrap/>
            <w:hideMark/>
          </w:tcPr>
          <w:p w14:paraId="556D3C54" w14:textId="06D397F2" w:rsidR="00DA659A" w:rsidRPr="002927A1" w:rsidRDefault="00DA659A" w:rsidP="005972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Publica</w:t>
            </w:r>
            <w:r w:rsidR="00597295" w:rsidRPr="002927A1">
              <w:rPr>
                <w:b/>
                <w:bCs/>
                <w:color w:val="000000"/>
                <w:sz w:val="18"/>
                <w:szCs w:val="18"/>
                <w:lang w:eastAsia="zh-CN"/>
              </w:rPr>
              <w:t>c</w:t>
            </w:r>
            <w:r w:rsidRPr="002927A1">
              <w:rPr>
                <w:b/>
                <w:bCs/>
                <w:color w:val="000000"/>
                <w:sz w:val="18"/>
                <w:szCs w:val="18"/>
                <w:lang w:eastAsia="zh-CN"/>
              </w:rPr>
              <w:t>ion</w:t>
            </w:r>
            <w:r w:rsidR="00597295" w:rsidRPr="002927A1">
              <w:rPr>
                <w:b/>
                <w:bCs/>
                <w:color w:val="000000"/>
                <w:sz w:val="18"/>
                <w:szCs w:val="18"/>
                <w:lang w:eastAsia="zh-CN"/>
              </w:rPr>
              <w:t>e</w:t>
            </w:r>
            <w:r w:rsidRPr="002927A1">
              <w:rPr>
                <w:b/>
                <w:bCs/>
                <w:color w:val="000000"/>
                <w:sz w:val="18"/>
                <w:szCs w:val="18"/>
                <w:lang w:eastAsia="zh-CN"/>
              </w:rPr>
              <w:t>s</w:t>
            </w:r>
          </w:p>
        </w:tc>
        <w:tc>
          <w:tcPr>
            <w:tcW w:w="1134" w:type="dxa"/>
            <w:shd w:val="clear" w:color="auto" w:fill="auto"/>
            <w:noWrap/>
            <w:hideMark/>
          </w:tcPr>
          <w:p w14:paraId="5AB0344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4D1CEB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6FF3732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6994AB7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37754F3D" w14:textId="77777777" w:rsidTr="008C5A39">
        <w:trPr>
          <w:trHeight w:val="57"/>
        </w:trPr>
        <w:tc>
          <w:tcPr>
            <w:tcW w:w="927" w:type="dxa"/>
            <w:tcBorders>
              <w:bottom w:val="single" w:sz="4" w:space="0" w:color="000000" w:themeColor="text1"/>
            </w:tcBorders>
            <w:shd w:val="clear" w:color="auto" w:fill="auto"/>
            <w:noWrap/>
            <w:hideMark/>
          </w:tcPr>
          <w:p w14:paraId="548C6F5B"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2A98CC74" w14:textId="5603D16C" w:rsidR="00DA659A" w:rsidRPr="002927A1" w:rsidRDefault="00DA659A" w:rsidP="00597295">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8.1 Publica</w:t>
            </w:r>
            <w:r w:rsidR="00597295" w:rsidRPr="002927A1">
              <w:rPr>
                <w:color w:val="000000"/>
                <w:sz w:val="18"/>
                <w:szCs w:val="18"/>
                <w:lang w:val="es-ES_tradnl" w:eastAsia="zh-CN"/>
              </w:rPr>
              <w:t>c</w:t>
            </w:r>
            <w:r w:rsidRPr="002927A1">
              <w:rPr>
                <w:color w:val="000000"/>
                <w:sz w:val="18"/>
                <w:szCs w:val="18"/>
                <w:lang w:val="es-ES_tradnl" w:eastAsia="zh-CN"/>
              </w:rPr>
              <w:t>ion</w:t>
            </w:r>
            <w:r w:rsidR="00597295" w:rsidRPr="002927A1">
              <w:rPr>
                <w:color w:val="000000"/>
                <w:sz w:val="18"/>
                <w:szCs w:val="18"/>
                <w:lang w:val="es-ES_tradnl" w:eastAsia="zh-CN"/>
              </w:rPr>
              <w:t>e</w:t>
            </w:r>
            <w:r w:rsidRPr="002927A1">
              <w:rPr>
                <w:color w:val="000000"/>
                <w:sz w:val="18"/>
                <w:szCs w:val="18"/>
                <w:lang w:val="es-ES_tradnl" w:eastAsia="zh-CN"/>
              </w:rPr>
              <w:t>s</w:t>
            </w:r>
          </w:p>
        </w:tc>
        <w:tc>
          <w:tcPr>
            <w:tcW w:w="1134" w:type="dxa"/>
            <w:tcBorders>
              <w:bottom w:val="single" w:sz="4" w:space="0" w:color="000000" w:themeColor="text1"/>
            </w:tcBorders>
            <w:shd w:val="clear" w:color="auto" w:fill="auto"/>
            <w:noWrap/>
            <w:hideMark/>
          </w:tcPr>
          <w:p w14:paraId="42E8422D" w14:textId="139763B5"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tcBorders>
              <w:bottom w:val="single" w:sz="4" w:space="0" w:color="000000" w:themeColor="text1"/>
            </w:tcBorders>
            <w:shd w:val="clear" w:color="auto" w:fill="auto"/>
            <w:noWrap/>
            <w:hideMark/>
          </w:tcPr>
          <w:p w14:paraId="633F8F7D" w14:textId="5147E76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187091C5" w14:textId="0884F022"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3194E080" w14:textId="6C96A9C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30</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02C14C4F"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2A6DAE9A"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CD022CF" w14:textId="2B0FD5E7"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67D4495F" w14:textId="1F426C90"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560FAA1C" w14:textId="3A6D5EF5"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30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31FDE3E4" w14:textId="23CF23EC"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741C74FF" w14:textId="0B7B1408"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30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256AF566" w14:textId="77777777" w:rsidTr="008C5A39">
        <w:trPr>
          <w:trHeight w:val="57"/>
        </w:trPr>
        <w:tc>
          <w:tcPr>
            <w:tcW w:w="927" w:type="dxa"/>
            <w:tcBorders>
              <w:top w:val="single" w:sz="4" w:space="0" w:color="000000" w:themeColor="text1"/>
            </w:tcBorders>
            <w:shd w:val="clear" w:color="auto" w:fill="auto"/>
            <w:noWrap/>
            <w:hideMark/>
          </w:tcPr>
          <w:p w14:paraId="4C9914F1"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9</w:t>
            </w:r>
          </w:p>
        </w:tc>
        <w:tc>
          <w:tcPr>
            <w:tcW w:w="3638" w:type="dxa"/>
            <w:tcBorders>
              <w:top w:val="single" w:sz="4" w:space="0" w:color="000000" w:themeColor="text1"/>
            </w:tcBorders>
            <w:shd w:val="clear" w:color="auto" w:fill="auto"/>
            <w:noWrap/>
            <w:hideMark/>
          </w:tcPr>
          <w:p w14:paraId="27C53BC5" w14:textId="36ADFDA8"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Actividades de comunicación, divulgación y sensibilización del público</w:t>
            </w:r>
          </w:p>
        </w:tc>
        <w:tc>
          <w:tcPr>
            <w:tcW w:w="1134" w:type="dxa"/>
            <w:tcBorders>
              <w:top w:val="single" w:sz="4" w:space="0" w:color="000000" w:themeColor="text1"/>
            </w:tcBorders>
            <w:shd w:val="clear" w:color="auto" w:fill="auto"/>
            <w:noWrap/>
            <w:hideMark/>
          </w:tcPr>
          <w:p w14:paraId="5492B35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1AF78C24"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5C81201"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07676A70"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70FED4B7" w14:textId="77777777" w:rsidTr="008C5A39">
        <w:trPr>
          <w:trHeight w:val="57"/>
        </w:trPr>
        <w:tc>
          <w:tcPr>
            <w:tcW w:w="927" w:type="dxa"/>
            <w:tcBorders>
              <w:bottom w:val="single" w:sz="4" w:space="0" w:color="000000" w:themeColor="text1"/>
            </w:tcBorders>
            <w:shd w:val="clear" w:color="auto" w:fill="auto"/>
            <w:noWrap/>
            <w:hideMark/>
          </w:tcPr>
          <w:p w14:paraId="13551210"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41A2B8A5" w14:textId="17977482"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9.1 </w:t>
            </w:r>
            <w:r w:rsidR="00597295" w:rsidRPr="002927A1">
              <w:rPr>
                <w:color w:val="000000"/>
                <w:sz w:val="18"/>
                <w:szCs w:val="18"/>
                <w:lang w:val="es-ES_tradnl" w:eastAsia="zh-CN"/>
              </w:rPr>
              <w:t>Comunicación, divulgación y sensibilización del público</w:t>
            </w:r>
          </w:p>
        </w:tc>
        <w:tc>
          <w:tcPr>
            <w:tcW w:w="1134" w:type="dxa"/>
            <w:tcBorders>
              <w:bottom w:val="single" w:sz="4" w:space="0" w:color="000000" w:themeColor="text1"/>
            </w:tcBorders>
            <w:shd w:val="clear" w:color="auto" w:fill="auto"/>
            <w:noWrap/>
            <w:hideMark/>
          </w:tcPr>
          <w:p w14:paraId="1A925AB3" w14:textId="4CD30A3A"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85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tcBorders>
              <w:bottom w:val="single" w:sz="4" w:space="0" w:color="000000" w:themeColor="text1"/>
            </w:tcBorders>
            <w:shd w:val="clear" w:color="auto" w:fill="auto"/>
            <w:noWrap/>
            <w:hideMark/>
          </w:tcPr>
          <w:p w14:paraId="7BAE46D0" w14:textId="2B356A90"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67DF85D5" w14:textId="3F073B9A"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70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051E285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452A332"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7B337061"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7F6B3BD6" w14:textId="5D8AAC31"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4FE371A9" w14:textId="41A7CAB9"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85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638C300B" w14:textId="54CD7936"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141BF30F" w14:textId="09B790E0"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70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0F4850DB"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DA659A" w:rsidRPr="002927A1" w14:paraId="743950FB"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514B9380"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5B666346"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w:t>
            </w:r>
          </w:p>
        </w:tc>
        <w:tc>
          <w:tcPr>
            <w:tcW w:w="1134" w:type="dxa"/>
            <w:tcBorders>
              <w:top w:val="single" w:sz="4" w:space="0" w:color="000000" w:themeColor="text1"/>
              <w:bottom w:val="single" w:sz="4" w:space="0" w:color="000000" w:themeColor="text1"/>
            </w:tcBorders>
            <w:shd w:val="clear" w:color="auto" w:fill="auto"/>
            <w:noWrap/>
            <w:hideMark/>
          </w:tcPr>
          <w:p w14:paraId="01FB631A" w14:textId="1145A352"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110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24159ACA" w14:textId="49F5A271"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55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6BDFEFA7" w14:textId="5989397F"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90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08F9DA53" w14:textId="0769CD39"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30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7FC50160" w14:textId="77777777" w:rsidTr="008C5A39">
        <w:trPr>
          <w:trHeight w:val="57"/>
        </w:trPr>
        <w:tc>
          <w:tcPr>
            <w:tcW w:w="927" w:type="dxa"/>
            <w:tcBorders>
              <w:top w:val="single" w:sz="4" w:space="0" w:color="000000" w:themeColor="text1"/>
            </w:tcBorders>
            <w:shd w:val="clear" w:color="auto" w:fill="auto"/>
            <w:noWrap/>
            <w:hideMark/>
          </w:tcPr>
          <w:p w14:paraId="55E49B2D"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E.</w:t>
            </w:r>
          </w:p>
        </w:tc>
        <w:tc>
          <w:tcPr>
            <w:tcW w:w="3638" w:type="dxa"/>
            <w:tcBorders>
              <w:top w:val="single" w:sz="4" w:space="0" w:color="000000" w:themeColor="text1"/>
            </w:tcBorders>
            <w:shd w:val="clear" w:color="auto" w:fill="auto"/>
            <w:noWrap/>
            <w:hideMark/>
          </w:tcPr>
          <w:p w14:paraId="3E220010" w14:textId="5DB55DDE"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Gestión general</w:t>
            </w:r>
          </w:p>
        </w:tc>
        <w:tc>
          <w:tcPr>
            <w:tcW w:w="1134" w:type="dxa"/>
            <w:tcBorders>
              <w:top w:val="single" w:sz="4" w:space="0" w:color="000000" w:themeColor="text1"/>
            </w:tcBorders>
            <w:shd w:val="clear" w:color="auto" w:fill="auto"/>
            <w:noWrap/>
            <w:hideMark/>
          </w:tcPr>
          <w:p w14:paraId="3969432D"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1642D544"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CFC42D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149DAB65"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28A1EC62" w14:textId="77777777" w:rsidTr="008C5A39">
        <w:trPr>
          <w:trHeight w:val="57"/>
        </w:trPr>
        <w:tc>
          <w:tcPr>
            <w:tcW w:w="927" w:type="dxa"/>
            <w:shd w:val="clear" w:color="auto" w:fill="auto"/>
            <w:noWrap/>
            <w:hideMark/>
          </w:tcPr>
          <w:p w14:paraId="43D2CF37"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10</w:t>
            </w:r>
          </w:p>
        </w:tc>
        <w:tc>
          <w:tcPr>
            <w:tcW w:w="3638" w:type="dxa"/>
            <w:shd w:val="clear" w:color="auto" w:fill="auto"/>
            <w:noWrap/>
            <w:hideMark/>
          </w:tcPr>
          <w:p w14:paraId="096436E4" w14:textId="67D31740"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Dirección y gestión ejecutivas</w:t>
            </w:r>
          </w:p>
        </w:tc>
        <w:tc>
          <w:tcPr>
            <w:tcW w:w="1134" w:type="dxa"/>
            <w:shd w:val="clear" w:color="auto" w:fill="auto"/>
            <w:noWrap/>
            <w:hideMark/>
          </w:tcPr>
          <w:p w14:paraId="649A8E5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18544ED8"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75616BC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357019F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13252F03" w14:textId="77777777" w:rsidTr="008C5A39">
        <w:trPr>
          <w:trHeight w:val="57"/>
        </w:trPr>
        <w:tc>
          <w:tcPr>
            <w:tcW w:w="927" w:type="dxa"/>
            <w:shd w:val="clear" w:color="auto" w:fill="auto"/>
            <w:noWrap/>
            <w:hideMark/>
          </w:tcPr>
          <w:p w14:paraId="66F62D89"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0D3DDAFB" w14:textId="0EC52A32"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10.1 </w:t>
            </w:r>
            <w:r w:rsidR="00597295" w:rsidRPr="002927A1">
              <w:rPr>
                <w:sz w:val="17"/>
                <w:szCs w:val="17"/>
                <w:lang w:val="es-ES_tradnl"/>
              </w:rPr>
              <w:t>Gestión general</w:t>
            </w:r>
            <w:r w:rsidRPr="002927A1">
              <w:rPr>
                <w:color w:val="000000"/>
                <w:sz w:val="18"/>
                <w:szCs w:val="18"/>
                <w:lang w:val="es-ES_tradnl" w:eastAsia="zh-CN"/>
              </w:rPr>
              <w:t>*</w:t>
            </w:r>
          </w:p>
        </w:tc>
        <w:tc>
          <w:tcPr>
            <w:tcW w:w="1134" w:type="dxa"/>
            <w:shd w:val="clear" w:color="auto" w:fill="auto"/>
            <w:noWrap/>
            <w:hideMark/>
          </w:tcPr>
          <w:p w14:paraId="19068C7A" w14:textId="134BE128"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r w:rsidR="00F22360" w:rsidRPr="002927A1">
              <w:rPr>
                <w:color w:val="000000"/>
                <w:sz w:val="18"/>
                <w:szCs w:val="18"/>
                <w:lang w:eastAsia="zh-CN"/>
              </w:rPr>
              <w:t xml:space="preserve"> </w:t>
            </w:r>
            <w:r w:rsidRPr="002927A1">
              <w:rPr>
                <w:color w:val="000000"/>
                <w:sz w:val="18"/>
                <w:szCs w:val="18"/>
                <w:lang w:eastAsia="zh-CN"/>
              </w:rPr>
              <w:t>967</w:t>
            </w:r>
            <w:r w:rsidR="00F22360" w:rsidRPr="002927A1">
              <w:rPr>
                <w:color w:val="000000"/>
                <w:sz w:val="18"/>
                <w:szCs w:val="18"/>
                <w:lang w:eastAsia="zh-CN"/>
              </w:rPr>
              <w:t xml:space="preserve"> </w:t>
            </w:r>
            <w:r w:rsidRPr="002927A1">
              <w:rPr>
                <w:color w:val="000000"/>
                <w:sz w:val="18"/>
                <w:szCs w:val="18"/>
                <w:lang w:eastAsia="zh-CN"/>
              </w:rPr>
              <w:t xml:space="preserve">600 </w:t>
            </w:r>
          </w:p>
        </w:tc>
        <w:tc>
          <w:tcPr>
            <w:tcW w:w="992" w:type="dxa"/>
            <w:shd w:val="clear" w:color="auto" w:fill="auto"/>
            <w:noWrap/>
            <w:hideMark/>
          </w:tcPr>
          <w:p w14:paraId="2B47EE20"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0187183F" w14:textId="543652BE"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2</w:t>
            </w:r>
            <w:r w:rsidR="00F22360" w:rsidRPr="002927A1">
              <w:rPr>
                <w:color w:val="000000"/>
                <w:sz w:val="18"/>
                <w:szCs w:val="18"/>
                <w:lang w:eastAsia="zh-CN"/>
              </w:rPr>
              <w:t xml:space="preserve"> </w:t>
            </w:r>
            <w:r w:rsidRPr="002927A1">
              <w:rPr>
                <w:color w:val="000000"/>
                <w:sz w:val="18"/>
                <w:szCs w:val="18"/>
                <w:lang w:eastAsia="zh-CN"/>
              </w:rPr>
              <w:t>026</w:t>
            </w:r>
            <w:r w:rsidR="00F22360" w:rsidRPr="002927A1">
              <w:rPr>
                <w:color w:val="000000"/>
                <w:sz w:val="18"/>
                <w:szCs w:val="18"/>
                <w:lang w:eastAsia="zh-CN"/>
              </w:rPr>
              <w:t xml:space="preserve"> </w:t>
            </w:r>
            <w:r w:rsidRPr="002927A1">
              <w:rPr>
                <w:color w:val="000000"/>
                <w:sz w:val="18"/>
                <w:szCs w:val="18"/>
                <w:lang w:eastAsia="zh-CN"/>
              </w:rPr>
              <w:t xml:space="preserve">328 </w:t>
            </w:r>
          </w:p>
        </w:tc>
        <w:tc>
          <w:tcPr>
            <w:tcW w:w="1025" w:type="dxa"/>
            <w:shd w:val="clear" w:color="auto" w:fill="auto"/>
            <w:noWrap/>
            <w:hideMark/>
          </w:tcPr>
          <w:p w14:paraId="36B9DB7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7543A4B5" w14:textId="77777777" w:rsidTr="008C5A39">
        <w:trPr>
          <w:trHeight w:val="57"/>
        </w:trPr>
        <w:tc>
          <w:tcPr>
            <w:tcW w:w="927" w:type="dxa"/>
            <w:tcBorders>
              <w:bottom w:val="single" w:sz="4" w:space="0" w:color="000000" w:themeColor="text1"/>
            </w:tcBorders>
            <w:shd w:val="clear" w:color="auto" w:fill="auto"/>
            <w:noWrap/>
            <w:hideMark/>
          </w:tcPr>
          <w:p w14:paraId="14894FAC"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72C23B32" w14:textId="4EBF7A07"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10.2 </w:t>
            </w:r>
            <w:r w:rsidR="00597295" w:rsidRPr="002927A1">
              <w:rPr>
                <w:sz w:val="17"/>
                <w:szCs w:val="17"/>
                <w:lang w:val="es-ES_tradnl"/>
              </w:rPr>
              <w:t>Viajes del personal</w:t>
            </w:r>
          </w:p>
        </w:tc>
        <w:tc>
          <w:tcPr>
            <w:tcW w:w="1134" w:type="dxa"/>
            <w:tcBorders>
              <w:bottom w:val="single" w:sz="4" w:space="0" w:color="000000" w:themeColor="text1"/>
            </w:tcBorders>
            <w:shd w:val="clear" w:color="auto" w:fill="auto"/>
            <w:noWrap/>
            <w:hideMark/>
          </w:tcPr>
          <w:p w14:paraId="2065D278" w14:textId="073CDB02"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140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tcBorders>
              <w:bottom w:val="single" w:sz="4" w:space="0" w:color="000000" w:themeColor="text1"/>
            </w:tcBorders>
            <w:shd w:val="clear" w:color="auto" w:fill="auto"/>
            <w:noWrap/>
            <w:hideMark/>
          </w:tcPr>
          <w:p w14:paraId="7D480F3F"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507DD2EE" w14:textId="10790585"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140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0611D5C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0C09EB6F"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3F12BD66"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CF8BF75" w14:textId="30B32EC9"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7DD5B754" w14:textId="48A10945"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107</w:t>
            </w:r>
            <w:r w:rsidR="00F22360" w:rsidRPr="002927A1">
              <w:rPr>
                <w:b/>
                <w:bCs/>
                <w:color w:val="000000"/>
                <w:sz w:val="18"/>
                <w:szCs w:val="18"/>
                <w:lang w:eastAsia="zh-CN"/>
              </w:rPr>
              <w:t xml:space="preserve"> </w:t>
            </w:r>
            <w:r w:rsidRPr="002927A1">
              <w:rPr>
                <w:b/>
                <w:bCs/>
                <w:color w:val="000000"/>
                <w:sz w:val="18"/>
                <w:szCs w:val="18"/>
                <w:lang w:eastAsia="zh-CN"/>
              </w:rPr>
              <w:t xml:space="preserve">600 </w:t>
            </w:r>
          </w:p>
        </w:tc>
        <w:tc>
          <w:tcPr>
            <w:tcW w:w="992" w:type="dxa"/>
            <w:tcBorders>
              <w:top w:val="single" w:sz="4" w:space="0" w:color="000000" w:themeColor="text1"/>
              <w:bottom w:val="single" w:sz="4" w:space="0" w:color="000000" w:themeColor="text1"/>
            </w:tcBorders>
            <w:shd w:val="clear" w:color="auto" w:fill="auto"/>
            <w:noWrap/>
            <w:hideMark/>
          </w:tcPr>
          <w:p w14:paraId="0AE70AD4"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5C971D7D" w14:textId="49E0ED5D"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166</w:t>
            </w:r>
            <w:r w:rsidR="00F22360" w:rsidRPr="002927A1">
              <w:rPr>
                <w:b/>
                <w:bCs/>
                <w:color w:val="000000"/>
                <w:sz w:val="18"/>
                <w:szCs w:val="18"/>
                <w:lang w:eastAsia="zh-CN"/>
              </w:rPr>
              <w:t xml:space="preserve"> </w:t>
            </w:r>
            <w:r w:rsidRPr="002927A1">
              <w:rPr>
                <w:b/>
                <w:bCs/>
                <w:color w:val="000000"/>
                <w:sz w:val="18"/>
                <w:szCs w:val="18"/>
                <w:lang w:eastAsia="zh-CN"/>
              </w:rPr>
              <w:t xml:space="preserve">328 </w:t>
            </w:r>
          </w:p>
        </w:tc>
        <w:tc>
          <w:tcPr>
            <w:tcW w:w="1025" w:type="dxa"/>
            <w:tcBorders>
              <w:top w:val="single" w:sz="4" w:space="0" w:color="000000" w:themeColor="text1"/>
              <w:bottom w:val="single" w:sz="4" w:space="0" w:color="000000" w:themeColor="text1"/>
            </w:tcBorders>
            <w:shd w:val="clear" w:color="auto" w:fill="auto"/>
            <w:noWrap/>
            <w:hideMark/>
          </w:tcPr>
          <w:p w14:paraId="2C532046"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DA659A" w:rsidRPr="002927A1" w14:paraId="4FD02EC9" w14:textId="77777777" w:rsidTr="008C5A39">
        <w:trPr>
          <w:trHeight w:val="57"/>
        </w:trPr>
        <w:tc>
          <w:tcPr>
            <w:tcW w:w="927" w:type="dxa"/>
            <w:tcBorders>
              <w:top w:val="single" w:sz="4" w:space="0" w:color="000000" w:themeColor="text1"/>
            </w:tcBorders>
            <w:shd w:val="clear" w:color="auto" w:fill="auto"/>
            <w:noWrap/>
            <w:hideMark/>
          </w:tcPr>
          <w:p w14:paraId="7399B82B"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11</w:t>
            </w:r>
          </w:p>
        </w:tc>
        <w:tc>
          <w:tcPr>
            <w:tcW w:w="3638" w:type="dxa"/>
            <w:tcBorders>
              <w:top w:val="single" w:sz="4" w:space="0" w:color="000000" w:themeColor="text1"/>
            </w:tcBorders>
            <w:shd w:val="clear" w:color="auto" w:fill="auto"/>
            <w:noWrap/>
            <w:hideMark/>
          </w:tcPr>
          <w:p w14:paraId="6B3B4853" w14:textId="2182EA9C"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Cooperación y coordinación internacionales</w:t>
            </w:r>
          </w:p>
        </w:tc>
        <w:tc>
          <w:tcPr>
            <w:tcW w:w="1134" w:type="dxa"/>
            <w:tcBorders>
              <w:top w:val="single" w:sz="4" w:space="0" w:color="000000" w:themeColor="text1"/>
            </w:tcBorders>
            <w:shd w:val="clear" w:color="auto" w:fill="auto"/>
            <w:noWrap/>
            <w:hideMark/>
          </w:tcPr>
          <w:p w14:paraId="5C5277F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62D1E4A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93E8A6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5F515FA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32D55AB" w14:textId="77777777" w:rsidTr="008C5A39">
        <w:trPr>
          <w:trHeight w:val="57"/>
        </w:trPr>
        <w:tc>
          <w:tcPr>
            <w:tcW w:w="927" w:type="dxa"/>
            <w:shd w:val="clear" w:color="auto" w:fill="auto"/>
            <w:noWrap/>
            <w:hideMark/>
          </w:tcPr>
          <w:p w14:paraId="009FC50B"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0C56D951" w14:textId="5995ABA8"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11.1. </w:t>
            </w:r>
            <w:r w:rsidR="00BF26F4" w:rsidRPr="002927A1">
              <w:rPr>
                <w:sz w:val="17"/>
                <w:szCs w:val="17"/>
                <w:lang w:val="es-ES_tradnl"/>
              </w:rPr>
              <w:t>Cooperación en el programa más general de desarrollo sostenible y medio ambiente</w:t>
            </w:r>
          </w:p>
        </w:tc>
        <w:tc>
          <w:tcPr>
            <w:tcW w:w="1134" w:type="dxa"/>
            <w:shd w:val="clear" w:color="auto" w:fill="auto"/>
            <w:noWrap/>
            <w:hideMark/>
          </w:tcPr>
          <w:p w14:paraId="7ADBB33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59784D6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773ED5B6"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099B12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5B05205B" w14:textId="77777777" w:rsidTr="008C5A39">
        <w:trPr>
          <w:trHeight w:val="57"/>
        </w:trPr>
        <w:tc>
          <w:tcPr>
            <w:tcW w:w="927" w:type="dxa"/>
            <w:shd w:val="clear" w:color="auto" w:fill="auto"/>
            <w:noWrap/>
            <w:hideMark/>
          </w:tcPr>
          <w:p w14:paraId="5D3C65AC"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71156E8B" w14:textId="267B2B5F"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11.2. </w:t>
            </w:r>
            <w:r w:rsidR="00BF26F4" w:rsidRPr="002927A1">
              <w:rPr>
                <w:sz w:val="17"/>
                <w:szCs w:val="17"/>
                <w:lang w:val="es-ES_tradnl"/>
              </w:rPr>
              <w:t>Cooperación en el ámbito de los productos químicos y los desechos</w:t>
            </w:r>
          </w:p>
        </w:tc>
        <w:tc>
          <w:tcPr>
            <w:tcW w:w="1134" w:type="dxa"/>
            <w:shd w:val="clear" w:color="auto" w:fill="auto"/>
            <w:noWrap/>
            <w:hideMark/>
          </w:tcPr>
          <w:p w14:paraId="5E3EBC6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27CDFF6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24CBD94D"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3B5C325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0E0DE1B0" w14:textId="77777777" w:rsidTr="008C5A39">
        <w:trPr>
          <w:trHeight w:val="57"/>
        </w:trPr>
        <w:tc>
          <w:tcPr>
            <w:tcW w:w="927" w:type="dxa"/>
            <w:tcBorders>
              <w:bottom w:val="single" w:sz="4" w:space="0" w:color="000000" w:themeColor="text1"/>
            </w:tcBorders>
            <w:shd w:val="clear" w:color="auto" w:fill="auto"/>
            <w:noWrap/>
            <w:hideMark/>
          </w:tcPr>
          <w:p w14:paraId="6EB72596"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0329E63B" w14:textId="248F007B"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11.3. </w:t>
            </w:r>
            <w:r w:rsidR="00BF26F4" w:rsidRPr="002927A1">
              <w:rPr>
                <w:sz w:val="17"/>
                <w:szCs w:val="17"/>
                <w:lang w:val="es-ES_tradnl"/>
              </w:rPr>
              <w:t>Otras actividades de cooperación y coordinación</w:t>
            </w:r>
          </w:p>
        </w:tc>
        <w:tc>
          <w:tcPr>
            <w:tcW w:w="1134" w:type="dxa"/>
            <w:tcBorders>
              <w:bottom w:val="single" w:sz="4" w:space="0" w:color="000000" w:themeColor="text1"/>
            </w:tcBorders>
            <w:shd w:val="clear" w:color="auto" w:fill="auto"/>
            <w:noWrap/>
            <w:hideMark/>
          </w:tcPr>
          <w:p w14:paraId="797206E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2680935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2DA1F22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38D2E7A8"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1FFEEE50"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4597E59E"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6F50BF94" w14:textId="32F9D730"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07D2812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31B1C70E"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0C2E30A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630DB5A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2A6DE941" w14:textId="77777777" w:rsidTr="008C5A39">
        <w:trPr>
          <w:trHeight w:val="57"/>
        </w:trPr>
        <w:tc>
          <w:tcPr>
            <w:tcW w:w="927" w:type="dxa"/>
            <w:tcBorders>
              <w:top w:val="single" w:sz="4" w:space="0" w:color="000000" w:themeColor="text1"/>
            </w:tcBorders>
            <w:shd w:val="clear" w:color="auto" w:fill="auto"/>
            <w:noWrap/>
            <w:hideMark/>
          </w:tcPr>
          <w:p w14:paraId="12092558"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12</w:t>
            </w:r>
          </w:p>
        </w:tc>
        <w:tc>
          <w:tcPr>
            <w:tcW w:w="3638" w:type="dxa"/>
            <w:tcBorders>
              <w:top w:val="single" w:sz="4" w:space="0" w:color="000000" w:themeColor="text1"/>
            </w:tcBorders>
            <w:shd w:val="clear" w:color="auto" w:fill="auto"/>
            <w:noWrap/>
            <w:hideMark/>
          </w:tcPr>
          <w:p w14:paraId="03EA4FE1" w14:textId="1B528D39" w:rsidR="00DA659A" w:rsidRPr="002927A1" w:rsidRDefault="00BF26F4"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Mecanismo y recursos financieros</w:t>
            </w:r>
          </w:p>
        </w:tc>
        <w:tc>
          <w:tcPr>
            <w:tcW w:w="1134" w:type="dxa"/>
            <w:tcBorders>
              <w:top w:val="single" w:sz="4" w:space="0" w:color="000000" w:themeColor="text1"/>
            </w:tcBorders>
            <w:shd w:val="clear" w:color="auto" w:fill="auto"/>
            <w:noWrap/>
            <w:hideMark/>
          </w:tcPr>
          <w:p w14:paraId="4F0712F9"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D6FC90D"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480D576"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7D89CC4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7E5C70DC" w14:textId="77777777" w:rsidTr="008C5A39">
        <w:trPr>
          <w:trHeight w:val="57"/>
        </w:trPr>
        <w:tc>
          <w:tcPr>
            <w:tcW w:w="927" w:type="dxa"/>
            <w:shd w:val="clear" w:color="auto" w:fill="auto"/>
            <w:noWrap/>
            <w:hideMark/>
          </w:tcPr>
          <w:p w14:paraId="559A1E08"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147EF452" w14:textId="5D551196" w:rsidR="00DA659A" w:rsidRPr="002927A1" w:rsidRDefault="00BF26F4"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12.1. </w:t>
            </w:r>
            <w:r w:rsidRPr="002927A1">
              <w:rPr>
                <w:sz w:val="17"/>
                <w:szCs w:val="17"/>
                <w:lang w:val="es-ES_tradnl"/>
              </w:rPr>
              <w:t>Mecanismo financiero</w:t>
            </w:r>
          </w:p>
        </w:tc>
        <w:tc>
          <w:tcPr>
            <w:tcW w:w="1134" w:type="dxa"/>
            <w:shd w:val="clear" w:color="auto" w:fill="auto"/>
            <w:noWrap/>
            <w:hideMark/>
          </w:tcPr>
          <w:p w14:paraId="656FB85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9FFD78C"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36FCC597"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1A35006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A6EB399" w14:textId="77777777" w:rsidTr="008C5A39">
        <w:trPr>
          <w:trHeight w:val="57"/>
        </w:trPr>
        <w:tc>
          <w:tcPr>
            <w:tcW w:w="927" w:type="dxa"/>
            <w:tcBorders>
              <w:bottom w:val="single" w:sz="4" w:space="0" w:color="000000" w:themeColor="text1"/>
            </w:tcBorders>
            <w:shd w:val="clear" w:color="auto" w:fill="auto"/>
            <w:noWrap/>
            <w:hideMark/>
          </w:tcPr>
          <w:p w14:paraId="3B62B024"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540C379C" w14:textId="65AAC866"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12.2. </w:t>
            </w:r>
            <w:r w:rsidR="00BF26F4" w:rsidRPr="002927A1">
              <w:rPr>
                <w:sz w:val="17"/>
                <w:szCs w:val="17"/>
                <w:lang w:val="es-ES_tradnl"/>
              </w:rPr>
              <w:t>Recursos financieros</w:t>
            </w:r>
          </w:p>
        </w:tc>
        <w:tc>
          <w:tcPr>
            <w:tcW w:w="1134" w:type="dxa"/>
            <w:tcBorders>
              <w:bottom w:val="single" w:sz="4" w:space="0" w:color="000000" w:themeColor="text1"/>
            </w:tcBorders>
            <w:shd w:val="clear" w:color="auto" w:fill="auto"/>
            <w:noWrap/>
            <w:hideMark/>
          </w:tcPr>
          <w:p w14:paraId="73BE300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6245DDB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2D5715CA"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00EBA03B"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497A7149" w14:textId="77777777" w:rsidTr="008C5A39">
        <w:trPr>
          <w:trHeight w:val="57"/>
        </w:trPr>
        <w:tc>
          <w:tcPr>
            <w:tcW w:w="927" w:type="dxa"/>
            <w:tcBorders>
              <w:top w:val="single" w:sz="4" w:space="0" w:color="000000" w:themeColor="text1"/>
            </w:tcBorders>
            <w:shd w:val="clear" w:color="auto" w:fill="auto"/>
            <w:noWrap/>
            <w:hideMark/>
          </w:tcPr>
          <w:p w14:paraId="33ECEF51"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tcBorders>
            <w:shd w:val="clear" w:color="auto" w:fill="auto"/>
            <w:noWrap/>
            <w:hideMark/>
          </w:tcPr>
          <w:p w14:paraId="23A5C999" w14:textId="4DEEE314"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tcBorders>
            <w:shd w:val="clear" w:color="auto" w:fill="auto"/>
            <w:noWrap/>
            <w:hideMark/>
          </w:tcPr>
          <w:p w14:paraId="2A33BDE3"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1E0875FF"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45A38AE2"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2E13D260" w14:textId="77777777"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DA659A" w:rsidRPr="002927A1" w14:paraId="62BA2EB5" w14:textId="77777777" w:rsidTr="008C5A39">
        <w:trPr>
          <w:trHeight w:val="57"/>
        </w:trPr>
        <w:tc>
          <w:tcPr>
            <w:tcW w:w="927" w:type="dxa"/>
            <w:tcBorders>
              <w:bottom w:val="single" w:sz="4" w:space="0" w:color="000000" w:themeColor="text1"/>
            </w:tcBorders>
            <w:shd w:val="clear" w:color="auto" w:fill="auto"/>
            <w:noWrap/>
            <w:hideMark/>
          </w:tcPr>
          <w:p w14:paraId="7958D123"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bottom w:val="single" w:sz="4" w:space="0" w:color="000000" w:themeColor="text1"/>
            </w:tcBorders>
            <w:shd w:val="clear" w:color="auto" w:fill="auto"/>
            <w:noWrap/>
            <w:hideMark/>
          </w:tcPr>
          <w:p w14:paraId="5F5C20D4"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(E)</w:t>
            </w:r>
          </w:p>
        </w:tc>
        <w:tc>
          <w:tcPr>
            <w:tcW w:w="1134" w:type="dxa"/>
            <w:tcBorders>
              <w:bottom w:val="single" w:sz="4" w:space="0" w:color="000000" w:themeColor="text1"/>
            </w:tcBorders>
            <w:shd w:val="clear" w:color="auto" w:fill="auto"/>
            <w:noWrap/>
            <w:hideMark/>
          </w:tcPr>
          <w:p w14:paraId="6C643B41" w14:textId="4D8EA5ED"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107</w:t>
            </w:r>
            <w:r w:rsidR="00F22360" w:rsidRPr="002927A1">
              <w:rPr>
                <w:b/>
                <w:bCs/>
                <w:color w:val="000000"/>
                <w:sz w:val="18"/>
                <w:szCs w:val="18"/>
                <w:lang w:eastAsia="zh-CN"/>
              </w:rPr>
              <w:t xml:space="preserve"> </w:t>
            </w:r>
            <w:r w:rsidRPr="002927A1">
              <w:rPr>
                <w:b/>
                <w:bCs/>
                <w:color w:val="000000"/>
                <w:sz w:val="18"/>
                <w:szCs w:val="18"/>
                <w:lang w:eastAsia="zh-CN"/>
              </w:rPr>
              <w:t xml:space="preserve">600 </w:t>
            </w:r>
          </w:p>
        </w:tc>
        <w:tc>
          <w:tcPr>
            <w:tcW w:w="992" w:type="dxa"/>
            <w:tcBorders>
              <w:bottom w:val="single" w:sz="4" w:space="0" w:color="000000" w:themeColor="text1"/>
            </w:tcBorders>
            <w:shd w:val="clear" w:color="auto" w:fill="auto"/>
            <w:noWrap/>
            <w:hideMark/>
          </w:tcPr>
          <w:p w14:paraId="5C422F70"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bottom w:val="single" w:sz="4" w:space="0" w:color="000000" w:themeColor="text1"/>
            </w:tcBorders>
            <w:shd w:val="clear" w:color="auto" w:fill="auto"/>
            <w:noWrap/>
            <w:hideMark/>
          </w:tcPr>
          <w:p w14:paraId="7222BB38" w14:textId="6930BF25"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166</w:t>
            </w:r>
            <w:r w:rsidR="00F22360" w:rsidRPr="002927A1">
              <w:rPr>
                <w:b/>
                <w:bCs/>
                <w:color w:val="000000"/>
                <w:sz w:val="18"/>
                <w:szCs w:val="18"/>
                <w:lang w:eastAsia="zh-CN"/>
              </w:rPr>
              <w:t xml:space="preserve"> </w:t>
            </w:r>
            <w:r w:rsidRPr="002927A1">
              <w:rPr>
                <w:b/>
                <w:bCs/>
                <w:color w:val="000000"/>
                <w:sz w:val="18"/>
                <w:szCs w:val="18"/>
                <w:lang w:eastAsia="zh-CN"/>
              </w:rPr>
              <w:t xml:space="preserve">328 </w:t>
            </w:r>
          </w:p>
        </w:tc>
        <w:tc>
          <w:tcPr>
            <w:tcW w:w="1025" w:type="dxa"/>
            <w:tcBorders>
              <w:bottom w:val="single" w:sz="4" w:space="0" w:color="000000" w:themeColor="text1"/>
            </w:tcBorders>
            <w:shd w:val="clear" w:color="auto" w:fill="auto"/>
            <w:noWrap/>
            <w:hideMark/>
          </w:tcPr>
          <w:p w14:paraId="397543E3" w14:textId="77777777"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DA659A" w:rsidRPr="002927A1" w14:paraId="414BED50" w14:textId="77777777" w:rsidTr="008C5A39">
        <w:trPr>
          <w:trHeight w:val="57"/>
        </w:trPr>
        <w:tc>
          <w:tcPr>
            <w:tcW w:w="927" w:type="dxa"/>
            <w:tcBorders>
              <w:top w:val="single" w:sz="4" w:space="0" w:color="000000" w:themeColor="text1"/>
            </w:tcBorders>
            <w:shd w:val="clear" w:color="auto" w:fill="auto"/>
            <w:noWrap/>
            <w:hideMark/>
          </w:tcPr>
          <w:p w14:paraId="1B9ECE64"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F.</w:t>
            </w:r>
          </w:p>
        </w:tc>
        <w:tc>
          <w:tcPr>
            <w:tcW w:w="3638" w:type="dxa"/>
            <w:tcBorders>
              <w:top w:val="single" w:sz="4" w:space="0" w:color="000000" w:themeColor="text1"/>
            </w:tcBorders>
            <w:shd w:val="clear" w:color="auto" w:fill="auto"/>
            <w:noWrap/>
            <w:hideMark/>
          </w:tcPr>
          <w:p w14:paraId="366096BD" w14:textId="1C6F48BF" w:rsidR="00DA659A" w:rsidRPr="002927A1" w:rsidRDefault="00BF26F4"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Actividades jurídicas y normativas</w:t>
            </w:r>
          </w:p>
        </w:tc>
        <w:tc>
          <w:tcPr>
            <w:tcW w:w="1134" w:type="dxa"/>
            <w:tcBorders>
              <w:top w:val="single" w:sz="4" w:space="0" w:color="000000" w:themeColor="text1"/>
            </w:tcBorders>
            <w:shd w:val="clear" w:color="auto" w:fill="auto"/>
            <w:noWrap/>
            <w:hideMark/>
          </w:tcPr>
          <w:p w14:paraId="3283A448"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7F422CE7"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8C19673"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25B58F6C"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7965A61C" w14:textId="77777777" w:rsidTr="008C5A39">
        <w:trPr>
          <w:trHeight w:val="57"/>
        </w:trPr>
        <w:tc>
          <w:tcPr>
            <w:tcW w:w="927" w:type="dxa"/>
            <w:shd w:val="clear" w:color="auto" w:fill="auto"/>
            <w:noWrap/>
            <w:hideMark/>
          </w:tcPr>
          <w:p w14:paraId="18DBF00E"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13</w:t>
            </w:r>
          </w:p>
        </w:tc>
        <w:tc>
          <w:tcPr>
            <w:tcW w:w="3638" w:type="dxa"/>
            <w:shd w:val="clear" w:color="auto" w:fill="auto"/>
            <w:noWrap/>
            <w:hideMark/>
          </w:tcPr>
          <w:p w14:paraId="48950255" w14:textId="0191440F" w:rsidR="00DA659A" w:rsidRPr="002927A1" w:rsidRDefault="00BF26F4"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sz w:val="17"/>
                <w:szCs w:val="17"/>
              </w:rPr>
              <w:t>Actividades jurídicas y normativas</w:t>
            </w:r>
          </w:p>
        </w:tc>
        <w:tc>
          <w:tcPr>
            <w:tcW w:w="1134" w:type="dxa"/>
            <w:shd w:val="clear" w:color="auto" w:fill="auto"/>
            <w:noWrap/>
            <w:hideMark/>
          </w:tcPr>
          <w:p w14:paraId="17874807"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BE30385"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0F0ACA07"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2BF537AD"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685252F4" w14:textId="77777777" w:rsidTr="008C5A39">
        <w:trPr>
          <w:trHeight w:val="57"/>
        </w:trPr>
        <w:tc>
          <w:tcPr>
            <w:tcW w:w="927" w:type="dxa"/>
            <w:tcBorders>
              <w:bottom w:val="single" w:sz="4" w:space="0" w:color="000000" w:themeColor="text1"/>
            </w:tcBorders>
            <w:shd w:val="clear" w:color="auto" w:fill="auto"/>
            <w:noWrap/>
            <w:hideMark/>
          </w:tcPr>
          <w:p w14:paraId="4BA27E33"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33D05873" w14:textId="0C63915D" w:rsidR="00DA659A" w:rsidRPr="002927A1" w:rsidRDefault="00DA659A" w:rsidP="00BF26F4">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13.1</w:t>
            </w:r>
            <w:r w:rsidR="00617154" w:rsidRPr="002927A1">
              <w:rPr>
                <w:color w:val="000000"/>
                <w:sz w:val="18"/>
                <w:szCs w:val="18"/>
                <w:lang w:val="es-ES_tradnl" w:eastAsia="zh-CN"/>
              </w:rPr>
              <w:t>.</w:t>
            </w:r>
            <w:r w:rsidRPr="002927A1">
              <w:rPr>
                <w:color w:val="000000"/>
                <w:sz w:val="18"/>
                <w:szCs w:val="18"/>
                <w:lang w:val="es-ES_tradnl" w:eastAsia="zh-CN"/>
              </w:rPr>
              <w:t xml:space="preserve"> </w:t>
            </w:r>
            <w:r w:rsidR="00BF26F4" w:rsidRPr="002927A1">
              <w:rPr>
                <w:color w:val="000000"/>
                <w:sz w:val="18"/>
                <w:szCs w:val="18"/>
                <w:lang w:val="es-ES_tradnl" w:eastAsia="zh-CN"/>
              </w:rPr>
              <w:t>ODS y cuestiones de género</w:t>
            </w:r>
            <w:r w:rsidRPr="002927A1">
              <w:rPr>
                <w:color w:val="000000"/>
                <w:sz w:val="18"/>
                <w:szCs w:val="18"/>
                <w:lang w:val="es-ES_tradnl" w:eastAsia="zh-CN"/>
              </w:rPr>
              <w:t xml:space="preserve"> </w:t>
            </w:r>
          </w:p>
        </w:tc>
        <w:tc>
          <w:tcPr>
            <w:tcW w:w="1134" w:type="dxa"/>
            <w:tcBorders>
              <w:bottom w:val="single" w:sz="4" w:space="0" w:color="000000" w:themeColor="text1"/>
            </w:tcBorders>
            <w:shd w:val="clear" w:color="auto" w:fill="auto"/>
            <w:noWrap/>
            <w:hideMark/>
          </w:tcPr>
          <w:p w14:paraId="5ADDF929"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10AC7B61" w14:textId="4C50ABCB"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120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4405F7C7"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33FF6855" w14:textId="4E6EE24A" w:rsidR="00DA659A" w:rsidRPr="002927A1" w:rsidRDefault="00DA659A" w:rsidP="008C5A39">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114</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1F4FAD93" w14:textId="77777777" w:rsidTr="008C5A39">
        <w:trPr>
          <w:trHeight w:val="57"/>
        </w:trPr>
        <w:tc>
          <w:tcPr>
            <w:tcW w:w="927" w:type="dxa"/>
            <w:tcBorders>
              <w:top w:val="single" w:sz="4" w:space="0" w:color="000000" w:themeColor="text1"/>
            </w:tcBorders>
            <w:shd w:val="clear" w:color="auto" w:fill="auto"/>
            <w:noWrap/>
            <w:hideMark/>
          </w:tcPr>
          <w:p w14:paraId="39453ED2"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top w:val="single" w:sz="4" w:space="0" w:color="000000" w:themeColor="text1"/>
            </w:tcBorders>
            <w:shd w:val="clear" w:color="auto" w:fill="auto"/>
            <w:noWrap/>
            <w:hideMark/>
          </w:tcPr>
          <w:p w14:paraId="3087D282" w14:textId="33446399"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tcBorders>
            <w:shd w:val="clear" w:color="auto" w:fill="auto"/>
            <w:noWrap/>
            <w:hideMark/>
          </w:tcPr>
          <w:p w14:paraId="65A3A55C"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tcBorders>
            <w:shd w:val="clear" w:color="auto" w:fill="auto"/>
            <w:noWrap/>
            <w:hideMark/>
          </w:tcPr>
          <w:p w14:paraId="520B95FC" w14:textId="72085515"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120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tcBorders>
            <w:shd w:val="clear" w:color="auto" w:fill="auto"/>
            <w:noWrap/>
            <w:hideMark/>
          </w:tcPr>
          <w:p w14:paraId="2185BD0A"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25" w:type="dxa"/>
            <w:tcBorders>
              <w:top w:val="single" w:sz="4" w:space="0" w:color="000000" w:themeColor="text1"/>
            </w:tcBorders>
            <w:shd w:val="clear" w:color="auto" w:fill="auto"/>
            <w:noWrap/>
            <w:hideMark/>
          </w:tcPr>
          <w:p w14:paraId="22B1EFF7" w14:textId="181CDF66" w:rsidR="00DA659A" w:rsidRPr="002927A1" w:rsidRDefault="00DA659A" w:rsidP="008C5A39">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114</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7383B275" w14:textId="77777777" w:rsidTr="008C5A39">
        <w:trPr>
          <w:trHeight w:val="57"/>
        </w:trPr>
        <w:tc>
          <w:tcPr>
            <w:tcW w:w="927" w:type="dxa"/>
            <w:tcBorders>
              <w:bottom w:val="single" w:sz="4" w:space="0" w:color="000000" w:themeColor="text1"/>
            </w:tcBorders>
            <w:shd w:val="clear" w:color="auto" w:fill="auto"/>
            <w:noWrap/>
            <w:hideMark/>
          </w:tcPr>
          <w:p w14:paraId="4EC2A7E2"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lastRenderedPageBreak/>
              <w:t> </w:t>
            </w:r>
          </w:p>
        </w:tc>
        <w:tc>
          <w:tcPr>
            <w:tcW w:w="3638" w:type="dxa"/>
            <w:tcBorders>
              <w:bottom w:val="single" w:sz="4" w:space="0" w:color="000000" w:themeColor="text1"/>
            </w:tcBorders>
            <w:shd w:val="clear" w:color="auto" w:fill="auto"/>
            <w:noWrap/>
            <w:hideMark/>
          </w:tcPr>
          <w:p w14:paraId="1CAF6DE2" w14:textId="77777777" w:rsidR="00DA659A" w:rsidRPr="002927A1" w:rsidRDefault="00DA659A" w:rsidP="00963095">
            <w:pPr>
              <w:tabs>
                <w:tab w:val="clear" w:pos="1247"/>
                <w:tab w:val="clear" w:pos="1814"/>
                <w:tab w:val="clear" w:pos="2381"/>
                <w:tab w:val="clear" w:pos="2948"/>
                <w:tab w:val="clear" w:pos="3515"/>
              </w:tabs>
              <w:spacing w:before="40" w:after="40"/>
              <w:rPr>
                <w:b/>
                <w:color w:val="000000"/>
                <w:sz w:val="18"/>
                <w:szCs w:val="18"/>
                <w:lang w:eastAsia="zh-CN"/>
              </w:rPr>
            </w:pPr>
            <w:r w:rsidRPr="002927A1">
              <w:rPr>
                <w:b/>
                <w:color w:val="000000"/>
                <w:sz w:val="18"/>
                <w:szCs w:val="18"/>
                <w:lang w:eastAsia="zh-CN"/>
              </w:rPr>
              <w:t>Total (F)</w:t>
            </w:r>
          </w:p>
        </w:tc>
        <w:tc>
          <w:tcPr>
            <w:tcW w:w="1134" w:type="dxa"/>
            <w:tcBorders>
              <w:bottom w:val="single" w:sz="4" w:space="0" w:color="000000" w:themeColor="text1"/>
            </w:tcBorders>
            <w:shd w:val="clear" w:color="auto" w:fill="auto"/>
            <w:noWrap/>
            <w:hideMark/>
          </w:tcPr>
          <w:p w14:paraId="11173658"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428C8D22" w14:textId="2C10BE7E"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120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73" w:type="dxa"/>
            <w:tcBorders>
              <w:bottom w:val="single" w:sz="4" w:space="0" w:color="000000" w:themeColor="text1"/>
            </w:tcBorders>
            <w:shd w:val="clear" w:color="auto" w:fill="auto"/>
            <w:noWrap/>
            <w:hideMark/>
          </w:tcPr>
          <w:p w14:paraId="250F2FEA"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52ADE053" w14:textId="5D106771"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114</w:t>
            </w:r>
            <w:r w:rsidR="00F22360" w:rsidRPr="002927A1">
              <w:rPr>
                <w:color w:val="000000"/>
                <w:sz w:val="18"/>
                <w:szCs w:val="18"/>
                <w:lang w:eastAsia="zh-CN"/>
              </w:rPr>
              <w:t xml:space="preserve"> </w:t>
            </w:r>
            <w:r w:rsidRPr="002927A1">
              <w:rPr>
                <w:color w:val="000000"/>
                <w:sz w:val="18"/>
                <w:szCs w:val="18"/>
                <w:lang w:eastAsia="zh-CN"/>
              </w:rPr>
              <w:t xml:space="preserve">000 </w:t>
            </w:r>
          </w:p>
        </w:tc>
      </w:tr>
      <w:tr w:rsidR="00DA659A" w:rsidRPr="002927A1" w14:paraId="7ACA8259" w14:textId="77777777" w:rsidTr="008C5A39">
        <w:trPr>
          <w:trHeight w:val="57"/>
        </w:trPr>
        <w:tc>
          <w:tcPr>
            <w:tcW w:w="927" w:type="dxa"/>
            <w:tcBorders>
              <w:top w:val="single" w:sz="4" w:space="0" w:color="000000" w:themeColor="text1"/>
            </w:tcBorders>
            <w:shd w:val="clear" w:color="auto" w:fill="auto"/>
            <w:noWrap/>
            <w:hideMark/>
          </w:tcPr>
          <w:p w14:paraId="1E621855"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G.</w:t>
            </w:r>
          </w:p>
        </w:tc>
        <w:tc>
          <w:tcPr>
            <w:tcW w:w="3638" w:type="dxa"/>
            <w:tcBorders>
              <w:top w:val="single" w:sz="4" w:space="0" w:color="000000" w:themeColor="text1"/>
            </w:tcBorders>
            <w:shd w:val="clear" w:color="auto" w:fill="auto"/>
            <w:noWrap/>
            <w:hideMark/>
          </w:tcPr>
          <w:p w14:paraId="344C4906" w14:textId="7C36E209" w:rsidR="00DA659A" w:rsidRPr="002927A1" w:rsidRDefault="00BF26F4"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Mantenimiento y servicios de oficina</w:t>
            </w:r>
          </w:p>
        </w:tc>
        <w:tc>
          <w:tcPr>
            <w:tcW w:w="1134" w:type="dxa"/>
            <w:tcBorders>
              <w:top w:val="single" w:sz="4" w:space="0" w:color="000000" w:themeColor="text1"/>
            </w:tcBorders>
            <w:shd w:val="clear" w:color="auto" w:fill="auto"/>
            <w:noWrap/>
            <w:hideMark/>
          </w:tcPr>
          <w:p w14:paraId="6D9A4458"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23CC3A7"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002AB5DD"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018F8ABF"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7F350629" w14:textId="77777777" w:rsidTr="008C5A39">
        <w:trPr>
          <w:trHeight w:val="57"/>
        </w:trPr>
        <w:tc>
          <w:tcPr>
            <w:tcW w:w="927" w:type="dxa"/>
            <w:shd w:val="clear" w:color="auto" w:fill="auto"/>
            <w:noWrap/>
            <w:hideMark/>
          </w:tcPr>
          <w:p w14:paraId="45F78B0D"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14</w:t>
            </w:r>
          </w:p>
        </w:tc>
        <w:tc>
          <w:tcPr>
            <w:tcW w:w="3638" w:type="dxa"/>
            <w:shd w:val="clear" w:color="auto" w:fill="auto"/>
            <w:noWrap/>
            <w:hideMark/>
          </w:tcPr>
          <w:p w14:paraId="449E548E" w14:textId="37777D91" w:rsidR="00DA659A" w:rsidRPr="002927A1" w:rsidRDefault="00BF26F4"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Mantenimiento y servicios de oficina</w:t>
            </w:r>
          </w:p>
        </w:tc>
        <w:tc>
          <w:tcPr>
            <w:tcW w:w="1134" w:type="dxa"/>
            <w:shd w:val="clear" w:color="auto" w:fill="auto"/>
            <w:noWrap/>
            <w:hideMark/>
          </w:tcPr>
          <w:p w14:paraId="091E9578"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7558D3D0"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6BC2CDBE"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2B5BE38B"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38254D43" w14:textId="77777777" w:rsidTr="008C5A39">
        <w:trPr>
          <w:trHeight w:val="57"/>
        </w:trPr>
        <w:tc>
          <w:tcPr>
            <w:tcW w:w="927" w:type="dxa"/>
            <w:tcBorders>
              <w:bottom w:val="single" w:sz="4" w:space="0" w:color="000000" w:themeColor="text1"/>
            </w:tcBorders>
            <w:shd w:val="clear" w:color="auto" w:fill="auto"/>
            <w:noWrap/>
            <w:hideMark/>
          </w:tcPr>
          <w:p w14:paraId="303A5BB7"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49DD4908" w14:textId="01B854EC"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14.1 </w:t>
            </w:r>
            <w:r w:rsidR="00BF26F4" w:rsidRPr="002927A1">
              <w:rPr>
                <w:color w:val="000000"/>
                <w:sz w:val="18"/>
                <w:szCs w:val="18"/>
                <w:lang w:eastAsia="zh-CN"/>
              </w:rPr>
              <w:t>Mantenimiento y servicios de oficina</w:t>
            </w:r>
          </w:p>
        </w:tc>
        <w:tc>
          <w:tcPr>
            <w:tcW w:w="1134" w:type="dxa"/>
            <w:tcBorders>
              <w:bottom w:val="single" w:sz="4" w:space="0" w:color="000000" w:themeColor="text1"/>
            </w:tcBorders>
            <w:shd w:val="clear" w:color="auto" w:fill="auto"/>
            <w:noWrap/>
            <w:hideMark/>
          </w:tcPr>
          <w:p w14:paraId="494791AC" w14:textId="55D1D3D3"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145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992" w:type="dxa"/>
            <w:tcBorders>
              <w:bottom w:val="single" w:sz="4" w:space="0" w:color="000000" w:themeColor="text1"/>
            </w:tcBorders>
            <w:shd w:val="clear" w:color="auto" w:fill="auto"/>
            <w:noWrap/>
            <w:hideMark/>
          </w:tcPr>
          <w:p w14:paraId="59AC3E30"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3FDA94F3" w14:textId="16E426BF"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145</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3F90FC21"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04C4DFD8"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0A11E3ED"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6B61B3BE" w14:textId="5DBD5174"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1E396627" w14:textId="29B29D73"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145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992" w:type="dxa"/>
            <w:tcBorders>
              <w:top w:val="single" w:sz="4" w:space="0" w:color="000000" w:themeColor="text1"/>
              <w:bottom w:val="single" w:sz="4" w:space="0" w:color="000000" w:themeColor="text1"/>
            </w:tcBorders>
            <w:shd w:val="clear" w:color="auto" w:fill="auto"/>
            <w:noWrap/>
            <w:hideMark/>
          </w:tcPr>
          <w:p w14:paraId="1B10AFD3"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6A35FA55" w14:textId="05661CDA"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145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33D17010"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r>
      <w:tr w:rsidR="00DA659A" w:rsidRPr="002927A1" w14:paraId="38A0D855" w14:textId="77777777" w:rsidTr="008C5A39">
        <w:trPr>
          <w:trHeight w:val="57"/>
        </w:trPr>
        <w:tc>
          <w:tcPr>
            <w:tcW w:w="927" w:type="dxa"/>
            <w:tcBorders>
              <w:top w:val="single" w:sz="4" w:space="0" w:color="000000" w:themeColor="text1"/>
            </w:tcBorders>
            <w:shd w:val="clear" w:color="auto" w:fill="auto"/>
            <w:noWrap/>
            <w:hideMark/>
          </w:tcPr>
          <w:p w14:paraId="0FCC26A1" w14:textId="77777777" w:rsidR="00DA659A" w:rsidRPr="002927A1" w:rsidRDefault="00DA659A" w:rsidP="00963095">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15</w:t>
            </w:r>
          </w:p>
        </w:tc>
        <w:tc>
          <w:tcPr>
            <w:tcW w:w="3638" w:type="dxa"/>
            <w:tcBorders>
              <w:top w:val="single" w:sz="4" w:space="0" w:color="000000" w:themeColor="text1"/>
            </w:tcBorders>
            <w:shd w:val="clear" w:color="auto" w:fill="auto"/>
            <w:noWrap/>
            <w:hideMark/>
          </w:tcPr>
          <w:p w14:paraId="25F2BB11" w14:textId="00731C07" w:rsidR="00DA659A" w:rsidRPr="002927A1" w:rsidRDefault="00BF26F4"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Servicios de tecnología de la información</w:t>
            </w:r>
          </w:p>
        </w:tc>
        <w:tc>
          <w:tcPr>
            <w:tcW w:w="1134" w:type="dxa"/>
            <w:tcBorders>
              <w:top w:val="single" w:sz="4" w:space="0" w:color="000000" w:themeColor="text1"/>
            </w:tcBorders>
            <w:shd w:val="clear" w:color="auto" w:fill="auto"/>
            <w:noWrap/>
            <w:hideMark/>
          </w:tcPr>
          <w:p w14:paraId="6BFF4713"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3B56A42E"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05E5515B"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496EBEF7"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552D93EA" w14:textId="77777777" w:rsidTr="008C5A39">
        <w:trPr>
          <w:trHeight w:val="57"/>
        </w:trPr>
        <w:tc>
          <w:tcPr>
            <w:tcW w:w="927" w:type="dxa"/>
            <w:tcBorders>
              <w:bottom w:val="single" w:sz="4" w:space="0" w:color="000000" w:themeColor="text1"/>
            </w:tcBorders>
            <w:shd w:val="clear" w:color="auto" w:fill="auto"/>
            <w:noWrap/>
            <w:hideMark/>
          </w:tcPr>
          <w:p w14:paraId="0D97FD1D"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1AD5F8E9" w14:textId="41E0C999" w:rsidR="00DA659A" w:rsidRPr="002927A1"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15.1 </w:t>
            </w:r>
            <w:r w:rsidR="00BF26F4" w:rsidRPr="002927A1">
              <w:rPr>
                <w:color w:val="000000"/>
                <w:sz w:val="18"/>
                <w:szCs w:val="18"/>
                <w:lang w:val="es-ES_tradnl" w:eastAsia="zh-CN"/>
              </w:rPr>
              <w:t>Servicios de tecnología de la información</w:t>
            </w:r>
          </w:p>
        </w:tc>
        <w:tc>
          <w:tcPr>
            <w:tcW w:w="1134" w:type="dxa"/>
            <w:tcBorders>
              <w:bottom w:val="single" w:sz="4" w:space="0" w:color="000000" w:themeColor="text1"/>
            </w:tcBorders>
            <w:shd w:val="clear" w:color="auto" w:fill="auto"/>
            <w:noWrap/>
            <w:hideMark/>
          </w:tcPr>
          <w:p w14:paraId="1DBABF0A" w14:textId="7E0A07C1"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53</w:t>
            </w:r>
            <w:r w:rsidR="00F22360" w:rsidRPr="002927A1">
              <w:rPr>
                <w:color w:val="000000"/>
                <w:sz w:val="18"/>
                <w:szCs w:val="18"/>
                <w:lang w:eastAsia="zh-CN"/>
              </w:rPr>
              <w:t xml:space="preserve"> </w:t>
            </w:r>
            <w:r w:rsidRPr="002927A1">
              <w:rPr>
                <w:color w:val="000000"/>
                <w:sz w:val="18"/>
                <w:szCs w:val="18"/>
                <w:lang w:eastAsia="zh-CN"/>
              </w:rPr>
              <w:t xml:space="preserve">500 </w:t>
            </w:r>
          </w:p>
        </w:tc>
        <w:tc>
          <w:tcPr>
            <w:tcW w:w="992" w:type="dxa"/>
            <w:tcBorders>
              <w:bottom w:val="single" w:sz="4" w:space="0" w:color="000000" w:themeColor="text1"/>
            </w:tcBorders>
            <w:shd w:val="clear" w:color="auto" w:fill="auto"/>
            <w:noWrap/>
            <w:hideMark/>
          </w:tcPr>
          <w:p w14:paraId="203FA58C"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44BEA734" w14:textId="1B26B85B"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50</w:t>
            </w:r>
            <w:r w:rsidR="00F22360" w:rsidRPr="002927A1">
              <w:rPr>
                <w:color w:val="000000"/>
                <w:sz w:val="18"/>
                <w:szCs w:val="18"/>
                <w:lang w:eastAsia="zh-CN"/>
              </w:rPr>
              <w:t xml:space="preserve"> </w:t>
            </w:r>
            <w:r w:rsidRPr="002927A1">
              <w:rPr>
                <w:color w:val="000000"/>
                <w:sz w:val="18"/>
                <w:szCs w:val="18"/>
                <w:lang w:eastAsia="zh-CN"/>
              </w:rPr>
              <w:t xml:space="preserve">000 </w:t>
            </w:r>
          </w:p>
        </w:tc>
        <w:tc>
          <w:tcPr>
            <w:tcW w:w="1025" w:type="dxa"/>
            <w:tcBorders>
              <w:bottom w:val="single" w:sz="4" w:space="0" w:color="000000" w:themeColor="text1"/>
            </w:tcBorders>
            <w:shd w:val="clear" w:color="auto" w:fill="auto"/>
            <w:noWrap/>
            <w:hideMark/>
          </w:tcPr>
          <w:p w14:paraId="61214A55"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22260F97"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50906D92"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FC853A7" w14:textId="41474100" w:rsidR="00DA659A" w:rsidRPr="002927A1" w:rsidRDefault="00597295"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del componente</w:t>
            </w:r>
          </w:p>
        </w:tc>
        <w:tc>
          <w:tcPr>
            <w:tcW w:w="1134" w:type="dxa"/>
            <w:tcBorders>
              <w:top w:val="single" w:sz="4" w:space="0" w:color="000000" w:themeColor="text1"/>
              <w:bottom w:val="single" w:sz="4" w:space="0" w:color="000000" w:themeColor="text1"/>
            </w:tcBorders>
            <w:shd w:val="clear" w:color="auto" w:fill="auto"/>
            <w:noWrap/>
            <w:hideMark/>
          </w:tcPr>
          <w:p w14:paraId="533E10CC" w14:textId="74D17E7C"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53</w:t>
            </w:r>
            <w:r w:rsidR="00F22360" w:rsidRPr="002927A1">
              <w:rPr>
                <w:b/>
                <w:bCs/>
                <w:color w:val="000000"/>
                <w:sz w:val="18"/>
                <w:szCs w:val="18"/>
                <w:lang w:eastAsia="zh-CN"/>
              </w:rPr>
              <w:t xml:space="preserve"> </w:t>
            </w:r>
            <w:r w:rsidRPr="002927A1">
              <w:rPr>
                <w:b/>
                <w:bCs/>
                <w:color w:val="000000"/>
                <w:sz w:val="18"/>
                <w:szCs w:val="18"/>
                <w:lang w:eastAsia="zh-CN"/>
              </w:rPr>
              <w:t xml:space="preserve">500 </w:t>
            </w:r>
          </w:p>
        </w:tc>
        <w:tc>
          <w:tcPr>
            <w:tcW w:w="992" w:type="dxa"/>
            <w:tcBorders>
              <w:top w:val="single" w:sz="4" w:space="0" w:color="000000" w:themeColor="text1"/>
              <w:bottom w:val="single" w:sz="4" w:space="0" w:color="000000" w:themeColor="text1"/>
            </w:tcBorders>
            <w:shd w:val="clear" w:color="auto" w:fill="auto"/>
            <w:noWrap/>
            <w:hideMark/>
          </w:tcPr>
          <w:p w14:paraId="0F1747DE"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0B2CB664" w14:textId="03F2B905"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50</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4D5DCA48"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r>
      <w:tr w:rsidR="00DA659A" w:rsidRPr="002927A1" w14:paraId="413ED28E"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2930C8C2"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F927718"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(G)</w:t>
            </w:r>
          </w:p>
        </w:tc>
        <w:tc>
          <w:tcPr>
            <w:tcW w:w="1134" w:type="dxa"/>
            <w:tcBorders>
              <w:top w:val="single" w:sz="4" w:space="0" w:color="000000" w:themeColor="text1"/>
              <w:bottom w:val="single" w:sz="4" w:space="0" w:color="000000" w:themeColor="text1"/>
            </w:tcBorders>
            <w:shd w:val="clear" w:color="auto" w:fill="auto"/>
            <w:noWrap/>
            <w:hideMark/>
          </w:tcPr>
          <w:p w14:paraId="40EFAB89" w14:textId="56EA368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198</w:t>
            </w:r>
            <w:r w:rsidR="00F22360" w:rsidRPr="002927A1">
              <w:rPr>
                <w:b/>
                <w:bCs/>
                <w:color w:val="000000"/>
                <w:sz w:val="18"/>
                <w:szCs w:val="18"/>
                <w:lang w:eastAsia="zh-CN"/>
              </w:rPr>
              <w:t xml:space="preserve"> </w:t>
            </w:r>
            <w:r w:rsidRPr="002927A1">
              <w:rPr>
                <w:b/>
                <w:bCs/>
                <w:color w:val="000000"/>
                <w:sz w:val="18"/>
                <w:szCs w:val="18"/>
                <w:lang w:eastAsia="zh-CN"/>
              </w:rPr>
              <w:t xml:space="preserve">500 </w:t>
            </w:r>
          </w:p>
        </w:tc>
        <w:tc>
          <w:tcPr>
            <w:tcW w:w="992" w:type="dxa"/>
            <w:tcBorders>
              <w:top w:val="single" w:sz="4" w:space="0" w:color="000000" w:themeColor="text1"/>
              <w:bottom w:val="single" w:sz="4" w:space="0" w:color="000000" w:themeColor="text1"/>
            </w:tcBorders>
            <w:shd w:val="clear" w:color="auto" w:fill="auto"/>
            <w:noWrap/>
            <w:hideMark/>
          </w:tcPr>
          <w:p w14:paraId="45947C1D"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6C6A3A1A" w14:textId="5470F3EF"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195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25" w:type="dxa"/>
            <w:tcBorders>
              <w:top w:val="single" w:sz="4" w:space="0" w:color="000000" w:themeColor="text1"/>
              <w:bottom w:val="single" w:sz="4" w:space="0" w:color="000000" w:themeColor="text1"/>
            </w:tcBorders>
            <w:shd w:val="clear" w:color="auto" w:fill="auto"/>
            <w:noWrap/>
            <w:hideMark/>
          </w:tcPr>
          <w:p w14:paraId="4243E1EB" w14:textId="77777777"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r>
      <w:tr w:rsidR="00DA659A" w:rsidRPr="002927A1" w14:paraId="468D5944"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222077CA"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52A050EE" w14:textId="66276EB5" w:rsidR="00DA659A" w:rsidRPr="002927A1" w:rsidRDefault="00D36D0E"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Recursos necesarios para todas las actividades</w:t>
            </w:r>
          </w:p>
        </w:tc>
        <w:tc>
          <w:tcPr>
            <w:tcW w:w="1134" w:type="dxa"/>
            <w:tcBorders>
              <w:top w:val="single" w:sz="4" w:space="0" w:color="000000" w:themeColor="text1"/>
              <w:bottom w:val="single" w:sz="4" w:space="0" w:color="000000" w:themeColor="text1"/>
            </w:tcBorders>
            <w:shd w:val="clear" w:color="auto" w:fill="auto"/>
            <w:noWrap/>
            <w:hideMark/>
          </w:tcPr>
          <w:p w14:paraId="6B4D9E6A"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1BC32E30"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29CFADA6"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1F45745A"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DA659A" w:rsidRPr="002927A1" w14:paraId="40F201AD"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37A664DD" w14:textId="77777777" w:rsidR="00DA659A" w:rsidRPr="002927A1" w:rsidRDefault="00DA659A" w:rsidP="00963095">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05783FFD" w14:textId="6B7FC441" w:rsidR="00DA659A" w:rsidRPr="002927A1" w:rsidRDefault="00D36D0E" w:rsidP="00DB1314">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Total (A a G), </w:t>
            </w:r>
            <w:r w:rsidR="00DB1314" w:rsidRPr="002927A1">
              <w:rPr>
                <w:b/>
                <w:bCs/>
                <w:color w:val="000000"/>
                <w:sz w:val="18"/>
                <w:szCs w:val="18"/>
                <w:lang w:eastAsia="zh-CN"/>
              </w:rPr>
              <w:t>sin incluir</w:t>
            </w:r>
            <w:r w:rsidRPr="002927A1">
              <w:rPr>
                <w:b/>
                <w:bCs/>
                <w:color w:val="000000"/>
                <w:sz w:val="18"/>
                <w:szCs w:val="18"/>
                <w:lang w:eastAsia="zh-CN"/>
              </w:rPr>
              <w:t xml:space="preserve"> los gastos de apoyo a los programas</w:t>
            </w:r>
          </w:p>
        </w:tc>
        <w:tc>
          <w:tcPr>
            <w:tcW w:w="1134" w:type="dxa"/>
            <w:tcBorders>
              <w:top w:val="single" w:sz="4" w:space="0" w:color="000000" w:themeColor="text1"/>
              <w:bottom w:val="single" w:sz="4" w:space="0" w:color="000000" w:themeColor="text1"/>
            </w:tcBorders>
            <w:shd w:val="clear" w:color="auto" w:fill="auto"/>
            <w:noWrap/>
            <w:hideMark/>
          </w:tcPr>
          <w:p w14:paraId="713B8E3F" w14:textId="5125C56F"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701</w:t>
            </w:r>
            <w:r w:rsidR="00F22360" w:rsidRPr="002927A1">
              <w:rPr>
                <w:b/>
                <w:bCs/>
                <w:color w:val="000000"/>
                <w:sz w:val="18"/>
                <w:szCs w:val="18"/>
                <w:lang w:eastAsia="zh-CN"/>
              </w:rPr>
              <w:t xml:space="preserve"> </w:t>
            </w:r>
            <w:r w:rsidRPr="002927A1">
              <w:rPr>
                <w:b/>
                <w:bCs/>
                <w:color w:val="000000"/>
                <w:sz w:val="18"/>
                <w:szCs w:val="18"/>
                <w:lang w:eastAsia="zh-CN"/>
              </w:rPr>
              <w:t xml:space="preserve">100 </w:t>
            </w:r>
          </w:p>
        </w:tc>
        <w:tc>
          <w:tcPr>
            <w:tcW w:w="992" w:type="dxa"/>
            <w:tcBorders>
              <w:top w:val="single" w:sz="4" w:space="0" w:color="000000" w:themeColor="text1"/>
              <w:bottom w:val="single" w:sz="4" w:space="0" w:color="000000" w:themeColor="text1"/>
            </w:tcBorders>
            <w:shd w:val="clear" w:color="auto" w:fill="auto"/>
            <w:noWrap/>
            <w:hideMark/>
          </w:tcPr>
          <w:p w14:paraId="14CCEFB7" w14:textId="2A77DDE4"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1</w:t>
            </w:r>
            <w:r w:rsidR="00F22360" w:rsidRPr="002927A1">
              <w:rPr>
                <w:b/>
                <w:bCs/>
                <w:color w:val="000000"/>
                <w:sz w:val="18"/>
                <w:szCs w:val="18"/>
                <w:lang w:eastAsia="zh-CN"/>
              </w:rPr>
              <w:t xml:space="preserve"> </w:t>
            </w:r>
            <w:r w:rsidRPr="002927A1">
              <w:rPr>
                <w:b/>
                <w:bCs/>
                <w:color w:val="000000"/>
                <w:sz w:val="18"/>
                <w:szCs w:val="18"/>
                <w:lang w:eastAsia="zh-CN"/>
              </w:rPr>
              <w:t>615</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c>
          <w:tcPr>
            <w:tcW w:w="1073" w:type="dxa"/>
            <w:tcBorders>
              <w:top w:val="single" w:sz="4" w:space="0" w:color="000000" w:themeColor="text1"/>
              <w:bottom w:val="single" w:sz="4" w:space="0" w:color="000000" w:themeColor="text1"/>
            </w:tcBorders>
            <w:shd w:val="clear" w:color="auto" w:fill="auto"/>
            <w:noWrap/>
            <w:hideMark/>
          </w:tcPr>
          <w:p w14:paraId="1514F774" w14:textId="38A33AB4"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4</w:t>
            </w:r>
            <w:r w:rsidR="00F22360" w:rsidRPr="002927A1">
              <w:rPr>
                <w:b/>
                <w:bCs/>
                <w:color w:val="000000"/>
                <w:sz w:val="18"/>
                <w:szCs w:val="18"/>
                <w:lang w:eastAsia="zh-CN"/>
              </w:rPr>
              <w:t xml:space="preserve"> </w:t>
            </w:r>
            <w:r w:rsidRPr="002927A1">
              <w:rPr>
                <w:b/>
                <w:bCs/>
                <w:color w:val="000000"/>
                <w:sz w:val="18"/>
                <w:szCs w:val="18"/>
                <w:lang w:eastAsia="zh-CN"/>
              </w:rPr>
              <w:t>006</w:t>
            </w:r>
            <w:r w:rsidR="00F22360" w:rsidRPr="002927A1">
              <w:rPr>
                <w:b/>
                <w:bCs/>
                <w:color w:val="000000"/>
                <w:sz w:val="18"/>
                <w:szCs w:val="18"/>
                <w:lang w:eastAsia="zh-CN"/>
              </w:rPr>
              <w:t xml:space="preserve"> </w:t>
            </w:r>
            <w:r w:rsidRPr="002927A1">
              <w:rPr>
                <w:b/>
                <w:bCs/>
                <w:color w:val="000000"/>
                <w:sz w:val="18"/>
                <w:szCs w:val="18"/>
                <w:lang w:eastAsia="zh-CN"/>
              </w:rPr>
              <w:t xml:space="preserve">828 </w:t>
            </w:r>
          </w:p>
        </w:tc>
        <w:tc>
          <w:tcPr>
            <w:tcW w:w="1025" w:type="dxa"/>
            <w:tcBorders>
              <w:top w:val="single" w:sz="4" w:space="0" w:color="000000" w:themeColor="text1"/>
              <w:bottom w:val="single" w:sz="4" w:space="0" w:color="000000" w:themeColor="text1"/>
            </w:tcBorders>
            <w:shd w:val="clear" w:color="auto" w:fill="auto"/>
            <w:noWrap/>
            <w:hideMark/>
          </w:tcPr>
          <w:p w14:paraId="6065EAEA" w14:textId="0C043F93"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259</w:t>
            </w:r>
            <w:r w:rsidR="00F22360" w:rsidRPr="002927A1">
              <w:rPr>
                <w:b/>
                <w:bCs/>
                <w:color w:val="000000"/>
                <w:sz w:val="18"/>
                <w:szCs w:val="18"/>
                <w:lang w:eastAsia="zh-CN"/>
              </w:rPr>
              <w:t xml:space="preserve"> </w:t>
            </w:r>
            <w:r w:rsidRPr="002927A1">
              <w:rPr>
                <w:b/>
                <w:bCs/>
                <w:color w:val="000000"/>
                <w:sz w:val="18"/>
                <w:szCs w:val="18"/>
                <w:lang w:eastAsia="zh-CN"/>
              </w:rPr>
              <w:t xml:space="preserve">000 </w:t>
            </w:r>
          </w:p>
        </w:tc>
      </w:tr>
      <w:tr w:rsidR="00DA659A" w:rsidRPr="002927A1" w14:paraId="06655AD5" w14:textId="77777777" w:rsidTr="008C5A39">
        <w:trPr>
          <w:trHeight w:val="57"/>
        </w:trPr>
        <w:tc>
          <w:tcPr>
            <w:tcW w:w="927" w:type="dxa"/>
            <w:tcBorders>
              <w:top w:val="single" w:sz="4" w:space="0" w:color="000000" w:themeColor="text1"/>
              <w:bottom w:val="single" w:sz="4" w:space="0" w:color="000000" w:themeColor="text1"/>
            </w:tcBorders>
            <w:shd w:val="clear" w:color="auto" w:fill="auto"/>
            <w:noWrap/>
            <w:hideMark/>
          </w:tcPr>
          <w:p w14:paraId="1F372E8E"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2301B5DC" w14:textId="6CCFF8AE" w:rsidR="00DA659A" w:rsidRPr="002927A1" w:rsidRDefault="00D36D0E" w:rsidP="00D36D0E">
            <w:pPr>
              <w:tabs>
                <w:tab w:val="clear" w:pos="1247"/>
                <w:tab w:val="clear" w:pos="1814"/>
                <w:tab w:val="clear" w:pos="2381"/>
                <w:tab w:val="clear" w:pos="2948"/>
                <w:tab w:val="clear" w:pos="3515"/>
              </w:tabs>
              <w:spacing w:before="40" w:after="40"/>
              <w:rPr>
                <w:color w:val="000000"/>
                <w:sz w:val="18"/>
                <w:szCs w:val="18"/>
                <w:lang w:eastAsia="zh-CN"/>
              </w:rPr>
            </w:pPr>
            <w:r w:rsidRPr="002927A1">
              <w:rPr>
                <w:sz w:val="17"/>
                <w:szCs w:val="17"/>
              </w:rPr>
              <w:t>Gastos de apoyo al programa</w:t>
            </w:r>
            <w:r w:rsidRPr="002927A1">
              <w:rPr>
                <w:color w:val="000000"/>
                <w:sz w:val="18"/>
                <w:szCs w:val="18"/>
                <w:lang w:eastAsia="zh-CN"/>
              </w:rPr>
              <w:t xml:space="preserve"> </w:t>
            </w:r>
            <w:r w:rsidR="00DA659A" w:rsidRPr="002927A1">
              <w:rPr>
                <w:color w:val="000000"/>
                <w:sz w:val="18"/>
                <w:szCs w:val="18"/>
                <w:lang w:eastAsia="zh-CN"/>
              </w:rPr>
              <w:t>(13</w:t>
            </w:r>
            <w:r w:rsidR="005205A2" w:rsidRPr="002927A1">
              <w:rPr>
                <w:color w:val="000000"/>
                <w:sz w:val="18"/>
                <w:szCs w:val="18"/>
                <w:lang w:eastAsia="zh-CN"/>
              </w:rPr>
              <w:t> </w:t>
            </w:r>
            <w:r w:rsidR="00DA659A" w:rsidRPr="002927A1">
              <w:rPr>
                <w:color w:val="000000"/>
                <w:sz w:val="18"/>
                <w:szCs w:val="18"/>
                <w:lang w:eastAsia="zh-CN"/>
              </w:rPr>
              <w:t>%)</w:t>
            </w:r>
          </w:p>
        </w:tc>
        <w:tc>
          <w:tcPr>
            <w:tcW w:w="1134" w:type="dxa"/>
            <w:tcBorders>
              <w:top w:val="single" w:sz="4" w:space="0" w:color="000000" w:themeColor="text1"/>
              <w:bottom w:val="single" w:sz="4" w:space="0" w:color="000000" w:themeColor="text1"/>
            </w:tcBorders>
            <w:shd w:val="clear" w:color="auto" w:fill="auto"/>
            <w:noWrap/>
            <w:hideMark/>
          </w:tcPr>
          <w:p w14:paraId="13AA7C36" w14:textId="0D46C0F2"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351</w:t>
            </w:r>
            <w:r w:rsidR="00F22360" w:rsidRPr="002927A1">
              <w:rPr>
                <w:color w:val="000000"/>
                <w:sz w:val="18"/>
                <w:szCs w:val="18"/>
                <w:lang w:eastAsia="zh-CN"/>
              </w:rPr>
              <w:t xml:space="preserve"> </w:t>
            </w:r>
            <w:r w:rsidRPr="002927A1">
              <w:rPr>
                <w:color w:val="000000"/>
                <w:sz w:val="18"/>
                <w:szCs w:val="18"/>
                <w:lang w:eastAsia="zh-CN"/>
              </w:rPr>
              <w:t xml:space="preserve">143 </w:t>
            </w:r>
          </w:p>
        </w:tc>
        <w:tc>
          <w:tcPr>
            <w:tcW w:w="992" w:type="dxa"/>
            <w:tcBorders>
              <w:top w:val="single" w:sz="4" w:space="0" w:color="000000" w:themeColor="text1"/>
              <w:bottom w:val="single" w:sz="4" w:space="0" w:color="000000" w:themeColor="text1"/>
            </w:tcBorders>
            <w:shd w:val="clear" w:color="auto" w:fill="auto"/>
            <w:noWrap/>
            <w:hideMark/>
          </w:tcPr>
          <w:p w14:paraId="0E6BDB71" w14:textId="49752734"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209</w:t>
            </w:r>
            <w:r w:rsidR="00F22360" w:rsidRPr="002927A1">
              <w:rPr>
                <w:color w:val="000000"/>
                <w:sz w:val="18"/>
                <w:szCs w:val="18"/>
                <w:lang w:eastAsia="zh-CN"/>
              </w:rPr>
              <w:t xml:space="preserve"> </w:t>
            </w:r>
            <w:r w:rsidRPr="002927A1">
              <w:rPr>
                <w:color w:val="000000"/>
                <w:sz w:val="18"/>
                <w:szCs w:val="18"/>
                <w:lang w:eastAsia="zh-CN"/>
              </w:rPr>
              <w:t xml:space="preserve">950 </w:t>
            </w:r>
          </w:p>
        </w:tc>
        <w:tc>
          <w:tcPr>
            <w:tcW w:w="1073" w:type="dxa"/>
            <w:tcBorders>
              <w:top w:val="single" w:sz="4" w:space="0" w:color="000000" w:themeColor="text1"/>
              <w:bottom w:val="single" w:sz="4" w:space="0" w:color="000000" w:themeColor="text1"/>
            </w:tcBorders>
            <w:shd w:val="clear" w:color="auto" w:fill="auto"/>
            <w:noWrap/>
            <w:hideMark/>
          </w:tcPr>
          <w:p w14:paraId="5ACE3DE3" w14:textId="26A29AB5"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520</w:t>
            </w:r>
            <w:r w:rsidR="00F22360" w:rsidRPr="002927A1">
              <w:rPr>
                <w:color w:val="000000"/>
                <w:sz w:val="18"/>
                <w:szCs w:val="18"/>
                <w:lang w:eastAsia="zh-CN"/>
              </w:rPr>
              <w:t xml:space="preserve"> </w:t>
            </w:r>
            <w:r w:rsidRPr="002927A1">
              <w:rPr>
                <w:color w:val="000000"/>
                <w:sz w:val="18"/>
                <w:szCs w:val="18"/>
                <w:lang w:eastAsia="zh-CN"/>
              </w:rPr>
              <w:t xml:space="preserve">888 </w:t>
            </w:r>
          </w:p>
        </w:tc>
        <w:tc>
          <w:tcPr>
            <w:tcW w:w="1025" w:type="dxa"/>
            <w:tcBorders>
              <w:top w:val="single" w:sz="4" w:space="0" w:color="000000" w:themeColor="text1"/>
              <w:bottom w:val="single" w:sz="4" w:space="0" w:color="000000" w:themeColor="text1"/>
            </w:tcBorders>
            <w:shd w:val="clear" w:color="auto" w:fill="auto"/>
            <w:noWrap/>
            <w:hideMark/>
          </w:tcPr>
          <w:p w14:paraId="35292461" w14:textId="12FFF31E"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293</w:t>
            </w:r>
            <w:r w:rsidR="00F22360" w:rsidRPr="002927A1">
              <w:rPr>
                <w:color w:val="000000"/>
                <w:sz w:val="18"/>
                <w:szCs w:val="18"/>
                <w:lang w:eastAsia="zh-CN"/>
              </w:rPr>
              <w:t xml:space="preserve"> </w:t>
            </w:r>
            <w:r w:rsidRPr="002927A1">
              <w:rPr>
                <w:color w:val="000000"/>
                <w:sz w:val="18"/>
                <w:szCs w:val="18"/>
                <w:lang w:eastAsia="zh-CN"/>
              </w:rPr>
              <w:t xml:space="preserve">670 </w:t>
            </w:r>
          </w:p>
        </w:tc>
      </w:tr>
      <w:tr w:rsidR="00DA659A" w:rsidRPr="002927A1" w14:paraId="407949D1" w14:textId="77777777" w:rsidTr="008C5A39">
        <w:trPr>
          <w:trHeight w:val="57"/>
        </w:trPr>
        <w:tc>
          <w:tcPr>
            <w:tcW w:w="927" w:type="dxa"/>
            <w:tcBorders>
              <w:top w:val="single" w:sz="4" w:space="0" w:color="000000" w:themeColor="text1"/>
              <w:bottom w:val="single" w:sz="12" w:space="0" w:color="000000" w:themeColor="text1"/>
            </w:tcBorders>
            <w:shd w:val="clear" w:color="auto" w:fill="auto"/>
            <w:noWrap/>
            <w:hideMark/>
          </w:tcPr>
          <w:p w14:paraId="795A5CB1" w14:textId="77777777" w:rsidR="00DA659A" w:rsidRPr="002927A1" w:rsidRDefault="00DA659A" w:rsidP="00963095">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12" w:space="0" w:color="000000" w:themeColor="text1"/>
            </w:tcBorders>
            <w:shd w:val="clear" w:color="auto" w:fill="auto"/>
            <w:noWrap/>
            <w:hideMark/>
          </w:tcPr>
          <w:p w14:paraId="1AA2DECD" w14:textId="79265A89" w:rsidR="00DA659A" w:rsidRPr="002927A1" w:rsidRDefault="00D36D0E" w:rsidP="00D36D0E">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general</w:t>
            </w:r>
            <w:r w:rsidR="00DA659A" w:rsidRPr="002927A1">
              <w:rPr>
                <w:b/>
                <w:bCs/>
                <w:color w:val="000000"/>
                <w:sz w:val="18"/>
                <w:szCs w:val="18"/>
                <w:lang w:eastAsia="zh-CN"/>
              </w:rPr>
              <w:t xml:space="preserve"> (inclu</w:t>
            </w:r>
            <w:r w:rsidRPr="002927A1">
              <w:rPr>
                <w:b/>
                <w:bCs/>
                <w:color w:val="000000"/>
                <w:sz w:val="18"/>
                <w:szCs w:val="18"/>
                <w:lang w:eastAsia="zh-CN"/>
              </w:rPr>
              <w:t>idos los gastos de apoyo a los programas</w:t>
            </w:r>
            <w:r w:rsidR="00DA659A" w:rsidRPr="002927A1">
              <w:rPr>
                <w:b/>
                <w:bCs/>
                <w:color w:val="000000"/>
                <w:sz w:val="18"/>
                <w:szCs w:val="18"/>
                <w:lang w:eastAsia="zh-CN"/>
              </w:rPr>
              <w:t>)</w:t>
            </w:r>
          </w:p>
        </w:tc>
        <w:tc>
          <w:tcPr>
            <w:tcW w:w="1134" w:type="dxa"/>
            <w:tcBorders>
              <w:top w:val="single" w:sz="4" w:space="0" w:color="000000" w:themeColor="text1"/>
              <w:bottom w:val="single" w:sz="12" w:space="0" w:color="000000" w:themeColor="text1"/>
            </w:tcBorders>
            <w:shd w:val="clear" w:color="auto" w:fill="auto"/>
            <w:noWrap/>
            <w:hideMark/>
          </w:tcPr>
          <w:p w14:paraId="754A128B" w14:textId="02D9E0C8"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3</w:t>
            </w:r>
            <w:r w:rsidR="00F22360" w:rsidRPr="002927A1">
              <w:rPr>
                <w:b/>
                <w:bCs/>
                <w:color w:val="000000"/>
                <w:sz w:val="18"/>
                <w:szCs w:val="18"/>
                <w:lang w:eastAsia="zh-CN"/>
              </w:rPr>
              <w:t xml:space="preserve"> </w:t>
            </w:r>
            <w:r w:rsidRPr="002927A1">
              <w:rPr>
                <w:b/>
                <w:bCs/>
                <w:color w:val="000000"/>
                <w:sz w:val="18"/>
                <w:szCs w:val="18"/>
                <w:lang w:eastAsia="zh-CN"/>
              </w:rPr>
              <w:t>052</w:t>
            </w:r>
            <w:r w:rsidR="00F22360" w:rsidRPr="002927A1">
              <w:rPr>
                <w:b/>
                <w:bCs/>
                <w:color w:val="000000"/>
                <w:sz w:val="18"/>
                <w:szCs w:val="18"/>
                <w:lang w:eastAsia="zh-CN"/>
              </w:rPr>
              <w:t xml:space="preserve"> </w:t>
            </w:r>
            <w:r w:rsidRPr="002927A1">
              <w:rPr>
                <w:b/>
                <w:bCs/>
                <w:color w:val="000000"/>
                <w:sz w:val="18"/>
                <w:szCs w:val="18"/>
                <w:lang w:eastAsia="zh-CN"/>
              </w:rPr>
              <w:t xml:space="preserve">243 </w:t>
            </w:r>
          </w:p>
        </w:tc>
        <w:tc>
          <w:tcPr>
            <w:tcW w:w="992" w:type="dxa"/>
            <w:tcBorders>
              <w:top w:val="single" w:sz="4" w:space="0" w:color="000000" w:themeColor="text1"/>
              <w:bottom w:val="single" w:sz="12" w:space="0" w:color="000000" w:themeColor="text1"/>
            </w:tcBorders>
            <w:shd w:val="clear" w:color="auto" w:fill="auto"/>
            <w:noWrap/>
            <w:hideMark/>
          </w:tcPr>
          <w:p w14:paraId="35B667EA" w14:textId="5A4E6A00"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1</w:t>
            </w:r>
            <w:r w:rsidR="00F22360" w:rsidRPr="002927A1">
              <w:rPr>
                <w:b/>
                <w:bCs/>
                <w:color w:val="000000"/>
                <w:sz w:val="18"/>
                <w:szCs w:val="18"/>
                <w:lang w:eastAsia="zh-CN"/>
              </w:rPr>
              <w:t xml:space="preserve"> </w:t>
            </w:r>
            <w:r w:rsidRPr="002927A1">
              <w:rPr>
                <w:b/>
                <w:bCs/>
                <w:color w:val="000000"/>
                <w:sz w:val="18"/>
                <w:szCs w:val="18"/>
                <w:lang w:eastAsia="zh-CN"/>
              </w:rPr>
              <w:t>824</w:t>
            </w:r>
            <w:r w:rsidR="00F22360" w:rsidRPr="002927A1">
              <w:rPr>
                <w:b/>
                <w:bCs/>
                <w:color w:val="000000"/>
                <w:sz w:val="18"/>
                <w:szCs w:val="18"/>
                <w:lang w:eastAsia="zh-CN"/>
              </w:rPr>
              <w:t xml:space="preserve"> </w:t>
            </w:r>
            <w:r w:rsidRPr="002927A1">
              <w:rPr>
                <w:b/>
                <w:bCs/>
                <w:color w:val="000000"/>
                <w:sz w:val="18"/>
                <w:szCs w:val="18"/>
                <w:lang w:eastAsia="zh-CN"/>
              </w:rPr>
              <w:t xml:space="preserve">950 </w:t>
            </w:r>
          </w:p>
        </w:tc>
        <w:tc>
          <w:tcPr>
            <w:tcW w:w="1073" w:type="dxa"/>
            <w:tcBorders>
              <w:top w:val="single" w:sz="4" w:space="0" w:color="000000" w:themeColor="text1"/>
              <w:bottom w:val="single" w:sz="12" w:space="0" w:color="000000" w:themeColor="text1"/>
            </w:tcBorders>
            <w:shd w:val="clear" w:color="auto" w:fill="auto"/>
            <w:noWrap/>
            <w:hideMark/>
          </w:tcPr>
          <w:p w14:paraId="31BD5AF1" w14:textId="776D93A0"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4</w:t>
            </w:r>
            <w:r w:rsidR="00F22360" w:rsidRPr="002927A1">
              <w:rPr>
                <w:b/>
                <w:bCs/>
                <w:color w:val="000000"/>
                <w:sz w:val="18"/>
                <w:szCs w:val="18"/>
                <w:lang w:eastAsia="zh-CN"/>
              </w:rPr>
              <w:t xml:space="preserve"> </w:t>
            </w:r>
            <w:r w:rsidRPr="002927A1">
              <w:rPr>
                <w:b/>
                <w:bCs/>
                <w:color w:val="000000"/>
                <w:sz w:val="18"/>
                <w:szCs w:val="18"/>
                <w:lang w:eastAsia="zh-CN"/>
              </w:rPr>
              <w:t>527</w:t>
            </w:r>
            <w:r w:rsidR="00F22360" w:rsidRPr="002927A1">
              <w:rPr>
                <w:b/>
                <w:bCs/>
                <w:color w:val="000000"/>
                <w:sz w:val="18"/>
                <w:szCs w:val="18"/>
                <w:lang w:eastAsia="zh-CN"/>
              </w:rPr>
              <w:t xml:space="preserve"> </w:t>
            </w:r>
            <w:r w:rsidRPr="002927A1">
              <w:rPr>
                <w:b/>
                <w:bCs/>
                <w:color w:val="000000"/>
                <w:sz w:val="18"/>
                <w:szCs w:val="18"/>
                <w:lang w:eastAsia="zh-CN"/>
              </w:rPr>
              <w:t xml:space="preserve">716 </w:t>
            </w:r>
          </w:p>
        </w:tc>
        <w:tc>
          <w:tcPr>
            <w:tcW w:w="1025" w:type="dxa"/>
            <w:tcBorders>
              <w:top w:val="single" w:sz="4" w:space="0" w:color="000000" w:themeColor="text1"/>
              <w:bottom w:val="single" w:sz="12" w:space="0" w:color="000000" w:themeColor="text1"/>
            </w:tcBorders>
            <w:shd w:val="clear" w:color="auto" w:fill="auto"/>
            <w:noWrap/>
            <w:hideMark/>
          </w:tcPr>
          <w:p w14:paraId="4856AEB6" w14:textId="6F5758A3" w:rsidR="00DA659A" w:rsidRPr="002927A1" w:rsidRDefault="00DA659A" w:rsidP="00963095">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2</w:t>
            </w:r>
            <w:r w:rsidR="00F22360" w:rsidRPr="002927A1">
              <w:rPr>
                <w:b/>
                <w:bCs/>
                <w:color w:val="000000"/>
                <w:sz w:val="18"/>
                <w:szCs w:val="18"/>
                <w:lang w:eastAsia="zh-CN"/>
              </w:rPr>
              <w:t xml:space="preserve"> </w:t>
            </w:r>
            <w:r w:rsidRPr="002927A1">
              <w:rPr>
                <w:b/>
                <w:bCs/>
                <w:color w:val="000000"/>
                <w:sz w:val="18"/>
                <w:szCs w:val="18"/>
                <w:lang w:eastAsia="zh-CN"/>
              </w:rPr>
              <w:t>552</w:t>
            </w:r>
            <w:r w:rsidR="00F22360" w:rsidRPr="002927A1">
              <w:rPr>
                <w:b/>
                <w:bCs/>
                <w:color w:val="000000"/>
                <w:sz w:val="18"/>
                <w:szCs w:val="18"/>
                <w:lang w:eastAsia="zh-CN"/>
              </w:rPr>
              <w:t xml:space="preserve"> </w:t>
            </w:r>
            <w:r w:rsidRPr="002927A1">
              <w:rPr>
                <w:b/>
                <w:bCs/>
                <w:color w:val="000000"/>
                <w:sz w:val="18"/>
                <w:szCs w:val="18"/>
                <w:lang w:eastAsia="zh-CN"/>
              </w:rPr>
              <w:t xml:space="preserve">670 </w:t>
            </w:r>
          </w:p>
        </w:tc>
      </w:tr>
    </w:tbl>
    <w:p w14:paraId="46E0F00B" w14:textId="443D7711" w:rsidR="00963095" w:rsidRPr="002927A1" w:rsidRDefault="00963095" w:rsidP="008C5A39">
      <w:pPr>
        <w:pStyle w:val="Normal-pool"/>
        <w:ind w:left="1247"/>
        <w:rPr>
          <w:sz w:val="17"/>
          <w:szCs w:val="17"/>
          <w:lang w:val="es-ES_tradnl"/>
        </w:rPr>
      </w:pPr>
      <w:r w:rsidRPr="002927A1">
        <w:rPr>
          <w:color w:val="000000"/>
          <w:sz w:val="17"/>
          <w:szCs w:val="17"/>
          <w:lang w:val="es-ES_tradnl" w:eastAsia="zh-CN"/>
        </w:rPr>
        <w:t xml:space="preserve">* </w:t>
      </w:r>
      <w:r w:rsidR="00D36D0E" w:rsidRPr="002927A1">
        <w:rPr>
          <w:color w:val="000000"/>
          <w:sz w:val="17"/>
          <w:szCs w:val="17"/>
          <w:lang w:val="es-ES_tradnl" w:eastAsia="zh-CN"/>
        </w:rPr>
        <w:t xml:space="preserve">De manera </w:t>
      </w:r>
      <w:r w:rsidRPr="002927A1">
        <w:rPr>
          <w:color w:val="000000"/>
          <w:sz w:val="17"/>
          <w:szCs w:val="17"/>
          <w:lang w:val="es-ES_tradnl" w:eastAsia="zh-CN"/>
        </w:rPr>
        <w:t>excep</w:t>
      </w:r>
      <w:r w:rsidR="00D36D0E" w:rsidRPr="002927A1">
        <w:rPr>
          <w:color w:val="000000"/>
          <w:sz w:val="17"/>
          <w:szCs w:val="17"/>
          <w:lang w:val="es-ES_tradnl" w:eastAsia="zh-CN"/>
        </w:rPr>
        <w:t>c</w:t>
      </w:r>
      <w:r w:rsidRPr="002927A1">
        <w:rPr>
          <w:color w:val="000000"/>
          <w:sz w:val="17"/>
          <w:szCs w:val="17"/>
          <w:lang w:val="es-ES_tradnl" w:eastAsia="zh-CN"/>
        </w:rPr>
        <w:t xml:space="preserve">ional, </w:t>
      </w:r>
      <w:r w:rsidR="00D36D0E" w:rsidRPr="002927A1">
        <w:rPr>
          <w:color w:val="000000"/>
          <w:sz w:val="17"/>
          <w:szCs w:val="17"/>
          <w:lang w:val="es-ES_tradnl" w:eastAsia="zh-CN"/>
        </w:rPr>
        <w:t>y solo después de que se hayan agotado todos los esfuerzos en materia de ahorro y eficiencia, la Se</w:t>
      </w:r>
      <w:r w:rsidRPr="002927A1">
        <w:rPr>
          <w:color w:val="000000"/>
          <w:sz w:val="17"/>
          <w:szCs w:val="17"/>
          <w:lang w:val="es-ES_tradnl" w:eastAsia="zh-CN"/>
        </w:rPr>
        <w:t>cretar</w:t>
      </w:r>
      <w:r w:rsidR="00D36D0E" w:rsidRPr="002927A1">
        <w:rPr>
          <w:color w:val="000000"/>
          <w:sz w:val="17"/>
          <w:szCs w:val="17"/>
          <w:lang w:val="es-ES_tradnl" w:eastAsia="zh-CN"/>
        </w:rPr>
        <w:t xml:space="preserve">ia Ejecutiva podrá hacer usos de los recursos de la reserva del capital operacional para hacer frente a cualesquiera responsabilidades resultantes de un </w:t>
      </w:r>
      <w:r w:rsidR="00D36D0E" w:rsidRPr="002927A1">
        <w:rPr>
          <w:sz w:val="17"/>
          <w:szCs w:val="17"/>
          <w:lang w:val="es-ES_tradnl"/>
        </w:rPr>
        <w:t>dictamen fina</w:t>
      </w:r>
      <w:r w:rsidR="00CA3D46" w:rsidRPr="002927A1">
        <w:rPr>
          <w:sz w:val="17"/>
          <w:szCs w:val="17"/>
          <w:lang w:val="es-ES_tradnl"/>
        </w:rPr>
        <w:t xml:space="preserve">l respecto de los </w:t>
      </w:r>
      <w:r w:rsidR="00D36D0E" w:rsidRPr="002927A1">
        <w:rPr>
          <w:sz w:val="17"/>
          <w:szCs w:val="17"/>
          <w:lang w:val="es-ES_tradnl"/>
        </w:rPr>
        <w:t>litigios en curso presentados por personal con sede en Ginebra</w:t>
      </w:r>
      <w:r w:rsidRPr="002927A1">
        <w:rPr>
          <w:sz w:val="17"/>
          <w:szCs w:val="17"/>
          <w:lang w:val="es-ES_tradnl"/>
        </w:rPr>
        <w:t>. </w:t>
      </w:r>
    </w:p>
    <w:p w14:paraId="79FFDE3B" w14:textId="77777777" w:rsidR="00FD6D11" w:rsidRPr="002927A1" w:rsidRDefault="00FD6D11">
      <w:pPr>
        <w:tabs>
          <w:tab w:val="clear" w:pos="1247"/>
          <w:tab w:val="clear" w:pos="1814"/>
          <w:tab w:val="clear" w:pos="2381"/>
          <w:tab w:val="clear" w:pos="2948"/>
          <w:tab w:val="clear" w:pos="3515"/>
        </w:tabs>
        <w:rPr>
          <w:bCs/>
        </w:rPr>
      </w:pPr>
      <w:r w:rsidRPr="002927A1">
        <w:rPr>
          <w:b/>
        </w:rPr>
        <w:br w:type="page"/>
      </w:r>
    </w:p>
    <w:p w14:paraId="1C88C070" w14:textId="7976842B" w:rsidR="00BC3F9F" w:rsidRPr="002927A1" w:rsidRDefault="00B612AB" w:rsidP="00BC3F9F">
      <w:pPr>
        <w:pStyle w:val="Titletable"/>
        <w:spacing w:before="240"/>
        <w:rPr>
          <w:lang w:val="es-ES_tradnl"/>
        </w:rPr>
      </w:pPr>
      <w:r w:rsidRPr="002927A1">
        <w:rPr>
          <w:b w:val="0"/>
          <w:lang w:val="es-ES_tradnl"/>
        </w:rPr>
        <w:lastRenderedPageBreak/>
        <w:t xml:space="preserve">Cuadro </w:t>
      </w:r>
      <w:r w:rsidR="00290418" w:rsidRPr="002927A1">
        <w:rPr>
          <w:b w:val="0"/>
          <w:lang w:val="es-ES_tradnl"/>
        </w:rPr>
        <w:t xml:space="preserve">2 </w:t>
      </w:r>
      <w:r w:rsidR="00290418" w:rsidRPr="002927A1">
        <w:rPr>
          <w:b w:val="0"/>
          <w:lang w:val="es-ES_tradnl"/>
        </w:rPr>
        <w:br/>
      </w:r>
      <w:r w:rsidRPr="002927A1">
        <w:rPr>
          <w:lang w:val="es-ES_tradnl"/>
        </w:rPr>
        <w:t xml:space="preserve">Reseña general de la escala </w:t>
      </w:r>
      <w:r w:rsidR="00C07C7E" w:rsidRPr="002927A1">
        <w:rPr>
          <w:lang w:val="es-ES_tradnl"/>
        </w:rPr>
        <w:t>indicativa</w:t>
      </w:r>
      <w:r w:rsidRPr="002927A1">
        <w:rPr>
          <w:lang w:val="es-ES_tradnl"/>
        </w:rPr>
        <w:t xml:space="preserve"> de cuotas y contribuciones al fondo fiduciario general para </w:t>
      </w:r>
      <w:r w:rsidR="00290418" w:rsidRPr="002927A1">
        <w:rPr>
          <w:lang w:val="es-ES_tradnl"/>
        </w:rPr>
        <w:t>2020</w:t>
      </w:r>
      <w:r w:rsidR="00617154" w:rsidRPr="002927A1">
        <w:rPr>
          <w:lang w:val="es-ES_tradnl"/>
        </w:rPr>
        <w:noBreakHyphen/>
      </w:r>
      <w:r w:rsidR="00290418" w:rsidRPr="002927A1">
        <w:rPr>
          <w:lang w:val="es-ES_tradnl"/>
        </w:rPr>
        <w:t xml:space="preserve">2021 </w:t>
      </w:r>
    </w:p>
    <w:p w14:paraId="55231F40" w14:textId="44B3BFAD" w:rsidR="00290418" w:rsidRPr="002927A1" w:rsidRDefault="00290418" w:rsidP="00BC3F9F">
      <w:pPr>
        <w:pStyle w:val="Titletable"/>
        <w:spacing w:before="60"/>
        <w:rPr>
          <w:b w:val="0"/>
          <w:sz w:val="18"/>
          <w:szCs w:val="18"/>
          <w:lang w:val="es-ES_tradnl"/>
        </w:rPr>
      </w:pPr>
      <w:r w:rsidRPr="002927A1">
        <w:rPr>
          <w:b w:val="0"/>
          <w:sz w:val="18"/>
          <w:szCs w:val="18"/>
          <w:lang w:val="es-ES_tradnl"/>
        </w:rPr>
        <w:t>(</w:t>
      </w:r>
      <w:r w:rsidR="00B612AB" w:rsidRPr="002927A1">
        <w:rPr>
          <w:b w:val="0"/>
          <w:sz w:val="18"/>
          <w:szCs w:val="18"/>
          <w:lang w:val="es-ES_tradnl"/>
        </w:rPr>
        <w:t>en dólares de los Estados Unidos</w:t>
      </w:r>
      <w:r w:rsidRPr="002927A1">
        <w:rPr>
          <w:b w:val="0"/>
          <w:sz w:val="18"/>
          <w:szCs w:val="18"/>
          <w:lang w:val="es-ES_tradnl"/>
        </w:rPr>
        <w:t>)</w:t>
      </w:r>
    </w:p>
    <w:tbl>
      <w:tblPr>
        <w:tblW w:w="8197" w:type="dxa"/>
        <w:tblInd w:w="1247" w:type="dxa"/>
        <w:tblLook w:val="04A0" w:firstRow="1" w:lastRow="0" w:firstColumn="1" w:lastColumn="0" w:noHBand="0" w:noVBand="1"/>
      </w:tblPr>
      <w:tblGrid>
        <w:gridCol w:w="486"/>
        <w:gridCol w:w="3633"/>
        <w:gridCol w:w="1451"/>
        <w:gridCol w:w="1341"/>
        <w:gridCol w:w="1286"/>
      </w:tblGrid>
      <w:tr w:rsidR="00290418" w:rsidRPr="002927A1" w14:paraId="33DC0C61" w14:textId="77777777" w:rsidTr="00FA5D35">
        <w:trPr>
          <w:tblHeader/>
        </w:trPr>
        <w:tc>
          <w:tcPr>
            <w:tcW w:w="0" w:type="auto"/>
            <w:gridSpan w:val="2"/>
            <w:tcBorders>
              <w:top w:val="single" w:sz="4" w:space="0" w:color="000000" w:themeColor="text1"/>
              <w:bottom w:val="single" w:sz="12" w:space="0" w:color="000000" w:themeColor="text1"/>
            </w:tcBorders>
            <w:shd w:val="clear" w:color="auto" w:fill="auto"/>
            <w:noWrap/>
            <w:hideMark/>
          </w:tcPr>
          <w:p w14:paraId="3F72B54A" w14:textId="616E8378" w:rsidR="00290418" w:rsidRPr="002927A1" w:rsidRDefault="00290418" w:rsidP="00B612AB">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Part</w:t>
            </w:r>
            <w:r w:rsidR="00B612AB" w:rsidRPr="002927A1">
              <w:rPr>
                <w:rFonts w:asciiTheme="majorBidi" w:hAnsiTheme="majorBidi" w:cstheme="majorBidi"/>
                <w:bCs/>
                <w:i/>
                <w:color w:val="000000"/>
                <w:sz w:val="18"/>
                <w:szCs w:val="18"/>
                <w:lang w:eastAsia="zh-CN"/>
              </w:rPr>
              <w:t>e</w:t>
            </w:r>
          </w:p>
        </w:tc>
        <w:tc>
          <w:tcPr>
            <w:tcW w:w="1424" w:type="dxa"/>
            <w:tcBorders>
              <w:top w:val="single" w:sz="4" w:space="0" w:color="000000" w:themeColor="text1"/>
              <w:bottom w:val="single" w:sz="12" w:space="0" w:color="000000" w:themeColor="text1"/>
            </w:tcBorders>
            <w:shd w:val="clear" w:color="auto" w:fill="auto"/>
            <w:hideMark/>
          </w:tcPr>
          <w:p w14:paraId="2EA1A5F6" w14:textId="70C42EF2" w:rsidR="00290418" w:rsidRPr="002927A1" w:rsidRDefault="00B612AB" w:rsidP="00B612AB">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 xml:space="preserve">Escala de cuotas de las </w:t>
            </w:r>
            <w:r w:rsidR="0034570C" w:rsidRPr="002927A1">
              <w:rPr>
                <w:rFonts w:asciiTheme="majorBidi" w:hAnsiTheme="majorBidi" w:cstheme="majorBidi"/>
                <w:bCs/>
                <w:i/>
                <w:color w:val="000000"/>
                <w:sz w:val="18"/>
                <w:szCs w:val="18"/>
                <w:lang w:eastAsia="zh-CN"/>
              </w:rPr>
              <w:t>Naciones Unidas</w:t>
            </w:r>
            <w:r w:rsidR="00290418" w:rsidRPr="002927A1">
              <w:rPr>
                <w:rFonts w:asciiTheme="majorBidi" w:hAnsiTheme="majorBidi" w:cstheme="majorBidi"/>
                <w:bCs/>
                <w:i/>
                <w:color w:val="000000"/>
                <w:sz w:val="18"/>
                <w:szCs w:val="18"/>
                <w:lang w:eastAsia="zh-CN"/>
              </w:rPr>
              <w:t xml:space="preserve"> </w:t>
            </w:r>
            <w:r w:rsidR="00290418" w:rsidRPr="002927A1">
              <w:rPr>
                <w:rFonts w:asciiTheme="majorBidi" w:hAnsiTheme="majorBidi" w:cstheme="majorBidi"/>
                <w:bCs/>
                <w:i/>
                <w:color w:val="000000"/>
                <w:sz w:val="18"/>
                <w:szCs w:val="18"/>
                <w:lang w:eastAsia="zh-CN"/>
              </w:rPr>
              <w:br/>
              <w:t>(%)</w:t>
            </w:r>
          </w:p>
        </w:tc>
        <w:tc>
          <w:tcPr>
            <w:tcW w:w="0" w:type="auto"/>
            <w:tcBorders>
              <w:top w:val="single" w:sz="4" w:space="0" w:color="000000" w:themeColor="text1"/>
              <w:bottom w:val="single" w:sz="12" w:space="0" w:color="000000" w:themeColor="text1"/>
            </w:tcBorders>
            <w:shd w:val="clear" w:color="auto" w:fill="auto"/>
            <w:hideMark/>
          </w:tcPr>
          <w:p w14:paraId="0A688C30" w14:textId="7FED8798" w:rsidR="00290418" w:rsidRPr="002927A1" w:rsidRDefault="00C07C7E" w:rsidP="00C07C7E">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 xml:space="preserve">Escala del Convenio de </w:t>
            </w:r>
            <w:r w:rsidR="00290418" w:rsidRPr="002927A1">
              <w:rPr>
                <w:rFonts w:asciiTheme="majorBidi" w:hAnsiTheme="majorBidi" w:cstheme="majorBidi"/>
                <w:bCs/>
                <w:i/>
                <w:color w:val="000000"/>
                <w:sz w:val="18"/>
                <w:szCs w:val="18"/>
                <w:lang w:eastAsia="zh-CN"/>
              </w:rPr>
              <w:t xml:space="preserve">Minamata </w:t>
            </w:r>
            <w:r w:rsidRPr="002927A1">
              <w:rPr>
                <w:rFonts w:asciiTheme="majorBidi" w:hAnsiTheme="majorBidi" w:cstheme="majorBidi"/>
                <w:bCs/>
                <w:i/>
                <w:color w:val="000000"/>
                <w:sz w:val="18"/>
                <w:szCs w:val="18"/>
                <w:lang w:eastAsia="zh-CN"/>
              </w:rPr>
              <w:t>con un límite del</w:t>
            </w:r>
            <w:r w:rsidR="00FA5D35">
              <w:rPr>
                <w:rFonts w:asciiTheme="majorBidi" w:hAnsiTheme="majorBidi" w:cstheme="majorBidi"/>
                <w:bCs/>
                <w:i/>
                <w:color w:val="000000"/>
                <w:sz w:val="18"/>
                <w:szCs w:val="18"/>
                <w:lang w:eastAsia="zh-CN"/>
              </w:rPr>
              <w:t> </w:t>
            </w:r>
            <w:r w:rsidR="00290418" w:rsidRPr="002927A1">
              <w:rPr>
                <w:rFonts w:asciiTheme="majorBidi" w:hAnsiTheme="majorBidi" w:cstheme="majorBidi"/>
                <w:bCs/>
                <w:i/>
                <w:color w:val="000000"/>
                <w:sz w:val="18"/>
                <w:szCs w:val="18"/>
                <w:lang w:eastAsia="zh-CN"/>
              </w:rPr>
              <w:t>22</w:t>
            </w:r>
            <w:r w:rsidR="009C6C8E" w:rsidRPr="002927A1">
              <w:rPr>
                <w:rFonts w:asciiTheme="majorBidi" w:hAnsiTheme="majorBidi" w:cstheme="majorBidi"/>
                <w:bCs/>
                <w:i/>
                <w:color w:val="000000"/>
                <w:sz w:val="18"/>
                <w:szCs w:val="18"/>
                <w:lang w:eastAsia="zh-CN"/>
              </w:rPr>
              <w:t> </w:t>
            </w:r>
            <w:r w:rsidR="00290418" w:rsidRPr="002927A1">
              <w:rPr>
                <w:rFonts w:asciiTheme="majorBidi" w:hAnsiTheme="majorBidi" w:cstheme="majorBidi"/>
                <w:bCs/>
                <w:i/>
                <w:color w:val="000000"/>
                <w:sz w:val="18"/>
                <w:szCs w:val="18"/>
                <w:lang w:eastAsia="zh-CN"/>
              </w:rPr>
              <w:t xml:space="preserve">% </w:t>
            </w:r>
            <w:r w:rsidRPr="002927A1">
              <w:rPr>
                <w:rFonts w:asciiTheme="majorBidi" w:hAnsiTheme="majorBidi" w:cstheme="majorBidi"/>
                <w:bCs/>
                <w:i/>
                <w:color w:val="000000"/>
                <w:sz w:val="18"/>
                <w:szCs w:val="18"/>
                <w:lang w:eastAsia="zh-CN"/>
              </w:rPr>
              <w:t xml:space="preserve">y base de </w:t>
            </w:r>
            <w:r w:rsidR="00290418" w:rsidRPr="002927A1">
              <w:rPr>
                <w:rFonts w:asciiTheme="majorBidi" w:hAnsiTheme="majorBidi" w:cstheme="majorBidi"/>
                <w:bCs/>
                <w:i/>
                <w:color w:val="000000"/>
                <w:sz w:val="18"/>
                <w:szCs w:val="18"/>
                <w:lang w:eastAsia="zh-CN"/>
              </w:rPr>
              <w:t>0</w:t>
            </w:r>
            <w:r w:rsidRPr="002927A1">
              <w:rPr>
                <w:rFonts w:asciiTheme="majorBidi" w:hAnsiTheme="majorBidi" w:cstheme="majorBidi"/>
                <w:bCs/>
                <w:i/>
                <w:color w:val="000000"/>
                <w:sz w:val="18"/>
                <w:szCs w:val="18"/>
                <w:lang w:eastAsia="zh-CN"/>
              </w:rPr>
              <w:t>,</w:t>
            </w:r>
            <w:r w:rsidR="00290418" w:rsidRPr="002927A1">
              <w:rPr>
                <w:rFonts w:asciiTheme="majorBidi" w:hAnsiTheme="majorBidi" w:cstheme="majorBidi"/>
                <w:bCs/>
                <w:i/>
                <w:color w:val="000000"/>
                <w:sz w:val="18"/>
                <w:szCs w:val="18"/>
                <w:lang w:eastAsia="zh-CN"/>
              </w:rPr>
              <w:t>010</w:t>
            </w:r>
            <w:r w:rsidR="009C6C8E" w:rsidRPr="002927A1">
              <w:rPr>
                <w:rFonts w:asciiTheme="majorBidi" w:hAnsiTheme="majorBidi" w:cstheme="majorBidi"/>
                <w:bCs/>
                <w:i/>
                <w:color w:val="000000"/>
                <w:sz w:val="18"/>
                <w:szCs w:val="18"/>
                <w:lang w:eastAsia="zh-CN"/>
              </w:rPr>
              <w:t> </w:t>
            </w:r>
            <w:r w:rsidR="00290418" w:rsidRPr="002927A1">
              <w:rPr>
                <w:rFonts w:asciiTheme="majorBidi" w:hAnsiTheme="majorBidi" w:cstheme="majorBidi"/>
                <w:bCs/>
                <w:i/>
                <w:color w:val="000000"/>
                <w:sz w:val="18"/>
                <w:szCs w:val="18"/>
                <w:lang w:eastAsia="zh-CN"/>
              </w:rPr>
              <w:t>% base (%)</w:t>
            </w:r>
          </w:p>
        </w:tc>
        <w:tc>
          <w:tcPr>
            <w:tcW w:w="1286" w:type="dxa"/>
            <w:tcBorders>
              <w:top w:val="single" w:sz="4" w:space="0" w:color="000000" w:themeColor="text1"/>
              <w:bottom w:val="single" w:sz="12" w:space="0" w:color="000000" w:themeColor="text1"/>
            </w:tcBorders>
            <w:shd w:val="clear" w:color="auto" w:fill="auto"/>
            <w:hideMark/>
          </w:tcPr>
          <w:p w14:paraId="67D6BB4B" w14:textId="2E2CF2B8" w:rsidR="00290418" w:rsidRPr="002927A1" w:rsidRDefault="00290418" w:rsidP="00C07C7E">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 xml:space="preserve">Total </w:t>
            </w:r>
            <w:r w:rsidR="00C07C7E" w:rsidRPr="002927A1">
              <w:rPr>
                <w:rFonts w:asciiTheme="majorBidi" w:hAnsiTheme="majorBidi" w:cstheme="majorBidi"/>
                <w:bCs/>
                <w:i/>
                <w:color w:val="000000"/>
                <w:sz w:val="18"/>
                <w:szCs w:val="18"/>
                <w:lang w:eastAsia="zh-CN"/>
              </w:rPr>
              <w:t xml:space="preserve">de </w:t>
            </w:r>
            <w:r w:rsidR="006B3037" w:rsidRPr="002927A1">
              <w:rPr>
                <w:rFonts w:asciiTheme="majorBidi" w:hAnsiTheme="majorBidi" w:cstheme="majorBidi"/>
                <w:bCs/>
                <w:i/>
                <w:color w:val="000000"/>
                <w:sz w:val="18"/>
                <w:szCs w:val="18"/>
                <w:lang w:eastAsia="zh-CN"/>
              </w:rPr>
              <w:t>c</w:t>
            </w:r>
            <w:r w:rsidRPr="002927A1">
              <w:rPr>
                <w:rFonts w:asciiTheme="majorBidi" w:hAnsiTheme="majorBidi" w:cstheme="majorBidi"/>
                <w:bCs/>
                <w:i/>
                <w:color w:val="000000"/>
                <w:sz w:val="18"/>
                <w:szCs w:val="18"/>
                <w:lang w:eastAsia="zh-CN"/>
              </w:rPr>
              <w:t>ontribu</w:t>
            </w:r>
            <w:r w:rsidR="00C07C7E" w:rsidRPr="002927A1">
              <w:rPr>
                <w:rFonts w:asciiTheme="majorBidi" w:hAnsiTheme="majorBidi" w:cstheme="majorBidi"/>
                <w:bCs/>
                <w:i/>
                <w:color w:val="000000"/>
                <w:sz w:val="18"/>
                <w:szCs w:val="18"/>
                <w:lang w:eastAsia="zh-CN"/>
              </w:rPr>
              <w:t>c</w:t>
            </w:r>
            <w:r w:rsidRPr="002927A1">
              <w:rPr>
                <w:rFonts w:asciiTheme="majorBidi" w:hAnsiTheme="majorBidi" w:cstheme="majorBidi"/>
                <w:bCs/>
                <w:i/>
                <w:color w:val="000000"/>
                <w:sz w:val="18"/>
                <w:szCs w:val="18"/>
                <w:lang w:eastAsia="zh-CN"/>
              </w:rPr>
              <w:t>ion</w:t>
            </w:r>
            <w:r w:rsidR="00C07C7E" w:rsidRPr="002927A1">
              <w:rPr>
                <w:rFonts w:asciiTheme="majorBidi" w:hAnsiTheme="majorBidi" w:cstheme="majorBidi"/>
                <w:bCs/>
                <w:i/>
                <w:color w:val="000000"/>
                <w:sz w:val="18"/>
                <w:szCs w:val="18"/>
                <w:lang w:eastAsia="zh-CN"/>
              </w:rPr>
              <w:t>e</w:t>
            </w:r>
            <w:r w:rsidRPr="002927A1">
              <w:rPr>
                <w:rFonts w:asciiTheme="majorBidi" w:hAnsiTheme="majorBidi" w:cstheme="majorBidi"/>
                <w:bCs/>
                <w:i/>
                <w:color w:val="000000"/>
                <w:sz w:val="18"/>
                <w:szCs w:val="18"/>
                <w:lang w:eastAsia="zh-CN"/>
              </w:rPr>
              <w:t>s (2020</w:t>
            </w:r>
            <w:r w:rsidR="009C6C8E" w:rsidRPr="002927A1">
              <w:rPr>
                <w:rFonts w:asciiTheme="majorBidi" w:hAnsiTheme="majorBidi" w:cstheme="majorBidi"/>
                <w:bCs/>
                <w:i/>
                <w:color w:val="000000"/>
                <w:sz w:val="18"/>
                <w:szCs w:val="18"/>
                <w:lang w:eastAsia="zh-CN"/>
              </w:rPr>
              <w:noBreakHyphen/>
            </w:r>
            <w:r w:rsidRPr="002927A1">
              <w:rPr>
                <w:rFonts w:asciiTheme="majorBidi" w:hAnsiTheme="majorBidi" w:cstheme="majorBidi"/>
                <w:bCs/>
                <w:i/>
                <w:color w:val="000000"/>
                <w:sz w:val="18"/>
                <w:szCs w:val="18"/>
                <w:lang w:eastAsia="zh-CN"/>
              </w:rPr>
              <w:t>2021)</w:t>
            </w:r>
          </w:p>
        </w:tc>
      </w:tr>
      <w:tr w:rsidR="00290418" w:rsidRPr="002927A1" w14:paraId="6F07B383" w14:textId="77777777" w:rsidTr="00FA5D35">
        <w:tc>
          <w:tcPr>
            <w:tcW w:w="0" w:type="auto"/>
            <w:gridSpan w:val="2"/>
            <w:tcBorders>
              <w:top w:val="single" w:sz="12" w:space="0" w:color="000000" w:themeColor="text1"/>
              <w:right w:val="nil"/>
            </w:tcBorders>
            <w:shd w:val="clear" w:color="auto" w:fill="auto"/>
            <w:noWrap/>
            <w:hideMark/>
          </w:tcPr>
          <w:p w14:paraId="1BD3C0CE" w14:textId="69A31B0B" w:rsidR="00290418" w:rsidRPr="002927A1" w:rsidRDefault="00C07C7E" w:rsidP="00C07C7E">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Á</w:t>
            </w:r>
            <w:r w:rsidR="006B3037" w:rsidRPr="002927A1">
              <w:rPr>
                <w:rFonts w:asciiTheme="majorBidi" w:hAnsiTheme="majorBidi" w:cstheme="majorBidi"/>
                <w:b/>
                <w:bCs/>
                <w:color w:val="000000"/>
                <w:sz w:val="18"/>
                <w:szCs w:val="18"/>
                <w:lang w:eastAsia="zh-CN"/>
              </w:rPr>
              <w:t>frica</w:t>
            </w:r>
            <w:r w:rsidR="00290418" w:rsidRPr="002927A1">
              <w:rPr>
                <w:rFonts w:asciiTheme="majorBidi" w:hAnsiTheme="majorBidi" w:cstheme="majorBidi"/>
                <w:b/>
                <w:bCs/>
                <w:color w:val="000000"/>
                <w:sz w:val="18"/>
                <w:szCs w:val="18"/>
                <w:lang w:eastAsia="zh-CN"/>
              </w:rPr>
              <w:t xml:space="preserve"> (32)</w:t>
            </w:r>
          </w:p>
        </w:tc>
        <w:tc>
          <w:tcPr>
            <w:tcW w:w="1424" w:type="dxa"/>
            <w:tcBorders>
              <w:top w:val="single" w:sz="12" w:space="0" w:color="000000" w:themeColor="text1"/>
              <w:left w:val="nil"/>
              <w:right w:val="nil"/>
            </w:tcBorders>
            <w:shd w:val="clear" w:color="auto" w:fill="auto"/>
            <w:noWrap/>
            <w:hideMark/>
          </w:tcPr>
          <w:p w14:paraId="259850F7" w14:textId="77777777"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w:t>
            </w:r>
          </w:p>
        </w:tc>
        <w:tc>
          <w:tcPr>
            <w:tcW w:w="0" w:type="auto"/>
            <w:tcBorders>
              <w:top w:val="single" w:sz="12" w:space="0" w:color="000000" w:themeColor="text1"/>
              <w:left w:val="nil"/>
              <w:right w:val="nil"/>
            </w:tcBorders>
            <w:shd w:val="clear" w:color="auto" w:fill="auto"/>
            <w:noWrap/>
            <w:hideMark/>
          </w:tcPr>
          <w:p w14:paraId="5F66DB10"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w:t>
            </w:r>
          </w:p>
        </w:tc>
        <w:tc>
          <w:tcPr>
            <w:tcW w:w="1286" w:type="dxa"/>
            <w:tcBorders>
              <w:top w:val="single" w:sz="12" w:space="0" w:color="000000" w:themeColor="text1"/>
              <w:left w:val="nil"/>
            </w:tcBorders>
            <w:shd w:val="clear" w:color="auto" w:fill="auto"/>
            <w:noWrap/>
            <w:hideMark/>
          </w:tcPr>
          <w:p w14:paraId="07EECBA8"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w:t>
            </w:r>
          </w:p>
        </w:tc>
      </w:tr>
      <w:tr w:rsidR="00290418" w:rsidRPr="002927A1" w14:paraId="10FD5C6C" w14:textId="77777777" w:rsidTr="00FA5D35">
        <w:tc>
          <w:tcPr>
            <w:tcW w:w="0" w:type="auto"/>
            <w:tcBorders>
              <w:top w:val="nil"/>
            </w:tcBorders>
            <w:shd w:val="clear" w:color="auto" w:fill="auto"/>
            <w:noWrap/>
            <w:hideMark/>
          </w:tcPr>
          <w:p w14:paraId="157E8D5F"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w:t>
            </w:r>
          </w:p>
        </w:tc>
        <w:tc>
          <w:tcPr>
            <w:tcW w:w="0" w:type="auto"/>
            <w:tcBorders>
              <w:top w:val="nil"/>
            </w:tcBorders>
            <w:shd w:val="clear" w:color="auto" w:fill="auto"/>
            <w:noWrap/>
            <w:hideMark/>
          </w:tcPr>
          <w:p w14:paraId="330234D4" w14:textId="77777777"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Benin</w:t>
            </w:r>
          </w:p>
        </w:tc>
        <w:tc>
          <w:tcPr>
            <w:tcW w:w="1424" w:type="dxa"/>
            <w:tcBorders>
              <w:top w:val="nil"/>
            </w:tcBorders>
            <w:shd w:val="clear" w:color="auto" w:fill="auto"/>
            <w:noWrap/>
            <w:hideMark/>
          </w:tcPr>
          <w:p w14:paraId="76B16F25" w14:textId="1CE498E2" w:rsidR="00290418" w:rsidRPr="002927A1" w:rsidRDefault="00290418" w:rsidP="00C07C7E">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003</w:t>
            </w:r>
          </w:p>
        </w:tc>
        <w:tc>
          <w:tcPr>
            <w:tcW w:w="0" w:type="auto"/>
            <w:tcBorders>
              <w:top w:val="nil"/>
            </w:tcBorders>
            <w:shd w:val="clear" w:color="auto" w:fill="auto"/>
            <w:noWrap/>
            <w:hideMark/>
          </w:tcPr>
          <w:p w14:paraId="1001DF3F" w14:textId="1ACBCE6D"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0100</w:t>
            </w:r>
          </w:p>
        </w:tc>
        <w:tc>
          <w:tcPr>
            <w:tcW w:w="1286" w:type="dxa"/>
            <w:tcBorders>
              <w:top w:val="nil"/>
            </w:tcBorders>
            <w:shd w:val="clear" w:color="auto" w:fill="auto"/>
            <w:noWrap/>
            <w:hideMark/>
          </w:tcPr>
          <w:p w14:paraId="32DE30A8" w14:textId="29614CE1"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90418" w:rsidRPr="002927A1" w14:paraId="0366DD81" w14:textId="77777777" w:rsidTr="00FA5D35">
        <w:tc>
          <w:tcPr>
            <w:tcW w:w="0" w:type="auto"/>
            <w:tcBorders>
              <w:top w:val="nil"/>
            </w:tcBorders>
            <w:shd w:val="clear" w:color="auto" w:fill="auto"/>
            <w:noWrap/>
            <w:hideMark/>
          </w:tcPr>
          <w:p w14:paraId="62CF6855"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w:t>
            </w:r>
          </w:p>
        </w:tc>
        <w:tc>
          <w:tcPr>
            <w:tcW w:w="0" w:type="auto"/>
            <w:tcBorders>
              <w:top w:val="nil"/>
            </w:tcBorders>
            <w:shd w:val="clear" w:color="auto" w:fill="auto"/>
            <w:hideMark/>
          </w:tcPr>
          <w:p w14:paraId="49E2818F" w14:textId="77777777"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Botswana</w:t>
            </w:r>
          </w:p>
        </w:tc>
        <w:tc>
          <w:tcPr>
            <w:tcW w:w="1424" w:type="dxa"/>
            <w:tcBorders>
              <w:top w:val="nil"/>
            </w:tcBorders>
            <w:shd w:val="clear" w:color="auto" w:fill="auto"/>
            <w:noWrap/>
            <w:hideMark/>
          </w:tcPr>
          <w:p w14:paraId="11912E62" w14:textId="427D4AF6"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014</w:t>
            </w:r>
          </w:p>
        </w:tc>
        <w:tc>
          <w:tcPr>
            <w:tcW w:w="0" w:type="auto"/>
            <w:tcBorders>
              <w:top w:val="nil"/>
            </w:tcBorders>
            <w:shd w:val="clear" w:color="auto" w:fill="auto"/>
            <w:noWrap/>
            <w:hideMark/>
          </w:tcPr>
          <w:p w14:paraId="09AD1A81" w14:textId="79993037"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0172</w:t>
            </w:r>
          </w:p>
        </w:tc>
        <w:tc>
          <w:tcPr>
            <w:tcW w:w="1286" w:type="dxa"/>
            <w:tcBorders>
              <w:top w:val="nil"/>
            </w:tcBorders>
            <w:shd w:val="clear" w:color="auto" w:fill="auto"/>
            <w:noWrap/>
            <w:hideMark/>
          </w:tcPr>
          <w:p w14:paraId="50DE837B" w14:textId="79415DA0"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w:t>
            </w:r>
            <w:r w:rsidR="00F22360" w:rsidRPr="002927A1">
              <w:rPr>
                <w:rFonts w:asciiTheme="majorBidi" w:hAnsiTheme="majorBidi" w:cstheme="majorBidi"/>
                <w:color w:val="000000"/>
                <w:sz w:val="18"/>
                <w:szCs w:val="18"/>
                <w:lang w:eastAsia="zh-CN"/>
              </w:rPr>
              <w:t xml:space="preserve"> </w:t>
            </w:r>
            <w:r w:rsidRPr="002927A1">
              <w:rPr>
                <w:rFonts w:asciiTheme="majorBidi" w:hAnsiTheme="majorBidi" w:cstheme="majorBidi"/>
                <w:color w:val="000000"/>
                <w:sz w:val="18"/>
                <w:szCs w:val="18"/>
                <w:lang w:eastAsia="zh-CN"/>
              </w:rPr>
              <w:t xml:space="preserve">109 </w:t>
            </w:r>
          </w:p>
        </w:tc>
      </w:tr>
      <w:tr w:rsidR="00290418" w:rsidRPr="002927A1" w14:paraId="03E9782A" w14:textId="77777777" w:rsidTr="00FA5D35">
        <w:tc>
          <w:tcPr>
            <w:tcW w:w="0" w:type="auto"/>
            <w:tcBorders>
              <w:top w:val="nil"/>
            </w:tcBorders>
            <w:shd w:val="clear" w:color="auto" w:fill="auto"/>
            <w:noWrap/>
            <w:hideMark/>
          </w:tcPr>
          <w:p w14:paraId="1C4C4CD9"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w:t>
            </w:r>
          </w:p>
        </w:tc>
        <w:tc>
          <w:tcPr>
            <w:tcW w:w="0" w:type="auto"/>
            <w:tcBorders>
              <w:top w:val="nil"/>
            </w:tcBorders>
            <w:shd w:val="clear" w:color="auto" w:fill="auto"/>
            <w:noWrap/>
            <w:hideMark/>
          </w:tcPr>
          <w:p w14:paraId="362CD00A" w14:textId="77777777"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Burkina Faso</w:t>
            </w:r>
          </w:p>
        </w:tc>
        <w:tc>
          <w:tcPr>
            <w:tcW w:w="1424" w:type="dxa"/>
            <w:tcBorders>
              <w:top w:val="nil"/>
            </w:tcBorders>
            <w:shd w:val="clear" w:color="auto" w:fill="auto"/>
            <w:noWrap/>
            <w:hideMark/>
          </w:tcPr>
          <w:p w14:paraId="7035D3BD" w14:textId="464F8370"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003</w:t>
            </w:r>
          </w:p>
        </w:tc>
        <w:tc>
          <w:tcPr>
            <w:tcW w:w="0" w:type="auto"/>
            <w:tcBorders>
              <w:top w:val="nil"/>
            </w:tcBorders>
            <w:shd w:val="clear" w:color="auto" w:fill="auto"/>
            <w:noWrap/>
            <w:hideMark/>
          </w:tcPr>
          <w:p w14:paraId="5C08FE22" w14:textId="786E8CFF"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0100</w:t>
            </w:r>
          </w:p>
        </w:tc>
        <w:tc>
          <w:tcPr>
            <w:tcW w:w="1286" w:type="dxa"/>
            <w:tcBorders>
              <w:top w:val="nil"/>
            </w:tcBorders>
            <w:shd w:val="clear" w:color="auto" w:fill="auto"/>
            <w:noWrap/>
            <w:hideMark/>
          </w:tcPr>
          <w:p w14:paraId="600A3D95" w14:textId="108FFA9A"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90418" w:rsidRPr="002927A1" w14:paraId="70068AE3" w14:textId="77777777" w:rsidTr="00FA5D35">
        <w:tc>
          <w:tcPr>
            <w:tcW w:w="0" w:type="auto"/>
            <w:tcBorders>
              <w:top w:val="nil"/>
            </w:tcBorders>
            <w:shd w:val="clear" w:color="auto" w:fill="auto"/>
            <w:noWrap/>
            <w:hideMark/>
          </w:tcPr>
          <w:p w14:paraId="2EB3A07A"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w:t>
            </w:r>
          </w:p>
        </w:tc>
        <w:tc>
          <w:tcPr>
            <w:tcW w:w="0" w:type="auto"/>
            <w:tcBorders>
              <w:top w:val="nil"/>
            </w:tcBorders>
            <w:shd w:val="clear" w:color="auto" w:fill="auto"/>
            <w:hideMark/>
          </w:tcPr>
          <w:p w14:paraId="3C202B28" w14:textId="77777777"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Chad</w:t>
            </w:r>
          </w:p>
        </w:tc>
        <w:tc>
          <w:tcPr>
            <w:tcW w:w="1424" w:type="dxa"/>
            <w:tcBorders>
              <w:top w:val="nil"/>
            </w:tcBorders>
            <w:shd w:val="clear" w:color="auto" w:fill="auto"/>
            <w:noWrap/>
            <w:hideMark/>
          </w:tcPr>
          <w:p w14:paraId="39247845" w14:textId="7D7DBF96"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004</w:t>
            </w:r>
          </w:p>
        </w:tc>
        <w:tc>
          <w:tcPr>
            <w:tcW w:w="0" w:type="auto"/>
            <w:tcBorders>
              <w:top w:val="nil"/>
            </w:tcBorders>
            <w:shd w:val="clear" w:color="auto" w:fill="auto"/>
            <w:noWrap/>
            <w:hideMark/>
          </w:tcPr>
          <w:p w14:paraId="4726C7A2" w14:textId="35C5C182"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0100</w:t>
            </w:r>
          </w:p>
        </w:tc>
        <w:tc>
          <w:tcPr>
            <w:tcW w:w="1286" w:type="dxa"/>
            <w:tcBorders>
              <w:top w:val="nil"/>
            </w:tcBorders>
            <w:shd w:val="clear" w:color="auto" w:fill="auto"/>
            <w:noWrap/>
            <w:hideMark/>
          </w:tcPr>
          <w:p w14:paraId="35C56027" w14:textId="1BCD1974"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90418" w:rsidRPr="002927A1" w14:paraId="40107323" w14:textId="77777777" w:rsidTr="00FA5D35">
        <w:tc>
          <w:tcPr>
            <w:tcW w:w="0" w:type="auto"/>
            <w:tcBorders>
              <w:top w:val="nil"/>
            </w:tcBorders>
            <w:shd w:val="clear" w:color="auto" w:fill="auto"/>
            <w:noWrap/>
            <w:hideMark/>
          </w:tcPr>
          <w:p w14:paraId="460B14AF"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w:t>
            </w:r>
          </w:p>
        </w:tc>
        <w:tc>
          <w:tcPr>
            <w:tcW w:w="0" w:type="auto"/>
            <w:tcBorders>
              <w:top w:val="nil"/>
            </w:tcBorders>
            <w:shd w:val="clear" w:color="auto" w:fill="auto"/>
            <w:noWrap/>
            <w:hideMark/>
          </w:tcPr>
          <w:p w14:paraId="32255EE8" w14:textId="368EA3BA" w:rsidR="00290418" w:rsidRPr="002927A1" w:rsidRDefault="00290418" w:rsidP="00C07C7E">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Comor</w:t>
            </w:r>
            <w:r w:rsidR="00C07C7E" w:rsidRPr="002927A1">
              <w:rPr>
                <w:rFonts w:asciiTheme="majorBidi" w:hAnsiTheme="majorBidi" w:cstheme="majorBidi"/>
                <w:color w:val="000000"/>
                <w:sz w:val="18"/>
                <w:szCs w:val="18"/>
                <w:lang w:eastAsia="zh-CN"/>
              </w:rPr>
              <w:t>as</w:t>
            </w:r>
          </w:p>
        </w:tc>
        <w:tc>
          <w:tcPr>
            <w:tcW w:w="1424" w:type="dxa"/>
            <w:tcBorders>
              <w:top w:val="nil"/>
            </w:tcBorders>
            <w:shd w:val="clear" w:color="auto" w:fill="auto"/>
            <w:noWrap/>
            <w:hideMark/>
          </w:tcPr>
          <w:p w14:paraId="5EB6C23F" w14:textId="18C55459"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001</w:t>
            </w:r>
          </w:p>
        </w:tc>
        <w:tc>
          <w:tcPr>
            <w:tcW w:w="0" w:type="auto"/>
            <w:tcBorders>
              <w:top w:val="nil"/>
            </w:tcBorders>
            <w:shd w:val="clear" w:color="auto" w:fill="auto"/>
            <w:noWrap/>
            <w:hideMark/>
          </w:tcPr>
          <w:p w14:paraId="2446CE2B" w14:textId="770E804A"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0100</w:t>
            </w:r>
          </w:p>
        </w:tc>
        <w:tc>
          <w:tcPr>
            <w:tcW w:w="1286" w:type="dxa"/>
            <w:tcBorders>
              <w:top w:val="nil"/>
            </w:tcBorders>
            <w:shd w:val="clear" w:color="auto" w:fill="auto"/>
            <w:noWrap/>
            <w:hideMark/>
          </w:tcPr>
          <w:p w14:paraId="4B6014F2" w14:textId="11C2D8F0"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90418" w:rsidRPr="002927A1" w14:paraId="5CEF67CC" w14:textId="77777777" w:rsidTr="00FA5D35">
        <w:tc>
          <w:tcPr>
            <w:tcW w:w="0" w:type="auto"/>
            <w:tcBorders>
              <w:top w:val="nil"/>
            </w:tcBorders>
            <w:shd w:val="clear" w:color="auto" w:fill="auto"/>
            <w:noWrap/>
            <w:hideMark/>
          </w:tcPr>
          <w:p w14:paraId="521DDCC8"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w:t>
            </w:r>
          </w:p>
        </w:tc>
        <w:tc>
          <w:tcPr>
            <w:tcW w:w="0" w:type="auto"/>
            <w:tcBorders>
              <w:top w:val="nil"/>
            </w:tcBorders>
            <w:shd w:val="clear" w:color="auto" w:fill="auto"/>
            <w:hideMark/>
          </w:tcPr>
          <w:p w14:paraId="5EABC10B" w14:textId="641CBA4B"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Congo </w:t>
            </w:r>
          </w:p>
        </w:tc>
        <w:tc>
          <w:tcPr>
            <w:tcW w:w="1424" w:type="dxa"/>
            <w:tcBorders>
              <w:top w:val="nil"/>
            </w:tcBorders>
            <w:shd w:val="clear" w:color="auto" w:fill="auto"/>
            <w:noWrap/>
            <w:hideMark/>
          </w:tcPr>
          <w:p w14:paraId="7E199B68" w14:textId="1E68B5B1"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006</w:t>
            </w:r>
          </w:p>
        </w:tc>
        <w:tc>
          <w:tcPr>
            <w:tcW w:w="0" w:type="auto"/>
            <w:tcBorders>
              <w:top w:val="nil"/>
            </w:tcBorders>
            <w:shd w:val="clear" w:color="auto" w:fill="auto"/>
            <w:noWrap/>
            <w:hideMark/>
          </w:tcPr>
          <w:p w14:paraId="376BF1DF" w14:textId="310C678E"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0100</w:t>
            </w:r>
          </w:p>
        </w:tc>
        <w:tc>
          <w:tcPr>
            <w:tcW w:w="1286" w:type="dxa"/>
            <w:tcBorders>
              <w:top w:val="nil"/>
            </w:tcBorders>
            <w:shd w:val="clear" w:color="auto" w:fill="auto"/>
            <w:noWrap/>
            <w:hideMark/>
          </w:tcPr>
          <w:p w14:paraId="432AD30D" w14:textId="2195F68B"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90418" w:rsidRPr="002927A1" w14:paraId="0976E2F4" w14:textId="77777777" w:rsidTr="00FA5D35">
        <w:tc>
          <w:tcPr>
            <w:tcW w:w="0" w:type="auto"/>
            <w:tcBorders>
              <w:top w:val="nil"/>
            </w:tcBorders>
            <w:shd w:val="clear" w:color="auto" w:fill="auto"/>
            <w:noWrap/>
            <w:hideMark/>
          </w:tcPr>
          <w:p w14:paraId="676DE149"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w:t>
            </w:r>
          </w:p>
        </w:tc>
        <w:tc>
          <w:tcPr>
            <w:tcW w:w="0" w:type="auto"/>
            <w:tcBorders>
              <w:top w:val="nil"/>
            </w:tcBorders>
            <w:shd w:val="clear" w:color="auto" w:fill="auto"/>
            <w:hideMark/>
          </w:tcPr>
          <w:p w14:paraId="7D68A819" w14:textId="3D23B18E"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Côte d</w:t>
            </w:r>
            <w:r w:rsidR="006B3037"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Ivoire</w:t>
            </w:r>
          </w:p>
        </w:tc>
        <w:tc>
          <w:tcPr>
            <w:tcW w:w="1424" w:type="dxa"/>
            <w:tcBorders>
              <w:top w:val="nil"/>
            </w:tcBorders>
            <w:shd w:val="clear" w:color="auto" w:fill="auto"/>
            <w:noWrap/>
            <w:hideMark/>
          </w:tcPr>
          <w:p w14:paraId="3305CD94" w14:textId="08719F86"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013</w:t>
            </w:r>
          </w:p>
        </w:tc>
        <w:tc>
          <w:tcPr>
            <w:tcW w:w="0" w:type="auto"/>
            <w:tcBorders>
              <w:top w:val="nil"/>
            </w:tcBorders>
            <w:shd w:val="clear" w:color="auto" w:fill="auto"/>
            <w:noWrap/>
            <w:hideMark/>
          </w:tcPr>
          <w:p w14:paraId="00AC8268" w14:textId="0B847687"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0159</w:t>
            </w:r>
          </w:p>
        </w:tc>
        <w:tc>
          <w:tcPr>
            <w:tcW w:w="1286" w:type="dxa"/>
            <w:tcBorders>
              <w:top w:val="nil"/>
            </w:tcBorders>
            <w:shd w:val="clear" w:color="auto" w:fill="auto"/>
            <w:noWrap/>
            <w:hideMark/>
          </w:tcPr>
          <w:p w14:paraId="751388E0" w14:textId="0FF0603E"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w:t>
            </w:r>
            <w:r w:rsidR="00F22360" w:rsidRPr="002927A1">
              <w:rPr>
                <w:rFonts w:asciiTheme="majorBidi" w:hAnsiTheme="majorBidi" w:cstheme="majorBidi"/>
                <w:color w:val="000000"/>
                <w:sz w:val="18"/>
                <w:szCs w:val="18"/>
                <w:lang w:eastAsia="zh-CN"/>
              </w:rPr>
              <w:t xml:space="preserve"> </w:t>
            </w:r>
            <w:r w:rsidRPr="002927A1">
              <w:rPr>
                <w:rFonts w:asciiTheme="majorBidi" w:hAnsiTheme="majorBidi" w:cstheme="majorBidi"/>
                <w:color w:val="000000"/>
                <w:sz w:val="18"/>
                <w:szCs w:val="18"/>
                <w:lang w:eastAsia="zh-CN"/>
              </w:rPr>
              <w:t xml:space="preserve">030 </w:t>
            </w:r>
          </w:p>
        </w:tc>
      </w:tr>
      <w:tr w:rsidR="00290418" w:rsidRPr="002927A1" w14:paraId="008D7B8E" w14:textId="77777777" w:rsidTr="00FA5D35">
        <w:tc>
          <w:tcPr>
            <w:tcW w:w="0" w:type="auto"/>
            <w:tcBorders>
              <w:top w:val="nil"/>
            </w:tcBorders>
            <w:shd w:val="clear" w:color="auto" w:fill="auto"/>
            <w:noWrap/>
            <w:hideMark/>
          </w:tcPr>
          <w:p w14:paraId="30ED671C" w14:textId="77777777" w:rsidR="00290418" w:rsidRPr="002927A1" w:rsidRDefault="00290418" w:rsidP="00BC3F9F">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w:t>
            </w:r>
          </w:p>
        </w:tc>
        <w:tc>
          <w:tcPr>
            <w:tcW w:w="0" w:type="auto"/>
            <w:tcBorders>
              <w:top w:val="nil"/>
            </w:tcBorders>
            <w:shd w:val="clear" w:color="auto" w:fill="auto"/>
            <w:hideMark/>
          </w:tcPr>
          <w:p w14:paraId="1E99670E" w14:textId="77777777" w:rsidR="00290418" w:rsidRPr="002927A1" w:rsidRDefault="00290418" w:rsidP="00BC3F9F">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Djibouti</w:t>
            </w:r>
          </w:p>
        </w:tc>
        <w:tc>
          <w:tcPr>
            <w:tcW w:w="1424" w:type="dxa"/>
            <w:tcBorders>
              <w:top w:val="nil"/>
            </w:tcBorders>
            <w:shd w:val="clear" w:color="auto" w:fill="auto"/>
            <w:noWrap/>
            <w:hideMark/>
          </w:tcPr>
          <w:p w14:paraId="7E133B4E" w14:textId="76E87ED9"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001</w:t>
            </w:r>
          </w:p>
        </w:tc>
        <w:tc>
          <w:tcPr>
            <w:tcW w:w="0" w:type="auto"/>
            <w:tcBorders>
              <w:top w:val="nil"/>
            </w:tcBorders>
            <w:shd w:val="clear" w:color="auto" w:fill="auto"/>
            <w:noWrap/>
            <w:hideMark/>
          </w:tcPr>
          <w:p w14:paraId="42D71A85" w14:textId="3773340B"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w:t>
            </w:r>
            <w:r w:rsidR="00C07C7E" w:rsidRPr="002927A1">
              <w:rPr>
                <w:rFonts w:asciiTheme="majorBidi" w:hAnsiTheme="majorBidi" w:cstheme="majorBidi"/>
                <w:color w:val="000000"/>
                <w:sz w:val="18"/>
                <w:szCs w:val="18"/>
                <w:lang w:eastAsia="zh-CN"/>
              </w:rPr>
              <w:t>,</w:t>
            </w:r>
            <w:r w:rsidRPr="002927A1">
              <w:rPr>
                <w:rFonts w:asciiTheme="majorBidi" w:hAnsiTheme="majorBidi" w:cstheme="majorBidi"/>
                <w:color w:val="000000"/>
                <w:sz w:val="18"/>
                <w:szCs w:val="18"/>
                <w:lang w:eastAsia="zh-CN"/>
              </w:rPr>
              <w:t>0100</w:t>
            </w:r>
          </w:p>
        </w:tc>
        <w:tc>
          <w:tcPr>
            <w:tcW w:w="1286" w:type="dxa"/>
            <w:tcBorders>
              <w:top w:val="nil"/>
            </w:tcBorders>
            <w:shd w:val="clear" w:color="auto" w:fill="auto"/>
            <w:noWrap/>
            <w:hideMark/>
          </w:tcPr>
          <w:p w14:paraId="51212B78" w14:textId="2B1C747F" w:rsidR="00290418" w:rsidRPr="002927A1" w:rsidRDefault="00290418" w:rsidP="00BC3F9F">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496AF6E0" w14:textId="77777777" w:rsidTr="00FA5D35">
        <w:tc>
          <w:tcPr>
            <w:tcW w:w="0" w:type="auto"/>
            <w:tcBorders>
              <w:top w:val="nil"/>
            </w:tcBorders>
            <w:shd w:val="clear" w:color="auto" w:fill="auto"/>
            <w:noWrap/>
          </w:tcPr>
          <w:p w14:paraId="363575EC" w14:textId="059B1296"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w:t>
            </w:r>
          </w:p>
        </w:tc>
        <w:tc>
          <w:tcPr>
            <w:tcW w:w="0" w:type="auto"/>
            <w:tcBorders>
              <w:top w:val="nil"/>
            </w:tcBorders>
            <w:shd w:val="clear" w:color="auto" w:fill="auto"/>
          </w:tcPr>
          <w:p w14:paraId="3BF9AEAF" w14:textId="066E35D4"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Eswatini</w:t>
            </w:r>
          </w:p>
        </w:tc>
        <w:tc>
          <w:tcPr>
            <w:tcW w:w="1424" w:type="dxa"/>
            <w:tcBorders>
              <w:top w:val="nil"/>
            </w:tcBorders>
            <w:shd w:val="clear" w:color="auto" w:fill="auto"/>
            <w:noWrap/>
          </w:tcPr>
          <w:p w14:paraId="74AF4224" w14:textId="4D13BB4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tcPr>
          <w:p w14:paraId="028965BA" w14:textId="0904E558"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6C1053C7" w14:textId="1BDF242F"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48264961" w14:textId="77777777" w:rsidTr="00FA5D35">
        <w:tc>
          <w:tcPr>
            <w:tcW w:w="0" w:type="auto"/>
            <w:tcBorders>
              <w:top w:val="nil"/>
            </w:tcBorders>
            <w:shd w:val="clear" w:color="auto" w:fill="auto"/>
            <w:noWrap/>
            <w:hideMark/>
          </w:tcPr>
          <w:p w14:paraId="5BEADEA9"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w:t>
            </w:r>
          </w:p>
        </w:tc>
        <w:tc>
          <w:tcPr>
            <w:tcW w:w="0" w:type="auto"/>
            <w:tcBorders>
              <w:top w:val="nil"/>
            </w:tcBorders>
            <w:shd w:val="clear" w:color="auto" w:fill="auto"/>
            <w:noWrap/>
          </w:tcPr>
          <w:p w14:paraId="5C6CE9B6" w14:textId="4264C350"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Gabón</w:t>
            </w:r>
            <w:r w:rsidRPr="002927A1">
              <w:rPr>
                <w:rFonts w:asciiTheme="majorBidi" w:hAnsiTheme="majorBidi" w:cstheme="majorBidi"/>
                <w:color w:val="000000"/>
                <w:sz w:val="18"/>
                <w:szCs w:val="18"/>
                <w:vertAlign w:val="superscript"/>
                <w:lang w:eastAsia="zh-CN"/>
              </w:rPr>
              <w:t>a</w:t>
            </w:r>
          </w:p>
        </w:tc>
        <w:tc>
          <w:tcPr>
            <w:tcW w:w="1424" w:type="dxa"/>
            <w:tcBorders>
              <w:top w:val="nil"/>
            </w:tcBorders>
            <w:shd w:val="clear" w:color="auto" w:fill="auto"/>
            <w:noWrap/>
          </w:tcPr>
          <w:p w14:paraId="594ECFAB" w14:textId="2EA5ACEE"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0,015</w:t>
            </w:r>
          </w:p>
        </w:tc>
        <w:tc>
          <w:tcPr>
            <w:tcW w:w="0" w:type="auto"/>
            <w:tcBorders>
              <w:top w:val="nil"/>
            </w:tcBorders>
            <w:shd w:val="clear" w:color="auto" w:fill="auto"/>
            <w:noWrap/>
          </w:tcPr>
          <w:p w14:paraId="3F81CA2F" w14:textId="24E7EA46"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0,0184</w:t>
            </w:r>
          </w:p>
        </w:tc>
        <w:tc>
          <w:tcPr>
            <w:tcW w:w="1286" w:type="dxa"/>
            <w:tcBorders>
              <w:top w:val="nil"/>
            </w:tcBorders>
            <w:shd w:val="clear" w:color="auto" w:fill="auto"/>
            <w:noWrap/>
          </w:tcPr>
          <w:p w14:paraId="71363899" w14:textId="701341A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1 188 </w:t>
            </w:r>
          </w:p>
        </w:tc>
      </w:tr>
      <w:tr w:rsidR="00100B67" w:rsidRPr="002927A1" w14:paraId="2093139A" w14:textId="77777777" w:rsidTr="00FA5D35">
        <w:tc>
          <w:tcPr>
            <w:tcW w:w="0" w:type="auto"/>
            <w:tcBorders>
              <w:top w:val="nil"/>
            </w:tcBorders>
            <w:shd w:val="clear" w:color="auto" w:fill="auto"/>
            <w:noWrap/>
            <w:hideMark/>
          </w:tcPr>
          <w:p w14:paraId="7FD9FB8E"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w:t>
            </w:r>
          </w:p>
        </w:tc>
        <w:tc>
          <w:tcPr>
            <w:tcW w:w="0" w:type="auto"/>
            <w:tcBorders>
              <w:top w:val="nil"/>
            </w:tcBorders>
            <w:shd w:val="clear" w:color="auto" w:fill="auto"/>
          </w:tcPr>
          <w:p w14:paraId="68947750" w14:textId="2DCB067A"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Gambia</w:t>
            </w:r>
          </w:p>
        </w:tc>
        <w:tc>
          <w:tcPr>
            <w:tcW w:w="1424" w:type="dxa"/>
            <w:tcBorders>
              <w:top w:val="nil"/>
            </w:tcBorders>
            <w:shd w:val="clear" w:color="auto" w:fill="auto"/>
            <w:noWrap/>
          </w:tcPr>
          <w:p w14:paraId="22B2144D" w14:textId="60C44990"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24C19874" w14:textId="654711F2"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320262BF" w14:textId="72885BAF"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7658D54B" w14:textId="77777777" w:rsidTr="00FA5D35">
        <w:tc>
          <w:tcPr>
            <w:tcW w:w="0" w:type="auto"/>
            <w:tcBorders>
              <w:top w:val="nil"/>
            </w:tcBorders>
            <w:shd w:val="clear" w:color="auto" w:fill="auto"/>
            <w:noWrap/>
            <w:hideMark/>
          </w:tcPr>
          <w:p w14:paraId="4563C918"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12</w:t>
            </w:r>
          </w:p>
        </w:tc>
        <w:tc>
          <w:tcPr>
            <w:tcW w:w="0" w:type="auto"/>
            <w:tcBorders>
              <w:top w:val="nil"/>
            </w:tcBorders>
            <w:shd w:val="clear" w:color="auto" w:fill="auto"/>
            <w:noWrap/>
          </w:tcPr>
          <w:p w14:paraId="202688DE" w14:textId="7432428E"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Ghana</w:t>
            </w:r>
          </w:p>
        </w:tc>
        <w:tc>
          <w:tcPr>
            <w:tcW w:w="1424" w:type="dxa"/>
            <w:tcBorders>
              <w:top w:val="nil"/>
            </w:tcBorders>
            <w:shd w:val="clear" w:color="auto" w:fill="auto"/>
            <w:noWrap/>
          </w:tcPr>
          <w:p w14:paraId="015D7CC0" w14:textId="473036B3"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0,015</w:t>
            </w:r>
          </w:p>
        </w:tc>
        <w:tc>
          <w:tcPr>
            <w:tcW w:w="0" w:type="auto"/>
            <w:tcBorders>
              <w:top w:val="nil"/>
            </w:tcBorders>
            <w:shd w:val="clear" w:color="auto" w:fill="auto"/>
            <w:noWrap/>
          </w:tcPr>
          <w:p w14:paraId="7A878BE4" w14:textId="1FAF4746"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0,0184</w:t>
            </w:r>
          </w:p>
        </w:tc>
        <w:tc>
          <w:tcPr>
            <w:tcW w:w="1286" w:type="dxa"/>
            <w:tcBorders>
              <w:top w:val="nil"/>
            </w:tcBorders>
            <w:shd w:val="clear" w:color="auto" w:fill="auto"/>
            <w:noWrap/>
          </w:tcPr>
          <w:p w14:paraId="3D0EA83C" w14:textId="224DFE88"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1 188 </w:t>
            </w:r>
          </w:p>
        </w:tc>
      </w:tr>
      <w:tr w:rsidR="00100B67" w:rsidRPr="002927A1" w14:paraId="07418DC9" w14:textId="77777777" w:rsidTr="00FA5D35">
        <w:tc>
          <w:tcPr>
            <w:tcW w:w="0" w:type="auto"/>
            <w:tcBorders>
              <w:top w:val="nil"/>
            </w:tcBorders>
            <w:shd w:val="clear" w:color="auto" w:fill="auto"/>
            <w:noWrap/>
            <w:hideMark/>
          </w:tcPr>
          <w:p w14:paraId="48FB93BC"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13</w:t>
            </w:r>
          </w:p>
        </w:tc>
        <w:tc>
          <w:tcPr>
            <w:tcW w:w="0" w:type="auto"/>
            <w:tcBorders>
              <w:top w:val="nil"/>
            </w:tcBorders>
            <w:shd w:val="clear" w:color="auto" w:fill="auto"/>
          </w:tcPr>
          <w:p w14:paraId="765F65F1" w14:textId="252A606E"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Guinea</w:t>
            </w:r>
          </w:p>
        </w:tc>
        <w:tc>
          <w:tcPr>
            <w:tcW w:w="1424" w:type="dxa"/>
            <w:tcBorders>
              <w:top w:val="nil"/>
            </w:tcBorders>
            <w:shd w:val="clear" w:color="auto" w:fill="auto"/>
            <w:noWrap/>
          </w:tcPr>
          <w:p w14:paraId="44D6B5CD" w14:textId="65C2183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tcPr>
          <w:p w14:paraId="7C095EFF" w14:textId="62275E3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0E8E6190" w14:textId="1B56C105"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471582C9" w14:textId="77777777" w:rsidTr="00FA5D35">
        <w:tc>
          <w:tcPr>
            <w:tcW w:w="0" w:type="auto"/>
            <w:tcBorders>
              <w:top w:val="nil"/>
            </w:tcBorders>
            <w:shd w:val="clear" w:color="auto" w:fill="auto"/>
            <w:noWrap/>
            <w:hideMark/>
          </w:tcPr>
          <w:p w14:paraId="78E8FB88"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w:t>
            </w:r>
          </w:p>
        </w:tc>
        <w:tc>
          <w:tcPr>
            <w:tcW w:w="0" w:type="auto"/>
            <w:tcBorders>
              <w:top w:val="nil"/>
            </w:tcBorders>
            <w:shd w:val="clear" w:color="auto" w:fill="auto"/>
            <w:noWrap/>
          </w:tcPr>
          <w:p w14:paraId="1D06945C" w14:textId="6A37B082"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Guinea-Bissau</w:t>
            </w:r>
          </w:p>
        </w:tc>
        <w:tc>
          <w:tcPr>
            <w:tcW w:w="1424" w:type="dxa"/>
            <w:tcBorders>
              <w:top w:val="nil"/>
            </w:tcBorders>
            <w:shd w:val="clear" w:color="auto" w:fill="auto"/>
            <w:noWrap/>
          </w:tcPr>
          <w:p w14:paraId="20763BF4" w14:textId="757B674E"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72E6D1C2" w14:textId="1A3713C0"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1C0A02AE" w14:textId="4DFD5C5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27309DE9" w14:textId="77777777" w:rsidTr="00FA5D35">
        <w:tc>
          <w:tcPr>
            <w:tcW w:w="0" w:type="auto"/>
            <w:tcBorders>
              <w:top w:val="nil"/>
            </w:tcBorders>
            <w:shd w:val="clear" w:color="auto" w:fill="auto"/>
            <w:noWrap/>
            <w:hideMark/>
          </w:tcPr>
          <w:p w14:paraId="1F472DFE"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15</w:t>
            </w:r>
          </w:p>
        </w:tc>
        <w:tc>
          <w:tcPr>
            <w:tcW w:w="0" w:type="auto"/>
            <w:tcBorders>
              <w:top w:val="nil"/>
            </w:tcBorders>
            <w:shd w:val="clear" w:color="auto" w:fill="auto"/>
          </w:tcPr>
          <w:p w14:paraId="08BC1C01" w14:textId="0BCBE978"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Guinea Ecuatorial</w:t>
            </w:r>
          </w:p>
        </w:tc>
        <w:tc>
          <w:tcPr>
            <w:tcW w:w="1424" w:type="dxa"/>
            <w:tcBorders>
              <w:top w:val="nil"/>
            </w:tcBorders>
            <w:shd w:val="clear" w:color="auto" w:fill="auto"/>
            <w:noWrap/>
          </w:tcPr>
          <w:p w14:paraId="338B04B7" w14:textId="28C86A1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0,016</w:t>
            </w:r>
          </w:p>
        </w:tc>
        <w:tc>
          <w:tcPr>
            <w:tcW w:w="0" w:type="auto"/>
            <w:tcBorders>
              <w:top w:val="nil"/>
            </w:tcBorders>
            <w:shd w:val="clear" w:color="auto" w:fill="auto"/>
            <w:noWrap/>
          </w:tcPr>
          <w:p w14:paraId="7740BCB7" w14:textId="2B9B2231"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0,0196</w:t>
            </w:r>
          </w:p>
        </w:tc>
        <w:tc>
          <w:tcPr>
            <w:tcW w:w="1286" w:type="dxa"/>
            <w:tcBorders>
              <w:top w:val="nil"/>
            </w:tcBorders>
            <w:shd w:val="clear" w:color="auto" w:fill="auto"/>
            <w:noWrap/>
          </w:tcPr>
          <w:p w14:paraId="0994A953" w14:textId="797B74DC"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1 267 </w:t>
            </w:r>
          </w:p>
        </w:tc>
      </w:tr>
      <w:tr w:rsidR="00100B67" w:rsidRPr="002927A1" w14:paraId="413D5BFC" w14:textId="77777777" w:rsidTr="00FA5D35">
        <w:tc>
          <w:tcPr>
            <w:tcW w:w="0" w:type="auto"/>
            <w:tcBorders>
              <w:top w:val="nil"/>
            </w:tcBorders>
            <w:shd w:val="clear" w:color="auto" w:fill="auto"/>
            <w:noWrap/>
            <w:hideMark/>
          </w:tcPr>
          <w:p w14:paraId="0F26B56F"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16</w:t>
            </w:r>
          </w:p>
        </w:tc>
        <w:tc>
          <w:tcPr>
            <w:tcW w:w="0" w:type="auto"/>
            <w:tcBorders>
              <w:top w:val="nil"/>
            </w:tcBorders>
            <w:shd w:val="clear" w:color="auto" w:fill="auto"/>
            <w:noWrap/>
            <w:hideMark/>
          </w:tcPr>
          <w:p w14:paraId="5B0B293B"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Lesotho</w:t>
            </w:r>
          </w:p>
        </w:tc>
        <w:tc>
          <w:tcPr>
            <w:tcW w:w="1424" w:type="dxa"/>
            <w:tcBorders>
              <w:top w:val="nil"/>
            </w:tcBorders>
            <w:shd w:val="clear" w:color="auto" w:fill="auto"/>
            <w:noWrap/>
            <w:hideMark/>
          </w:tcPr>
          <w:p w14:paraId="5639A854" w14:textId="515E474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7CFB8DEE" w14:textId="44F1D9DF"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980E77C" w14:textId="1A47F369"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710D43BC" w14:textId="77777777" w:rsidTr="00FA5D35">
        <w:tc>
          <w:tcPr>
            <w:tcW w:w="0" w:type="auto"/>
            <w:tcBorders>
              <w:top w:val="nil"/>
            </w:tcBorders>
            <w:shd w:val="clear" w:color="auto" w:fill="auto"/>
            <w:noWrap/>
            <w:hideMark/>
          </w:tcPr>
          <w:p w14:paraId="69FEA783"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17</w:t>
            </w:r>
          </w:p>
        </w:tc>
        <w:tc>
          <w:tcPr>
            <w:tcW w:w="0" w:type="auto"/>
            <w:tcBorders>
              <w:top w:val="nil"/>
            </w:tcBorders>
            <w:shd w:val="clear" w:color="auto" w:fill="auto"/>
            <w:hideMark/>
          </w:tcPr>
          <w:p w14:paraId="696D4C0A"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Madagascar</w:t>
            </w:r>
          </w:p>
        </w:tc>
        <w:tc>
          <w:tcPr>
            <w:tcW w:w="1424" w:type="dxa"/>
            <w:tcBorders>
              <w:top w:val="nil"/>
            </w:tcBorders>
            <w:shd w:val="clear" w:color="auto" w:fill="auto"/>
            <w:noWrap/>
            <w:hideMark/>
          </w:tcPr>
          <w:p w14:paraId="210B1AB7" w14:textId="5702296C"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420C945B" w14:textId="70CA7F3E"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77A43189" w14:textId="00C3D8F9"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56EA1B50" w14:textId="77777777" w:rsidTr="00FA5D35">
        <w:tc>
          <w:tcPr>
            <w:tcW w:w="0" w:type="auto"/>
            <w:tcBorders>
              <w:top w:val="nil"/>
            </w:tcBorders>
            <w:shd w:val="clear" w:color="auto" w:fill="auto"/>
            <w:noWrap/>
            <w:hideMark/>
          </w:tcPr>
          <w:p w14:paraId="24EC83F3"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18</w:t>
            </w:r>
          </w:p>
        </w:tc>
        <w:tc>
          <w:tcPr>
            <w:tcW w:w="0" w:type="auto"/>
            <w:tcBorders>
              <w:top w:val="nil"/>
            </w:tcBorders>
            <w:shd w:val="clear" w:color="auto" w:fill="auto"/>
            <w:noWrap/>
            <w:hideMark/>
          </w:tcPr>
          <w:p w14:paraId="208ED679"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Mali</w:t>
            </w:r>
          </w:p>
        </w:tc>
        <w:tc>
          <w:tcPr>
            <w:tcW w:w="1424" w:type="dxa"/>
            <w:tcBorders>
              <w:top w:val="nil"/>
            </w:tcBorders>
            <w:shd w:val="clear" w:color="auto" w:fill="auto"/>
            <w:noWrap/>
            <w:hideMark/>
          </w:tcPr>
          <w:p w14:paraId="22C6A797" w14:textId="45870DF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3A181835" w14:textId="0E3B2A22"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4965869D" w14:textId="70309243"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5FE27772" w14:textId="77777777" w:rsidTr="00FA5D35">
        <w:tc>
          <w:tcPr>
            <w:tcW w:w="0" w:type="auto"/>
            <w:tcBorders>
              <w:top w:val="nil"/>
            </w:tcBorders>
            <w:shd w:val="clear" w:color="auto" w:fill="auto"/>
            <w:noWrap/>
          </w:tcPr>
          <w:p w14:paraId="0B2A6B0C" w14:textId="476E8A95"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19</w:t>
            </w:r>
          </w:p>
        </w:tc>
        <w:tc>
          <w:tcPr>
            <w:tcW w:w="0" w:type="auto"/>
            <w:tcBorders>
              <w:top w:val="nil"/>
            </w:tcBorders>
            <w:shd w:val="clear" w:color="auto" w:fill="auto"/>
          </w:tcPr>
          <w:p w14:paraId="75596B0C" w14:textId="52CC7C24"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Mauricio</w:t>
            </w:r>
          </w:p>
        </w:tc>
        <w:tc>
          <w:tcPr>
            <w:tcW w:w="1424" w:type="dxa"/>
            <w:tcBorders>
              <w:top w:val="nil"/>
            </w:tcBorders>
            <w:shd w:val="clear" w:color="auto" w:fill="auto"/>
            <w:noWrap/>
          </w:tcPr>
          <w:p w14:paraId="026C9457" w14:textId="09C34EE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w:t>
            </w:r>
          </w:p>
        </w:tc>
        <w:tc>
          <w:tcPr>
            <w:tcW w:w="0" w:type="auto"/>
            <w:tcBorders>
              <w:top w:val="nil"/>
            </w:tcBorders>
            <w:shd w:val="clear" w:color="auto" w:fill="auto"/>
            <w:noWrap/>
          </w:tcPr>
          <w:p w14:paraId="1A836D27" w14:textId="24B64431"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0,0135</w:t>
            </w:r>
          </w:p>
        </w:tc>
        <w:tc>
          <w:tcPr>
            <w:tcW w:w="1286" w:type="dxa"/>
            <w:tcBorders>
              <w:top w:val="nil"/>
            </w:tcBorders>
            <w:shd w:val="clear" w:color="auto" w:fill="auto"/>
            <w:noWrap/>
          </w:tcPr>
          <w:p w14:paraId="3EFF36B4" w14:textId="7F62CA96"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871 </w:t>
            </w:r>
          </w:p>
        </w:tc>
      </w:tr>
      <w:tr w:rsidR="00100B67" w:rsidRPr="002927A1" w14:paraId="61E565F6" w14:textId="77777777" w:rsidTr="00FA5D35">
        <w:tc>
          <w:tcPr>
            <w:tcW w:w="0" w:type="auto"/>
            <w:tcBorders>
              <w:top w:val="nil"/>
            </w:tcBorders>
            <w:shd w:val="clear" w:color="auto" w:fill="auto"/>
            <w:noWrap/>
            <w:hideMark/>
          </w:tcPr>
          <w:p w14:paraId="6E26A394" w14:textId="66159E79"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20</w:t>
            </w:r>
          </w:p>
        </w:tc>
        <w:tc>
          <w:tcPr>
            <w:tcW w:w="0" w:type="auto"/>
            <w:tcBorders>
              <w:top w:val="nil"/>
            </w:tcBorders>
            <w:shd w:val="clear" w:color="auto" w:fill="auto"/>
            <w:hideMark/>
          </w:tcPr>
          <w:p w14:paraId="5B5E4499"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Mauritania</w:t>
            </w:r>
          </w:p>
        </w:tc>
        <w:tc>
          <w:tcPr>
            <w:tcW w:w="1424" w:type="dxa"/>
            <w:tcBorders>
              <w:top w:val="nil"/>
            </w:tcBorders>
            <w:shd w:val="clear" w:color="auto" w:fill="auto"/>
            <w:noWrap/>
            <w:hideMark/>
          </w:tcPr>
          <w:p w14:paraId="4A7A87B5" w14:textId="4DADD72B"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59B51AB2" w14:textId="48A8083E"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13CE06BE" w14:textId="5979F382"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11721AA5" w14:textId="77777777" w:rsidTr="00FA5D35">
        <w:tc>
          <w:tcPr>
            <w:tcW w:w="0" w:type="auto"/>
            <w:tcBorders>
              <w:top w:val="nil"/>
            </w:tcBorders>
            <w:shd w:val="clear" w:color="auto" w:fill="auto"/>
            <w:noWrap/>
            <w:hideMark/>
          </w:tcPr>
          <w:p w14:paraId="369F2D3C"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21</w:t>
            </w:r>
          </w:p>
        </w:tc>
        <w:tc>
          <w:tcPr>
            <w:tcW w:w="0" w:type="auto"/>
            <w:tcBorders>
              <w:top w:val="nil"/>
            </w:tcBorders>
            <w:shd w:val="clear" w:color="auto" w:fill="auto"/>
            <w:hideMark/>
          </w:tcPr>
          <w:p w14:paraId="13972D91"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Namibia</w:t>
            </w:r>
          </w:p>
        </w:tc>
        <w:tc>
          <w:tcPr>
            <w:tcW w:w="1424" w:type="dxa"/>
            <w:tcBorders>
              <w:top w:val="nil"/>
            </w:tcBorders>
            <w:shd w:val="clear" w:color="auto" w:fill="auto"/>
            <w:noWrap/>
            <w:hideMark/>
          </w:tcPr>
          <w:p w14:paraId="29BBD431" w14:textId="2263D6E5"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tcBorders>
            <w:shd w:val="clear" w:color="auto" w:fill="auto"/>
            <w:noWrap/>
            <w:hideMark/>
          </w:tcPr>
          <w:p w14:paraId="25C81E57" w14:textId="665D089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tcBorders>
            <w:shd w:val="clear" w:color="auto" w:fill="auto"/>
            <w:noWrap/>
            <w:hideMark/>
          </w:tcPr>
          <w:p w14:paraId="0940AE79" w14:textId="107C5FDF"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100B67" w:rsidRPr="002927A1" w14:paraId="075FB572" w14:textId="77777777" w:rsidTr="00FA5D35">
        <w:tc>
          <w:tcPr>
            <w:tcW w:w="0" w:type="auto"/>
            <w:tcBorders>
              <w:top w:val="nil"/>
            </w:tcBorders>
            <w:shd w:val="clear" w:color="auto" w:fill="auto"/>
            <w:noWrap/>
            <w:hideMark/>
          </w:tcPr>
          <w:p w14:paraId="6174F8BE"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w:t>
            </w:r>
          </w:p>
        </w:tc>
        <w:tc>
          <w:tcPr>
            <w:tcW w:w="0" w:type="auto"/>
            <w:tcBorders>
              <w:top w:val="nil"/>
            </w:tcBorders>
            <w:shd w:val="clear" w:color="auto" w:fill="auto"/>
            <w:noWrap/>
            <w:hideMark/>
          </w:tcPr>
          <w:p w14:paraId="5F7771D4" w14:textId="5ED38D62"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Níger</w:t>
            </w:r>
          </w:p>
        </w:tc>
        <w:tc>
          <w:tcPr>
            <w:tcW w:w="1424" w:type="dxa"/>
            <w:tcBorders>
              <w:top w:val="nil"/>
            </w:tcBorders>
            <w:shd w:val="clear" w:color="auto" w:fill="auto"/>
            <w:noWrap/>
            <w:hideMark/>
          </w:tcPr>
          <w:p w14:paraId="0456C5EF" w14:textId="5630E069"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0FF4153A" w14:textId="57EB118B"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21DF1CC7" w14:textId="07480E07"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1185DC89" w14:textId="77777777" w:rsidTr="00FA5D35">
        <w:tc>
          <w:tcPr>
            <w:tcW w:w="0" w:type="auto"/>
            <w:tcBorders>
              <w:top w:val="nil"/>
            </w:tcBorders>
            <w:shd w:val="clear" w:color="auto" w:fill="auto"/>
            <w:noWrap/>
            <w:hideMark/>
          </w:tcPr>
          <w:p w14:paraId="7DC07DE6"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23</w:t>
            </w:r>
          </w:p>
        </w:tc>
        <w:tc>
          <w:tcPr>
            <w:tcW w:w="0" w:type="auto"/>
            <w:tcBorders>
              <w:top w:val="nil"/>
            </w:tcBorders>
            <w:shd w:val="clear" w:color="auto" w:fill="auto"/>
            <w:hideMark/>
          </w:tcPr>
          <w:p w14:paraId="5CAAD631"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Nigeria</w:t>
            </w:r>
          </w:p>
        </w:tc>
        <w:tc>
          <w:tcPr>
            <w:tcW w:w="1424" w:type="dxa"/>
            <w:tcBorders>
              <w:top w:val="nil"/>
            </w:tcBorders>
            <w:shd w:val="clear" w:color="auto" w:fill="auto"/>
            <w:noWrap/>
            <w:hideMark/>
          </w:tcPr>
          <w:p w14:paraId="20E7F689" w14:textId="178BF287"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0,25</w:t>
            </w:r>
          </w:p>
        </w:tc>
        <w:tc>
          <w:tcPr>
            <w:tcW w:w="0" w:type="auto"/>
            <w:tcBorders>
              <w:top w:val="nil"/>
            </w:tcBorders>
            <w:shd w:val="clear" w:color="auto" w:fill="auto"/>
            <w:noWrap/>
            <w:hideMark/>
          </w:tcPr>
          <w:p w14:paraId="7DE9AC59" w14:textId="3C57D519"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0,3063</w:t>
            </w:r>
          </w:p>
        </w:tc>
        <w:tc>
          <w:tcPr>
            <w:tcW w:w="1286" w:type="dxa"/>
            <w:tcBorders>
              <w:top w:val="nil"/>
            </w:tcBorders>
            <w:shd w:val="clear" w:color="auto" w:fill="auto"/>
            <w:noWrap/>
            <w:hideMark/>
          </w:tcPr>
          <w:p w14:paraId="0885D696" w14:textId="42141D2C"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19 799 </w:t>
            </w:r>
          </w:p>
        </w:tc>
      </w:tr>
      <w:tr w:rsidR="00100B67" w:rsidRPr="002927A1" w14:paraId="5EC5F3A5" w14:textId="77777777" w:rsidTr="00FA5D35">
        <w:tc>
          <w:tcPr>
            <w:tcW w:w="0" w:type="auto"/>
            <w:tcBorders>
              <w:top w:val="nil"/>
            </w:tcBorders>
            <w:shd w:val="clear" w:color="auto" w:fill="auto"/>
            <w:noWrap/>
            <w:hideMark/>
          </w:tcPr>
          <w:p w14:paraId="576A3568"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24</w:t>
            </w:r>
          </w:p>
        </w:tc>
        <w:tc>
          <w:tcPr>
            <w:tcW w:w="0" w:type="auto"/>
            <w:tcBorders>
              <w:top w:val="nil"/>
            </w:tcBorders>
            <w:shd w:val="clear" w:color="auto" w:fill="auto"/>
            <w:noWrap/>
            <w:hideMark/>
          </w:tcPr>
          <w:p w14:paraId="208FB51E"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Rwanda</w:t>
            </w:r>
          </w:p>
        </w:tc>
        <w:tc>
          <w:tcPr>
            <w:tcW w:w="1424" w:type="dxa"/>
            <w:tcBorders>
              <w:top w:val="nil"/>
            </w:tcBorders>
            <w:shd w:val="clear" w:color="auto" w:fill="auto"/>
            <w:noWrap/>
            <w:hideMark/>
          </w:tcPr>
          <w:p w14:paraId="44240DAD" w14:textId="37EA617D"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hideMark/>
          </w:tcPr>
          <w:p w14:paraId="362D6E28" w14:textId="0B941DAF"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07E7B2E0" w14:textId="4B5F391D"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56F6D59F" w14:textId="77777777" w:rsidTr="00FA5D35">
        <w:tc>
          <w:tcPr>
            <w:tcW w:w="0" w:type="auto"/>
            <w:tcBorders>
              <w:top w:val="nil"/>
            </w:tcBorders>
            <w:shd w:val="clear" w:color="auto" w:fill="auto"/>
            <w:noWrap/>
            <w:hideMark/>
          </w:tcPr>
          <w:p w14:paraId="6B20EA97"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25</w:t>
            </w:r>
          </w:p>
        </w:tc>
        <w:tc>
          <w:tcPr>
            <w:tcW w:w="0" w:type="auto"/>
            <w:tcBorders>
              <w:top w:val="nil"/>
            </w:tcBorders>
            <w:shd w:val="clear" w:color="auto" w:fill="auto"/>
            <w:hideMark/>
          </w:tcPr>
          <w:p w14:paraId="68D4810A" w14:textId="1F98D69E"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Santo Tomé y Príncipe</w:t>
            </w:r>
          </w:p>
        </w:tc>
        <w:tc>
          <w:tcPr>
            <w:tcW w:w="1424" w:type="dxa"/>
            <w:tcBorders>
              <w:top w:val="nil"/>
            </w:tcBorders>
            <w:shd w:val="clear" w:color="auto" w:fill="auto"/>
            <w:noWrap/>
            <w:hideMark/>
          </w:tcPr>
          <w:p w14:paraId="3B6742E9" w14:textId="7145E17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037EBC2A" w14:textId="5564C7C1"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300550BB" w14:textId="63635617"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5B555CAD" w14:textId="77777777" w:rsidTr="00FA5D35">
        <w:tc>
          <w:tcPr>
            <w:tcW w:w="0" w:type="auto"/>
            <w:tcBorders>
              <w:top w:val="nil"/>
            </w:tcBorders>
            <w:shd w:val="clear" w:color="auto" w:fill="auto"/>
            <w:noWrap/>
            <w:hideMark/>
          </w:tcPr>
          <w:p w14:paraId="566E1DBC"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26</w:t>
            </w:r>
          </w:p>
        </w:tc>
        <w:tc>
          <w:tcPr>
            <w:tcW w:w="0" w:type="auto"/>
            <w:tcBorders>
              <w:top w:val="nil"/>
            </w:tcBorders>
            <w:shd w:val="clear" w:color="auto" w:fill="auto"/>
            <w:noWrap/>
            <w:hideMark/>
          </w:tcPr>
          <w:p w14:paraId="5977A17E"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Senegal</w:t>
            </w:r>
          </w:p>
        </w:tc>
        <w:tc>
          <w:tcPr>
            <w:tcW w:w="1424" w:type="dxa"/>
            <w:tcBorders>
              <w:top w:val="nil"/>
            </w:tcBorders>
            <w:shd w:val="clear" w:color="auto" w:fill="auto"/>
            <w:noWrap/>
            <w:hideMark/>
          </w:tcPr>
          <w:p w14:paraId="5D7B43B3" w14:textId="7E348DED"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0,007</w:t>
            </w:r>
          </w:p>
        </w:tc>
        <w:tc>
          <w:tcPr>
            <w:tcW w:w="0" w:type="auto"/>
            <w:tcBorders>
              <w:top w:val="nil"/>
            </w:tcBorders>
            <w:shd w:val="clear" w:color="auto" w:fill="auto"/>
            <w:noWrap/>
            <w:hideMark/>
          </w:tcPr>
          <w:p w14:paraId="5CE11D91" w14:textId="17D83BA0"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433820F6" w14:textId="1606475B"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1810081B" w14:textId="77777777" w:rsidTr="00FA5D35">
        <w:tc>
          <w:tcPr>
            <w:tcW w:w="0" w:type="auto"/>
            <w:tcBorders>
              <w:top w:val="nil"/>
            </w:tcBorders>
            <w:shd w:val="clear" w:color="auto" w:fill="auto"/>
            <w:noWrap/>
            <w:hideMark/>
          </w:tcPr>
          <w:p w14:paraId="74D1347B"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27</w:t>
            </w:r>
          </w:p>
        </w:tc>
        <w:tc>
          <w:tcPr>
            <w:tcW w:w="0" w:type="auto"/>
            <w:tcBorders>
              <w:top w:val="nil"/>
            </w:tcBorders>
            <w:shd w:val="clear" w:color="auto" w:fill="auto"/>
            <w:hideMark/>
          </w:tcPr>
          <w:p w14:paraId="18D75882"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Seychelles</w:t>
            </w:r>
          </w:p>
        </w:tc>
        <w:tc>
          <w:tcPr>
            <w:tcW w:w="1424" w:type="dxa"/>
            <w:tcBorders>
              <w:top w:val="nil"/>
            </w:tcBorders>
            <w:shd w:val="clear" w:color="auto" w:fill="auto"/>
            <w:noWrap/>
            <w:hideMark/>
          </w:tcPr>
          <w:p w14:paraId="186B3697" w14:textId="44DFEDD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6419FDA5" w14:textId="4EA1A1C4"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4248506" w14:textId="79A2D45D"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302C6F5B" w14:textId="77777777" w:rsidTr="00FA5D35">
        <w:tc>
          <w:tcPr>
            <w:tcW w:w="0" w:type="auto"/>
            <w:tcBorders>
              <w:top w:val="nil"/>
            </w:tcBorders>
            <w:shd w:val="clear" w:color="auto" w:fill="auto"/>
            <w:noWrap/>
            <w:hideMark/>
          </w:tcPr>
          <w:p w14:paraId="3A13ADE1"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28</w:t>
            </w:r>
          </w:p>
        </w:tc>
        <w:tc>
          <w:tcPr>
            <w:tcW w:w="0" w:type="auto"/>
            <w:tcBorders>
              <w:top w:val="nil"/>
            </w:tcBorders>
            <w:shd w:val="clear" w:color="auto" w:fill="auto"/>
            <w:noWrap/>
            <w:hideMark/>
          </w:tcPr>
          <w:p w14:paraId="200261D0" w14:textId="60CAD821"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Sierra Leona</w:t>
            </w:r>
          </w:p>
        </w:tc>
        <w:tc>
          <w:tcPr>
            <w:tcW w:w="1424" w:type="dxa"/>
            <w:tcBorders>
              <w:top w:val="nil"/>
            </w:tcBorders>
            <w:shd w:val="clear" w:color="auto" w:fill="auto"/>
            <w:noWrap/>
            <w:hideMark/>
          </w:tcPr>
          <w:p w14:paraId="166F3092" w14:textId="506AD7B5"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42A719DF" w14:textId="6F0405A1"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1F9848C5" w14:textId="187E1CB7"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7233CFE5" w14:textId="77777777" w:rsidTr="00FA5D35">
        <w:tc>
          <w:tcPr>
            <w:tcW w:w="0" w:type="auto"/>
            <w:tcBorders>
              <w:top w:val="nil"/>
            </w:tcBorders>
            <w:shd w:val="clear" w:color="auto" w:fill="auto"/>
            <w:noWrap/>
            <w:hideMark/>
          </w:tcPr>
          <w:p w14:paraId="33B8BBF8"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29</w:t>
            </w:r>
          </w:p>
        </w:tc>
        <w:tc>
          <w:tcPr>
            <w:tcW w:w="0" w:type="auto"/>
            <w:tcBorders>
              <w:top w:val="nil"/>
            </w:tcBorders>
            <w:shd w:val="clear" w:color="auto" w:fill="auto"/>
            <w:hideMark/>
          </w:tcPr>
          <w:p w14:paraId="510FDEA0" w14:textId="25E9F215"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Sudáfrica</w:t>
            </w:r>
          </w:p>
        </w:tc>
        <w:tc>
          <w:tcPr>
            <w:tcW w:w="1424" w:type="dxa"/>
            <w:tcBorders>
              <w:top w:val="nil"/>
            </w:tcBorders>
            <w:shd w:val="clear" w:color="auto" w:fill="auto"/>
            <w:noWrap/>
            <w:hideMark/>
          </w:tcPr>
          <w:p w14:paraId="68DC8F8B" w14:textId="561A32EE"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0,272</w:t>
            </w:r>
          </w:p>
        </w:tc>
        <w:tc>
          <w:tcPr>
            <w:tcW w:w="0" w:type="auto"/>
            <w:tcBorders>
              <w:top w:val="nil"/>
            </w:tcBorders>
            <w:shd w:val="clear" w:color="auto" w:fill="auto"/>
            <w:noWrap/>
            <w:hideMark/>
          </w:tcPr>
          <w:p w14:paraId="707BA527" w14:textId="55543B08"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0,3333</w:t>
            </w:r>
          </w:p>
        </w:tc>
        <w:tc>
          <w:tcPr>
            <w:tcW w:w="1286" w:type="dxa"/>
            <w:tcBorders>
              <w:top w:val="nil"/>
            </w:tcBorders>
            <w:shd w:val="clear" w:color="auto" w:fill="auto"/>
            <w:noWrap/>
            <w:hideMark/>
          </w:tcPr>
          <w:p w14:paraId="527BCB51" w14:textId="113F3367"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21 541 </w:t>
            </w:r>
          </w:p>
        </w:tc>
      </w:tr>
      <w:tr w:rsidR="00100B67" w:rsidRPr="002927A1" w14:paraId="5268535B" w14:textId="77777777" w:rsidTr="00FA5D35">
        <w:tc>
          <w:tcPr>
            <w:tcW w:w="0" w:type="auto"/>
            <w:tcBorders>
              <w:top w:val="nil"/>
            </w:tcBorders>
            <w:shd w:val="clear" w:color="auto" w:fill="auto"/>
            <w:noWrap/>
            <w:hideMark/>
          </w:tcPr>
          <w:p w14:paraId="48BB6C7E"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30</w:t>
            </w:r>
          </w:p>
        </w:tc>
        <w:tc>
          <w:tcPr>
            <w:tcW w:w="0" w:type="auto"/>
            <w:tcBorders>
              <w:top w:val="nil"/>
            </w:tcBorders>
            <w:shd w:val="clear" w:color="auto" w:fill="auto"/>
            <w:noWrap/>
            <w:hideMark/>
          </w:tcPr>
          <w:p w14:paraId="593DF19E"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Togo</w:t>
            </w:r>
          </w:p>
        </w:tc>
        <w:tc>
          <w:tcPr>
            <w:tcW w:w="1424" w:type="dxa"/>
            <w:tcBorders>
              <w:top w:val="nil"/>
            </w:tcBorders>
            <w:shd w:val="clear" w:color="auto" w:fill="auto"/>
            <w:noWrap/>
            <w:hideMark/>
          </w:tcPr>
          <w:p w14:paraId="386B1E0E" w14:textId="72EA822E"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006CC8E5" w14:textId="3B38637A"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6863A971" w14:textId="20600500"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0E620D6E" w14:textId="77777777" w:rsidTr="00FA5D35">
        <w:tc>
          <w:tcPr>
            <w:tcW w:w="0" w:type="auto"/>
            <w:tcBorders>
              <w:top w:val="nil"/>
            </w:tcBorders>
            <w:shd w:val="clear" w:color="auto" w:fill="auto"/>
            <w:noWrap/>
            <w:hideMark/>
          </w:tcPr>
          <w:p w14:paraId="0752A04E"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31</w:t>
            </w:r>
          </w:p>
        </w:tc>
        <w:tc>
          <w:tcPr>
            <w:tcW w:w="0" w:type="auto"/>
            <w:tcBorders>
              <w:top w:val="nil"/>
            </w:tcBorders>
            <w:shd w:val="clear" w:color="auto" w:fill="auto"/>
            <w:hideMark/>
          </w:tcPr>
          <w:p w14:paraId="07DC8670"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Uganda</w:t>
            </w:r>
          </w:p>
        </w:tc>
        <w:tc>
          <w:tcPr>
            <w:tcW w:w="1424" w:type="dxa"/>
            <w:tcBorders>
              <w:top w:val="nil"/>
            </w:tcBorders>
            <w:shd w:val="clear" w:color="auto" w:fill="auto"/>
            <w:noWrap/>
            <w:hideMark/>
          </w:tcPr>
          <w:p w14:paraId="321E2FB6" w14:textId="3CDAC585"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0,008</w:t>
            </w:r>
          </w:p>
        </w:tc>
        <w:tc>
          <w:tcPr>
            <w:tcW w:w="0" w:type="auto"/>
            <w:tcBorders>
              <w:top w:val="nil"/>
            </w:tcBorders>
            <w:shd w:val="clear" w:color="auto" w:fill="auto"/>
            <w:noWrap/>
            <w:hideMark/>
          </w:tcPr>
          <w:p w14:paraId="4B19155C" w14:textId="13381B25"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1C5545C3" w14:textId="3361B799"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100B67" w:rsidRPr="002927A1" w14:paraId="36B8F65D" w14:textId="77777777" w:rsidTr="00FA5D35">
        <w:tc>
          <w:tcPr>
            <w:tcW w:w="0" w:type="auto"/>
            <w:tcBorders>
              <w:top w:val="nil"/>
              <w:bottom w:val="single" w:sz="4" w:space="0" w:color="000000" w:themeColor="text1"/>
            </w:tcBorders>
            <w:shd w:val="clear" w:color="auto" w:fill="auto"/>
            <w:noWrap/>
            <w:hideMark/>
          </w:tcPr>
          <w:p w14:paraId="62A9E24A" w14:textId="77777777" w:rsidR="00100B67" w:rsidRPr="002927A1" w:rsidRDefault="00100B67" w:rsidP="00100B67">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32</w:t>
            </w:r>
          </w:p>
        </w:tc>
        <w:tc>
          <w:tcPr>
            <w:tcW w:w="0" w:type="auto"/>
            <w:tcBorders>
              <w:top w:val="nil"/>
              <w:bottom w:val="single" w:sz="4" w:space="0" w:color="000000" w:themeColor="text1"/>
            </w:tcBorders>
            <w:shd w:val="clear" w:color="auto" w:fill="auto"/>
            <w:noWrap/>
            <w:hideMark/>
          </w:tcPr>
          <w:p w14:paraId="2A5B2CF7" w14:textId="77777777" w:rsidR="00100B67" w:rsidRPr="002927A1" w:rsidRDefault="00100B67" w:rsidP="00100B67">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Zambia</w:t>
            </w:r>
          </w:p>
        </w:tc>
        <w:tc>
          <w:tcPr>
            <w:tcW w:w="1424" w:type="dxa"/>
            <w:tcBorders>
              <w:top w:val="nil"/>
              <w:bottom w:val="single" w:sz="4" w:space="0" w:color="000000" w:themeColor="text1"/>
            </w:tcBorders>
            <w:shd w:val="clear" w:color="auto" w:fill="auto"/>
            <w:noWrap/>
            <w:hideMark/>
          </w:tcPr>
          <w:p w14:paraId="06D8D1C8" w14:textId="198DC8F5"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bottom w:val="single" w:sz="4" w:space="0" w:color="000000" w:themeColor="text1"/>
            </w:tcBorders>
            <w:shd w:val="clear" w:color="auto" w:fill="auto"/>
            <w:noWrap/>
            <w:hideMark/>
          </w:tcPr>
          <w:p w14:paraId="46F49529" w14:textId="50006B06"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bottom w:val="single" w:sz="4" w:space="0" w:color="000000" w:themeColor="text1"/>
            </w:tcBorders>
            <w:shd w:val="clear" w:color="auto" w:fill="auto"/>
            <w:noWrap/>
            <w:hideMark/>
          </w:tcPr>
          <w:p w14:paraId="300B25E1" w14:textId="39DBE57C" w:rsidR="00100B67" w:rsidRPr="002927A1" w:rsidRDefault="00100B67" w:rsidP="00100B67">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2E42B1" w:rsidRPr="002927A1" w14:paraId="58F186C0" w14:textId="77777777" w:rsidTr="00FA5D35">
        <w:tc>
          <w:tcPr>
            <w:tcW w:w="0" w:type="auto"/>
            <w:gridSpan w:val="2"/>
            <w:tcBorders>
              <w:top w:val="nil"/>
              <w:bottom w:val="single" w:sz="4" w:space="0" w:color="000000" w:themeColor="text1"/>
            </w:tcBorders>
            <w:shd w:val="clear" w:color="auto" w:fill="auto"/>
            <w:noWrap/>
          </w:tcPr>
          <w:p w14:paraId="509B7AEA" w14:textId="238088A0"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América Latina y el Caribe (23)</w:t>
            </w:r>
          </w:p>
        </w:tc>
        <w:tc>
          <w:tcPr>
            <w:tcW w:w="1424" w:type="dxa"/>
            <w:tcBorders>
              <w:top w:val="nil"/>
              <w:bottom w:val="single" w:sz="4" w:space="0" w:color="000000" w:themeColor="text1"/>
            </w:tcBorders>
            <w:shd w:val="clear" w:color="auto" w:fill="auto"/>
            <w:noWrap/>
          </w:tcPr>
          <w:p w14:paraId="77C73DF8" w14:textId="1506336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0" w:type="auto"/>
            <w:tcBorders>
              <w:top w:val="nil"/>
              <w:bottom w:val="single" w:sz="4" w:space="0" w:color="000000" w:themeColor="text1"/>
            </w:tcBorders>
            <w:shd w:val="clear" w:color="auto" w:fill="auto"/>
            <w:noWrap/>
          </w:tcPr>
          <w:p w14:paraId="31A14091" w14:textId="29EF932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1286" w:type="dxa"/>
            <w:tcBorders>
              <w:top w:val="nil"/>
              <w:bottom w:val="single" w:sz="4" w:space="0" w:color="000000" w:themeColor="text1"/>
            </w:tcBorders>
            <w:shd w:val="clear" w:color="auto" w:fill="auto"/>
            <w:noWrap/>
          </w:tcPr>
          <w:p w14:paraId="1236BCB1" w14:textId="7777777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p>
        </w:tc>
      </w:tr>
      <w:tr w:rsidR="002E42B1" w:rsidRPr="002927A1" w14:paraId="422BE400" w14:textId="77777777" w:rsidTr="00FA5D35">
        <w:tc>
          <w:tcPr>
            <w:tcW w:w="0" w:type="auto"/>
            <w:tcBorders>
              <w:top w:val="nil"/>
              <w:bottom w:val="single" w:sz="4" w:space="0" w:color="000000" w:themeColor="text1"/>
            </w:tcBorders>
            <w:shd w:val="clear" w:color="auto" w:fill="auto"/>
            <w:noWrap/>
          </w:tcPr>
          <w:p w14:paraId="27A2EB5B" w14:textId="450EADE5"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33</w:t>
            </w:r>
          </w:p>
        </w:tc>
        <w:tc>
          <w:tcPr>
            <w:tcW w:w="0" w:type="auto"/>
            <w:tcBorders>
              <w:top w:val="nil"/>
              <w:bottom w:val="single" w:sz="4" w:space="0" w:color="000000" w:themeColor="text1"/>
            </w:tcBorders>
            <w:shd w:val="clear" w:color="auto" w:fill="auto"/>
            <w:noWrap/>
          </w:tcPr>
          <w:p w14:paraId="302BBB15" w14:textId="66ECD545"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Antigua y Barbuda</w:t>
            </w:r>
          </w:p>
        </w:tc>
        <w:tc>
          <w:tcPr>
            <w:tcW w:w="1424" w:type="dxa"/>
            <w:tcBorders>
              <w:top w:val="nil"/>
              <w:bottom w:val="single" w:sz="4" w:space="0" w:color="000000" w:themeColor="text1"/>
            </w:tcBorders>
            <w:shd w:val="clear" w:color="auto" w:fill="auto"/>
            <w:noWrap/>
          </w:tcPr>
          <w:p w14:paraId="18B4D0E0" w14:textId="26BEA85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bottom w:val="single" w:sz="4" w:space="0" w:color="000000" w:themeColor="text1"/>
            </w:tcBorders>
            <w:shd w:val="clear" w:color="auto" w:fill="auto"/>
            <w:noWrap/>
          </w:tcPr>
          <w:p w14:paraId="6BBDD659" w14:textId="7B4BBC4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6CD4FE47" w14:textId="2383115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6F22F315" w14:textId="77777777" w:rsidTr="00FA5D35">
        <w:tc>
          <w:tcPr>
            <w:tcW w:w="0" w:type="auto"/>
            <w:tcBorders>
              <w:top w:val="nil"/>
              <w:bottom w:val="single" w:sz="4" w:space="0" w:color="000000" w:themeColor="text1"/>
            </w:tcBorders>
            <w:shd w:val="clear" w:color="auto" w:fill="auto"/>
            <w:noWrap/>
          </w:tcPr>
          <w:p w14:paraId="7B9C3F6E" w14:textId="5F3213D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34</w:t>
            </w:r>
          </w:p>
        </w:tc>
        <w:tc>
          <w:tcPr>
            <w:tcW w:w="0" w:type="auto"/>
            <w:tcBorders>
              <w:top w:val="nil"/>
              <w:bottom w:val="single" w:sz="4" w:space="0" w:color="000000" w:themeColor="text1"/>
            </w:tcBorders>
            <w:shd w:val="clear" w:color="auto" w:fill="auto"/>
            <w:noWrap/>
          </w:tcPr>
          <w:p w14:paraId="343A4B9C" w14:textId="763D01C1"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Argentina</w:t>
            </w:r>
          </w:p>
        </w:tc>
        <w:tc>
          <w:tcPr>
            <w:tcW w:w="1424" w:type="dxa"/>
            <w:tcBorders>
              <w:top w:val="nil"/>
              <w:bottom w:val="single" w:sz="4" w:space="0" w:color="000000" w:themeColor="text1"/>
            </w:tcBorders>
            <w:shd w:val="clear" w:color="auto" w:fill="auto"/>
            <w:noWrap/>
          </w:tcPr>
          <w:p w14:paraId="3B7361D6" w14:textId="1D79507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0,915</w:t>
            </w:r>
          </w:p>
        </w:tc>
        <w:tc>
          <w:tcPr>
            <w:tcW w:w="0" w:type="auto"/>
            <w:tcBorders>
              <w:top w:val="nil"/>
              <w:bottom w:val="single" w:sz="4" w:space="0" w:color="000000" w:themeColor="text1"/>
            </w:tcBorders>
            <w:shd w:val="clear" w:color="auto" w:fill="auto"/>
            <w:noWrap/>
          </w:tcPr>
          <w:p w14:paraId="547D1121" w14:textId="520F8DF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1,1212</w:t>
            </w:r>
          </w:p>
        </w:tc>
        <w:tc>
          <w:tcPr>
            <w:tcW w:w="1286" w:type="dxa"/>
            <w:tcBorders>
              <w:top w:val="nil"/>
              <w:bottom w:val="single" w:sz="4" w:space="0" w:color="000000" w:themeColor="text1"/>
            </w:tcBorders>
            <w:shd w:val="clear" w:color="auto" w:fill="auto"/>
            <w:noWrap/>
          </w:tcPr>
          <w:p w14:paraId="5D06F647" w14:textId="39C5F5D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72 464 </w:t>
            </w:r>
          </w:p>
        </w:tc>
      </w:tr>
      <w:tr w:rsidR="002E42B1" w:rsidRPr="002927A1" w14:paraId="697DF08C" w14:textId="77777777" w:rsidTr="00FA5D35">
        <w:tc>
          <w:tcPr>
            <w:tcW w:w="0" w:type="auto"/>
            <w:tcBorders>
              <w:top w:val="nil"/>
              <w:bottom w:val="single" w:sz="4" w:space="0" w:color="000000" w:themeColor="text1"/>
            </w:tcBorders>
            <w:shd w:val="clear" w:color="auto" w:fill="auto"/>
            <w:noWrap/>
          </w:tcPr>
          <w:p w14:paraId="0ED7E2C9" w14:textId="1F2FFD4B"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35</w:t>
            </w:r>
          </w:p>
        </w:tc>
        <w:tc>
          <w:tcPr>
            <w:tcW w:w="0" w:type="auto"/>
            <w:tcBorders>
              <w:top w:val="nil"/>
              <w:bottom w:val="single" w:sz="4" w:space="0" w:color="000000" w:themeColor="text1"/>
            </w:tcBorders>
            <w:shd w:val="clear" w:color="auto" w:fill="auto"/>
            <w:noWrap/>
          </w:tcPr>
          <w:p w14:paraId="0B23DF89" w14:textId="7A74893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Bolivia (Estado Plurinacional de)</w:t>
            </w:r>
          </w:p>
        </w:tc>
        <w:tc>
          <w:tcPr>
            <w:tcW w:w="1424" w:type="dxa"/>
            <w:tcBorders>
              <w:top w:val="nil"/>
              <w:bottom w:val="single" w:sz="4" w:space="0" w:color="000000" w:themeColor="text1"/>
            </w:tcBorders>
            <w:shd w:val="clear" w:color="auto" w:fill="auto"/>
            <w:noWrap/>
          </w:tcPr>
          <w:p w14:paraId="7A434C2E" w14:textId="63C14D4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0,016</w:t>
            </w:r>
          </w:p>
        </w:tc>
        <w:tc>
          <w:tcPr>
            <w:tcW w:w="0" w:type="auto"/>
            <w:tcBorders>
              <w:top w:val="nil"/>
              <w:bottom w:val="single" w:sz="4" w:space="0" w:color="000000" w:themeColor="text1"/>
            </w:tcBorders>
            <w:shd w:val="clear" w:color="auto" w:fill="auto"/>
            <w:noWrap/>
          </w:tcPr>
          <w:p w14:paraId="02CE7082" w14:textId="09BED3D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0,0196</w:t>
            </w:r>
          </w:p>
        </w:tc>
        <w:tc>
          <w:tcPr>
            <w:tcW w:w="1286" w:type="dxa"/>
            <w:tcBorders>
              <w:top w:val="nil"/>
              <w:bottom w:val="single" w:sz="4" w:space="0" w:color="000000" w:themeColor="text1"/>
            </w:tcBorders>
            <w:shd w:val="clear" w:color="auto" w:fill="auto"/>
            <w:noWrap/>
          </w:tcPr>
          <w:p w14:paraId="44BEDF01" w14:textId="78D1D5A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1 267 </w:t>
            </w:r>
          </w:p>
        </w:tc>
      </w:tr>
      <w:tr w:rsidR="002E42B1" w:rsidRPr="002927A1" w14:paraId="55090AE8" w14:textId="77777777" w:rsidTr="00FA5D35">
        <w:tc>
          <w:tcPr>
            <w:tcW w:w="0" w:type="auto"/>
            <w:tcBorders>
              <w:top w:val="nil"/>
              <w:bottom w:val="single" w:sz="4" w:space="0" w:color="000000" w:themeColor="text1"/>
            </w:tcBorders>
            <w:shd w:val="clear" w:color="auto" w:fill="auto"/>
            <w:noWrap/>
          </w:tcPr>
          <w:p w14:paraId="1135CE04" w14:textId="0F14E61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36</w:t>
            </w:r>
          </w:p>
        </w:tc>
        <w:tc>
          <w:tcPr>
            <w:tcW w:w="0" w:type="auto"/>
            <w:tcBorders>
              <w:top w:val="nil"/>
              <w:bottom w:val="single" w:sz="4" w:space="0" w:color="000000" w:themeColor="text1"/>
            </w:tcBorders>
            <w:shd w:val="clear" w:color="auto" w:fill="auto"/>
            <w:noWrap/>
          </w:tcPr>
          <w:p w14:paraId="582D2420" w14:textId="24FDDC0E"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Brasil</w:t>
            </w:r>
          </w:p>
        </w:tc>
        <w:tc>
          <w:tcPr>
            <w:tcW w:w="1424" w:type="dxa"/>
            <w:tcBorders>
              <w:top w:val="nil"/>
              <w:bottom w:val="single" w:sz="4" w:space="0" w:color="000000" w:themeColor="text1"/>
            </w:tcBorders>
            <w:shd w:val="clear" w:color="auto" w:fill="auto"/>
            <w:noWrap/>
          </w:tcPr>
          <w:p w14:paraId="56CFD410" w14:textId="39EFD91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2,948</w:t>
            </w:r>
          </w:p>
        </w:tc>
        <w:tc>
          <w:tcPr>
            <w:tcW w:w="0" w:type="auto"/>
            <w:tcBorders>
              <w:top w:val="nil"/>
              <w:bottom w:val="single" w:sz="4" w:space="0" w:color="000000" w:themeColor="text1"/>
            </w:tcBorders>
            <w:shd w:val="clear" w:color="auto" w:fill="auto"/>
            <w:noWrap/>
          </w:tcPr>
          <w:p w14:paraId="7E074DFD" w14:textId="4167C5D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3,6123</w:t>
            </w:r>
          </w:p>
        </w:tc>
        <w:tc>
          <w:tcPr>
            <w:tcW w:w="1286" w:type="dxa"/>
            <w:tcBorders>
              <w:top w:val="nil"/>
              <w:bottom w:val="single" w:sz="4" w:space="0" w:color="000000" w:themeColor="text1"/>
            </w:tcBorders>
            <w:shd w:val="clear" w:color="auto" w:fill="auto"/>
            <w:noWrap/>
          </w:tcPr>
          <w:p w14:paraId="7947DD7D" w14:textId="451E4A7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233 470 </w:t>
            </w:r>
          </w:p>
        </w:tc>
      </w:tr>
      <w:tr w:rsidR="002E42B1" w:rsidRPr="002927A1" w14:paraId="6880C559" w14:textId="77777777" w:rsidTr="00FA5D35">
        <w:tc>
          <w:tcPr>
            <w:tcW w:w="0" w:type="auto"/>
            <w:tcBorders>
              <w:top w:val="nil"/>
              <w:bottom w:val="single" w:sz="4" w:space="0" w:color="000000" w:themeColor="text1"/>
            </w:tcBorders>
            <w:shd w:val="clear" w:color="auto" w:fill="auto"/>
            <w:noWrap/>
          </w:tcPr>
          <w:p w14:paraId="56F441EB" w14:textId="2FCBAA8B"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37</w:t>
            </w:r>
          </w:p>
        </w:tc>
        <w:tc>
          <w:tcPr>
            <w:tcW w:w="0" w:type="auto"/>
            <w:tcBorders>
              <w:top w:val="nil"/>
              <w:bottom w:val="single" w:sz="4" w:space="0" w:color="000000" w:themeColor="text1"/>
            </w:tcBorders>
            <w:shd w:val="clear" w:color="auto" w:fill="auto"/>
            <w:noWrap/>
          </w:tcPr>
          <w:p w14:paraId="7391B3D4" w14:textId="361C4E6A"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Chile</w:t>
            </w:r>
          </w:p>
        </w:tc>
        <w:tc>
          <w:tcPr>
            <w:tcW w:w="1424" w:type="dxa"/>
            <w:tcBorders>
              <w:top w:val="nil"/>
              <w:bottom w:val="single" w:sz="4" w:space="0" w:color="000000" w:themeColor="text1"/>
            </w:tcBorders>
            <w:shd w:val="clear" w:color="auto" w:fill="auto"/>
            <w:noWrap/>
          </w:tcPr>
          <w:p w14:paraId="37ACB597" w14:textId="76F90A6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0,407</w:t>
            </w:r>
          </w:p>
        </w:tc>
        <w:tc>
          <w:tcPr>
            <w:tcW w:w="0" w:type="auto"/>
            <w:tcBorders>
              <w:top w:val="nil"/>
              <w:bottom w:val="single" w:sz="4" w:space="0" w:color="000000" w:themeColor="text1"/>
            </w:tcBorders>
            <w:shd w:val="clear" w:color="auto" w:fill="auto"/>
            <w:noWrap/>
          </w:tcPr>
          <w:p w14:paraId="77BF3925" w14:textId="4B10FFB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0,4987</w:t>
            </w:r>
          </w:p>
        </w:tc>
        <w:tc>
          <w:tcPr>
            <w:tcW w:w="1286" w:type="dxa"/>
            <w:tcBorders>
              <w:top w:val="nil"/>
              <w:bottom w:val="single" w:sz="4" w:space="0" w:color="000000" w:themeColor="text1"/>
            </w:tcBorders>
            <w:shd w:val="clear" w:color="auto" w:fill="auto"/>
            <w:noWrap/>
          </w:tcPr>
          <w:p w14:paraId="7E0031BB" w14:textId="662ED15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32 233 </w:t>
            </w:r>
          </w:p>
        </w:tc>
      </w:tr>
      <w:tr w:rsidR="002E42B1" w:rsidRPr="002927A1" w14:paraId="60E5A70A" w14:textId="77777777" w:rsidTr="00FA5D35">
        <w:tc>
          <w:tcPr>
            <w:tcW w:w="0" w:type="auto"/>
            <w:tcBorders>
              <w:top w:val="nil"/>
              <w:bottom w:val="single" w:sz="4" w:space="0" w:color="000000" w:themeColor="text1"/>
            </w:tcBorders>
            <w:shd w:val="clear" w:color="auto" w:fill="auto"/>
            <w:noWrap/>
          </w:tcPr>
          <w:p w14:paraId="2F1FCF42" w14:textId="335A541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38</w:t>
            </w:r>
          </w:p>
        </w:tc>
        <w:tc>
          <w:tcPr>
            <w:tcW w:w="0" w:type="auto"/>
            <w:tcBorders>
              <w:top w:val="nil"/>
              <w:bottom w:val="single" w:sz="4" w:space="0" w:color="000000" w:themeColor="text1"/>
            </w:tcBorders>
            <w:shd w:val="clear" w:color="auto" w:fill="auto"/>
            <w:noWrap/>
          </w:tcPr>
          <w:p w14:paraId="725EEE57" w14:textId="2D21E9D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Colombia</w:t>
            </w:r>
          </w:p>
        </w:tc>
        <w:tc>
          <w:tcPr>
            <w:tcW w:w="1424" w:type="dxa"/>
            <w:tcBorders>
              <w:top w:val="nil"/>
              <w:bottom w:val="single" w:sz="4" w:space="0" w:color="000000" w:themeColor="text1"/>
            </w:tcBorders>
            <w:shd w:val="clear" w:color="auto" w:fill="auto"/>
            <w:noWrap/>
          </w:tcPr>
          <w:p w14:paraId="3EEA77DE" w14:textId="0914EB4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0,288</w:t>
            </w:r>
          </w:p>
        </w:tc>
        <w:tc>
          <w:tcPr>
            <w:tcW w:w="0" w:type="auto"/>
            <w:tcBorders>
              <w:top w:val="nil"/>
              <w:bottom w:val="single" w:sz="4" w:space="0" w:color="000000" w:themeColor="text1"/>
            </w:tcBorders>
            <w:shd w:val="clear" w:color="auto" w:fill="auto"/>
            <w:noWrap/>
          </w:tcPr>
          <w:p w14:paraId="440547A8" w14:textId="0291995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0,3529</w:t>
            </w:r>
          </w:p>
        </w:tc>
        <w:tc>
          <w:tcPr>
            <w:tcW w:w="1286" w:type="dxa"/>
            <w:tcBorders>
              <w:top w:val="nil"/>
              <w:bottom w:val="single" w:sz="4" w:space="0" w:color="000000" w:themeColor="text1"/>
            </w:tcBorders>
            <w:shd w:val="clear" w:color="auto" w:fill="auto"/>
            <w:noWrap/>
          </w:tcPr>
          <w:p w14:paraId="199AC0DD" w14:textId="26B3929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22 808 </w:t>
            </w:r>
          </w:p>
        </w:tc>
      </w:tr>
      <w:tr w:rsidR="002E42B1" w:rsidRPr="002927A1" w14:paraId="42C163A3" w14:textId="77777777" w:rsidTr="00FA5D35">
        <w:tc>
          <w:tcPr>
            <w:tcW w:w="0" w:type="auto"/>
            <w:tcBorders>
              <w:top w:val="nil"/>
              <w:bottom w:val="single" w:sz="4" w:space="0" w:color="000000" w:themeColor="text1"/>
            </w:tcBorders>
            <w:shd w:val="clear" w:color="auto" w:fill="auto"/>
            <w:noWrap/>
          </w:tcPr>
          <w:p w14:paraId="5200E027" w14:textId="2B58B5A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lastRenderedPageBreak/>
              <w:t>39</w:t>
            </w:r>
          </w:p>
        </w:tc>
        <w:tc>
          <w:tcPr>
            <w:tcW w:w="0" w:type="auto"/>
            <w:tcBorders>
              <w:top w:val="nil"/>
              <w:bottom w:val="single" w:sz="4" w:space="0" w:color="000000" w:themeColor="text1"/>
            </w:tcBorders>
            <w:shd w:val="clear" w:color="auto" w:fill="auto"/>
            <w:noWrap/>
          </w:tcPr>
          <w:p w14:paraId="06A42591" w14:textId="520A8BDC"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Costa Rica</w:t>
            </w:r>
          </w:p>
        </w:tc>
        <w:tc>
          <w:tcPr>
            <w:tcW w:w="1424" w:type="dxa"/>
            <w:tcBorders>
              <w:top w:val="nil"/>
              <w:bottom w:val="single" w:sz="4" w:space="0" w:color="000000" w:themeColor="text1"/>
            </w:tcBorders>
            <w:shd w:val="clear" w:color="auto" w:fill="auto"/>
            <w:noWrap/>
          </w:tcPr>
          <w:p w14:paraId="6241E6A5" w14:textId="79A456D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0,062</w:t>
            </w:r>
          </w:p>
        </w:tc>
        <w:tc>
          <w:tcPr>
            <w:tcW w:w="0" w:type="auto"/>
            <w:tcBorders>
              <w:top w:val="nil"/>
              <w:bottom w:val="single" w:sz="4" w:space="0" w:color="000000" w:themeColor="text1"/>
            </w:tcBorders>
            <w:shd w:val="clear" w:color="auto" w:fill="auto"/>
            <w:noWrap/>
          </w:tcPr>
          <w:p w14:paraId="153A1FE9" w14:textId="30A3F00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0,0760</w:t>
            </w:r>
          </w:p>
        </w:tc>
        <w:tc>
          <w:tcPr>
            <w:tcW w:w="1286" w:type="dxa"/>
            <w:tcBorders>
              <w:top w:val="nil"/>
              <w:bottom w:val="single" w:sz="4" w:space="0" w:color="000000" w:themeColor="text1"/>
            </w:tcBorders>
            <w:shd w:val="clear" w:color="auto" w:fill="auto"/>
            <w:noWrap/>
          </w:tcPr>
          <w:p w14:paraId="71E6EA8F" w14:textId="1C3C6E3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4 910 </w:t>
            </w:r>
          </w:p>
        </w:tc>
      </w:tr>
      <w:tr w:rsidR="002E42B1" w:rsidRPr="002927A1" w14:paraId="69905242" w14:textId="77777777" w:rsidTr="00FA5D35">
        <w:tc>
          <w:tcPr>
            <w:tcW w:w="0" w:type="auto"/>
            <w:tcBorders>
              <w:top w:val="nil"/>
              <w:bottom w:val="single" w:sz="4" w:space="0" w:color="000000" w:themeColor="text1"/>
            </w:tcBorders>
            <w:shd w:val="clear" w:color="auto" w:fill="auto"/>
            <w:noWrap/>
          </w:tcPr>
          <w:p w14:paraId="10184F71" w14:textId="053E4D9F"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40</w:t>
            </w:r>
          </w:p>
        </w:tc>
        <w:tc>
          <w:tcPr>
            <w:tcW w:w="0" w:type="auto"/>
            <w:tcBorders>
              <w:top w:val="nil"/>
              <w:bottom w:val="single" w:sz="4" w:space="0" w:color="000000" w:themeColor="text1"/>
            </w:tcBorders>
            <w:shd w:val="clear" w:color="auto" w:fill="auto"/>
            <w:noWrap/>
          </w:tcPr>
          <w:p w14:paraId="0FAC52C2" w14:textId="555C67B4"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Cuba</w:t>
            </w:r>
          </w:p>
        </w:tc>
        <w:tc>
          <w:tcPr>
            <w:tcW w:w="1424" w:type="dxa"/>
            <w:tcBorders>
              <w:top w:val="nil"/>
              <w:bottom w:val="single" w:sz="4" w:space="0" w:color="000000" w:themeColor="text1"/>
            </w:tcBorders>
            <w:shd w:val="clear" w:color="auto" w:fill="auto"/>
            <w:noWrap/>
          </w:tcPr>
          <w:p w14:paraId="60EF9280" w14:textId="550341A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w:t>
            </w:r>
          </w:p>
        </w:tc>
        <w:tc>
          <w:tcPr>
            <w:tcW w:w="0" w:type="auto"/>
            <w:tcBorders>
              <w:top w:val="nil"/>
              <w:bottom w:val="single" w:sz="4" w:space="0" w:color="000000" w:themeColor="text1"/>
            </w:tcBorders>
            <w:shd w:val="clear" w:color="auto" w:fill="auto"/>
            <w:noWrap/>
          </w:tcPr>
          <w:p w14:paraId="61D410EA" w14:textId="78FB692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0,0980</w:t>
            </w:r>
          </w:p>
        </w:tc>
        <w:tc>
          <w:tcPr>
            <w:tcW w:w="1286" w:type="dxa"/>
            <w:tcBorders>
              <w:top w:val="nil"/>
              <w:bottom w:val="single" w:sz="4" w:space="0" w:color="000000" w:themeColor="text1"/>
            </w:tcBorders>
            <w:shd w:val="clear" w:color="auto" w:fill="auto"/>
            <w:noWrap/>
          </w:tcPr>
          <w:p w14:paraId="1F99C7BD" w14:textId="5FFDFF2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6 336 </w:t>
            </w:r>
          </w:p>
        </w:tc>
      </w:tr>
      <w:tr w:rsidR="002E42B1" w:rsidRPr="002927A1" w14:paraId="6C8410DE" w14:textId="77777777" w:rsidTr="00FA5D35">
        <w:tc>
          <w:tcPr>
            <w:tcW w:w="0" w:type="auto"/>
            <w:tcBorders>
              <w:top w:val="nil"/>
              <w:bottom w:val="single" w:sz="4" w:space="0" w:color="000000" w:themeColor="text1"/>
            </w:tcBorders>
            <w:shd w:val="clear" w:color="auto" w:fill="auto"/>
            <w:noWrap/>
          </w:tcPr>
          <w:p w14:paraId="60B09B72" w14:textId="423480D6"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41</w:t>
            </w:r>
          </w:p>
        </w:tc>
        <w:tc>
          <w:tcPr>
            <w:tcW w:w="0" w:type="auto"/>
            <w:tcBorders>
              <w:top w:val="nil"/>
              <w:bottom w:val="single" w:sz="4" w:space="0" w:color="000000" w:themeColor="text1"/>
            </w:tcBorders>
            <w:shd w:val="clear" w:color="auto" w:fill="auto"/>
            <w:noWrap/>
          </w:tcPr>
          <w:p w14:paraId="72484CB6" w14:textId="2E32F428"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Ecuador</w:t>
            </w:r>
          </w:p>
        </w:tc>
        <w:tc>
          <w:tcPr>
            <w:tcW w:w="1424" w:type="dxa"/>
            <w:tcBorders>
              <w:top w:val="nil"/>
              <w:bottom w:val="single" w:sz="4" w:space="0" w:color="000000" w:themeColor="text1"/>
            </w:tcBorders>
            <w:shd w:val="clear" w:color="auto" w:fill="auto"/>
            <w:noWrap/>
          </w:tcPr>
          <w:p w14:paraId="5AB3DC53" w14:textId="73CD6CB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w:t>
            </w:r>
          </w:p>
        </w:tc>
        <w:tc>
          <w:tcPr>
            <w:tcW w:w="0" w:type="auto"/>
            <w:tcBorders>
              <w:top w:val="nil"/>
              <w:bottom w:val="single" w:sz="4" w:space="0" w:color="000000" w:themeColor="text1"/>
            </w:tcBorders>
            <w:shd w:val="clear" w:color="auto" w:fill="auto"/>
            <w:noWrap/>
          </w:tcPr>
          <w:p w14:paraId="41183FE2" w14:textId="2AD0553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0,0980</w:t>
            </w:r>
          </w:p>
        </w:tc>
        <w:tc>
          <w:tcPr>
            <w:tcW w:w="1286" w:type="dxa"/>
            <w:tcBorders>
              <w:top w:val="nil"/>
              <w:bottom w:val="single" w:sz="4" w:space="0" w:color="000000" w:themeColor="text1"/>
            </w:tcBorders>
            <w:shd w:val="clear" w:color="auto" w:fill="auto"/>
            <w:noWrap/>
          </w:tcPr>
          <w:p w14:paraId="5A5791DF" w14:textId="1561E36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6 336 </w:t>
            </w:r>
          </w:p>
        </w:tc>
      </w:tr>
      <w:tr w:rsidR="002E42B1" w:rsidRPr="002927A1" w14:paraId="02D5A8D6" w14:textId="77777777" w:rsidTr="00FA5D35">
        <w:tc>
          <w:tcPr>
            <w:tcW w:w="0" w:type="auto"/>
            <w:tcBorders>
              <w:top w:val="nil"/>
              <w:bottom w:val="single" w:sz="4" w:space="0" w:color="000000" w:themeColor="text1"/>
            </w:tcBorders>
            <w:shd w:val="clear" w:color="auto" w:fill="auto"/>
            <w:noWrap/>
          </w:tcPr>
          <w:p w14:paraId="67A148B2" w14:textId="733F74CB"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42</w:t>
            </w:r>
          </w:p>
        </w:tc>
        <w:tc>
          <w:tcPr>
            <w:tcW w:w="0" w:type="auto"/>
            <w:tcBorders>
              <w:top w:val="nil"/>
              <w:bottom w:val="single" w:sz="4" w:space="0" w:color="000000" w:themeColor="text1"/>
            </w:tcBorders>
            <w:shd w:val="clear" w:color="auto" w:fill="auto"/>
            <w:noWrap/>
          </w:tcPr>
          <w:p w14:paraId="316EC6A2" w14:textId="675D46F2"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El Salvador</w:t>
            </w:r>
          </w:p>
        </w:tc>
        <w:tc>
          <w:tcPr>
            <w:tcW w:w="1424" w:type="dxa"/>
            <w:tcBorders>
              <w:top w:val="nil"/>
              <w:bottom w:val="single" w:sz="4" w:space="0" w:color="000000" w:themeColor="text1"/>
            </w:tcBorders>
            <w:shd w:val="clear" w:color="auto" w:fill="auto"/>
            <w:noWrap/>
          </w:tcPr>
          <w:p w14:paraId="01C6F2E5" w14:textId="0077A70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0,012</w:t>
            </w:r>
          </w:p>
        </w:tc>
        <w:tc>
          <w:tcPr>
            <w:tcW w:w="0" w:type="auto"/>
            <w:tcBorders>
              <w:top w:val="nil"/>
              <w:bottom w:val="single" w:sz="4" w:space="0" w:color="000000" w:themeColor="text1"/>
            </w:tcBorders>
            <w:shd w:val="clear" w:color="auto" w:fill="auto"/>
            <w:noWrap/>
          </w:tcPr>
          <w:p w14:paraId="4860FDF4" w14:textId="094F8DB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0,0147</w:t>
            </w:r>
          </w:p>
        </w:tc>
        <w:tc>
          <w:tcPr>
            <w:tcW w:w="1286" w:type="dxa"/>
            <w:tcBorders>
              <w:top w:val="nil"/>
              <w:bottom w:val="single" w:sz="4" w:space="0" w:color="000000" w:themeColor="text1"/>
            </w:tcBorders>
            <w:shd w:val="clear" w:color="auto" w:fill="auto"/>
            <w:noWrap/>
          </w:tcPr>
          <w:p w14:paraId="4BFB4D6A" w14:textId="4BFC549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950 </w:t>
            </w:r>
          </w:p>
        </w:tc>
      </w:tr>
      <w:tr w:rsidR="002E42B1" w:rsidRPr="002927A1" w14:paraId="6341E264" w14:textId="77777777" w:rsidTr="00FA5D35">
        <w:tc>
          <w:tcPr>
            <w:tcW w:w="0" w:type="auto"/>
            <w:tcBorders>
              <w:top w:val="nil"/>
              <w:bottom w:val="single" w:sz="4" w:space="0" w:color="000000" w:themeColor="text1"/>
            </w:tcBorders>
            <w:shd w:val="clear" w:color="auto" w:fill="auto"/>
            <w:noWrap/>
          </w:tcPr>
          <w:p w14:paraId="59BADE9A" w14:textId="647094E4"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43</w:t>
            </w:r>
          </w:p>
        </w:tc>
        <w:tc>
          <w:tcPr>
            <w:tcW w:w="0" w:type="auto"/>
            <w:tcBorders>
              <w:top w:val="nil"/>
              <w:bottom w:val="single" w:sz="4" w:space="0" w:color="000000" w:themeColor="text1"/>
            </w:tcBorders>
            <w:shd w:val="clear" w:color="auto" w:fill="auto"/>
            <w:noWrap/>
          </w:tcPr>
          <w:p w14:paraId="70FA9103" w14:textId="2A46D3AE"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Guyana</w:t>
            </w:r>
          </w:p>
        </w:tc>
        <w:tc>
          <w:tcPr>
            <w:tcW w:w="1424" w:type="dxa"/>
            <w:tcBorders>
              <w:top w:val="nil"/>
              <w:bottom w:val="single" w:sz="4" w:space="0" w:color="000000" w:themeColor="text1"/>
            </w:tcBorders>
            <w:shd w:val="clear" w:color="auto" w:fill="auto"/>
            <w:noWrap/>
          </w:tcPr>
          <w:p w14:paraId="579A137A" w14:textId="7A3384B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bottom w:val="single" w:sz="4" w:space="0" w:color="000000" w:themeColor="text1"/>
            </w:tcBorders>
            <w:shd w:val="clear" w:color="auto" w:fill="auto"/>
            <w:noWrap/>
          </w:tcPr>
          <w:p w14:paraId="4CEA2508" w14:textId="257642E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4D9B8B75" w14:textId="44F1989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55805C34" w14:textId="77777777" w:rsidTr="00FA5D35">
        <w:tc>
          <w:tcPr>
            <w:tcW w:w="0" w:type="auto"/>
            <w:tcBorders>
              <w:top w:val="nil"/>
              <w:bottom w:val="single" w:sz="4" w:space="0" w:color="000000" w:themeColor="text1"/>
            </w:tcBorders>
            <w:shd w:val="clear" w:color="auto" w:fill="auto"/>
            <w:noWrap/>
          </w:tcPr>
          <w:p w14:paraId="7196FCD4" w14:textId="4E0CE67D"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44</w:t>
            </w:r>
          </w:p>
        </w:tc>
        <w:tc>
          <w:tcPr>
            <w:tcW w:w="0" w:type="auto"/>
            <w:tcBorders>
              <w:top w:val="nil"/>
              <w:bottom w:val="single" w:sz="4" w:space="0" w:color="000000" w:themeColor="text1"/>
            </w:tcBorders>
            <w:shd w:val="clear" w:color="auto" w:fill="auto"/>
            <w:noWrap/>
          </w:tcPr>
          <w:p w14:paraId="486E3D70" w14:textId="0376EE2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Honduras</w:t>
            </w:r>
          </w:p>
        </w:tc>
        <w:tc>
          <w:tcPr>
            <w:tcW w:w="1424" w:type="dxa"/>
            <w:tcBorders>
              <w:top w:val="nil"/>
              <w:bottom w:val="single" w:sz="4" w:space="0" w:color="000000" w:themeColor="text1"/>
            </w:tcBorders>
            <w:shd w:val="clear" w:color="auto" w:fill="auto"/>
            <w:noWrap/>
          </w:tcPr>
          <w:p w14:paraId="4837C53B" w14:textId="049B5B9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bottom w:val="single" w:sz="4" w:space="0" w:color="000000" w:themeColor="text1"/>
            </w:tcBorders>
            <w:shd w:val="clear" w:color="auto" w:fill="auto"/>
            <w:noWrap/>
          </w:tcPr>
          <w:p w14:paraId="1E965695" w14:textId="57144D6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bottom w:val="single" w:sz="4" w:space="0" w:color="000000" w:themeColor="text1"/>
            </w:tcBorders>
            <w:shd w:val="clear" w:color="auto" w:fill="auto"/>
            <w:noWrap/>
          </w:tcPr>
          <w:p w14:paraId="0884460F" w14:textId="40EB053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2E42B1" w:rsidRPr="002927A1" w14:paraId="4122C5A9" w14:textId="77777777" w:rsidTr="00FA5D35">
        <w:tc>
          <w:tcPr>
            <w:tcW w:w="0" w:type="auto"/>
            <w:tcBorders>
              <w:top w:val="nil"/>
              <w:bottom w:val="single" w:sz="4" w:space="0" w:color="000000" w:themeColor="text1"/>
            </w:tcBorders>
            <w:shd w:val="clear" w:color="auto" w:fill="auto"/>
            <w:noWrap/>
          </w:tcPr>
          <w:p w14:paraId="385E1DEB" w14:textId="5FF32652"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45</w:t>
            </w:r>
          </w:p>
        </w:tc>
        <w:tc>
          <w:tcPr>
            <w:tcW w:w="0" w:type="auto"/>
            <w:tcBorders>
              <w:top w:val="nil"/>
              <w:bottom w:val="single" w:sz="4" w:space="0" w:color="000000" w:themeColor="text1"/>
            </w:tcBorders>
            <w:shd w:val="clear" w:color="auto" w:fill="auto"/>
            <w:noWrap/>
          </w:tcPr>
          <w:p w14:paraId="0DAE90D9" w14:textId="13341F25"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Jamaica</w:t>
            </w:r>
          </w:p>
        </w:tc>
        <w:tc>
          <w:tcPr>
            <w:tcW w:w="1424" w:type="dxa"/>
            <w:tcBorders>
              <w:top w:val="nil"/>
              <w:bottom w:val="single" w:sz="4" w:space="0" w:color="000000" w:themeColor="text1"/>
            </w:tcBorders>
            <w:shd w:val="clear" w:color="auto" w:fill="auto"/>
            <w:noWrap/>
          </w:tcPr>
          <w:p w14:paraId="7CF78B74" w14:textId="519B943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0,008</w:t>
            </w:r>
          </w:p>
        </w:tc>
        <w:tc>
          <w:tcPr>
            <w:tcW w:w="0" w:type="auto"/>
            <w:tcBorders>
              <w:top w:val="nil"/>
              <w:bottom w:val="single" w:sz="4" w:space="0" w:color="000000" w:themeColor="text1"/>
            </w:tcBorders>
            <w:shd w:val="clear" w:color="auto" w:fill="auto"/>
            <w:noWrap/>
          </w:tcPr>
          <w:p w14:paraId="3FADCAF1" w14:textId="5891467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094F4550" w14:textId="5849FAB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29E8A0FB" w14:textId="77777777" w:rsidTr="00FA5D35">
        <w:tc>
          <w:tcPr>
            <w:tcW w:w="0" w:type="auto"/>
            <w:tcBorders>
              <w:top w:val="nil"/>
              <w:bottom w:val="single" w:sz="4" w:space="0" w:color="000000" w:themeColor="text1"/>
            </w:tcBorders>
            <w:shd w:val="clear" w:color="auto" w:fill="auto"/>
            <w:noWrap/>
          </w:tcPr>
          <w:p w14:paraId="6E05B5B0" w14:textId="0E11FA9F"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46</w:t>
            </w:r>
          </w:p>
        </w:tc>
        <w:tc>
          <w:tcPr>
            <w:tcW w:w="0" w:type="auto"/>
            <w:tcBorders>
              <w:top w:val="nil"/>
              <w:bottom w:val="single" w:sz="4" w:space="0" w:color="000000" w:themeColor="text1"/>
            </w:tcBorders>
            <w:shd w:val="clear" w:color="auto" w:fill="auto"/>
            <w:noWrap/>
          </w:tcPr>
          <w:p w14:paraId="6C182436" w14:textId="2923CEAB"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México</w:t>
            </w:r>
          </w:p>
        </w:tc>
        <w:tc>
          <w:tcPr>
            <w:tcW w:w="1424" w:type="dxa"/>
            <w:tcBorders>
              <w:top w:val="nil"/>
              <w:bottom w:val="single" w:sz="4" w:space="0" w:color="000000" w:themeColor="text1"/>
            </w:tcBorders>
            <w:shd w:val="clear" w:color="auto" w:fill="auto"/>
            <w:noWrap/>
          </w:tcPr>
          <w:p w14:paraId="75320E72" w14:textId="5DBC329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1,292</w:t>
            </w:r>
          </w:p>
        </w:tc>
        <w:tc>
          <w:tcPr>
            <w:tcW w:w="0" w:type="auto"/>
            <w:tcBorders>
              <w:top w:val="nil"/>
              <w:bottom w:val="single" w:sz="4" w:space="0" w:color="000000" w:themeColor="text1"/>
            </w:tcBorders>
            <w:shd w:val="clear" w:color="auto" w:fill="auto"/>
            <w:noWrap/>
          </w:tcPr>
          <w:p w14:paraId="1C611BBC" w14:textId="17ED94B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1,5832</w:t>
            </w:r>
          </w:p>
        </w:tc>
        <w:tc>
          <w:tcPr>
            <w:tcW w:w="1286" w:type="dxa"/>
            <w:tcBorders>
              <w:top w:val="nil"/>
              <w:bottom w:val="single" w:sz="4" w:space="0" w:color="000000" w:themeColor="text1"/>
            </w:tcBorders>
            <w:shd w:val="clear" w:color="auto" w:fill="auto"/>
            <w:noWrap/>
          </w:tcPr>
          <w:p w14:paraId="5471B990" w14:textId="106FCDE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102 321 </w:t>
            </w:r>
          </w:p>
        </w:tc>
      </w:tr>
      <w:tr w:rsidR="002E42B1" w:rsidRPr="002927A1" w14:paraId="1C4A4C78" w14:textId="77777777" w:rsidTr="00FA5D35">
        <w:tc>
          <w:tcPr>
            <w:tcW w:w="0" w:type="auto"/>
            <w:tcBorders>
              <w:top w:val="nil"/>
              <w:bottom w:val="single" w:sz="4" w:space="0" w:color="000000" w:themeColor="text1"/>
            </w:tcBorders>
            <w:shd w:val="clear" w:color="auto" w:fill="auto"/>
            <w:noWrap/>
          </w:tcPr>
          <w:p w14:paraId="5C748497" w14:textId="62C86FA4"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47</w:t>
            </w:r>
          </w:p>
        </w:tc>
        <w:tc>
          <w:tcPr>
            <w:tcW w:w="0" w:type="auto"/>
            <w:tcBorders>
              <w:top w:val="nil"/>
              <w:bottom w:val="single" w:sz="4" w:space="0" w:color="000000" w:themeColor="text1"/>
            </w:tcBorders>
            <w:shd w:val="clear" w:color="auto" w:fill="auto"/>
            <w:noWrap/>
          </w:tcPr>
          <w:p w14:paraId="7D0F72AA" w14:textId="2C3A2BEC"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Nicaragua</w:t>
            </w:r>
          </w:p>
        </w:tc>
        <w:tc>
          <w:tcPr>
            <w:tcW w:w="1424" w:type="dxa"/>
            <w:tcBorders>
              <w:top w:val="nil"/>
              <w:bottom w:val="single" w:sz="4" w:space="0" w:color="000000" w:themeColor="text1"/>
            </w:tcBorders>
            <w:shd w:val="clear" w:color="auto" w:fill="auto"/>
            <w:noWrap/>
          </w:tcPr>
          <w:p w14:paraId="54AECD7B" w14:textId="4EB3C7E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bottom w:val="single" w:sz="4" w:space="0" w:color="000000" w:themeColor="text1"/>
            </w:tcBorders>
            <w:shd w:val="clear" w:color="auto" w:fill="auto"/>
            <w:noWrap/>
          </w:tcPr>
          <w:p w14:paraId="510DCCE9" w14:textId="6208306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197AEFB2" w14:textId="6F367AB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BB8FAF7" w14:textId="77777777" w:rsidTr="00FA5D35">
        <w:tc>
          <w:tcPr>
            <w:tcW w:w="0" w:type="auto"/>
            <w:tcBorders>
              <w:top w:val="nil"/>
              <w:bottom w:val="single" w:sz="4" w:space="0" w:color="000000" w:themeColor="text1"/>
            </w:tcBorders>
            <w:shd w:val="clear" w:color="auto" w:fill="auto"/>
            <w:noWrap/>
          </w:tcPr>
          <w:p w14:paraId="69645209" w14:textId="3E6FC42A"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48</w:t>
            </w:r>
          </w:p>
        </w:tc>
        <w:tc>
          <w:tcPr>
            <w:tcW w:w="0" w:type="auto"/>
            <w:tcBorders>
              <w:top w:val="nil"/>
              <w:bottom w:val="single" w:sz="4" w:space="0" w:color="000000" w:themeColor="text1"/>
            </w:tcBorders>
            <w:shd w:val="clear" w:color="auto" w:fill="auto"/>
            <w:noWrap/>
          </w:tcPr>
          <w:p w14:paraId="48AC172F" w14:textId="180EDCBB"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Panamá</w:t>
            </w:r>
          </w:p>
        </w:tc>
        <w:tc>
          <w:tcPr>
            <w:tcW w:w="1424" w:type="dxa"/>
            <w:tcBorders>
              <w:top w:val="nil"/>
              <w:bottom w:val="single" w:sz="4" w:space="0" w:color="000000" w:themeColor="text1"/>
            </w:tcBorders>
            <w:shd w:val="clear" w:color="auto" w:fill="auto"/>
            <w:noWrap/>
          </w:tcPr>
          <w:p w14:paraId="0D023FD7" w14:textId="0D36BD6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0,045</w:t>
            </w:r>
          </w:p>
        </w:tc>
        <w:tc>
          <w:tcPr>
            <w:tcW w:w="0" w:type="auto"/>
            <w:tcBorders>
              <w:top w:val="nil"/>
              <w:bottom w:val="single" w:sz="4" w:space="0" w:color="000000" w:themeColor="text1"/>
            </w:tcBorders>
            <w:shd w:val="clear" w:color="auto" w:fill="auto"/>
            <w:noWrap/>
          </w:tcPr>
          <w:p w14:paraId="2A57E5D0" w14:textId="080C557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0,0551</w:t>
            </w:r>
          </w:p>
        </w:tc>
        <w:tc>
          <w:tcPr>
            <w:tcW w:w="1286" w:type="dxa"/>
            <w:tcBorders>
              <w:top w:val="nil"/>
              <w:bottom w:val="single" w:sz="4" w:space="0" w:color="000000" w:themeColor="text1"/>
            </w:tcBorders>
            <w:shd w:val="clear" w:color="auto" w:fill="auto"/>
            <w:noWrap/>
          </w:tcPr>
          <w:p w14:paraId="091813B7" w14:textId="5C364E5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3 564 </w:t>
            </w:r>
          </w:p>
        </w:tc>
      </w:tr>
      <w:tr w:rsidR="002E42B1" w:rsidRPr="002927A1" w14:paraId="4E8F58A1" w14:textId="77777777" w:rsidTr="00FA5D35">
        <w:tc>
          <w:tcPr>
            <w:tcW w:w="0" w:type="auto"/>
            <w:tcBorders>
              <w:top w:val="nil"/>
              <w:bottom w:val="single" w:sz="4" w:space="0" w:color="000000" w:themeColor="text1"/>
            </w:tcBorders>
            <w:shd w:val="clear" w:color="auto" w:fill="auto"/>
            <w:noWrap/>
          </w:tcPr>
          <w:p w14:paraId="0280CB5F" w14:textId="60C55413"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49</w:t>
            </w:r>
          </w:p>
        </w:tc>
        <w:tc>
          <w:tcPr>
            <w:tcW w:w="0" w:type="auto"/>
            <w:tcBorders>
              <w:top w:val="nil"/>
              <w:bottom w:val="single" w:sz="4" w:space="0" w:color="000000" w:themeColor="text1"/>
            </w:tcBorders>
            <w:shd w:val="clear" w:color="auto" w:fill="auto"/>
            <w:noWrap/>
          </w:tcPr>
          <w:p w14:paraId="2206B5E2" w14:textId="2A67BF8A"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Paraguay</w:t>
            </w:r>
          </w:p>
        </w:tc>
        <w:tc>
          <w:tcPr>
            <w:tcW w:w="1424" w:type="dxa"/>
            <w:tcBorders>
              <w:top w:val="nil"/>
              <w:bottom w:val="single" w:sz="4" w:space="0" w:color="000000" w:themeColor="text1"/>
            </w:tcBorders>
            <w:shd w:val="clear" w:color="auto" w:fill="auto"/>
            <w:noWrap/>
          </w:tcPr>
          <w:p w14:paraId="767C65AF" w14:textId="692BCE7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0,016</w:t>
            </w:r>
          </w:p>
        </w:tc>
        <w:tc>
          <w:tcPr>
            <w:tcW w:w="0" w:type="auto"/>
            <w:tcBorders>
              <w:top w:val="nil"/>
              <w:bottom w:val="single" w:sz="4" w:space="0" w:color="000000" w:themeColor="text1"/>
            </w:tcBorders>
            <w:shd w:val="clear" w:color="auto" w:fill="auto"/>
            <w:noWrap/>
          </w:tcPr>
          <w:p w14:paraId="1D55DF77" w14:textId="509DD54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0,0196</w:t>
            </w:r>
          </w:p>
        </w:tc>
        <w:tc>
          <w:tcPr>
            <w:tcW w:w="1286" w:type="dxa"/>
            <w:tcBorders>
              <w:top w:val="nil"/>
              <w:bottom w:val="single" w:sz="4" w:space="0" w:color="000000" w:themeColor="text1"/>
            </w:tcBorders>
            <w:shd w:val="clear" w:color="auto" w:fill="auto"/>
            <w:noWrap/>
          </w:tcPr>
          <w:p w14:paraId="026A997F" w14:textId="520BB0E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1 267 </w:t>
            </w:r>
          </w:p>
        </w:tc>
      </w:tr>
      <w:tr w:rsidR="002E42B1" w:rsidRPr="002927A1" w14:paraId="2EBD5E97" w14:textId="77777777" w:rsidTr="00FA5D35">
        <w:tc>
          <w:tcPr>
            <w:tcW w:w="0" w:type="auto"/>
            <w:tcBorders>
              <w:top w:val="nil"/>
              <w:bottom w:val="single" w:sz="4" w:space="0" w:color="000000" w:themeColor="text1"/>
            </w:tcBorders>
            <w:shd w:val="clear" w:color="auto" w:fill="auto"/>
            <w:noWrap/>
          </w:tcPr>
          <w:p w14:paraId="6C47FADE" w14:textId="0D374E6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50</w:t>
            </w:r>
          </w:p>
        </w:tc>
        <w:tc>
          <w:tcPr>
            <w:tcW w:w="0" w:type="auto"/>
            <w:tcBorders>
              <w:top w:val="nil"/>
              <w:bottom w:val="single" w:sz="4" w:space="0" w:color="000000" w:themeColor="text1"/>
            </w:tcBorders>
            <w:shd w:val="clear" w:color="auto" w:fill="auto"/>
            <w:noWrap/>
          </w:tcPr>
          <w:p w14:paraId="20701A73" w14:textId="258F4D6A"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Perú</w:t>
            </w:r>
          </w:p>
        </w:tc>
        <w:tc>
          <w:tcPr>
            <w:tcW w:w="1424" w:type="dxa"/>
            <w:tcBorders>
              <w:top w:val="nil"/>
              <w:bottom w:val="single" w:sz="4" w:space="0" w:color="000000" w:themeColor="text1"/>
            </w:tcBorders>
            <w:shd w:val="clear" w:color="auto" w:fill="auto"/>
            <w:noWrap/>
          </w:tcPr>
          <w:p w14:paraId="07B374BD" w14:textId="0599A2C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0,152</w:t>
            </w:r>
          </w:p>
        </w:tc>
        <w:tc>
          <w:tcPr>
            <w:tcW w:w="0" w:type="auto"/>
            <w:tcBorders>
              <w:top w:val="nil"/>
              <w:bottom w:val="single" w:sz="4" w:space="0" w:color="000000" w:themeColor="text1"/>
            </w:tcBorders>
            <w:shd w:val="clear" w:color="auto" w:fill="auto"/>
            <w:noWrap/>
          </w:tcPr>
          <w:p w14:paraId="0A922AAA" w14:textId="7206091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0,1863</w:t>
            </w:r>
          </w:p>
        </w:tc>
        <w:tc>
          <w:tcPr>
            <w:tcW w:w="1286" w:type="dxa"/>
            <w:tcBorders>
              <w:top w:val="nil"/>
              <w:bottom w:val="single" w:sz="4" w:space="0" w:color="000000" w:themeColor="text1"/>
            </w:tcBorders>
            <w:shd w:val="clear" w:color="auto" w:fill="auto"/>
            <w:noWrap/>
          </w:tcPr>
          <w:p w14:paraId="247B717C" w14:textId="6C970FD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12 038 </w:t>
            </w:r>
          </w:p>
        </w:tc>
      </w:tr>
      <w:tr w:rsidR="002E42B1" w:rsidRPr="002927A1" w14:paraId="753A1505" w14:textId="77777777" w:rsidTr="00FA5D35">
        <w:tc>
          <w:tcPr>
            <w:tcW w:w="0" w:type="auto"/>
            <w:tcBorders>
              <w:top w:val="nil"/>
              <w:bottom w:val="single" w:sz="4" w:space="0" w:color="000000" w:themeColor="text1"/>
            </w:tcBorders>
            <w:shd w:val="clear" w:color="auto" w:fill="auto"/>
            <w:noWrap/>
          </w:tcPr>
          <w:p w14:paraId="31E297B4" w14:textId="1DC83FD5"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51</w:t>
            </w:r>
          </w:p>
        </w:tc>
        <w:tc>
          <w:tcPr>
            <w:tcW w:w="0" w:type="auto"/>
            <w:tcBorders>
              <w:top w:val="nil"/>
              <w:bottom w:val="single" w:sz="4" w:space="0" w:color="000000" w:themeColor="text1"/>
            </w:tcBorders>
            <w:shd w:val="clear" w:color="auto" w:fill="auto"/>
            <w:noWrap/>
          </w:tcPr>
          <w:p w14:paraId="5CE2ADDB" w14:textId="7A489C20"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República Dominicana</w:t>
            </w:r>
          </w:p>
        </w:tc>
        <w:tc>
          <w:tcPr>
            <w:tcW w:w="1424" w:type="dxa"/>
            <w:tcBorders>
              <w:top w:val="nil"/>
              <w:bottom w:val="single" w:sz="4" w:space="0" w:color="000000" w:themeColor="text1"/>
            </w:tcBorders>
            <w:shd w:val="clear" w:color="auto" w:fill="auto"/>
            <w:noWrap/>
          </w:tcPr>
          <w:p w14:paraId="7F347FC0" w14:textId="4E9A67C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0,053</w:t>
            </w:r>
          </w:p>
        </w:tc>
        <w:tc>
          <w:tcPr>
            <w:tcW w:w="0" w:type="auto"/>
            <w:tcBorders>
              <w:top w:val="nil"/>
              <w:bottom w:val="single" w:sz="4" w:space="0" w:color="000000" w:themeColor="text1"/>
            </w:tcBorders>
            <w:shd w:val="clear" w:color="auto" w:fill="auto"/>
            <w:noWrap/>
          </w:tcPr>
          <w:p w14:paraId="1C15D6BF" w14:textId="148CAD7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0,0649</w:t>
            </w:r>
          </w:p>
        </w:tc>
        <w:tc>
          <w:tcPr>
            <w:tcW w:w="1286" w:type="dxa"/>
            <w:tcBorders>
              <w:top w:val="nil"/>
              <w:bottom w:val="single" w:sz="4" w:space="0" w:color="000000" w:themeColor="text1"/>
            </w:tcBorders>
            <w:shd w:val="clear" w:color="auto" w:fill="auto"/>
            <w:noWrap/>
          </w:tcPr>
          <w:p w14:paraId="0CDC29BE" w14:textId="73E6819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4 197 </w:t>
            </w:r>
          </w:p>
        </w:tc>
      </w:tr>
      <w:tr w:rsidR="002E42B1" w:rsidRPr="002927A1" w14:paraId="7F7E5113" w14:textId="77777777" w:rsidTr="00FA5D35">
        <w:tc>
          <w:tcPr>
            <w:tcW w:w="0" w:type="auto"/>
            <w:tcBorders>
              <w:top w:val="nil"/>
              <w:bottom w:val="single" w:sz="4" w:space="0" w:color="000000" w:themeColor="text1"/>
            </w:tcBorders>
            <w:shd w:val="clear" w:color="auto" w:fill="auto"/>
            <w:noWrap/>
          </w:tcPr>
          <w:p w14:paraId="3F973A22" w14:textId="26458381"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52</w:t>
            </w:r>
          </w:p>
        </w:tc>
        <w:tc>
          <w:tcPr>
            <w:tcW w:w="0" w:type="auto"/>
            <w:tcBorders>
              <w:top w:val="nil"/>
              <w:bottom w:val="single" w:sz="4" w:space="0" w:color="000000" w:themeColor="text1"/>
            </w:tcBorders>
            <w:shd w:val="clear" w:color="auto" w:fill="auto"/>
            <w:noWrap/>
          </w:tcPr>
          <w:p w14:paraId="279DFAC0" w14:textId="1600D2D7" w:rsidR="002E42B1" w:rsidRPr="002927A1" w:rsidRDefault="002E42B1" w:rsidP="00CA3D46">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w:t>
            </w:r>
            <w:r w:rsidR="00004DE5" w:rsidRPr="002927A1">
              <w:rPr>
                <w:rFonts w:asciiTheme="majorBidi" w:hAnsiTheme="majorBidi" w:cstheme="majorBidi"/>
                <w:color w:val="000000"/>
                <w:sz w:val="18"/>
                <w:szCs w:val="18"/>
                <w:lang w:eastAsia="zh-CN"/>
              </w:rPr>
              <w:t>a</w:t>
            </w:r>
            <w:r w:rsidR="00CA3D46" w:rsidRPr="002927A1">
              <w:rPr>
                <w:rFonts w:asciiTheme="majorBidi" w:hAnsiTheme="majorBidi" w:cstheme="majorBidi"/>
                <w:color w:val="000000"/>
                <w:sz w:val="18"/>
                <w:szCs w:val="18"/>
                <w:lang w:eastAsia="zh-CN"/>
              </w:rPr>
              <w:t>int</w:t>
            </w:r>
            <w:r w:rsidRPr="002927A1">
              <w:rPr>
                <w:rFonts w:asciiTheme="majorBidi" w:hAnsiTheme="majorBidi" w:cstheme="majorBidi"/>
                <w:color w:val="000000"/>
                <w:sz w:val="18"/>
                <w:szCs w:val="18"/>
                <w:lang w:eastAsia="zh-CN"/>
              </w:rPr>
              <w:t xml:space="preserve"> Kitts y Nevis</w:t>
            </w:r>
          </w:p>
        </w:tc>
        <w:tc>
          <w:tcPr>
            <w:tcW w:w="1424" w:type="dxa"/>
            <w:tcBorders>
              <w:top w:val="nil"/>
              <w:bottom w:val="single" w:sz="4" w:space="0" w:color="000000" w:themeColor="text1"/>
            </w:tcBorders>
            <w:shd w:val="clear" w:color="auto" w:fill="auto"/>
            <w:noWrap/>
          </w:tcPr>
          <w:p w14:paraId="72A96DC4" w14:textId="599C5D9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bottom w:val="single" w:sz="4" w:space="0" w:color="000000" w:themeColor="text1"/>
            </w:tcBorders>
            <w:shd w:val="clear" w:color="auto" w:fill="auto"/>
            <w:noWrap/>
          </w:tcPr>
          <w:p w14:paraId="68E4E61F" w14:textId="5EBFE79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305D1F16" w14:textId="03235A8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24F03B74" w14:textId="77777777" w:rsidTr="00FA5D35">
        <w:tc>
          <w:tcPr>
            <w:tcW w:w="0" w:type="auto"/>
            <w:tcBorders>
              <w:top w:val="nil"/>
              <w:bottom w:val="single" w:sz="4" w:space="0" w:color="000000" w:themeColor="text1"/>
            </w:tcBorders>
            <w:shd w:val="clear" w:color="auto" w:fill="auto"/>
            <w:noWrap/>
          </w:tcPr>
          <w:p w14:paraId="2BF94E0C" w14:textId="53D2BD62"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53</w:t>
            </w:r>
          </w:p>
        </w:tc>
        <w:tc>
          <w:tcPr>
            <w:tcW w:w="0" w:type="auto"/>
            <w:tcBorders>
              <w:top w:val="nil"/>
              <w:bottom w:val="single" w:sz="4" w:space="0" w:color="000000" w:themeColor="text1"/>
            </w:tcBorders>
            <w:shd w:val="clear" w:color="auto" w:fill="auto"/>
            <w:noWrap/>
          </w:tcPr>
          <w:p w14:paraId="1633FDDA" w14:textId="7E53BC82"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Santa Lucía</w:t>
            </w:r>
          </w:p>
        </w:tc>
        <w:tc>
          <w:tcPr>
            <w:tcW w:w="1424" w:type="dxa"/>
            <w:tcBorders>
              <w:top w:val="nil"/>
              <w:bottom w:val="single" w:sz="4" w:space="0" w:color="000000" w:themeColor="text1"/>
            </w:tcBorders>
            <w:shd w:val="clear" w:color="auto" w:fill="auto"/>
            <w:noWrap/>
          </w:tcPr>
          <w:p w14:paraId="639E3F5A" w14:textId="6D73C98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bottom w:val="single" w:sz="4" w:space="0" w:color="000000" w:themeColor="text1"/>
            </w:tcBorders>
            <w:shd w:val="clear" w:color="auto" w:fill="auto"/>
            <w:noWrap/>
          </w:tcPr>
          <w:p w14:paraId="48F15183" w14:textId="0E072C0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6CD0E50E" w14:textId="4430658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2A720DCC" w14:textId="77777777" w:rsidTr="00FA5D35">
        <w:tc>
          <w:tcPr>
            <w:tcW w:w="0" w:type="auto"/>
            <w:tcBorders>
              <w:top w:val="nil"/>
              <w:bottom w:val="single" w:sz="4" w:space="0" w:color="000000" w:themeColor="text1"/>
            </w:tcBorders>
            <w:shd w:val="clear" w:color="auto" w:fill="auto"/>
            <w:noWrap/>
          </w:tcPr>
          <w:p w14:paraId="2F25A43D" w14:textId="56B84A6B"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54</w:t>
            </w:r>
          </w:p>
        </w:tc>
        <w:tc>
          <w:tcPr>
            <w:tcW w:w="0" w:type="auto"/>
            <w:tcBorders>
              <w:top w:val="nil"/>
              <w:bottom w:val="single" w:sz="4" w:space="0" w:color="000000" w:themeColor="text1"/>
            </w:tcBorders>
            <w:shd w:val="clear" w:color="auto" w:fill="auto"/>
            <w:noWrap/>
          </w:tcPr>
          <w:p w14:paraId="521A7C7E" w14:textId="0FB4B2BC"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Suriname</w:t>
            </w:r>
          </w:p>
        </w:tc>
        <w:tc>
          <w:tcPr>
            <w:tcW w:w="1424" w:type="dxa"/>
            <w:tcBorders>
              <w:top w:val="nil"/>
              <w:bottom w:val="single" w:sz="4" w:space="0" w:color="000000" w:themeColor="text1"/>
            </w:tcBorders>
            <w:shd w:val="clear" w:color="auto" w:fill="auto"/>
            <w:noWrap/>
          </w:tcPr>
          <w:p w14:paraId="5D26E0C9" w14:textId="223987F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bottom w:val="single" w:sz="4" w:space="0" w:color="000000" w:themeColor="text1"/>
            </w:tcBorders>
            <w:shd w:val="clear" w:color="auto" w:fill="auto"/>
            <w:noWrap/>
          </w:tcPr>
          <w:p w14:paraId="378A7841" w14:textId="142245B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56342B68" w14:textId="01D8F9F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0627048F" w14:textId="77777777" w:rsidTr="00FA5D35">
        <w:tc>
          <w:tcPr>
            <w:tcW w:w="0" w:type="auto"/>
            <w:tcBorders>
              <w:top w:val="nil"/>
              <w:bottom w:val="single" w:sz="4" w:space="0" w:color="000000" w:themeColor="text1"/>
            </w:tcBorders>
            <w:shd w:val="clear" w:color="auto" w:fill="auto"/>
            <w:noWrap/>
          </w:tcPr>
          <w:p w14:paraId="74881CDA" w14:textId="770BC156"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55</w:t>
            </w:r>
          </w:p>
        </w:tc>
        <w:tc>
          <w:tcPr>
            <w:tcW w:w="0" w:type="auto"/>
            <w:tcBorders>
              <w:top w:val="nil"/>
              <w:bottom w:val="single" w:sz="4" w:space="0" w:color="000000" w:themeColor="text1"/>
            </w:tcBorders>
            <w:shd w:val="clear" w:color="auto" w:fill="auto"/>
            <w:noWrap/>
          </w:tcPr>
          <w:p w14:paraId="24C7DDEB" w14:textId="7BFA179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Uruguay</w:t>
            </w:r>
          </w:p>
        </w:tc>
        <w:tc>
          <w:tcPr>
            <w:tcW w:w="1424" w:type="dxa"/>
            <w:tcBorders>
              <w:top w:val="nil"/>
              <w:bottom w:val="single" w:sz="4" w:space="0" w:color="000000" w:themeColor="text1"/>
            </w:tcBorders>
            <w:shd w:val="clear" w:color="auto" w:fill="auto"/>
            <w:noWrap/>
          </w:tcPr>
          <w:p w14:paraId="22994AA1" w14:textId="4468427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0,087</w:t>
            </w:r>
          </w:p>
        </w:tc>
        <w:tc>
          <w:tcPr>
            <w:tcW w:w="0" w:type="auto"/>
            <w:tcBorders>
              <w:top w:val="nil"/>
              <w:bottom w:val="single" w:sz="4" w:space="0" w:color="000000" w:themeColor="text1"/>
            </w:tcBorders>
            <w:shd w:val="clear" w:color="auto" w:fill="auto"/>
            <w:noWrap/>
          </w:tcPr>
          <w:p w14:paraId="6DD0B630" w14:textId="6ECBBA8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0,1066</w:t>
            </w:r>
          </w:p>
        </w:tc>
        <w:tc>
          <w:tcPr>
            <w:tcW w:w="1286" w:type="dxa"/>
            <w:tcBorders>
              <w:top w:val="nil"/>
              <w:bottom w:val="single" w:sz="4" w:space="0" w:color="000000" w:themeColor="text1"/>
            </w:tcBorders>
            <w:shd w:val="clear" w:color="auto" w:fill="auto"/>
            <w:noWrap/>
          </w:tcPr>
          <w:p w14:paraId="7AEA3603" w14:textId="18C0D12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6 890 </w:t>
            </w:r>
          </w:p>
        </w:tc>
      </w:tr>
      <w:tr w:rsidR="002E42B1" w:rsidRPr="002927A1" w14:paraId="7C9321EB" w14:textId="77777777" w:rsidTr="00FA5D35">
        <w:tc>
          <w:tcPr>
            <w:tcW w:w="0" w:type="auto"/>
            <w:gridSpan w:val="2"/>
            <w:tcBorders>
              <w:top w:val="single" w:sz="4" w:space="0" w:color="000000" w:themeColor="text1"/>
              <w:bottom w:val="single" w:sz="4" w:space="0" w:color="000000" w:themeColor="text1"/>
              <w:right w:val="nil"/>
            </w:tcBorders>
            <w:shd w:val="clear" w:color="auto" w:fill="auto"/>
            <w:noWrap/>
            <w:hideMark/>
          </w:tcPr>
          <w:p w14:paraId="70D02E84" w14:textId="4234B202"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Asia y el Pacífico (27)</w:t>
            </w:r>
          </w:p>
        </w:tc>
        <w:tc>
          <w:tcPr>
            <w:tcW w:w="1424" w:type="dxa"/>
            <w:tcBorders>
              <w:top w:val="single" w:sz="4" w:space="0" w:color="000000" w:themeColor="text1"/>
              <w:left w:val="nil"/>
              <w:bottom w:val="single" w:sz="4" w:space="0" w:color="000000" w:themeColor="text1"/>
              <w:right w:val="nil"/>
            </w:tcBorders>
            <w:shd w:val="clear" w:color="auto" w:fill="auto"/>
            <w:hideMark/>
          </w:tcPr>
          <w:p w14:paraId="7D956AE5"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0" w:type="auto"/>
            <w:tcBorders>
              <w:top w:val="single" w:sz="4" w:space="0" w:color="000000" w:themeColor="text1"/>
              <w:left w:val="nil"/>
              <w:bottom w:val="single" w:sz="4" w:space="0" w:color="000000" w:themeColor="text1"/>
              <w:right w:val="nil"/>
            </w:tcBorders>
            <w:shd w:val="clear" w:color="auto" w:fill="auto"/>
            <w:noWrap/>
            <w:hideMark/>
          </w:tcPr>
          <w:p w14:paraId="6832D796"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1286" w:type="dxa"/>
            <w:tcBorders>
              <w:top w:val="single" w:sz="4" w:space="0" w:color="000000" w:themeColor="text1"/>
              <w:left w:val="nil"/>
              <w:bottom w:val="single" w:sz="4" w:space="0" w:color="000000" w:themeColor="text1"/>
            </w:tcBorders>
            <w:shd w:val="clear" w:color="auto" w:fill="auto"/>
            <w:noWrap/>
            <w:hideMark/>
          </w:tcPr>
          <w:p w14:paraId="01859433" w14:textId="7777777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r>
      <w:tr w:rsidR="002E42B1" w:rsidRPr="002927A1" w14:paraId="344046BE" w14:textId="77777777" w:rsidTr="00FA5D35">
        <w:tc>
          <w:tcPr>
            <w:tcW w:w="0" w:type="auto"/>
            <w:tcBorders>
              <w:top w:val="single" w:sz="4" w:space="0" w:color="000000" w:themeColor="text1"/>
            </w:tcBorders>
            <w:shd w:val="clear" w:color="auto" w:fill="auto"/>
            <w:noWrap/>
          </w:tcPr>
          <w:p w14:paraId="338939D2" w14:textId="0F955EF3"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56</w:t>
            </w:r>
          </w:p>
        </w:tc>
        <w:tc>
          <w:tcPr>
            <w:tcW w:w="0" w:type="auto"/>
            <w:tcBorders>
              <w:top w:val="single" w:sz="4" w:space="0" w:color="000000" w:themeColor="text1"/>
            </w:tcBorders>
            <w:shd w:val="clear" w:color="auto" w:fill="auto"/>
            <w:hideMark/>
          </w:tcPr>
          <w:p w14:paraId="327BFFA3" w14:textId="1DBFF7CC"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Afganistán</w:t>
            </w:r>
          </w:p>
        </w:tc>
        <w:tc>
          <w:tcPr>
            <w:tcW w:w="1424" w:type="dxa"/>
            <w:tcBorders>
              <w:top w:val="single" w:sz="4" w:space="0" w:color="000000" w:themeColor="text1"/>
            </w:tcBorders>
            <w:shd w:val="clear" w:color="auto" w:fill="auto"/>
            <w:noWrap/>
            <w:hideMark/>
          </w:tcPr>
          <w:p w14:paraId="5A0ADB97" w14:textId="4761238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0,007</w:t>
            </w:r>
          </w:p>
        </w:tc>
        <w:tc>
          <w:tcPr>
            <w:tcW w:w="0" w:type="auto"/>
            <w:tcBorders>
              <w:top w:val="single" w:sz="4" w:space="0" w:color="000000" w:themeColor="text1"/>
            </w:tcBorders>
            <w:shd w:val="clear" w:color="auto" w:fill="auto"/>
            <w:noWrap/>
            <w:hideMark/>
          </w:tcPr>
          <w:p w14:paraId="6D9725B7" w14:textId="6D1BDD4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single" w:sz="4" w:space="0" w:color="000000" w:themeColor="text1"/>
            </w:tcBorders>
            <w:shd w:val="clear" w:color="auto" w:fill="auto"/>
            <w:noWrap/>
            <w:hideMark/>
          </w:tcPr>
          <w:p w14:paraId="5A8ED2F7" w14:textId="31CB6EE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8CCB70D" w14:textId="77777777" w:rsidTr="00FA5D35">
        <w:tc>
          <w:tcPr>
            <w:tcW w:w="0" w:type="auto"/>
            <w:tcBorders>
              <w:top w:val="nil"/>
            </w:tcBorders>
            <w:shd w:val="clear" w:color="auto" w:fill="auto"/>
            <w:noWrap/>
          </w:tcPr>
          <w:p w14:paraId="34F011FC" w14:textId="706843E6"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57</w:t>
            </w:r>
          </w:p>
        </w:tc>
        <w:tc>
          <w:tcPr>
            <w:tcW w:w="0" w:type="auto"/>
            <w:tcBorders>
              <w:top w:val="nil"/>
            </w:tcBorders>
            <w:shd w:val="clear" w:color="auto" w:fill="auto"/>
            <w:noWrap/>
          </w:tcPr>
          <w:p w14:paraId="78EEB28E" w14:textId="7ABB296B"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Arabia Saudita</w:t>
            </w:r>
          </w:p>
        </w:tc>
        <w:tc>
          <w:tcPr>
            <w:tcW w:w="1424" w:type="dxa"/>
            <w:tcBorders>
              <w:top w:val="nil"/>
            </w:tcBorders>
            <w:shd w:val="clear" w:color="auto" w:fill="auto"/>
            <w:noWrap/>
          </w:tcPr>
          <w:p w14:paraId="7844F2C2" w14:textId="7930F43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1,172</w:t>
            </w:r>
          </w:p>
        </w:tc>
        <w:tc>
          <w:tcPr>
            <w:tcW w:w="0" w:type="auto"/>
            <w:tcBorders>
              <w:top w:val="nil"/>
            </w:tcBorders>
            <w:shd w:val="clear" w:color="auto" w:fill="auto"/>
            <w:noWrap/>
          </w:tcPr>
          <w:p w14:paraId="08220261" w14:textId="6615D60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1,4361</w:t>
            </w:r>
          </w:p>
        </w:tc>
        <w:tc>
          <w:tcPr>
            <w:tcW w:w="1286" w:type="dxa"/>
            <w:tcBorders>
              <w:top w:val="nil"/>
            </w:tcBorders>
            <w:shd w:val="clear" w:color="auto" w:fill="auto"/>
            <w:noWrap/>
          </w:tcPr>
          <w:p w14:paraId="1BC1E722" w14:textId="6EC14BC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92 818 </w:t>
            </w:r>
          </w:p>
        </w:tc>
      </w:tr>
      <w:tr w:rsidR="002E42B1" w:rsidRPr="002927A1" w14:paraId="4ECFC5C2" w14:textId="77777777" w:rsidTr="00FA5D35">
        <w:tc>
          <w:tcPr>
            <w:tcW w:w="0" w:type="auto"/>
            <w:tcBorders>
              <w:top w:val="nil"/>
            </w:tcBorders>
            <w:shd w:val="clear" w:color="auto" w:fill="auto"/>
            <w:noWrap/>
          </w:tcPr>
          <w:p w14:paraId="20E6A7EA" w14:textId="6B01D486"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58</w:t>
            </w:r>
          </w:p>
        </w:tc>
        <w:tc>
          <w:tcPr>
            <w:tcW w:w="0" w:type="auto"/>
            <w:tcBorders>
              <w:top w:val="nil"/>
            </w:tcBorders>
            <w:shd w:val="clear" w:color="auto" w:fill="auto"/>
            <w:noWrap/>
            <w:hideMark/>
          </w:tcPr>
          <w:p w14:paraId="4BC47B06"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China</w:t>
            </w:r>
          </w:p>
        </w:tc>
        <w:tc>
          <w:tcPr>
            <w:tcW w:w="1424" w:type="dxa"/>
            <w:tcBorders>
              <w:top w:val="nil"/>
            </w:tcBorders>
            <w:shd w:val="clear" w:color="auto" w:fill="auto"/>
            <w:noWrap/>
            <w:hideMark/>
          </w:tcPr>
          <w:p w14:paraId="4BB065CD" w14:textId="17BD2A9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12,005</w:t>
            </w:r>
          </w:p>
        </w:tc>
        <w:tc>
          <w:tcPr>
            <w:tcW w:w="0" w:type="auto"/>
            <w:tcBorders>
              <w:top w:val="nil"/>
            </w:tcBorders>
            <w:shd w:val="clear" w:color="auto" w:fill="auto"/>
            <w:noWrap/>
            <w:hideMark/>
          </w:tcPr>
          <w:p w14:paraId="493E5465" w14:textId="16B3F0F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14,7103</w:t>
            </w:r>
          </w:p>
        </w:tc>
        <w:tc>
          <w:tcPr>
            <w:tcW w:w="1286" w:type="dxa"/>
            <w:tcBorders>
              <w:top w:val="nil"/>
            </w:tcBorders>
            <w:shd w:val="clear" w:color="auto" w:fill="auto"/>
            <w:noWrap/>
            <w:hideMark/>
          </w:tcPr>
          <w:p w14:paraId="7738883F" w14:textId="4855CB6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950 747 </w:t>
            </w:r>
          </w:p>
        </w:tc>
      </w:tr>
      <w:tr w:rsidR="002E42B1" w:rsidRPr="002927A1" w14:paraId="7D82F39E" w14:textId="77777777" w:rsidTr="00FA5D35">
        <w:tc>
          <w:tcPr>
            <w:tcW w:w="0" w:type="auto"/>
            <w:tcBorders>
              <w:top w:val="nil"/>
            </w:tcBorders>
            <w:shd w:val="clear" w:color="auto" w:fill="auto"/>
            <w:noWrap/>
          </w:tcPr>
          <w:p w14:paraId="26E679E8" w14:textId="40431031"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59</w:t>
            </w:r>
          </w:p>
        </w:tc>
        <w:tc>
          <w:tcPr>
            <w:tcW w:w="0" w:type="auto"/>
            <w:tcBorders>
              <w:top w:val="nil"/>
            </w:tcBorders>
            <w:shd w:val="clear" w:color="auto" w:fill="auto"/>
          </w:tcPr>
          <w:p w14:paraId="72DF83FB" w14:textId="7DAC9481"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Emiratos Árabes Unidos</w:t>
            </w:r>
          </w:p>
        </w:tc>
        <w:tc>
          <w:tcPr>
            <w:tcW w:w="1424" w:type="dxa"/>
            <w:tcBorders>
              <w:top w:val="nil"/>
            </w:tcBorders>
            <w:shd w:val="clear" w:color="auto" w:fill="auto"/>
            <w:noWrap/>
          </w:tcPr>
          <w:p w14:paraId="03D73810" w14:textId="60CA0DE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0,616</w:t>
            </w:r>
          </w:p>
        </w:tc>
        <w:tc>
          <w:tcPr>
            <w:tcW w:w="0" w:type="auto"/>
            <w:tcBorders>
              <w:top w:val="nil"/>
            </w:tcBorders>
            <w:shd w:val="clear" w:color="auto" w:fill="auto"/>
            <w:noWrap/>
          </w:tcPr>
          <w:p w14:paraId="728E654C" w14:textId="4284264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0,7548</w:t>
            </w:r>
          </w:p>
        </w:tc>
        <w:tc>
          <w:tcPr>
            <w:tcW w:w="1286" w:type="dxa"/>
            <w:tcBorders>
              <w:top w:val="nil"/>
            </w:tcBorders>
            <w:shd w:val="clear" w:color="auto" w:fill="auto"/>
            <w:noWrap/>
          </w:tcPr>
          <w:p w14:paraId="5BD10A3F" w14:textId="62BCE64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48 785 </w:t>
            </w:r>
          </w:p>
        </w:tc>
      </w:tr>
      <w:tr w:rsidR="002E42B1" w:rsidRPr="002927A1" w14:paraId="17BACD20" w14:textId="77777777" w:rsidTr="00FA5D35">
        <w:tc>
          <w:tcPr>
            <w:tcW w:w="0" w:type="auto"/>
            <w:tcBorders>
              <w:top w:val="nil"/>
            </w:tcBorders>
            <w:shd w:val="clear" w:color="auto" w:fill="auto"/>
            <w:noWrap/>
          </w:tcPr>
          <w:p w14:paraId="23D26694" w14:textId="1BB31A46"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60</w:t>
            </w:r>
          </w:p>
        </w:tc>
        <w:tc>
          <w:tcPr>
            <w:tcW w:w="0" w:type="auto"/>
            <w:tcBorders>
              <w:top w:val="nil"/>
            </w:tcBorders>
            <w:shd w:val="clear" w:color="auto" w:fill="auto"/>
          </w:tcPr>
          <w:p w14:paraId="59B613F4" w14:textId="649A128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Estado de Palestina </w:t>
            </w:r>
          </w:p>
        </w:tc>
        <w:tc>
          <w:tcPr>
            <w:tcW w:w="1424" w:type="dxa"/>
            <w:tcBorders>
              <w:top w:val="nil"/>
            </w:tcBorders>
            <w:shd w:val="clear" w:color="auto" w:fill="auto"/>
            <w:noWrap/>
          </w:tcPr>
          <w:p w14:paraId="39286FD4" w14:textId="05C5BFE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0,008</w:t>
            </w:r>
          </w:p>
        </w:tc>
        <w:tc>
          <w:tcPr>
            <w:tcW w:w="0" w:type="auto"/>
            <w:tcBorders>
              <w:top w:val="nil"/>
            </w:tcBorders>
            <w:shd w:val="clear" w:color="auto" w:fill="auto"/>
            <w:noWrap/>
          </w:tcPr>
          <w:p w14:paraId="5F56D8FA" w14:textId="0E60BCB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21CEDB2B" w14:textId="3035901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0737F071" w14:textId="77777777" w:rsidTr="00FA5D35">
        <w:tc>
          <w:tcPr>
            <w:tcW w:w="0" w:type="auto"/>
            <w:tcBorders>
              <w:top w:val="nil"/>
            </w:tcBorders>
            <w:shd w:val="clear" w:color="auto" w:fill="auto"/>
            <w:noWrap/>
          </w:tcPr>
          <w:p w14:paraId="13E27A79" w14:textId="41039DA9"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61</w:t>
            </w:r>
          </w:p>
        </w:tc>
        <w:tc>
          <w:tcPr>
            <w:tcW w:w="0" w:type="auto"/>
            <w:tcBorders>
              <w:top w:val="nil"/>
            </w:tcBorders>
            <w:shd w:val="clear" w:color="auto" w:fill="auto"/>
            <w:hideMark/>
          </w:tcPr>
          <w:p w14:paraId="72812302"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India</w:t>
            </w:r>
          </w:p>
        </w:tc>
        <w:tc>
          <w:tcPr>
            <w:tcW w:w="1424" w:type="dxa"/>
            <w:tcBorders>
              <w:top w:val="nil"/>
            </w:tcBorders>
            <w:shd w:val="clear" w:color="auto" w:fill="auto"/>
            <w:noWrap/>
            <w:hideMark/>
          </w:tcPr>
          <w:p w14:paraId="5F2906A0" w14:textId="08BE4ED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0,834</w:t>
            </w:r>
          </w:p>
        </w:tc>
        <w:tc>
          <w:tcPr>
            <w:tcW w:w="0" w:type="auto"/>
            <w:tcBorders>
              <w:top w:val="nil"/>
            </w:tcBorders>
            <w:shd w:val="clear" w:color="auto" w:fill="auto"/>
            <w:noWrap/>
            <w:hideMark/>
          </w:tcPr>
          <w:p w14:paraId="43F00E8D" w14:textId="3B977CE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1,0219</w:t>
            </w:r>
          </w:p>
        </w:tc>
        <w:tc>
          <w:tcPr>
            <w:tcW w:w="1286" w:type="dxa"/>
            <w:tcBorders>
              <w:top w:val="nil"/>
            </w:tcBorders>
            <w:shd w:val="clear" w:color="auto" w:fill="auto"/>
            <w:noWrap/>
            <w:hideMark/>
          </w:tcPr>
          <w:p w14:paraId="6B6B1CAC" w14:textId="695CB15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66 049 </w:t>
            </w:r>
          </w:p>
        </w:tc>
      </w:tr>
      <w:tr w:rsidR="002E42B1" w:rsidRPr="002927A1" w14:paraId="06E090B6" w14:textId="77777777" w:rsidTr="00FA5D35">
        <w:tc>
          <w:tcPr>
            <w:tcW w:w="0" w:type="auto"/>
            <w:tcBorders>
              <w:top w:val="nil"/>
            </w:tcBorders>
            <w:shd w:val="clear" w:color="auto" w:fill="auto"/>
            <w:noWrap/>
          </w:tcPr>
          <w:p w14:paraId="080FDF91" w14:textId="42C43902"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62</w:t>
            </w:r>
          </w:p>
        </w:tc>
        <w:tc>
          <w:tcPr>
            <w:tcW w:w="0" w:type="auto"/>
            <w:tcBorders>
              <w:top w:val="nil"/>
            </w:tcBorders>
            <w:shd w:val="clear" w:color="auto" w:fill="auto"/>
            <w:noWrap/>
            <w:hideMark/>
          </w:tcPr>
          <w:p w14:paraId="64008036"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Indonesia</w:t>
            </w:r>
          </w:p>
        </w:tc>
        <w:tc>
          <w:tcPr>
            <w:tcW w:w="1424" w:type="dxa"/>
            <w:tcBorders>
              <w:top w:val="nil"/>
            </w:tcBorders>
            <w:shd w:val="clear" w:color="auto" w:fill="auto"/>
            <w:noWrap/>
            <w:hideMark/>
          </w:tcPr>
          <w:p w14:paraId="02437CD9" w14:textId="598256B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0,543</w:t>
            </w:r>
          </w:p>
        </w:tc>
        <w:tc>
          <w:tcPr>
            <w:tcW w:w="0" w:type="auto"/>
            <w:tcBorders>
              <w:top w:val="nil"/>
            </w:tcBorders>
            <w:shd w:val="clear" w:color="auto" w:fill="auto"/>
            <w:noWrap/>
            <w:hideMark/>
          </w:tcPr>
          <w:p w14:paraId="72195384" w14:textId="13D4AC6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0,6654</w:t>
            </w:r>
          </w:p>
        </w:tc>
        <w:tc>
          <w:tcPr>
            <w:tcW w:w="1286" w:type="dxa"/>
            <w:tcBorders>
              <w:top w:val="nil"/>
            </w:tcBorders>
            <w:shd w:val="clear" w:color="auto" w:fill="auto"/>
            <w:noWrap/>
            <w:hideMark/>
          </w:tcPr>
          <w:p w14:paraId="50A5E21F" w14:textId="389920E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43 003 </w:t>
            </w:r>
          </w:p>
        </w:tc>
      </w:tr>
      <w:tr w:rsidR="002E42B1" w:rsidRPr="002927A1" w14:paraId="40E15AB0" w14:textId="77777777" w:rsidTr="00FA5D35">
        <w:tc>
          <w:tcPr>
            <w:tcW w:w="0" w:type="auto"/>
            <w:tcBorders>
              <w:top w:val="nil"/>
            </w:tcBorders>
            <w:shd w:val="clear" w:color="auto" w:fill="auto"/>
            <w:noWrap/>
          </w:tcPr>
          <w:p w14:paraId="701C5A99" w14:textId="7CCBC8AE"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63</w:t>
            </w:r>
          </w:p>
        </w:tc>
        <w:tc>
          <w:tcPr>
            <w:tcW w:w="0" w:type="auto"/>
            <w:tcBorders>
              <w:top w:val="nil"/>
            </w:tcBorders>
            <w:shd w:val="clear" w:color="auto" w:fill="auto"/>
            <w:hideMark/>
          </w:tcPr>
          <w:p w14:paraId="0ACCA08A" w14:textId="64D27F0C"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Irán (República Islámica del)</w:t>
            </w:r>
          </w:p>
        </w:tc>
        <w:tc>
          <w:tcPr>
            <w:tcW w:w="1424" w:type="dxa"/>
            <w:tcBorders>
              <w:top w:val="nil"/>
            </w:tcBorders>
            <w:shd w:val="clear" w:color="auto" w:fill="auto"/>
            <w:noWrap/>
            <w:hideMark/>
          </w:tcPr>
          <w:p w14:paraId="67377279" w14:textId="375DEAA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0,398</w:t>
            </w:r>
          </w:p>
        </w:tc>
        <w:tc>
          <w:tcPr>
            <w:tcW w:w="0" w:type="auto"/>
            <w:tcBorders>
              <w:top w:val="nil"/>
            </w:tcBorders>
            <w:shd w:val="clear" w:color="auto" w:fill="auto"/>
            <w:noWrap/>
            <w:hideMark/>
          </w:tcPr>
          <w:p w14:paraId="552F6977" w14:textId="213E61F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0,4877</w:t>
            </w:r>
          </w:p>
        </w:tc>
        <w:tc>
          <w:tcPr>
            <w:tcW w:w="1286" w:type="dxa"/>
            <w:tcBorders>
              <w:top w:val="nil"/>
            </w:tcBorders>
            <w:shd w:val="clear" w:color="auto" w:fill="auto"/>
            <w:noWrap/>
            <w:hideMark/>
          </w:tcPr>
          <w:p w14:paraId="16EDEE72" w14:textId="0E87C77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31 520 </w:t>
            </w:r>
          </w:p>
        </w:tc>
      </w:tr>
      <w:tr w:rsidR="002E42B1" w:rsidRPr="002927A1" w14:paraId="44212935" w14:textId="77777777" w:rsidTr="00FA5D35">
        <w:tc>
          <w:tcPr>
            <w:tcW w:w="0" w:type="auto"/>
            <w:tcBorders>
              <w:top w:val="nil"/>
            </w:tcBorders>
            <w:shd w:val="clear" w:color="auto" w:fill="auto"/>
            <w:noWrap/>
          </w:tcPr>
          <w:p w14:paraId="0495FCAF" w14:textId="30DEBBF0"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64</w:t>
            </w:r>
          </w:p>
        </w:tc>
        <w:tc>
          <w:tcPr>
            <w:tcW w:w="0" w:type="auto"/>
            <w:tcBorders>
              <w:top w:val="nil"/>
            </w:tcBorders>
            <w:shd w:val="clear" w:color="auto" w:fill="auto"/>
            <w:noWrap/>
          </w:tcPr>
          <w:p w14:paraId="090B86D7" w14:textId="68895766"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Islas Marshall</w:t>
            </w:r>
          </w:p>
        </w:tc>
        <w:tc>
          <w:tcPr>
            <w:tcW w:w="1424" w:type="dxa"/>
            <w:tcBorders>
              <w:top w:val="nil"/>
            </w:tcBorders>
            <w:shd w:val="clear" w:color="auto" w:fill="auto"/>
            <w:noWrap/>
          </w:tcPr>
          <w:p w14:paraId="1A40A19A" w14:textId="77EAE1D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3C844CF7" w14:textId="08E78DC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3A89662A" w14:textId="3637425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4071E5D1" w14:textId="77777777" w:rsidTr="00FA5D35">
        <w:tc>
          <w:tcPr>
            <w:tcW w:w="0" w:type="auto"/>
            <w:tcBorders>
              <w:top w:val="nil"/>
            </w:tcBorders>
            <w:shd w:val="clear" w:color="auto" w:fill="auto"/>
            <w:noWrap/>
          </w:tcPr>
          <w:p w14:paraId="2060F286" w14:textId="6BDCC26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65</w:t>
            </w:r>
          </w:p>
        </w:tc>
        <w:tc>
          <w:tcPr>
            <w:tcW w:w="0" w:type="auto"/>
            <w:tcBorders>
              <w:top w:val="nil"/>
            </w:tcBorders>
            <w:shd w:val="clear" w:color="auto" w:fill="auto"/>
            <w:noWrap/>
            <w:hideMark/>
          </w:tcPr>
          <w:p w14:paraId="4244B753" w14:textId="70B41CEF"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Japón</w:t>
            </w:r>
          </w:p>
        </w:tc>
        <w:tc>
          <w:tcPr>
            <w:tcW w:w="1424" w:type="dxa"/>
            <w:tcBorders>
              <w:top w:val="nil"/>
            </w:tcBorders>
            <w:shd w:val="clear" w:color="auto" w:fill="auto"/>
            <w:noWrap/>
            <w:hideMark/>
          </w:tcPr>
          <w:p w14:paraId="6139D147" w14:textId="1169EC0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8,564</w:t>
            </w:r>
          </w:p>
        </w:tc>
        <w:tc>
          <w:tcPr>
            <w:tcW w:w="0" w:type="auto"/>
            <w:tcBorders>
              <w:top w:val="nil"/>
            </w:tcBorders>
            <w:shd w:val="clear" w:color="auto" w:fill="auto"/>
            <w:noWrap/>
            <w:hideMark/>
          </w:tcPr>
          <w:p w14:paraId="021E80BD" w14:textId="4A992A4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10,4939</w:t>
            </w:r>
          </w:p>
        </w:tc>
        <w:tc>
          <w:tcPr>
            <w:tcW w:w="1286" w:type="dxa"/>
            <w:tcBorders>
              <w:top w:val="nil"/>
            </w:tcBorders>
            <w:shd w:val="clear" w:color="auto" w:fill="auto"/>
            <w:noWrap/>
            <w:hideMark/>
          </w:tcPr>
          <w:p w14:paraId="673D945F" w14:textId="4268008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678 234 </w:t>
            </w:r>
          </w:p>
        </w:tc>
      </w:tr>
      <w:tr w:rsidR="002E42B1" w:rsidRPr="002927A1" w14:paraId="0671DF27" w14:textId="77777777" w:rsidTr="00FA5D35">
        <w:tc>
          <w:tcPr>
            <w:tcW w:w="0" w:type="auto"/>
            <w:tcBorders>
              <w:top w:val="nil"/>
            </w:tcBorders>
            <w:shd w:val="clear" w:color="auto" w:fill="auto"/>
            <w:noWrap/>
          </w:tcPr>
          <w:p w14:paraId="6C8A6395" w14:textId="0F1B9A14"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66</w:t>
            </w:r>
          </w:p>
        </w:tc>
        <w:tc>
          <w:tcPr>
            <w:tcW w:w="0" w:type="auto"/>
            <w:tcBorders>
              <w:top w:val="nil"/>
            </w:tcBorders>
            <w:shd w:val="clear" w:color="auto" w:fill="auto"/>
            <w:hideMark/>
          </w:tcPr>
          <w:p w14:paraId="141B311C" w14:textId="48C6F755"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Jordania</w:t>
            </w:r>
          </w:p>
        </w:tc>
        <w:tc>
          <w:tcPr>
            <w:tcW w:w="1424" w:type="dxa"/>
            <w:tcBorders>
              <w:top w:val="nil"/>
            </w:tcBorders>
            <w:shd w:val="clear" w:color="auto" w:fill="auto"/>
            <w:noWrap/>
            <w:hideMark/>
          </w:tcPr>
          <w:p w14:paraId="7237BAE3" w14:textId="5398018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0,021</w:t>
            </w:r>
          </w:p>
        </w:tc>
        <w:tc>
          <w:tcPr>
            <w:tcW w:w="0" w:type="auto"/>
            <w:tcBorders>
              <w:top w:val="nil"/>
            </w:tcBorders>
            <w:shd w:val="clear" w:color="auto" w:fill="auto"/>
            <w:noWrap/>
            <w:hideMark/>
          </w:tcPr>
          <w:p w14:paraId="5F098DC0" w14:textId="084F6FA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0,0257</w:t>
            </w:r>
          </w:p>
        </w:tc>
        <w:tc>
          <w:tcPr>
            <w:tcW w:w="1286" w:type="dxa"/>
            <w:tcBorders>
              <w:top w:val="nil"/>
            </w:tcBorders>
            <w:shd w:val="clear" w:color="auto" w:fill="auto"/>
            <w:noWrap/>
            <w:hideMark/>
          </w:tcPr>
          <w:p w14:paraId="0C8FDF30" w14:textId="36187FB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1 663 </w:t>
            </w:r>
          </w:p>
        </w:tc>
      </w:tr>
      <w:tr w:rsidR="002E42B1" w:rsidRPr="002927A1" w14:paraId="0D76FC07" w14:textId="77777777" w:rsidTr="00FA5D35">
        <w:tc>
          <w:tcPr>
            <w:tcW w:w="0" w:type="auto"/>
            <w:tcBorders>
              <w:top w:val="nil"/>
            </w:tcBorders>
            <w:shd w:val="clear" w:color="auto" w:fill="auto"/>
            <w:noWrap/>
          </w:tcPr>
          <w:p w14:paraId="598A7CCF" w14:textId="30F2BA06"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67</w:t>
            </w:r>
          </w:p>
        </w:tc>
        <w:tc>
          <w:tcPr>
            <w:tcW w:w="0" w:type="auto"/>
            <w:tcBorders>
              <w:top w:val="nil"/>
            </w:tcBorders>
            <w:shd w:val="clear" w:color="auto" w:fill="auto"/>
            <w:noWrap/>
            <w:hideMark/>
          </w:tcPr>
          <w:p w14:paraId="30E30065"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Kiribati</w:t>
            </w:r>
          </w:p>
        </w:tc>
        <w:tc>
          <w:tcPr>
            <w:tcW w:w="1424" w:type="dxa"/>
            <w:tcBorders>
              <w:top w:val="nil"/>
            </w:tcBorders>
            <w:shd w:val="clear" w:color="auto" w:fill="auto"/>
            <w:noWrap/>
            <w:hideMark/>
          </w:tcPr>
          <w:p w14:paraId="0F92EB73" w14:textId="59E725D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125F5C91" w14:textId="322C721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6F6EEC95" w14:textId="6E3B2D5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59CF403E" w14:textId="77777777" w:rsidTr="00FA5D35">
        <w:tc>
          <w:tcPr>
            <w:tcW w:w="0" w:type="auto"/>
            <w:tcBorders>
              <w:top w:val="nil"/>
            </w:tcBorders>
            <w:shd w:val="clear" w:color="auto" w:fill="auto"/>
            <w:noWrap/>
          </w:tcPr>
          <w:p w14:paraId="07F3016D" w14:textId="6AD739F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68</w:t>
            </w:r>
          </w:p>
        </w:tc>
        <w:tc>
          <w:tcPr>
            <w:tcW w:w="0" w:type="auto"/>
            <w:tcBorders>
              <w:top w:val="nil"/>
            </w:tcBorders>
            <w:shd w:val="clear" w:color="auto" w:fill="auto"/>
            <w:noWrap/>
            <w:hideMark/>
          </w:tcPr>
          <w:p w14:paraId="108A560B"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Kuwait</w:t>
            </w:r>
          </w:p>
        </w:tc>
        <w:tc>
          <w:tcPr>
            <w:tcW w:w="1424" w:type="dxa"/>
            <w:tcBorders>
              <w:top w:val="nil"/>
            </w:tcBorders>
            <w:shd w:val="clear" w:color="auto" w:fill="auto"/>
            <w:noWrap/>
            <w:hideMark/>
          </w:tcPr>
          <w:p w14:paraId="26139440" w14:textId="139E4EE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0,252</w:t>
            </w:r>
          </w:p>
        </w:tc>
        <w:tc>
          <w:tcPr>
            <w:tcW w:w="0" w:type="auto"/>
            <w:tcBorders>
              <w:top w:val="nil"/>
            </w:tcBorders>
            <w:shd w:val="clear" w:color="auto" w:fill="auto"/>
            <w:noWrap/>
            <w:hideMark/>
          </w:tcPr>
          <w:p w14:paraId="582B3430" w14:textId="7691F7E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0,3088</w:t>
            </w:r>
          </w:p>
        </w:tc>
        <w:tc>
          <w:tcPr>
            <w:tcW w:w="1286" w:type="dxa"/>
            <w:tcBorders>
              <w:top w:val="nil"/>
            </w:tcBorders>
            <w:shd w:val="clear" w:color="auto" w:fill="auto"/>
            <w:noWrap/>
            <w:hideMark/>
          </w:tcPr>
          <w:p w14:paraId="0C7E0695" w14:textId="7E948CB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19 957 </w:t>
            </w:r>
          </w:p>
        </w:tc>
      </w:tr>
      <w:tr w:rsidR="002E42B1" w:rsidRPr="002927A1" w14:paraId="770438A1" w14:textId="77777777" w:rsidTr="00FA5D35">
        <w:tc>
          <w:tcPr>
            <w:tcW w:w="0" w:type="auto"/>
            <w:tcBorders>
              <w:top w:val="nil"/>
            </w:tcBorders>
            <w:shd w:val="clear" w:color="auto" w:fill="auto"/>
            <w:noWrap/>
          </w:tcPr>
          <w:p w14:paraId="4010ED85" w14:textId="5DD7A500"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69</w:t>
            </w:r>
          </w:p>
        </w:tc>
        <w:tc>
          <w:tcPr>
            <w:tcW w:w="0" w:type="auto"/>
            <w:tcBorders>
              <w:top w:val="nil"/>
            </w:tcBorders>
            <w:shd w:val="clear" w:color="auto" w:fill="auto"/>
            <w:noWrap/>
          </w:tcPr>
          <w:p w14:paraId="6474DF35" w14:textId="3CB078D2"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Líbano</w:t>
            </w:r>
          </w:p>
        </w:tc>
        <w:tc>
          <w:tcPr>
            <w:tcW w:w="1424" w:type="dxa"/>
            <w:tcBorders>
              <w:top w:val="nil"/>
            </w:tcBorders>
            <w:shd w:val="clear" w:color="auto" w:fill="auto"/>
            <w:noWrap/>
          </w:tcPr>
          <w:p w14:paraId="72A3D090" w14:textId="5917DB9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0,047</w:t>
            </w:r>
          </w:p>
        </w:tc>
        <w:tc>
          <w:tcPr>
            <w:tcW w:w="0" w:type="auto"/>
            <w:tcBorders>
              <w:top w:val="nil"/>
            </w:tcBorders>
            <w:shd w:val="clear" w:color="auto" w:fill="auto"/>
            <w:noWrap/>
          </w:tcPr>
          <w:p w14:paraId="11851C20" w14:textId="03501EC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0,0576</w:t>
            </w:r>
          </w:p>
        </w:tc>
        <w:tc>
          <w:tcPr>
            <w:tcW w:w="1286" w:type="dxa"/>
            <w:tcBorders>
              <w:top w:val="nil"/>
            </w:tcBorders>
            <w:shd w:val="clear" w:color="auto" w:fill="auto"/>
            <w:noWrap/>
          </w:tcPr>
          <w:p w14:paraId="3A94BC2F" w14:textId="33B87EF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3 722 </w:t>
            </w:r>
          </w:p>
        </w:tc>
      </w:tr>
      <w:tr w:rsidR="002E42B1" w:rsidRPr="002927A1" w14:paraId="72F31A84" w14:textId="77777777" w:rsidTr="00FA5D35">
        <w:tc>
          <w:tcPr>
            <w:tcW w:w="0" w:type="auto"/>
            <w:tcBorders>
              <w:top w:val="nil"/>
            </w:tcBorders>
            <w:shd w:val="clear" w:color="auto" w:fill="auto"/>
            <w:noWrap/>
          </w:tcPr>
          <w:p w14:paraId="7EE07A9D" w14:textId="34E1DCF9"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70</w:t>
            </w:r>
          </w:p>
        </w:tc>
        <w:tc>
          <w:tcPr>
            <w:tcW w:w="0" w:type="auto"/>
            <w:tcBorders>
              <w:top w:val="nil"/>
            </w:tcBorders>
            <w:shd w:val="clear" w:color="auto" w:fill="auto"/>
            <w:noWrap/>
          </w:tcPr>
          <w:p w14:paraId="04CCCF0D" w14:textId="2A78B165"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Mongolia</w:t>
            </w:r>
          </w:p>
        </w:tc>
        <w:tc>
          <w:tcPr>
            <w:tcW w:w="1424" w:type="dxa"/>
            <w:tcBorders>
              <w:top w:val="nil"/>
            </w:tcBorders>
            <w:shd w:val="clear" w:color="auto" w:fill="auto"/>
            <w:noWrap/>
          </w:tcPr>
          <w:p w14:paraId="402FDC7F" w14:textId="733A300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tcBorders>
            <w:shd w:val="clear" w:color="auto" w:fill="auto"/>
            <w:noWrap/>
          </w:tcPr>
          <w:p w14:paraId="072AC583" w14:textId="1A52640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0EE7F01C" w14:textId="65D50DF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26E040E8" w14:textId="77777777" w:rsidTr="00FA5D35">
        <w:tc>
          <w:tcPr>
            <w:tcW w:w="0" w:type="auto"/>
            <w:tcBorders>
              <w:top w:val="nil"/>
            </w:tcBorders>
            <w:shd w:val="clear" w:color="auto" w:fill="auto"/>
            <w:noWrap/>
          </w:tcPr>
          <w:p w14:paraId="734D2A91" w14:textId="57E70C7B"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71</w:t>
            </w:r>
          </w:p>
        </w:tc>
        <w:tc>
          <w:tcPr>
            <w:tcW w:w="0" w:type="auto"/>
            <w:tcBorders>
              <w:top w:val="nil"/>
            </w:tcBorders>
            <w:shd w:val="clear" w:color="auto" w:fill="auto"/>
            <w:noWrap/>
          </w:tcPr>
          <w:p w14:paraId="7266FD2D" w14:textId="399A743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Palau</w:t>
            </w:r>
          </w:p>
        </w:tc>
        <w:tc>
          <w:tcPr>
            <w:tcW w:w="1424" w:type="dxa"/>
            <w:tcBorders>
              <w:top w:val="nil"/>
            </w:tcBorders>
            <w:shd w:val="clear" w:color="auto" w:fill="auto"/>
            <w:noWrap/>
          </w:tcPr>
          <w:p w14:paraId="740B94F7" w14:textId="756990A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7B5EBE0A" w14:textId="6DDEA69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7CAD7EA3" w14:textId="11A8CB2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6F135C67" w14:textId="77777777" w:rsidTr="00FA5D35">
        <w:tc>
          <w:tcPr>
            <w:tcW w:w="0" w:type="auto"/>
            <w:tcBorders>
              <w:top w:val="nil"/>
            </w:tcBorders>
            <w:shd w:val="clear" w:color="auto" w:fill="auto"/>
            <w:noWrap/>
          </w:tcPr>
          <w:p w14:paraId="0426CA58" w14:textId="55D6A439"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72</w:t>
            </w:r>
          </w:p>
        </w:tc>
        <w:tc>
          <w:tcPr>
            <w:tcW w:w="0" w:type="auto"/>
            <w:tcBorders>
              <w:top w:val="nil"/>
            </w:tcBorders>
            <w:shd w:val="clear" w:color="auto" w:fill="auto"/>
            <w:noWrap/>
          </w:tcPr>
          <w:p w14:paraId="5F2D3F13" w14:textId="08153543"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República Árabe Siria</w:t>
            </w:r>
          </w:p>
        </w:tc>
        <w:tc>
          <w:tcPr>
            <w:tcW w:w="1424" w:type="dxa"/>
            <w:tcBorders>
              <w:top w:val="nil"/>
            </w:tcBorders>
            <w:shd w:val="clear" w:color="auto" w:fill="auto"/>
            <w:noWrap/>
          </w:tcPr>
          <w:p w14:paraId="65D9A314" w14:textId="30A9111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w:t>
            </w:r>
          </w:p>
        </w:tc>
        <w:tc>
          <w:tcPr>
            <w:tcW w:w="0" w:type="auto"/>
            <w:tcBorders>
              <w:top w:val="nil"/>
            </w:tcBorders>
            <w:shd w:val="clear" w:color="auto" w:fill="auto"/>
            <w:noWrap/>
          </w:tcPr>
          <w:p w14:paraId="695214AC" w14:textId="6101CA0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0,0135</w:t>
            </w:r>
          </w:p>
        </w:tc>
        <w:tc>
          <w:tcPr>
            <w:tcW w:w="1286" w:type="dxa"/>
            <w:tcBorders>
              <w:top w:val="nil"/>
            </w:tcBorders>
            <w:shd w:val="clear" w:color="auto" w:fill="auto"/>
            <w:noWrap/>
          </w:tcPr>
          <w:p w14:paraId="0CF00598" w14:textId="1CB0D94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871 </w:t>
            </w:r>
          </w:p>
        </w:tc>
      </w:tr>
      <w:tr w:rsidR="002E42B1" w:rsidRPr="002927A1" w14:paraId="1B644672" w14:textId="77777777" w:rsidTr="00FA5D35">
        <w:tc>
          <w:tcPr>
            <w:tcW w:w="0" w:type="auto"/>
            <w:tcBorders>
              <w:top w:val="nil"/>
            </w:tcBorders>
            <w:shd w:val="clear" w:color="auto" w:fill="auto"/>
            <w:noWrap/>
          </w:tcPr>
          <w:p w14:paraId="54CCC07F" w14:textId="6928330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73</w:t>
            </w:r>
          </w:p>
        </w:tc>
        <w:tc>
          <w:tcPr>
            <w:tcW w:w="0" w:type="auto"/>
            <w:tcBorders>
              <w:top w:val="nil"/>
            </w:tcBorders>
            <w:shd w:val="clear" w:color="auto" w:fill="auto"/>
            <w:noWrap/>
          </w:tcPr>
          <w:p w14:paraId="4E01A353" w14:textId="58F2C820"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República de Corea </w:t>
            </w:r>
          </w:p>
        </w:tc>
        <w:tc>
          <w:tcPr>
            <w:tcW w:w="1424" w:type="dxa"/>
            <w:tcBorders>
              <w:top w:val="nil"/>
            </w:tcBorders>
            <w:shd w:val="clear" w:color="auto" w:fill="auto"/>
            <w:noWrap/>
          </w:tcPr>
          <w:p w14:paraId="2FE3832A" w14:textId="74F44F7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2,267</w:t>
            </w:r>
          </w:p>
        </w:tc>
        <w:tc>
          <w:tcPr>
            <w:tcW w:w="0" w:type="auto"/>
            <w:tcBorders>
              <w:top w:val="nil"/>
            </w:tcBorders>
            <w:shd w:val="clear" w:color="auto" w:fill="auto"/>
            <w:noWrap/>
          </w:tcPr>
          <w:p w14:paraId="462BBE32" w14:textId="5B9A536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2,7779</w:t>
            </w:r>
          </w:p>
        </w:tc>
        <w:tc>
          <w:tcPr>
            <w:tcW w:w="1286" w:type="dxa"/>
            <w:tcBorders>
              <w:top w:val="nil"/>
            </w:tcBorders>
            <w:shd w:val="clear" w:color="auto" w:fill="auto"/>
            <w:noWrap/>
          </w:tcPr>
          <w:p w14:paraId="172C5923" w14:textId="4A7EDDA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179 537 </w:t>
            </w:r>
          </w:p>
        </w:tc>
      </w:tr>
      <w:tr w:rsidR="002E42B1" w:rsidRPr="002927A1" w14:paraId="0F679AB1" w14:textId="77777777" w:rsidTr="00FA5D35">
        <w:tc>
          <w:tcPr>
            <w:tcW w:w="0" w:type="auto"/>
            <w:tcBorders>
              <w:top w:val="nil"/>
            </w:tcBorders>
            <w:shd w:val="clear" w:color="auto" w:fill="auto"/>
            <w:noWrap/>
          </w:tcPr>
          <w:p w14:paraId="70EF35C3" w14:textId="463A93D2"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74</w:t>
            </w:r>
          </w:p>
        </w:tc>
        <w:tc>
          <w:tcPr>
            <w:tcW w:w="0" w:type="auto"/>
            <w:tcBorders>
              <w:top w:val="nil"/>
            </w:tcBorders>
            <w:shd w:val="clear" w:color="auto" w:fill="auto"/>
            <w:noWrap/>
          </w:tcPr>
          <w:p w14:paraId="23EE7C71" w14:textId="448AE834"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República Popular Democrática Lao</w:t>
            </w:r>
          </w:p>
        </w:tc>
        <w:tc>
          <w:tcPr>
            <w:tcW w:w="1424" w:type="dxa"/>
            <w:tcBorders>
              <w:top w:val="nil"/>
            </w:tcBorders>
            <w:shd w:val="clear" w:color="auto" w:fill="auto"/>
            <w:noWrap/>
          </w:tcPr>
          <w:p w14:paraId="0F28C59C" w14:textId="1FFAD9D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tcBorders>
            <w:shd w:val="clear" w:color="auto" w:fill="auto"/>
            <w:noWrap/>
          </w:tcPr>
          <w:p w14:paraId="2A319AE2" w14:textId="7584343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4C0FA632" w14:textId="6BD33E4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A2AFE2B" w14:textId="77777777" w:rsidTr="00FA5D35">
        <w:tc>
          <w:tcPr>
            <w:tcW w:w="0" w:type="auto"/>
            <w:tcBorders>
              <w:top w:val="nil"/>
            </w:tcBorders>
            <w:shd w:val="clear" w:color="auto" w:fill="auto"/>
            <w:noWrap/>
          </w:tcPr>
          <w:p w14:paraId="7CE4D9A1" w14:textId="5045B7EE"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75</w:t>
            </w:r>
          </w:p>
        </w:tc>
        <w:tc>
          <w:tcPr>
            <w:tcW w:w="0" w:type="auto"/>
            <w:tcBorders>
              <w:top w:val="nil"/>
            </w:tcBorders>
            <w:shd w:val="clear" w:color="auto" w:fill="auto"/>
            <w:noWrap/>
          </w:tcPr>
          <w:p w14:paraId="727DFA55" w14:textId="61FBEB40"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Samoa</w:t>
            </w:r>
          </w:p>
        </w:tc>
        <w:tc>
          <w:tcPr>
            <w:tcW w:w="1424" w:type="dxa"/>
            <w:tcBorders>
              <w:top w:val="nil"/>
            </w:tcBorders>
            <w:shd w:val="clear" w:color="auto" w:fill="auto"/>
            <w:noWrap/>
          </w:tcPr>
          <w:p w14:paraId="65F99107" w14:textId="187CD31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323DA704" w14:textId="07BACED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023D0665" w14:textId="249E759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67A6AE3B" w14:textId="77777777" w:rsidTr="00FA5D35">
        <w:tc>
          <w:tcPr>
            <w:tcW w:w="0" w:type="auto"/>
            <w:tcBorders>
              <w:top w:val="nil"/>
            </w:tcBorders>
            <w:shd w:val="clear" w:color="auto" w:fill="auto"/>
            <w:noWrap/>
          </w:tcPr>
          <w:p w14:paraId="7CEC1B19" w14:textId="1DADFABB"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76</w:t>
            </w:r>
          </w:p>
        </w:tc>
        <w:tc>
          <w:tcPr>
            <w:tcW w:w="0" w:type="auto"/>
            <w:tcBorders>
              <w:top w:val="nil"/>
            </w:tcBorders>
            <w:shd w:val="clear" w:color="auto" w:fill="auto"/>
            <w:noWrap/>
          </w:tcPr>
          <w:p w14:paraId="08D87796" w14:textId="7A1A3B6A"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Singapur</w:t>
            </w:r>
          </w:p>
        </w:tc>
        <w:tc>
          <w:tcPr>
            <w:tcW w:w="1424" w:type="dxa"/>
            <w:tcBorders>
              <w:top w:val="nil"/>
            </w:tcBorders>
            <w:shd w:val="clear" w:color="auto" w:fill="auto"/>
            <w:noWrap/>
          </w:tcPr>
          <w:p w14:paraId="73705F60" w14:textId="5B6650A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0,485</w:t>
            </w:r>
          </w:p>
        </w:tc>
        <w:tc>
          <w:tcPr>
            <w:tcW w:w="0" w:type="auto"/>
            <w:tcBorders>
              <w:top w:val="nil"/>
            </w:tcBorders>
            <w:shd w:val="clear" w:color="auto" w:fill="auto"/>
            <w:noWrap/>
          </w:tcPr>
          <w:p w14:paraId="3907D452" w14:textId="7F3146A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0,5943</w:t>
            </w:r>
          </w:p>
        </w:tc>
        <w:tc>
          <w:tcPr>
            <w:tcW w:w="1286" w:type="dxa"/>
            <w:tcBorders>
              <w:top w:val="nil"/>
            </w:tcBorders>
            <w:shd w:val="clear" w:color="auto" w:fill="auto"/>
            <w:noWrap/>
          </w:tcPr>
          <w:p w14:paraId="7C691DBC" w14:textId="2071282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38 410 </w:t>
            </w:r>
          </w:p>
        </w:tc>
      </w:tr>
      <w:tr w:rsidR="002E42B1" w:rsidRPr="002927A1" w14:paraId="3CA495A1" w14:textId="77777777" w:rsidTr="00FA5D35">
        <w:tc>
          <w:tcPr>
            <w:tcW w:w="0" w:type="auto"/>
            <w:tcBorders>
              <w:top w:val="nil"/>
            </w:tcBorders>
            <w:shd w:val="clear" w:color="auto" w:fill="auto"/>
            <w:noWrap/>
          </w:tcPr>
          <w:p w14:paraId="0076EDDF" w14:textId="3678A689"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77</w:t>
            </w:r>
          </w:p>
        </w:tc>
        <w:tc>
          <w:tcPr>
            <w:tcW w:w="0" w:type="auto"/>
            <w:tcBorders>
              <w:top w:val="nil"/>
            </w:tcBorders>
            <w:shd w:val="clear" w:color="auto" w:fill="auto"/>
            <w:noWrap/>
          </w:tcPr>
          <w:p w14:paraId="6D902EB8" w14:textId="301F0B35"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Sri Lanka</w:t>
            </w:r>
          </w:p>
        </w:tc>
        <w:tc>
          <w:tcPr>
            <w:tcW w:w="1424" w:type="dxa"/>
            <w:tcBorders>
              <w:top w:val="nil"/>
            </w:tcBorders>
            <w:shd w:val="clear" w:color="auto" w:fill="auto"/>
            <w:noWrap/>
          </w:tcPr>
          <w:p w14:paraId="4F5D3737" w14:textId="31FDC75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0,044</w:t>
            </w:r>
          </w:p>
        </w:tc>
        <w:tc>
          <w:tcPr>
            <w:tcW w:w="0" w:type="auto"/>
            <w:tcBorders>
              <w:top w:val="nil"/>
            </w:tcBorders>
            <w:shd w:val="clear" w:color="auto" w:fill="auto"/>
            <w:noWrap/>
          </w:tcPr>
          <w:p w14:paraId="461C0D6D" w14:textId="6FD4712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0,0539</w:t>
            </w:r>
          </w:p>
        </w:tc>
        <w:tc>
          <w:tcPr>
            <w:tcW w:w="1286" w:type="dxa"/>
            <w:tcBorders>
              <w:top w:val="nil"/>
            </w:tcBorders>
            <w:shd w:val="clear" w:color="auto" w:fill="auto"/>
            <w:noWrap/>
          </w:tcPr>
          <w:p w14:paraId="3D3BDD46" w14:textId="4406A3C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3 485 </w:t>
            </w:r>
          </w:p>
        </w:tc>
      </w:tr>
      <w:tr w:rsidR="002E42B1" w:rsidRPr="002927A1" w14:paraId="5475290D" w14:textId="77777777" w:rsidTr="00FA5D35">
        <w:tc>
          <w:tcPr>
            <w:tcW w:w="0" w:type="auto"/>
            <w:tcBorders>
              <w:top w:val="nil"/>
            </w:tcBorders>
            <w:shd w:val="clear" w:color="auto" w:fill="auto"/>
            <w:noWrap/>
          </w:tcPr>
          <w:p w14:paraId="110D1B1B" w14:textId="4D999E00"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78</w:t>
            </w:r>
          </w:p>
        </w:tc>
        <w:tc>
          <w:tcPr>
            <w:tcW w:w="0" w:type="auto"/>
            <w:tcBorders>
              <w:top w:val="nil"/>
            </w:tcBorders>
            <w:shd w:val="clear" w:color="auto" w:fill="auto"/>
            <w:noWrap/>
          </w:tcPr>
          <w:p w14:paraId="3ED59793" w14:textId="3BE89B2B"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Tailandia</w:t>
            </w:r>
          </w:p>
        </w:tc>
        <w:tc>
          <w:tcPr>
            <w:tcW w:w="1424" w:type="dxa"/>
            <w:tcBorders>
              <w:top w:val="nil"/>
            </w:tcBorders>
            <w:shd w:val="clear" w:color="auto" w:fill="auto"/>
            <w:noWrap/>
          </w:tcPr>
          <w:p w14:paraId="2324C828" w14:textId="659589D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0,307</w:t>
            </w:r>
          </w:p>
        </w:tc>
        <w:tc>
          <w:tcPr>
            <w:tcW w:w="0" w:type="auto"/>
            <w:tcBorders>
              <w:top w:val="nil"/>
            </w:tcBorders>
            <w:shd w:val="clear" w:color="auto" w:fill="auto"/>
            <w:noWrap/>
          </w:tcPr>
          <w:p w14:paraId="551F73A2" w14:textId="34D54F4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0,3762</w:t>
            </w:r>
          </w:p>
        </w:tc>
        <w:tc>
          <w:tcPr>
            <w:tcW w:w="1286" w:type="dxa"/>
            <w:tcBorders>
              <w:top w:val="nil"/>
            </w:tcBorders>
            <w:shd w:val="clear" w:color="auto" w:fill="auto"/>
            <w:noWrap/>
          </w:tcPr>
          <w:p w14:paraId="32A3E42C" w14:textId="764E1DC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24 313 </w:t>
            </w:r>
          </w:p>
        </w:tc>
      </w:tr>
      <w:tr w:rsidR="002E42B1" w:rsidRPr="002927A1" w14:paraId="7F810E89" w14:textId="77777777" w:rsidTr="00FA5D35">
        <w:tc>
          <w:tcPr>
            <w:tcW w:w="0" w:type="auto"/>
            <w:tcBorders>
              <w:top w:val="nil"/>
            </w:tcBorders>
            <w:shd w:val="clear" w:color="auto" w:fill="auto"/>
            <w:noWrap/>
          </w:tcPr>
          <w:p w14:paraId="2DB4B2FD" w14:textId="194F43BD"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79</w:t>
            </w:r>
          </w:p>
        </w:tc>
        <w:tc>
          <w:tcPr>
            <w:tcW w:w="0" w:type="auto"/>
            <w:tcBorders>
              <w:top w:val="nil"/>
            </w:tcBorders>
            <w:shd w:val="clear" w:color="auto" w:fill="auto"/>
            <w:noWrap/>
          </w:tcPr>
          <w:p w14:paraId="08435088" w14:textId="2DD9E2E4"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Tonga</w:t>
            </w:r>
          </w:p>
        </w:tc>
        <w:tc>
          <w:tcPr>
            <w:tcW w:w="1424" w:type="dxa"/>
            <w:tcBorders>
              <w:top w:val="nil"/>
            </w:tcBorders>
            <w:shd w:val="clear" w:color="auto" w:fill="auto"/>
            <w:noWrap/>
          </w:tcPr>
          <w:p w14:paraId="197522DD" w14:textId="1AE21F4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3DC72744" w14:textId="6FD656C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1C3A3146" w14:textId="0CCB2F4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4E3B3103" w14:textId="77777777" w:rsidTr="00FA5D35">
        <w:tc>
          <w:tcPr>
            <w:tcW w:w="0" w:type="auto"/>
            <w:tcBorders>
              <w:top w:val="nil"/>
            </w:tcBorders>
            <w:shd w:val="clear" w:color="auto" w:fill="auto"/>
            <w:noWrap/>
          </w:tcPr>
          <w:p w14:paraId="4D2C7A6E" w14:textId="10E6660E"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80</w:t>
            </w:r>
          </w:p>
        </w:tc>
        <w:tc>
          <w:tcPr>
            <w:tcW w:w="0" w:type="auto"/>
            <w:tcBorders>
              <w:top w:val="nil"/>
            </w:tcBorders>
            <w:shd w:val="clear" w:color="auto" w:fill="auto"/>
            <w:noWrap/>
          </w:tcPr>
          <w:p w14:paraId="3E619A63" w14:textId="69E0EEA3"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Tuvalu</w:t>
            </w:r>
          </w:p>
        </w:tc>
        <w:tc>
          <w:tcPr>
            <w:tcW w:w="1424" w:type="dxa"/>
            <w:tcBorders>
              <w:top w:val="nil"/>
            </w:tcBorders>
            <w:shd w:val="clear" w:color="auto" w:fill="auto"/>
            <w:noWrap/>
          </w:tcPr>
          <w:p w14:paraId="416CAC4B" w14:textId="752FC01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011A9B68" w14:textId="43EA6E7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74C8964E" w14:textId="139C487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33EF630" w14:textId="77777777" w:rsidTr="00FA5D35">
        <w:tc>
          <w:tcPr>
            <w:tcW w:w="0" w:type="auto"/>
            <w:tcBorders>
              <w:top w:val="nil"/>
            </w:tcBorders>
            <w:shd w:val="clear" w:color="auto" w:fill="auto"/>
            <w:noWrap/>
          </w:tcPr>
          <w:p w14:paraId="1517A23F" w14:textId="71E5E9FF"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lastRenderedPageBreak/>
              <w:t>81</w:t>
            </w:r>
          </w:p>
        </w:tc>
        <w:tc>
          <w:tcPr>
            <w:tcW w:w="0" w:type="auto"/>
            <w:tcBorders>
              <w:top w:val="nil"/>
            </w:tcBorders>
            <w:shd w:val="clear" w:color="auto" w:fill="auto"/>
            <w:noWrap/>
          </w:tcPr>
          <w:p w14:paraId="46B803C2" w14:textId="61CC2E0D"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Vanuatu</w:t>
            </w:r>
          </w:p>
        </w:tc>
        <w:tc>
          <w:tcPr>
            <w:tcW w:w="1424" w:type="dxa"/>
            <w:tcBorders>
              <w:top w:val="nil"/>
            </w:tcBorders>
            <w:shd w:val="clear" w:color="auto" w:fill="auto"/>
            <w:noWrap/>
          </w:tcPr>
          <w:p w14:paraId="1C74FE26" w14:textId="710F9E5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4F46B505" w14:textId="7F3B100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669B6A04" w14:textId="17E1D57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70470F1" w14:textId="77777777" w:rsidTr="00FA5D35">
        <w:tc>
          <w:tcPr>
            <w:tcW w:w="0" w:type="auto"/>
            <w:tcBorders>
              <w:top w:val="nil"/>
            </w:tcBorders>
            <w:shd w:val="clear" w:color="auto" w:fill="auto"/>
            <w:noWrap/>
          </w:tcPr>
          <w:p w14:paraId="51778E5E" w14:textId="1C4EBD59"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82</w:t>
            </w:r>
          </w:p>
        </w:tc>
        <w:tc>
          <w:tcPr>
            <w:tcW w:w="0" w:type="auto"/>
            <w:tcBorders>
              <w:top w:val="nil"/>
            </w:tcBorders>
            <w:shd w:val="clear" w:color="auto" w:fill="auto"/>
            <w:noWrap/>
          </w:tcPr>
          <w:p w14:paraId="729D7A98" w14:textId="4DC66396"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Viet Nam</w:t>
            </w:r>
          </w:p>
        </w:tc>
        <w:tc>
          <w:tcPr>
            <w:tcW w:w="1424" w:type="dxa"/>
            <w:tcBorders>
              <w:top w:val="nil"/>
            </w:tcBorders>
            <w:shd w:val="clear" w:color="auto" w:fill="auto"/>
            <w:noWrap/>
          </w:tcPr>
          <w:p w14:paraId="1E75203E" w14:textId="4EE73DE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0,077</w:t>
            </w:r>
          </w:p>
        </w:tc>
        <w:tc>
          <w:tcPr>
            <w:tcW w:w="0" w:type="auto"/>
            <w:tcBorders>
              <w:top w:val="nil"/>
            </w:tcBorders>
            <w:shd w:val="clear" w:color="auto" w:fill="auto"/>
            <w:noWrap/>
          </w:tcPr>
          <w:p w14:paraId="0E62AA4A" w14:textId="183F44B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0,0944</w:t>
            </w:r>
          </w:p>
        </w:tc>
        <w:tc>
          <w:tcPr>
            <w:tcW w:w="1286" w:type="dxa"/>
            <w:tcBorders>
              <w:top w:val="nil"/>
            </w:tcBorders>
            <w:shd w:val="clear" w:color="auto" w:fill="auto"/>
            <w:noWrap/>
          </w:tcPr>
          <w:p w14:paraId="7A2BA276" w14:textId="4E3B692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6 098 </w:t>
            </w:r>
          </w:p>
        </w:tc>
      </w:tr>
      <w:tr w:rsidR="002E42B1" w:rsidRPr="002927A1" w14:paraId="77046630" w14:textId="77777777" w:rsidTr="00FA5D35">
        <w:tc>
          <w:tcPr>
            <w:tcW w:w="8197" w:type="dxa"/>
            <w:gridSpan w:val="5"/>
            <w:tcBorders>
              <w:top w:val="single" w:sz="4" w:space="0" w:color="000000" w:themeColor="text1"/>
              <w:bottom w:val="single" w:sz="4" w:space="0" w:color="000000" w:themeColor="text1"/>
            </w:tcBorders>
            <w:shd w:val="clear" w:color="auto" w:fill="auto"/>
            <w:noWrap/>
            <w:hideMark/>
          </w:tcPr>
          <w:p w14:paraId="35E04002" w14:textId="2836CDBF"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 de Europa Central y Oriental (13)</w:t>
            </w:r>
            <w:r w:rsidRPr="002927A1">
              <w:rPr>
                <w:rFonts w:asciiTheme="majorBidi" w:hAnsiTheme="majorBidi" w:cstheme="majorBidi"/>
                <w:color w:val="000000"/>
                <w:sz w:val="18"/>
                <w:szCs w:val="18"/>
                <w:lang w:eastAsia="zh-CN"/>
              </w:rPr>
              <w:t> </w:t>
            </w:r>
          </w:p>
        </w:tc>
      </w:tr>
      <w:tr w:rsidR="002E42B1" w:rsidRPr="002927A1" w14:paraId="56714334" w14:textId="77777777" w:rsidTr="00FA5D35">
        <w:tc>
          <w:tcPr>
            <w:tcW w:w="0" w:type="auto"/>
            <w:tcBorders>
              <w:top w:val="single" w:sz="4" w:space="0" w:color="000000" w:themeColor="text1"/>
            </w:tcBorders>
            <w:shd w:val="clear" w:color="auto" w:fill="auto"/>
            <w:noWrap/>
          </w:tcPr>
          <w:p w14:paraId="7ED13AFE" w14:textId="7A09A6D9"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83</w:t>
            </w:r>
          </w:p>
        </w:tc>
        <w:tc>
          <w:tcPr>
            <w:tcW w:w="0" w:type="auto"/>
            <w:tcBorders>
              <w:top w:val="single" w:sz="4" w:space="0" w:color="000000" w:themeColor="text1"/>
            </w:tcBorders>
            <w:shd w:val="clear" w:color="auto" w:fill="auto"/>
            <w:noWrap/>
            <w:hideMark/>
          </w:tcPr>
          <w:p w14:paraId="3BD11058" w14:textId="77777777"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Armenia</w:t>
            </w:r>
          </w:p>
        </w:tc>
        <w:tc>
          <w:tcPr>
            <w:tcW w:w="1424" w:type="dxa"/>
            <w:tcBorders>
              <w:top w:val="single" w:sz="4" w:space="0" w:color="000000" w:themeColor="text1"/>
            </w:tcBorders>
            <w:shd w:val="clear" w:color="auto" w:fill="auto"/>
            <w:noWrap/>
            <w:hideMark/>
          </w:tcPr>
          <w:p w14:paraId="5E6CD35D" w14:textId="5BE7276D"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0,007</w:t>
            </w:r>
          </w:p>
        </w:tc>
        <w:tc>
          <w:tcPr>
            <w:tcW w:w="0" w:type="auto"/>
            <w:tcBorders>
              <w:top w:val="single" w:sz="4" w:space="0" w:color="000000" w:themeColor="text1"/>
            </w:tcBorders>
            <w:shd w:val="clear" w:color="auto" w:fill="auto"/>
            <w:noWrap/>
            <w:hideMark/>
          </w:tcPr>
          <w:p w14:paraId="0FF576FF" w14:textId="2931D95B"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single" w:sz="4" w:space="0" w:color="000000" w:themeColor="text1"/>
            </w:tcBorders>
            <w:shd w:val="clear" w:color="auto" w:fill="auto"/>
            <w:noWrap/>
            <w:hideMark/>
          </w:tcPr>
          <w:p w14:paraId="56E2D0CE" w14:textId="5D952851"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1B2C4FC2" w14:textId="77777777" w:rsidTr="00FA5D35">
        <w:tc>
          <w:tcPr>
            <w:tcW w:w="0" w:type="auto"/>
            <w:tcBorders>
              <w:top w:val="nil"/>
            </w:tcBorders>
            <w:shd w:val="clear" w:color="auto" w:fill="auto"/>
            <w:noWrap/>
          </w:tcPr>
          <w:p w14:paraId="522C0FF6" w14:textId="5F52CCAA"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84</w:t>
            </w:r>
          </w:p>
        </w:tc>
        <w:tc>
          <w:tcPr>
            <w:tcW w:w="0" w:type="auto"/>
            <w:tcBorders>
              <w:top w:val="nil"/>
            </w:tcBorders>
            <w:shd w:val="clear" w:color="auto" w:fill="auto"/>
            <w:hideMark/>
          </w:tcPr>
          <w:p w14:paraId="7F6D23AF" w14:textId="77777777"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Bulgaria</w:t>
            </w:r>
          </w:p>
        </w:tc>
        <w:tc>
          <w:tcPr>
            <w:tcW w:w="1424" w:type="dxa"/>
            <w:tcBorders>
              <w:top w:val="nil"/>
            </w:tcBorders>
            <w:shd w:val="clear" w:color="auto" w:fill="auto"/>
            <w:noWrap/>
            <w:hideMark/>
          </w:tcPr>
          <w:p w14:paraId="18FEF02E" w14:textId="32C3AED1"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0,046</w:t>
            </w:r>
          </w:p>
        </w:tc>
        <w:tc>
          <w:tcPr>
            <w:tcW w:w="0" w:type="auto"/>
            <w:tcBorders>
              <w:top w:val="nil"/>
            </w:tcBorders>
            <w:shd w:val="clear" w:color="auto" w:fill="auto"/>
            <w:noWrap/>
            <w:hideMark/>
          </w:tcPr>
          <w:p w14:paraId="0750D514" w14:textId="6A9803E0"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0,0564</w:t>
            </w:r>
          </w:p>
        </w:tc>
        <w:tc>
          <w:tcPr>
            <w:tcW w:w="1286" w:type="dxa"/>
            <w:tcBorders>
              <w:top w:val="nil"/>
            </w:tcBorders>
            <w:shd w:val="clear" w:color="auto" w:fill="auto"/>
            <w:noWrap/>
            <w:hideMark/>
          </w:tcPr>
          <w:p w14:paraId="430B14DE" w14:textId="67EFCA92"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3 643 </w:t>
            </w:r>
          </w:p>
        </w:tc>
      </w:tr>
      <w:tr w:rsidR="002E42B1" w:rsidRPr="002927A1" w14:paraId="2E95E097" w14:textId="77777777" w:rsidTr="00FA5D35">
        <w:tc>
          <w:tcPr>
            <w:tcW w:w="0" w:type="auto"/>
            <w:tcBorders>
              <w:top w:val="nil"/>
            </w:tcBorders>
            <w:shd w:val="clear" w:color="auto" w:fill="auto"/>
            <w:noWrap/>
          </w:tcPr>
          <w:p w14:paraId="5BC9E99A" w14:textId="06827D16"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85</w:t>
            </w:r>
          </w:p>
        </w:tc>
        <w:tc>
          <w:tcPr>
            <w:tcW w:w="0" w:type="auto"/>
            <w:tcBorders>
              <w:top w:val="nil"/>
            </w:tcBorders>
            <w:shd w:val="clear" w:color="auto" w:fill="auto"/>
          </w:tcPr>
          <w:p w14:paraId="6C13A849" w14:textId="16C0392B"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Chequia</w:t>
            </w:r>
          </w:p>
        </w:tc>
        <w:tc>
          <w:tcPr>
            <w:tcW w:w="1424" w:type="dxa"/>
            <w:tcBorders>
              <w:top w:val="nil"/>
            </w:tcBorders>
            <w:shd w:val="clear" w:color="auto" w:fill="auto"/>
            <w:noWrap/>
          </w:tcPr>
          <w:p w14:paraId="492BF593" w14:textId="675DF6B8"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0,311</w:t>
            </w:r>
          </w:p>
        </w:tc>
        <w:tc>
          <w:tcPr>
            <w:tcW w:w="0" w:type="auto"/>
            <w:tcBorders>
              <w:top w:val="nil"/>
            </w:tcBorders>
            <w:shd w:val="clear" w:color="auto" w:fill="auto"/>
            <w:noWrap/>
          </w:tcPr>
          <w:p w14:paraId="3678E863" w14:textId="1ACED15B"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0,3811</w:t>
            </w:r>
          </w:p>
        </w:tc>
        <w:tc>
          <w:tcPr>
            <w:tcW w:w="1286" w:type="dxa"/>
            <w:tcBorders>
              <w:top w:val="nil"/>
            </w:tcBorders>
            <w:shd w:val="clear" w:color="auto" w:fill="auto"/>
            <w:noWrap/>
          </w:tcPr>
          <w:p w14:paraId="5777EB97" w14:textId="0B4241BD"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24 630 </w:t>
            </w:r>
          </w:p>
        </w:tc>
      </w:tr>
      <w:tr w:rsidR="002E42B1" w:rsidRPr="002927A1" w14:paraId="77DB8FD6" w14:textId="77777777" w:rsidTr="00FA5D35">
        <w:tc>
          <w:tcPr>
            <w:tcW w:w="0" w:type="auto"/>
            <w:tcBorders>
              <w:top w:val="nil"/>
            </w:tcBorders>
            <w:shd w:val="clear" w:color="auto" w:fill="auto"/>
            <w:noWrap/>
          </w:tcPr>
          <w:p w14:paraId="0DFC876B" w14:textId="57057AF9"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86</w:t>
            </w:r>
          </w:p>
        </w:tc>
        <w:tc>
          <w:tcPr>
            <w:tcW w:w="0" w:type="auto"/>
            <w:tcBorders>
              <w:top w:val="nil"/>
            </w:tcBorders>
            <w:shd w:val="clear" w:color="auto" w:fill="auto"/>
            <w:hideMark/>
          </w:tcPr>
          <w:p w14:paraId="2BE3C15B" w14:textId="07E9E8DF"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Croacia</w:t>
            </w:r>
          </w:p>
        </w:tc>
        <w:tc>
          <w:tcPr>
            <w:tcW w:w="1424" w:type="dxa"/>
            <w:tcBorders>
              <w:top w:val="nil"/>
            </w:tcBorders>
            <w:shd w:val="clear" w:color="auto" w:fill="auto"/>
            <w:noWrap/>
            <w:hideMark/>
          </w:tcPr>
          <w:p w14:paraId="5B7D7D59" w14:textId="2DDC8BF0"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0,077</w:t>
            </w:r>
          </w:p>
        </w:tc>
        <w:tc>
          <w:tcPr>
            <w:tcW w:w="0" w:type="auto"/>
            <w:tcBorders>
              <w:top w:val="nil"/>
            </w:tcBorders>
            <w:shd w:val="clear" w:color="auto" w:fill="auto"/>
            <w:noWrap/>
            <w:hideMark/>
          </w:tcPr>
          <w:p w14:paraId="783EAF7F" w14:textId="0CA0CD64"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0,0944</w:t>
            </w:r>
          </w:p>
        </w:tc>
        <w:tc>
          <w:tcPr>
            <w:tcW w:w="1286" w:type="dxa"/>
            <w:tcBorders>
              <w:top w:val="nil"/>
            </w:tcBorders>
            <w:shd w:val="clear" w:color="auto" w:fill="auto"/>
            <w:noWrap/>
            <w:hideMark/>
          </w:tcPr>
          <w:p w14:paraId="17DF981F" w14:textId="64A16A8C"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6 098 </w:t>
            </w:r>
          </w:p>
        </w:tc>
      </w:tr>
      <w:tr w:rsidR="002E42B1" w:rsidRPr="002927A1" w14:paraId="488F9E0C" w14:textId="77777777" w:rsidTr="00FA5D35">
        <w:tc>
          <w:tcPr>
            <w:tcW w:w="0" w:type="auto"/>
            <w:tcBorders>
              <w:top w:val="nil"/>
            </w:tcBorders>
            <w:shd w:val="clear" w:color="auto" w:fill="auto"/>
            <w:noWrap/>
          </w:tcPr>
          <w:p w14:paraId="6C154CE1" w14:textId="084B9553"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87</w:t>
            </w:r>
          </w:p>
        </w:tc>
        <w:tc>
          <w:tcPr>
            <w:tcW w:w="0" w:type="auto"/>
            <w:tcBorders>
              <w:top w:val="nil"/>
            </w:tcBorders>
            <w:shd w:val="clear" w:color="auto" w:fill="auto"/>
          </w:tcPr>
          <w:p w14:paraId="08334795" w14:textId="729A99A6"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Eslovaquia</w:t>
            </w:r>
          </w:p>
        </w:tc>
        <w:tc>
          <w:tcPr>
            <w:tcW w:w="1424" w:type="dxa"/>
            <w:tcBorders>
              <w:top w:val="nil"/>
            </w:tcBorders>
            <w:shd w:val="clear" w:color="auto" w:fill="auto"/>
            <w:noWrap/>
          </w:tcPr>
          <w:p w14:paraId="324DCBB6" w14:textId="30057728"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0,153</w:t>
            </w:r>
          </w:p>
        </w:tc>
        <w:tc>
          <w:tcPr>
            <w:tcW w:w="0" w:type="auto"/>
            <w:tcBorders>
              <w:top w:val="nil"/>
            </w:tcBorders>
            <w:shd w:val="clear" w:color="auto" w:fill="auto"/>
            <w:noWrap/>
          </w:tcPr>
          <w:p w14:paraId="6D8CE1E0" w14:textId="5CB90B20"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0,1875</w:t>
            </w:r>
          </w:p>
        </w:tc>
        <w:tc>
          <w:tcPr>
            <w:tcW w:w="1286" w:type="dxa"/>
            <w:tcBorders>
              <w:top w:val="nil"/>
            </w:tcBorders>
            <w:shd w:val="clear" w:color="auto" w:fill="auto"/>
            <w:noWrap/>
          </w:tcPr>
          <w:p w14:paraId="50C249A2" w14:textId="41ECC369"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12 117 </w:t>
            </w:r>
          </w:p>
        </w:tc>
      </w:tr>
      <w:tr w:rsidR="002E42B1" w:rsidRPr="002927A1" w14:paraId="3ECEAC5F" w14:textId="77777777" w:rsidTr="00FA5D35">
        <w:tc>
          <w:tcPr>
            <w:tcW w:w="0" w:type="auto"/>
            <w:tcBorders>
              <w:top w:val="nil"/>
            </w:tcBorders>
            <w:shd w:val="clear" w:color="auto" w:fill="auto"/>
            <w:noWrap/>
          </w:tcPr>
          <w:p w14:paraId="3871DE1C" w14:textId="56AC5616"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88</w:t>
            </w:r>
          </w:p>
        </w:tc>
        <w:tc>
          <w:tcPr>
            <w:tcW w:w="0" w:type="auto"/>
            <w:tcBorders>
              <w:top w:val="nil"/>
            </w:tcBorders>
            <w:shd w:val="clear" w:color="auto" w:fill="auto"/>
          </w:tcPr>
          <w:p w14:paraId="0362BB02" w14:textId="3311657E"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Eslovenia</w:t>
            </w:r>
          </w:p>
        </w:tc>
        <w:tc>
          <w:tcPr>
            <w:tcW w:w="1424" w:type="dxa"/>
            <w:tcBorders>
              <w:top w:val="nil"/>
            </w:tcBorders>
            <w:shd w:val="clear" w:color="auto" w:fill="auto"/>
            <w:noWrap/>
          </w:tcPr>
          <w:p w14:paraId="7DACDF3D" w14:textId="3D6F5E27"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0,076</w:t>
            </w:r>
          </w:p>
        </w:tc>
        <w:tc>
          <w:tcPr>
            <w:tcW w:w="0" w:type="auto"/>
            <w:tcBorders>
              <w:top w:val="nil"/>
            </w:tcBorders>
            <w:shd w:val="clear" w:color="auto" w:fill="auto"/>
            <w:noWrap/>
          </w:tcPr>
          <w:p w14:paraId="6BFD2B1B" w14:textId="747BCDAA"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0,0931</w:t>
            </w:r>
          </w:p>
        </w:tc>
        <w:tc>
          <w:tcPr>
            <w:tcW w:w="1286" w:type="dxa"/>
            <w:tcBorders>
              <w:top w:val="nil"/>
            </w:tcBorders>
            <w:shd w:val="clear" w:color="auto" w:fill="auto"/>
            <w:noWrap/>
          </w:tcPr>
          <w:p w14:paraId="6A6BA610" w14:textId="4C8DE83F"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6 019 </w:t>
            </w:r>
          </w:p>
        </w:tc>
      </w:tr>
      <w:tr w:rsidR="002E42B1" w:rsidRPr="002927A1" w14:paraId="154FF992" w14:textId="77777777" w:rsidTr="00FA5D35">
        <w:tc>
          <w:tcPr>
            <w:tcW w:w="0" w:type="auto"/>
            <w:tcBorders>
              <w:top w:val="nil"/>
            </w:tcBorders>
            <w:shd w:val="clear" w:color="auto" w:fill="auto"/>
            <w:noWrap/>
          </w:tcPr>
          <w:p w14:paraId="202DCAA6" w14:textId="2C6F6807"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89</w:t>
            </w:r>
          </w:p>
        </w:tc>
        <w:tc>
          <w:tcPr>
            <w:tcW w:w="0" w:type="auto"/>
            <w:tcBorders>
              <w:top w:val="nil"/>
            </w:tcBorders>
            <w:shd w:val="clear" w:color="auto" w:fill="auto"/>
            <w:hideMark/>
          </w:tcPr>
          <w:p w14:paraId="17C3FE06" w14:textId="77777777"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Estonia</w:t>
            </w:r>
          </w:p>
        </w:tc>
        <w:tc>
          <w:tcPr>
            <w:tcW w:w="1424" w:type="dxa"/>
            <w:tcBorders>
              <w:top w:val="nil"/>
            </w:tcBorders>
            <w:shd w:val="clear" w:color="auto" w:fill="auto"/>
            <w:noWrap/>
            <w:hideMark/>
          </w:tcPr>
          <w:p w14:paraId="54F4FD1A" w14:textId="0F165E86"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0,039</w:t>
            </w:r>
          </w:p>
        </w:tc>
        <w:tc>
          <w:tcPr>
            <w:tcW w:w="0" w:type="auto"/>
            <w:tcBorders>
              <w:top w:val="nil"/>
            </w:tcBorders>
            <w:shd w:val="clear" w:color="auto" w:fill="auto"/>
            <w:noWrap/>
            <w:hideMark/>
          </w:tcPr>
          <w:p w14:paraId="559EAEE1" w14:textId="38E1B053"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0,0478</w:t>
            </w:r>
          </w:p>
        </w:tc>
        <w:tc>
          <w:tcPr>
            <w:tcW w:w="1286" w:type="dxa"/>
            <w:tcBorders>
              <w:top w:val="nil"/>
            </w:tcBorders>
            <w:shd w:val="clear" w:color="auto" w:fill="auto"/>
            <w:noWrap/>
            <w:hideMark/>
          </w:tcPr>
          <w:p w14:paraId="43A7BED0" w14:textId="04938652"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3 089 </w:t>
            </w:r>
          </w:p>
        </w:tc>
      </w:tr>
      <w:tr w:rsidR="002E42B1" w:rsidRPr="002927A1" w14:paraId="5D23106A" w14:textId="77777777" w:rsidTr="00FA5D35">
        <w:tc>
          <w:tcPr>
            <w:tcW w:w="0" w:type="auto"/>
            <w:tcBorders>
              <w:top w:val="nil"/>
            </w:tcBorders>
            <w:shd w:val="clear" w:color="auto" w:fill="auto"/>
            <w:noWrap/>
          </w:tcPr>
          <w:p w14:paraId="38261EDF" w14:textId="48F6ACCF"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90</w:t>
            </w:r>
          </w:p>
        </w:tc>
        <w:tc>
          <w:tcPr>
            <w:tcW w:w="0" w:type="auto"/>
            <w:tcBorders>
              <w:top w:val="nil"/>
            </w:tcBorders>
            <w:shd w:val="clear" w:color="auto" w:fill="auto"/>
            <w:hideMark/>
          </w:tcPr>
          <w:p w14:paraId="297B19C5" w14:textId="4B73DCAE"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Hungría</w:t>
            </w:r>
          </w:p>
        </w:tc>
        <w:tc>
          <w:tcPr>
            <w:tcW w:w="1424" w:type="dxa"/>
            <w:tcBorders>
              <w:top w:val="nil"/>
            </w:tcBorders>
            <w:shd w:val="clear" w:color="auto" w:fill="auto"/>
            <w:noWrap/>
            <w:hideMark/>
          </w:tcPr>
          <w:p w14:paraId="72985C5A" w14:textId="4FF2199A"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0,206</w:t>
            </w:r>
          </w:p>
        </w:tc>
        <w:tc>
          <w:tcPr>
            <w:tcW w:w="0" w:type="auto"/>
            <w:tcBorders>
              <w:top w:val="nil"/>
            </w:tcBorders>
            <w:shd w:val="clear" w:color="auto" w:fill="auto"/>
            <w:noWrap/>
            <w:hideMark/>
          </w:tcPr>
          <w:p w14:paraId="5A1BD4F7" w14:textId="4BFF9B15"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0,2524</w:t>
            </w:r>
          </w:p>
        </w:tc>
        <w:tc>
          <w:tcPr>
            <w:tcW w:w="1286" w:type="dxa"/>
            <w:tcBorders>
              <w:top w:val="nil"/>
            </w:tcBorders>
            <w:shd w:val="clear" w:color="auto" w:fill="auto"/>
            <w:noWrap/>
            <w:hideMark/>
          </w:tcPr>
          <w:p w14:paraId="78C5F3B3" w14:textId="413FE8D2"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16 314 </w:t>
            </w:r>
          </w:p>
        </w:tc>
      </w:tr>
      <w:tr w:rsidR="002E42B1" w:rsidRPr="002927A1" w14:paraId="729933C5" w14:textId="77777777" w:rsidTr="00FA5D35">
        <w:tc>
          <w:tcPr>
            <w:tcW w:w="0" w:type="auto"/>
            <w:tcBorders>
              <w:top w:val="nil"/>
            </w:tcBorders>
            <w:shd w:val="clear" w:color="auto" w:fill="auto"/>
            <w:noWrap/>
          </w:tcPr>
          <w:p w14:paraId="25398C0D" w14:textId="3A5059FD"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91</w:t>
            </w:r>
          </w:p>
        </w:tc>
        <w:tc>
          <w:tcPr>
            <w:tcW w:w="0" w:type="auto"/>
            <w:tcBorders>
              <w:top w:val="nil"/>
            </w:tcBorders>
            <w:shd w:val="clear" w:color="auto" w:fill="auto"/>
            <w:hideMark/>
          </w:tcPr>
          <w:p w14:paraId="2BBE8486" w14:textId="4B1586E9"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Letonia</w:t>
            </w:r>
          </w:p>
        </w:tc>
        <w:tc>
          <w:tcPr>
            <w:tcW w:w="1424" w:type="dxa"/>
            <w:tcBorders>
              <w:top w:val="nil"/>
            </w:tcBorders>
            <w:shd w:val="clear" w:color="auto" w:fill="auto"/>
            <w:noWrap/>
            <w:hideMark/>
          </w:tcPr>
          <w:p w14:paraId="46EECC31" w14:textId="758623F7"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0,047</w:t>
            </w:r>
          </w:p>
        </w:tc>
        <w:tc>
          <w:tcPr>
            <w:tcW w:w="0" w:type="auto"/>
            <w:tcBorders>
              <w:top w:val="nil"/>
            </w:tcBorders>
            <w:shd w:val="clear" w:color="auto" w:fill="auto"/>
            <w:noWrap/>
            <w:hideMark/>
          </w:tcPr>
          <w:p w14:paraId="521C4087" w14:textId="585AC712"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0,0576</w:t>
            </w:r>
          </w:p>
        </w:tc>
        <w:tc>
          <w:tcPr>
            <w:tcW w:w="1286" w:type="dxa"/>
            <w:tcBorders>
              <w:top w:val="nil"/>
            </w:tcBorders>
            <w:shd w:val="clear" w:color="auto" w:fill="auto"/>
            <w:noWrap/>
            <w:hideMark/>
          </w:tcPr>
          <w:p w14:paraId="20E454E2" w14:textId="3616F4A4"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3 722 </w:t>
            </w:r>
          </w:p>
        </w:tc>
      </w:tr>
      <w:tr w:rsidR="002E42B1" w:rsidRPr="002927A1" w14:paraId="1E107369" w14:textId="77777777" w:rsidTr="00FA5D35">
        <w:tc>
          <w:tcPr>
            <w:tcW w:w="0" w:type="auto"/>
            <w:tcBorders>
              <w:top w:val="nil"/>
            </w:tcBorders>
            <w:shd w:val="clear" w:color="auto" w:fill="auto"/>
            <w:noWrap/>
          </w:tcPr>
          <w:p w14:paraId="7A640C51" w14:textId="3799221E"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92</w:t>
            </w:r>
          </w:p>
        </w:tc>
        <w:tc>
          <w:tcPr>
            <w:tcW w:w="0" w:type="auto"/>
            <w:tcBorders>
              <w:top w:val="nil"/>
            </w:tcBorders>
            <w:shd w:val="clear" w:color="auto" w:fill="auto"/>
            <w:hideMark/>
          </w:tcPr>
          <w:p w14:paraId="6B397416" w14:textId="6393FA28"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Lituania</w:t>
            </w:r>
          </w:p>
        </w:tc>
        <w:tc>
          <w:tcPr>
            <w:tcW w:w="1424" w:type="dxa"/>
            <w:tcBorders>
              <w:top w:val="nil"/>
            </w:tcBorders>
            <w:shd w:val="clear" w:color="auto" w:fill="auto"/>
            <w:noWrap/>
            <w:hideMark/>
          </w:tcPr>
          <w:p w14:paraId="16276927" w14:textId="50869C25"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0,071</w:t>
            </w:r>
          </w:p>
        </w:tc>
        <w:tc>
          <w:tcPr>
            <w:tcW w:w="0" w:type="auto"/>
            <w:tcBorders>
              <w:top w:val="nil"/>
            </w:tcBorders>
            <w:shd w:val="clear" w:color="auto" w:fill="auto"/>
            <w:noWrap/>
            <w:hideMark/>
          </w:tcPr>
          <w:p w14:paraId="00F9CC12" w14:textId="1F01D026"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0,0870</w:t>
            </w:r>
          </w:p>
        </w:tc>
        <w:tc>
          <w:tcPr>
            <w:tcW w:w="1286" w:type="dxa"/>
            <w:tcBorders>
              <w:top w:val="nil"/>
            </w:tcBorders>
            <w:shd w:val="clear" w:color="auto" w:fill="auto"/>
            <w:noWrap/>
            <w:hideMark/>
          </w:tcPr>
          <w:p w14:paraId="0A168C49" w14:textId="6BB7B750"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5 623 </w:t>
            </w:r>
          </w:p>
        </w:tc>
      </w:tr>
      <w:tr w:rsidR="002E42B1" w:rsidRPr="002927A1" w14:paraId="1F8F34A5" w14:textId="77777777" w:rsidTr="00FA5D35">
        <w:tc>
          <w:tcPr>
            <w:tcW w:w="0" w:type="auto"/>
            <w:tcBorders>
              <w:top w:val="nil"/>
            </w:tcBorders>
            <w:shd w:val="clear" w:color="auto" w:fill="auto"/>
            <w:noWrap/>
          </w:tcPr>
          <w:p w14:paraId="78284C89" w14:textId="08BE9F43"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93</w:t>
            </w:r>
          </w:p>
        </w:tc>
        <w:tc>
          <w:tcPr>
            <w:tcW w:w="0" w:type="auto"/>
            <w:tcBorders>
              <w:top w:val="nil"/>
            </w:tcBorders>
            <w:shd w:val="clear" w:color="auto" w:fill="auto"/>
            <w:hideMark/>
          </w:tcPr>
          <w:p w14:paraId="3D0D0D9B" w14:textId="7CA16622"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Moldova (República de)</w:t>
            </w:r>
          </w:p>
        </w:tc>
        <w:tc>
          <w:tcPr>
            <w:tcW w:w="1424" w:type="dxa"/>
            <w:tcBorders>
              <w:top w:val="nil"/>
            </w:tcBorders>
            <w:shd w:val="clear" w:color="auto" w:fill="auto"/>
            <w:noWrap/>
            <w:hideMark/>
          </w:tcPr>
          <w:p w14:paraId="38CFCFD9" w14:textId="2ADD261D"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hideMark/>
          </w:tcPr>
          <w:p w14:paraId="176577D3" w14:textId="0E52B3B5"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2AB291C6" w14:textId="054E69CF"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B6ED158" w14:textId="77777777" w:rsidTr="00FA5D35">
        <w:tc>
          <w:tcPr>
            <w:tcW w:w="0" w:type="auto"/>
            <w:tcBorders>
              <w:top w:val="nil"/>
            </w:tcBorders>
            <w:shd w:val="clear" w:color="auto" w:fill="auto"/>
            <w:noWrap/>
          </w:tcPr>
          <w:p w14:paraId="53E35E01" w14:textId="13F06FF6"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94</w:t>
            </w:r>
          </w:p>
        </w:tc>
        <w:tc>
          <w:tcPr>
            <w:tcW w:w="0" w:type="auto"/>
            <w:tcBorders>
              <w:top w:val="nil"/>
            </w:tcBorders>
            <w:shd w:val="clear" w:color="auto" w:fill="auto"/>
            <w:hideMark/>
          </w:tcPr>
          <w:p w14:paraId="549A31D1" w14:textId="77777777"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Montenegro</w:t>
            </w:r>
          </w:p>
        </w:tc>
        <w:tc>
          <w:tcPr>
            <w:tcW w:w="1424" w:type="dxa"/>
            <w:tcBorders>
              <w:top w:val="nil"/>
            </w:tcBorders>
            <w:shd w:val="clear" w:color="auto" w:fill="auto"/>
            <w:noWrap/>
            <w:hideMark/>
          </w:tcPr>
          <w:p w14:paraId="3A75F685" w14:textId="42ED6644"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5A7F0CC1" w14:textId="3AF7E67D"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7192A0B" w14:textId="577907BF"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2E42B1" w:rsidRPr="002927A1" w14:paraId="7FB80DA2" w14:textId="77777777" w:rsidTr="00FA5D35">
        <w:tc>
          <w:tcPr>
            <w:tcW w:w="0" w:type="auto"/>
            <w:tcBorders>
              <w:top w:val="nil"/>
            </w:tcBorders>
            <w:shd w:val="clear" w:color="auto" w:fill="auto"/>
            <w:noWrap/>
          </w:tcPr>
          <w:p w14:paraId="656205A4" w14:textId="0A03E0B3" w:rsidR="002E42B1" w:rsidRPr="002927A1" w:rsidRDefault="002E42B1" w:rsidP="00004DE5">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95</w:t>
            </w:r>
          </w:p>
        </w:tc>
        <w:tc>
          <w:tcPr>
            <w:tcW w:w="0" w:type="auto"/>
            <w:tcBorders>
              <w:top w:val="nil"/>
            </w:tcBorders>
            <w:shd w:val="clear" w:color="auto" w:fill="auto"/>
            <w:hideMark/>
          </w:tcPr>
          <w:p w14:paraId="7C7F5B56" w14:textId="6EC0F160" w:rsidR="002E42B1" w:rsidRPr="002927A1" w:rsidRDefault="002E42B1" w:rsidP="00004DE5">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w:t>
            </w:r>
            <w:r w:rsidR="00C6563A" w:rsidRPr="002927A1">
              <w:rPr>
                <w:rFonts w:asciiTheme="majorBidi" w:hAnsiTheme="majorBidi" w:cstheme="majorBidi"/>
                <w:color w:val="000000"/>
                <w:sz w:val="18"/>
                <w:szCs w:val="18"/>
                <w:lang w:eastAsia="zh-CN"/>
              </w:rPr>
              <w:t>umani</w:t>
            </w:r>
            <w:r w:rsidRPr="002927A1">
              <w:rPr>
                <w:rFonts w:asciiTheme="majorBidi" w:hAnsiTheme="majorBidi" w:cstheme="majorBidi"/>
                <w:color w:val="000000"/>
                <w:sz w:val="18"/>
                <w:szCs w:val="18"/>
                <w:lang w:eastAsia="zh-CN"/>
              </w:rPr>
              <w:t>a</w:t>
            </w:r>
          </w:p>
        </w:tc>
        <w:tc>
          <w:tcPr>
            <w:tcW w:w="1424" w:type="dxa"/>
            <w:tcBorders>
              <w:top w:val="nil"/>
            </w:tcBorders>
            <w:shd w:val="clear" w:color="auto" w:fill="auto"/>
            <w:noWrap/>
            <w:hideMark/>
          </w:tcPr>
          <w:p w14:paraId="3CDFEEA0" w14:textId="46FD5D29"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0,198</w:t>
            </w:r>
          </w:p>
        </w:tc>
        <w:tc>
          <w:tcPr>
            <w:tcW w:w="0" w:type="auto"/>
            <w:tcBorders>
              <w:top w:val="nil"/>
            </w:tcBorders>
            <w:shd w:val="clear" w:color="auto" w:fill="auto"/>
            <w:noWrap/>
            <w:hideMark/>
          </w:tcPr>
          <w:p w14:paraId="75D237AE" w14:textId="0DE904EA"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0,2426</w:t>
            </w:r>
          </w:p>
        </w:tc>
        <w:tc>
          <w:tcPr>
            <w:tcW w:w="1286" w:type="dxa"/>
            <w:tcBorders>
              <w:top w:val="nil"/>
            </w:tcBorders>
            <w:shd w:val="clear" w:color="auto" w:fill="auto"/>
            <w:noWrap/>
            <w:hideMark/>
          </w:tcPr>
          <w:p w14:paraId="1CAEF9F6" w14:textId="4F0E900F" w:rsidR="002E42B1" w:rsidRPr="002927A1" w:rsidRDefault="002E42B1" w:rsidP="00004DE5">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15 681 </w:t>
            </w:r>
          </w:p>
        </w:tc>
      </w:tr>
      <w:tr w:rsidR="002E42B1" w:rsidRPr="002927A1" w14:paraId="4E77D78F" w14:textId="77777777" w:rsidTr="00FA5D35">
        <w:tc>
          <w:tcPr>
            <w:tcW w:w="5557" w:type="dxa"/>
            <w:gridSpan w:val="3"/>
            <w:tcBorders>
              <w:top w:val="single" w:sz="4" w:space="0" w:color="000000" w:themeColor="text1"/>
              <w:bottom w:val="single" w:sz="4" w:space="0" w:color="000000" w:themeColor="text1"/>
              <w:right w:val="nil"/>
            </w:tcBorders>
            <w:shd w:val="clear" w:color="auto" w:fill="auto"/>
            <w:noWrap/>
            <w:hideMark/>
          </w:tcPr>
          <w:p w14:paraId="243847A7" w14:textId="20EBD60B"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Europa Occidental y otros Estados (21)</w:t>
            </w:r>
          </w:p>
        </w:tc>
        <w:tc>
          <w:tcPr>
            <w:tcW w:w="0" w:type="auto"/>
            <w:tcBorders>
              <w:top w:val="single" w:sz="4" w:space="0" w:color="000000" w:themeColor="text1"/>
              <w:left w:val="nil"/>
              <w:bottom w:val="single" w:sz="4" w:space="0" w:color="000000" w:themeColor="text1"/>
              <w:right w:val="nil"/>
            </w:tcBorders>
            <w:shd w:val="clear" w:color="auto" w:fill="auto"/>
            <w:noWrap/>
            <w:hideMark/>
          </w:tcPr>
          <w:p w14:paraId="1E219B53"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1286" w:type="dxa"/>
            <w:tcBorders>
              <w:top w:val="single" w:sz="4" w:space="0" w:color="000000" w:themeColor="text1"/>
              <w:left w:val="nil"/>
              <w:bottom w:val="single" w:sz="4" w:space="0" w:color="000000" w:themeColor="text1"/>
            </w:tcBorders>
            <w:shd w:val="clear" w:color="auto" w:fill="auto"/>
            <w:noWrap/>
            <w:hideMark/>
          </w:tcPr>
          <w:p w14:paraId="0A5087D6" w14:textId="7777777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r>
      <w:tr w:rsidR="002E42B1" w:rsidRPr="002927A1" w14:paraId="73EC1B6F" w14:textId="77777777" w:rsidTr="00FA5D35">
        <w:tc>
          <w:tcPr>
            <w:tcW w:w="0" w:type="auto"/>
            <w:tcBorders>
              <w:top w:val="single" w:sz="4" w:space="0" w:color="000000" w:themeColor="text1"/>
            </w:tcBorders>
            <w:shd w:val="clear" w:color="auto" w:fill="auto"/>
            <w:noWrap/>
          </w:tcPr>
          <w:p w14:paraId="78C435E5" w14:textId="11CBD9D4"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96</w:t>
            </w:r>
          </w:p>
        </w:tc>
        <w:tc>
          <w:tcPr>
            <w:tcW w:w="0" w:type="auto"/>
            <w:tcBorders>
              <w:top w:val="single" w:sz="4" w:space="0" w:color="000000" w:themeColor="text1"/>
            </w:tcBorders>
            <w:shd w:val="clear" w:color="auto" w:fill="auto"/>
          </w:tcPr>
          <w:p w14:paraId="1A548C1A" w14:textId="20F81CD4"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Alemania</w:t>
            </w:r>
          </w:p>
        </w:tc>
        <w:tc>
          <w:tcPr>
            <w:tcW w:w="1424" w:type="dxa"/>
            <w:tcBorders>
              <w:top w:val="single" w:sz="4" w:space="0" w:color="000000" w:themeColor="text1"/>
            </w:tcBorders>
            <w:shd w:val="clear" w:color="auto" w:fill="auto"/>
            <w:noWrap/>
          </w:tcPr>
          <w:p w14:paraId="388F894D" w14:textId="6976A9F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6,09</w:t>
            </w:r>
          </w:p>
        </w:tc>
        <w:tc>
          <w:tcPr>
            <w:tcW w:w="0" w:type="auto"/>
            <w:tcBorders>
              <w:top w:val="single" w:sz="4" w:space="0" w:color="000000" w:themeColor="text1"/>
            </w:tcBorders>
            <w:shd w:val="clear" w:color="auto" w:fill="auto"/>
            <w:noWrap/>
          </w:tcPr>
          <w:p w14:paraId="7593303A" w14:textId="08631E0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7,4624</w:t>
            </w:r>
          </w:p>
        </w:tc>
        <w:tc>
          <w:tcPr>
            <w:tcW w:w="1286" w:type="dxa"/>
            <w:tcBorders>
              <w:top w:val="single" w:sz="4" w:space="0" w:color="000000" w:themeColor="text1"/>
            </w:tcBorders>
            <w:shd w:val="clear" w:color="auto" w:fill="auto"/>
            <w:noWrap/>
          </w:tcPr>
          <w:p w14:paraId="2AAE186F" w14:textId="5D82EBD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482 303 </w:t>
            </w:r>
          </w:p>
        </w:tc>
      </w:tr>
      <w:tr w:rsidR="002E42B1" w:rsidRPr="002927A1" w14:paraId="19C04CB9" w14:textId="77777777" w:rsidTr="00FA5D35">
        <w:tc>
          <w:tcPr>
            <w:tcW w:w="0" w:type="auto"/>
            <w:tcBorders>
              <w:top w:val="single" w:sz="4" w:space="0" w:color="000000" w:themeColor="text1"/>
            </w:tcBorders>
            <w:shd w:val="clear" w:color="auto" w:fill="auto"/>
            <w:noWrap/>
            <w:hideMark/>
          </w:tcPr>
          <w:p w14:paraId="66957957" w14:textId="08F2C3B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97</w:t>
            </w:r>
          </w:p>
        </w:tc>
        <w:tc>
          <w:tcPr>
            <w:tcW w:w="0" w:type="auto"/>
            <w:tcBorders>
              <w:top w:val="single" w:sz="4" w:space="0" w:color="000000" w:themeColor="text1"/>
            </w:tcBorders>
            <w:shd w:val="clear" w:color="auto" w:fill="auto"/>
            <w:hideMark/>
          </w:tcPr>
          <w:p w14:paraId="0F5CEA22" w14:textId="7777777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Austria</w:t>
            </w:r>
          </w:p>
        </w:tc>
        <w:tc>
          <w:tcPr>
            <w:tcW w:w="1424" w:type="dxa"/>
            <w:tcBorders>
              <w:top w:val="single" w:sz="4" w:space="0" w:color="000000" w:themeColor="text1"/>
            </w:tcBorders>
            <w:shd w:val="clear" w:color="auto" w:fill="auto"/>
            <w:noWrap/>
            <w:hideMark/>
          </w:tcPr>
          <w:p w14:paraId="7A8EC090" w14:textId="00316EF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0,677</w:t>
            </w:r>
          </w:p>
        </w:tc>
        <w:tc>
          <w:tcPr>
            <w:tcW w:w="0" w:type="auto"/>
            <w:tcBorders>
              <w:top w:val="single" w:sz="4" w:space="0" w:color="000000" w:themeColor="text1"/>
            </w:tcBorders>
            <w:shd w:val="clear" w:color="auto" w:fill="auto"/>
            <w:noWrap/>
            <w:hideMark/>
          </w:tcPr>
          <w:p w14:paraId="517E4694" w14:textId="54B7D50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0,8296</w:t>
            </w:r>
          </w:p>
        </w:tc>
        <w:tc>
          <w:tcPr>
            <w:tcW w:w="1286" w:type="dxa"/>
            <w:tcBorders>
              <w:top w:val="single" w:sz="4" w:space="0" w:color="000000" w:themeColor="text1"/>
            </w:tcBorders>
            <w:shd w:val="clear" w:color="auto" w:fill="auto"/>
            <w:noWrap/>
            <w:hideMark/>
          </w:tcPr>
          <w:p w14:paraId="746675C0" w14:textId="53681F6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53 616 </w:t>
            </w:r>
          </w:p>
        </w:tc>
      </w:tr>
      <w:tr w:rsidR="002E42B1" w:rsidRPr="002927A1" w14:paraId="235A2B1C" w14:textId="77777777" w:rsidTr="00FA5D35">
        <w:tc>
          <w:tcPr>
            <w:tcW w:w="0" w:type="auto"/>
            <w:tcBorders>
              <w:top w:val="nil"/>
            </w:tcBorders>
            <w:shd w:val="clear" w:color="auto" w:fill="auto"/>
            <w:noWrap/>
            <w:hideMark/>
          </w:tcPr>
          <w:p w14:paraId="014C265C" w14:textId="6E162E1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98</w:t>
            </w:r>
          </w:p>
        </w:tc>
        <w:tc>
          <w:tcPr>
            <w:tcW w:w="0" w:type="auto"/>
            <w:tcBorders>
              <w:top w:val="nil"/>
            </w:tcBorders>
            <w:shd w:val="clear" w:color="auto" w:fill="auto"/>
            <w:hideMark/>
          </w:tcPr>
          <w:p w14:paraId="61684008" w14:textId="6B7D1582"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Bélgica</w:t>
            </w:r>
          </w:p>
        </w:tc>
        <w:tc>
          <w:tcPr>
            <w:tcW w:w="1424" w:type="dxa"/>
            <w:tcBorders>
              <w:top w:val="nil"/>
            </w:tcBorders>
            <w:shd w:val="clear" w:color="auto" w:fill="auto"/>
            <w:noWrap/>
            <w:hideMark/>
          </w:tcPr>
          <w:p w14:paraId="776D5DFA" w14:textId="025C6AD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0,821</w:t>
            </w:r>
          </w:p>
        </w:tc>
        <w:tc>
          <w:tcPr>
            <w:tcW w:w="0" w:type="auto"/>
            <w:tcBorders>
              <w:top w:val="nil"/>
            </w:tcBorders>
            <w:shd w:val="clear" w:color="auto" w:fill="auto"/>
            <w:noWrap/>
            <w:hideMark/>
          </w:tcPr>
          <w:p w14:paraId="39BB3AC7" w14:textId="7FF84C8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1,0060</w:t>
            </w:r>
          </w:p>
        </w:tc>
        <w:tc>
          <w:tcPr>
            <w:tcW w:w="1286" w:type="dxa"/>
            <w:tcBorders>
              <w:top w:val="nil"/>
            </w:tcBorders>
            <w:shd w:val="clear" w:color="auto" w:fill="auto"/>
            <w:noWrap/>
            <w:hideMark/>
          </w:tcPr>
          <w:p w14:paraId="5ECAC0FA" w14:textId="65E170D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65 020 </w:t>
            </w:r>
          </w:p>
        </w:tc>
      </w:tr>
      <w:tr w:rsidR="002E42B1" w:rsidRPr="002927A1" w14:paraId="5891EF46" w14:textId="77777777" w:rsidTr="00FA5D35">
        <w:tc>
          <w:tcPr>
            <w:tcW w:w="0" w:type="auto"/>
            <w:tcBorders>
              <w:top w:val="nil"/>
            </w:tcBorders>
            <w:shd w:val="clear" w:color="auto" w:fill="auto"/>
            <w:noWrap/>
            <w:hideMark/>
          </w:tcPr>
          <w:p w14:paraId="5534A76A" w14:textId="027FA9A1"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99</w:t>
            </w:r>
          </w:p>
        </w:tc>
        <w:tc>
          <w:tcPr>
            <w:tcW w:w="0" w:type="auto"/>
            <w:tcBorders>
              <w:top w:val="nil"/>
            </w:tcBorders>
            <w:shd w:val="clear" w:color="auto" w:fill="auto"/>
            <w:hideMark/>
          </w:tcPr>
          <w:p w14:paraId="600769F8" w14:textId="3D1215C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Canadá</w:t>
            </w:r>
          </w:p>
        </w:tc>
        <w:tc>
          <w:tcPr>
            <w:tcW w:w="1424" w:type="dxa"/>
            <w:tcBorders>
              <w:top w:val="nil"/>
            </w:tcBorders>
            <w:shd w:val="clear" w:color="auto" w:fill="auto"/>
            <w:noWrap/>
            <w:hideMark/>
          </w:tcPr>
          <w:p w14:paraId="17792E7B" w14:textId="62C51E6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2,734</w:t>
            </w:r>
          </w:p>
        </w:tc>
        <w:tc>
          <w:tcPr>
            <w:tcW w:w="0" w:type="auto"/>
            <w:tcBorders>
              <w:top w:val="nil"/>
            </w:tcBorders>
            <w:shd w:val="clear" w:color="auto" w:fill="auto"/>
            <w:noWrap/>
            <w:hideMark/>
          </w:tcPr>
          <w:p w14:paraId="1EF8E0EE" w14:textId="4DC751C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3,3501</w:t>
            </w:r>
          </w:p>
        </w:tc>
        <w:tc>
          <w:tcPr>
            <w:tcW w:w="1286" w:type="dxa"/>
            <w:tcBorders>
              <w:top w:val="nil"/>
            </w:tcBorders>
            <w:shd w:val="clear" w:color="auto" w:fill="auto"/>
            <w:noWrap/>
            <w:hideMark/>
          </w:tcPr>
          <w:p w14:paraId="4CD9BF6F" w14:textId="6D2C90B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216 522 </w:t>
            </w:r>
          </w:p>
        </w:tc>
      </w:tr>
      <w:tr w:rsidR="002E42B1" w:rsidRPr="002927A1" w14:paraId="205C90B5" w14:textId="77777777" w:rsidTr="00FA5D35">
        <w:tc>
          <w:tcPr>
            <w:tcW w:w="0" w:type="auto"/>
            <w:tcBorders>
              <w:top w:val="nil"/>
            </w:tcBorders>
            <w:shd w:val="clear" w:color="auto" w:fill="auto"/>
            <w:noWrap/>
          </w:tcPr>
          <w:p w14:paraId="7195241F" w14:textId="769B2781"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100</w:t>
            </w:r>
          </w:p>
        </w:tc>
        <w:tc>
          <w:tcPr>
            <w:tcW w:w="0" w:type="auto"/>
            <w:tcBorders>
              <w:top w:val="nil"/>
            </w:tcBorders>
            <w:shd w:val="clear" w:color="auto" w:fill="auto"/>
            <w:hideMark/>
          </w:tcPr>
          <w:p w14:paraId="0197B559" w14:textId="5E24C3A1"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Dinamarca</w:t>
            </w:r>
          </w:p>
        </w:tc>
        <w:tc>
          <w:tcPr>
            <w:tcW w:w="1424" w:type="dxa"/>
            <w:tcBorders>
              <w:top w:val="nil"/>
            </w:tcBorders>
            <w:shd w:val="clear" w:color="auto" w:fill="auto"/>
            <w:noWrap/>
            <w:hideMark/>
          </w:tcPr>
          <w:p w14:paraId="3414C304" w14:textId="21147B0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0,554</w:t>
            </w:r>
          </w:p>
        </w:tc>
        <w:tc>
          <w:tcPr>
            <w:tcW w:w="0" w:type="auto"/>
            <w:tcBorders>
              <w:top w:val="nil"/>
            </w:tcBorders>
            <w:shd w:val="clear" w:color="auto" w:fill="auto"/>
            <w:noWrap/>
            <w:hideMark/>
          </w:tcPr>
          <w:p w14:paraId="1B8A4653" w14:textId="18CD72C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0,6788</w:t>
            </w:r>
          </w:p>
        </w:tc>
        <w:tc>
          <w:tcPr>
            <w:tcW w:w="1286" w:type="dxa"/>
            <w:tcBorders>
              <w:top w:val="nil"/>
            </w:tcBorders>
            <w:shd w:val="clear" w:color="auto" w:fill="auto"/>
            <w:noWrap/>
            <w:hideMark/>
          </w:tcPr>
          <w:p w14:paraId="22B8A347" w14:textId="509FA5F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43 875 </w:t>
            </w:r>
          </w:p>
        </w:tc>
      </w:tr>
      <w:tr w:rsidR="002E42B1" w:rsidRPr="002927A1" w14:paraId="0E71D1F1" w14:textId="77777777" w:rsidTr="00FA5D35">
        <w:tc>
          <w:tcPr>
            <w:tcW w:w="0" w:type="auto"/>
            <w:tcBorders>
              <w:top w:val="nil"/>
            </w:tcBorders>
            <w:shd w:val="clear" w:color="auto" w:fill="auto"/>
            <w:noWrap/>
          </w:tcPr>
          <w:p w14:paraId="1A282A8A" w14:textId="39476B8A"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101</w:t>
            </w:r>
          </w:p>
        </w:tc>
        <w:tc>
          <w:tcPr>
            <w:tcW w:w="0" w:type="auto"/>
            <w:tcBorders>
              <w:top w:val="nil"/>
            </w:tcBorders>
            <w:shd w:val="clear" w:color="auto" w:fill="auto"/>
          </w:tcPr>
          <w:p w14:paraId="11F4A380" w14:textId="546BB284"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Estados Unidos de América </w:t>
            </w:r>
          </w:p>
        </w:tc>
        <w:tc>
          <w:tcPr>
            <w:tcW w:w="1424" w:type="dxa"/>
            <w:tcBorders>
              <w:top w:val="nil"/>
            </w:tcBorders>
            <w:shd w:val="clear" w:color="auto" w:fill="auto"/>
            <w:noWrap/>
          </w:tcPr>
          <w:p w14:paraId="71311989" w14:textId="42AC53E2"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22,000</w:t>
            </w:r>
          </w:p>
        </w:tc>
        <w:tc>
          <w:tcPr>
            <w:tcW w:w="0" w:type="auto"/>
            <w:tcBorders>
              <w:top w:val="nil"/>
            </w:tcBorders>
            <w:shd w:val="clear" w:color="auto" w:fill="auto"/>
            <w:noWrap/>
          </w:tcPr>
          <w:p w14:paraId="03AD8F87" w14:textId="681AEE7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22,0000</w:t>
            </w:r>
          </w:p>
        </w:tc>
        <w:tc>
          <w:tcPr>
            <w:tcW w:w="1286" w:type="dxa"/>
            <w:tcBorders>
              <w:top w:val="nil"/>
            </w:tcBorders>
            <w:shd w:val="clear" w:color="auto" w:fill="auto"/>
            <w:noWrap/>
          </w:tcPr>
          <w:p w14:paraId="3467D562" w14:textId="6C3A9A7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1 421 885 </w:t>
            </w:r>
          </w:p>
        </w:tc>
      </w:tr>
      <w:tr w:rsidR="002E42B1" w:rsidRPr="002927A1" w14:paraId="44A24AC6" w14:textId="77777777" w:rsidTr="00FA5D35">
        <w:tc>
          <w:tcPr>
            <w:tcW w:w="0" w:type="auto"/>
            <w:tcBorders>
              <w:top w:val="nil"/>
            </w:tcBorders>
            <w:shd w:val="clear" w:color="auto" w:fill="auto"/>
            <w:noWrap/>
          </w:tcPr>
          <w:p w14:paraId="3F8FCD03" w14:textId="03F5584A"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102</w:t>
            </w:r>
          </w:p>
        </w:tc>
        <w:tc>
          <w:tcPr>
            <w:tcW w:w="0" w:type="auto"/>
            <w:tcBorders>
              <w:top w:val="nil"/>
            </w:tcBorders>
            <w:shd w:val="clear" w:color="auto" w:fill="auto"/>
            <w:hideMark/>
          </w:tcPr>
          <w:p w14:paraId="0AB8CA5A" w14:textId="1A585C80"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Finlandia</w:t>
            </w:r>
          </w:p>
        </w:tc>
        <w:tc>
          <w:tcPr>
            <w:tcW w:w="1424" w:type="dxa"/>
            <w:tcBorders>
              <w:top w:val="nil"/>
            </w:tcBorders>
            <w:shd w:val="clear" w:color="auto" w:fill="auto"/>
            <w:noWrap/>
            <w:hideMark/>
          </w:tcPr>
          <w:p w14:paraId="6E37A580" w14:textId="01D66F1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0,421</w:t>
            </w:r>
          </w:p>
        </w:tc>
        <w:tc>
          <w:tcPr>
            <w:tcW w:w="0" w:type="auto"/>
            <w:tcBorders>
              <w:top w:val="nil"/>
            </w:tcBorders>
            <w:shd w:val="clear" w:color="auto" w:fill="auto"/>
            <w:noWrap/>
            <w:hideMark/>
          </w:tcPr>
          <w:p w14:paraId="67D5124A" w14:textId="29329B4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0,5159</w:t>
            </w:r>
          </w:p>
        </w:tc>
        <w:tc>
          <w:tcPr>
            <w:tcW w:w="1286" w:type="dxa"/>
            <w:tcBorders>
              <w:top w:val="nil"/>
            </w:tcBorders>
            <w:shd w:val="clear" w:color="auto" w:fill="auto"/>
            <w:noWrap/>
            <w:hideMark/>
          </w:tcPr>
          <w:p w14:paraId="742B8535" w14:textId="09452C9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33 341 </w:t>
            </w:r>
          </w:p>
        </w:tc>
      </w:tr>
      <w:tr w:rsidR="002E42B1" w:rsidRPr="002927A1" w14:paraId="673F6CA0" w14:textId="77777777" w:rsidTr="00FA5D35">
        <w:tc>
          <w:tcPr>
            <w:tcW w:w="0" w:type="auto"/>
            <w:tcBorders>
              <w:top w:val="nil"/>
            </w:tcBorders>
            <w:shd w:val="clear" w:color="auto" w:fill="auto"/>
            <w:noWrap/>
          </w:tcPr>
          <w:p w14:paraId="211B65F9" w14:textId="7648C979"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103</w:t>
            </w:r>
          </w:p>
        </w:tc>
        <w:tc>
          <w:tcPr>
            <w:tcW w:w="0" w:type="auto"/>
            <w:tcBorders>
              <w:top w:val="nil"/>
            </w:tcBorders>
            <w:shd w:val="clear" w:color="auto" w:fill="auto"/>
            <w:hideMark/>
          </w:tcPr>
          <w:p w14:paraId="3323C558" w14:textId="411A3A40"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Francia</w:t>
            </w:r>
          </w:p>
        </w:tc>
        <w:tc>
          <w:tcPr>
            <w:tcW w:w="1424" w:type="dxa"/>
            <w:tcBorders>
              <w:top w:val="nil"/>
            </w:tcBorders>
            <w:shd w:val="clear" w:color="auto" w:fill="auto"/>
            <w:noWrap/>
            <w:hideMark/>
          </w:tcPr>
          <w:p w14:paraId="7E568A2C" w14:textId="5EC2DDA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4,427</w:t>
            </w:r>
          </w:p>
        </w:tc>
        <w:tc>
          <w:tcPr>
            <w:tcW w:w="0" w:type="auto"/>
            <w:tcBorders>
              <w:top w:val="nil"/>
            </w:tcBorders>
            <w:shd w:val="clear" w:color="auto" w:fill="auto"/>
            <w:noWrap/>
            <w:hideMark/>
          </w:tcPr>
          <w:p w14:paraId="58FFA595" w14:textId="64F1574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5,4246</w:t>
            </w:r>
          </w:p>
        </w:tc>
        <w:tc>
          <w:tcPr>
            <w:tcW w:w="1286" w:type="dxa"/>
            <w:tcBorders>
              <w:top w:val="nil"/>
            </w:tcBorders>
            <w:shd w:val="clear" w:color="auto" w:fill="auto"/>
            <w:noWrap/>
            <w:hideMark/>
          </w:tcPr>
          <w:p w14:paraId="628018AC" w14:textId="4072BE2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350 600 </w:t>
            </w:r>
          </w:p>
        </w:tc>
      </w:tr>
      <w:tr w:rsidR="002E42B1" w:rsidRPr="002927A1" w14:paraId="7922EC19" w14:textId="77777777" w:rsidTr="00FA5D35">
        <w:tc>
          <w:tcPr>
            <w:tcW w:w="0" w:type="auto"/>
            <w:tcBorders>
              <w:top w:val="nil"/>
            </w:tcBorders>
            <w:shd w:val="clear" w:color="auto" w:fill="auto"/>
            <w:noWrap/>
          </w:tcPr>
          <w:p w14:paraId="073736C8" w14:textId="616628CE"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104</w:t>
            </w:r>
          </w:p>
        </w:tc>
        <w:tc>
          <w:tcPr>
            <w:tcW w:w="0" w:type="auto"/>
            <w:tcBorders>
              <w:top w:val="nil"/>
            </w:tcBorders>
            <w:shd w:val="clear" w:color="auto" w:fill="auto"/>
          </w:tcPr>
          <w:p w14:paraId="6C3D4569" w14:textId="59CAC5AF"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Islandia</w:t>
            </w:r>
          </w:p>
        </w:tc>
        <w:tc>
          <w:tcPr>
            <w:tcW w:w="1424" w:type="dxa"/>
            <w:tcBorders>
              <w:top w:val="nil"/>
            </w:tcBorders>
            <w:shd w:val="clear" w:color="auto" w:fill="auto"/>
            <w:noWrap/>
          </w:tcPr>
          <w:p w14:paraId="059CB42D" w14:textId="530E9E9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0,028</w:t>
            </w:r>
          </w:p>
        </w:tc>
        <w:tc>
          <w:tcPr>
            <w:tcW w:w="0" w:type="auto"/>
            <w:tcBorders>
              <w:top w:val="nil"/>
            </w:tcBorders>
            <w:shd w:val="clear" w:color="auto" w:fill="auto"/>
            <w:noWrap/>
          </w:tcPr>
          <w:p w14:paraId="67B8CC88" w14:textId="72E6124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0,0343</w:t>
            </w:r>
          </w:p>
        </w:tc>
        <w:tc>
          <w:tcPr>
            <w:tcW w:w="1286" w:type="dxa"/>
            <w:tcBorders>
              <w:top w:val="nil"/>
            </w:tcBorders>
            <w:shd w:val="clear" w:color="auto" w:fill="auto"/>
            <w:noWrap/>
          </w:tcPr>
          <w:p w14:paraId="378B615D" w14:textId="7F57A2A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2 217 </w:t>
            </w:r>
          </w:p>
        </w:tc>
      </w:tr>
      <w:tr w:rsidR="002E42B1" w:rsidRPr="002927A1" w14:paraId="3411D711" w14:textId="77777777" w:rsidTr="00FA5D35">
        <w:tc>
          <w:tcPr>
            <w:tcW w:w="0" w:type="auto"/>
            <w:tcBorders>
              <w:top w:val="nil"/>
            </w:tcBorders>
            <w:shd w:val="clear" w:color="auto" w:fill="auto"/>
            <w:noWrap/>
          </w:tcPr>
          <w:p w14:paraId="4BC86794" w14:textId="27385EC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105</w:t>
            </w:r>
          </w:p>
        </w:tc>
        <w:tc>
          <w:tcPr>
            <w:tcW w:w="0" w:type="auto"/>
            <w:tcBorders>
              <w:top w:val="nil"/>
            </w:tcBorders>
            <w:shd w:val="clear" w:color="auto" w:fill="auto"/>
          </w:tcPr>
          <w:p w14:paraId="623A7334" w14:textId="6006D1EE"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Irlanda</w:t>
            </w:r>
          </w:p>
        </w:tc>
        <w:tc>
          <w:tcPr>
            <w:tcW w:w="1424" w:type="dxa"/>
            <w:tcBorders>
              <w:top w:val="nil"/>
            </w:tcBorders>
            <w:shd w:val="clear" w:color="auto" w:fill="auto"/>
            <w:noWrap/>
          </w:tcPr>
          <w:p w14:paraId="776274F1" w14:textId="00B0706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0,371</w:t>
            </w:r>
          </w:p>
        </w:tc>
        <w:tc>
          <w:tcPr>
            <w:tcW w:w="0" w:type="auto"/>
            <w:tcBorders>
              <w:top w:val="nil"/>
            </w:tcBorders>
            <w:shd w:val="clear" w:color="auto" w:fill="auto"/>
            <w:noWrap/>
          </w:tcPr>
          <w:p w14:paraId="172D46B4" w14:textId="0BD4EA33"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0,4546</w:t>
            </w:r>
          </w:p>
        </w:tc>
        <w:tc>
          <w:tcPr>
            <w:tcW w:w="1286" w:type="dxa"/>
            <w:tcBorders>
              <w:top w:val="nil"/>
            </w:tcBorders>
            <w:shd w:val="clear" w:color="auto" w:fill="auto"/>
            <w:noWrap/>
          </w:tcPr>
          <w:p w14:paraId="3EFE1253" w14:textId="022964A6"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29 382 </w:t>
            </w:r>
          </w:p>
        </w:tc>
      </w:tr>
      <w:tr w:rsidR="002E42B1" w:rsidRPr="002927A1" w14:paraId="7F17E261" w14:textId="77777777" w:rsidTr="00FA5D35">
        <w:tc>
          <w:tcPr>
            <w:tcW w:w="0" w:type="auto"/>
            <w:tcBorders>
              <w:top w:val="nil"/>
            </w:tcBorders>
            <w:shd w:val="clear" w:color="auto" w:fill="auto"/>
            <w:noWrap/>
          </w:tcPr>
          <w:p w14:paraId="2B7463A5" w14:textId="38998A88"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106</w:t>
            </w:r>
          </w:p>
        </w:tc>
        <w:tc>
          <w:tcPr>
            <w:tcW w:w="0" w:type="auto"/>
            <w:tcBorders>
              <w:top w:val="nil"/>
            </w:tcBorders>
            <w:shd w:val="clear" w:color="auto" w:fill="auto"/>
          </w:tcPr>
          <w:p w14:paraId="2B1F7AD3" w14:textId="0906E32D"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Liechtenstein</w:t>
            </w:r>
          </w:p>
        </w:tc>
        <w:tc>
          <w:tcPr>
            <w:tcW w:w="1424" w:type="dxa"/>
            <w:tcBorders>
              <w:top w:val="nil"/>
            </w:tcBorders>
            <w:shd w:val="clear" w:color="auto" w:fill="auto"/>
            <w:noWrap/>
          </w:tcPr>
          <w:p w14:paraId="71B7A7DF" w14:textId="6845ED4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tcBorders>
            <w:shd w:val="clear" w:color="auto" w:fill="auto"/>
            <w:noWrap/>
          </w:tcPr>
          <w:p w14:paraId="2DB01132" w14:textId="5DACD79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tcBorders>
            <w:shd w:val="clear" w:color="auto" w:fill="auto"/>
            <w:noWrap/>
          </w:tcPr>
          <w:p w14:paraId="56907651" w14:textId="4AD8DA5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2E42B1" w:rsidRPr="002927A1" w14:paraId="44F6D7EE" w14:textId="77777777" w:rsidTr="00FA5D35">
        <w:tc>
          <w:tcPr>
            <w:tcW w:w="0" w:type="auto"/>
            <w:tcBorders>
              <w:top w:val="nil"/>
            </w:tcBorders>
            <w:shd w:val="clear" w:color="auto" w:fill="auto"/>
            <w:noWrap/>
          </w:tcPr>
          <w:p w14:paraId="5254A517" w14:textId="756455C0"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107</w:t>
            </w:r>
          </w:p>
        </w:tc>
        <w:tc>
          <w:tcPr>
            <w:tcW w:w="0" w:type="auto"/>
            <w:tcBorders>
              <w:top w:val="nil"/>
            </w:tcBorders>
            <w:shd w:val="clear" w:color="auto" w:fill="auto"/>
          </w:tcPr>
          <w:p w14:paraId="144E34F5" w14:textId="7C3DCEF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Luxemburgo</w:t>
            </w:r>
          </w:p>
        </w:tc>
        <w:tc>
          <w:tcPr>
            <w:tcW w:w="1424" w:type="dxa"/>
            <w:tcBorders>
              <w:top w:val="nil"/>
            </w:tcBorders>
            <w:shd w:val="clear" w:color="auto" w:fill="auto"/>
            <w:noWrap/>
          </w:tcPr>
          <w:p w14:paraId="17524711" w14:textId="6A39C7D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0,067</w:t>
            </w:r>
          </w:p>
        </w:tc>
        <w:tc>
          <w:tcPr>
            <w:tcW w:w="0" w:type="auto"/>
            <w:tcBorders>
              <w:top w:val="nil"/>
            </w:tcBorders>
            <w:shd w:val="clear" w:color="auto" w:fill="auto"/>
            <w:noWrap/>
          </w:tcPr>
          <w:p w14:paraId="4A7D0329" w14:textId="45B5B6D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0,0821</w:t>
            </w:r>
          </w:p>
        </w:tc>
        <w:tc>
          <w:tcPr>
            <w:tcW w:w="1286" w:type="dxa"/>
            <w:tcBorders>
              <w:top w:val="nil"/>
            </w:tcBorders>
            <w:shd w:val="clear" w:color="auto" w:fill="auto"/>
            <w:noWrap/>
          </w:tcPr>
          <w:p w14:paraId="38EF0746" w14:textId="67332C9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5 306 </w:t>
            </w:r>
          </w:p>
        </w:tc>
      </w:tr>
      <w:tr w:rsidR="002E42B1" w:rsidRPr="002927A1" w14:paraId="0CFD6F74" w14:textId="77777777" w:rsidTr="00FA5D35">
        <w:tc>
          <w:tcPr>
            <w:tcW w:w="0" w:type="auto"/>
            <w:tcBorders>
              <w:top w:val="nil"/>
            </w:tcBorders>
            <w:shd w:val="clear" w:color="auto" w:fill="auto"/>
            <w:noWrap/>
          </w:tcPr>
          <w:p w14:paraId="4CC69496" w14:textId="253A987E"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108</w:t>
            </w:r>
          </w:p>
        </w:tc>
        <w:tc>
          <w:tcPr>
            <w:tcW w:w="0" w:type="auto"/>
            <w:tcBorders>
              <w:top w:val="nil"/>
            </w:tcBorders>
            <w:shd w:val="clear" w:color="auto" w:fill="auto"/>
          </w:tcPr>
          <w:p w14:paraId="793F1123" w14:textId="3143882F"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Malta</w:t>
            </w:r>
          </w:p>
        </w:tc>
        <w:tc>
          <w:tcPr>
            <w:tcW w:w="1424" w:type="dxa"/>
            <w:tcBorders>
              <w:top w:val="nil"/>
            </w:tcBorders>
            <w:shd w:val="clear" w:color="auto" w:fill="auto"/>
            <w:noWrap/>
          </w:tcPr>
          <w:p w14:paraId="038152F8" w14:textId="06CC444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0,017</w:t>
            </w:r>
          </w:p>
        </w:tc>
        <w:tc>
          <w:tcPr>
            <w:tcW w:w="0" w:type="auto"/>
            <w:tcBorders>
              <w:top w:val="nil"/>
            </w:tcBorders>
            <w:shd w:val="clear" w:color="auto" w:fill="auto"/>
            <w:noWrap/>
          </w:tcPr>
          <w:p w14:paraId="1358B343" w14:textId="6564ED8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0,0208</w:t>
            </w:r>
          </w:p>
        </w:tc>
        <w:tc>
          <w:tcPr>
            <w:tcW w:w="1286" w:type="dxa"/>
            <w:tcBorders>
              <w:top w:val="nil"/>
            </w:tcBorders>
            <w:shd w:val="clear" w:color="auto" w:fill="auto"/>
            <w:noWrap/>
          </w:tcPr>
          <w:p w14:paraId="4CE1C989" w14:textId="6BFA212C"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1 346 </w:t>
            </w:r>
          </w:p>
        </w:tc>
      </w:tr>
      <w:tr w:rsidR="002E42B1" w:rsidRPr="002927A1" w14:paraId="31DF6FBA" w14:textId="77777777" w:rsidTr="00FA5D35">
        <w:tc>
          <w:tcPr>
            <w:tcW w:w="0" w:type="auto"/>
            <w:tcBorders>
              <w:top w:val="nil"/>
            </w:tcBorders>
            <w:shd w:val="clear" w:color="auto" w:fill="auto"/>
            <w:noWrap/>
          </w:tcPr>
          <w:p w14:paraId="71A97115" w14:textId="53F8E96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109</w:t>
            </w:r>
          </w:p>
        </w:tc>
        <w:tc>
          <w:tcPr>
            <w:tcW w:w="0" w:type="auto"/>
            <w:tcBorders>
              <w:top w:val="nil"/>
            </w:tcBorders>
            <w:shd w:val="clear" w:color="auto" w:fill="auto"/>
          </w:tcPr>
          <w:p w14:paraId="0C641876" w14:textId="75D784D9"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Mónaco</w:t>
            </w:r>
          </w:p>
        </w:tc>
        <w:tc>
          <w:tcPr>
            <w:tcW w:w="1424" w:type="dxa"/>
            <w:tcBorders>
              <w:top w:val="nil"/>
            </w:tcBorders>
            <w:shd w:val="clear" w:color="auto" w:fill="auto"/>
            <w:noWrap/>
          </w:tcPr>
          <w:p w14:paraId="770B14A5" w14:textId="6810806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w:t>
            </w:r>
          </w:p>
        </w:tc>
        <w:tc>
          <w:tcPr>
            <w:tcW w:w="0" w:type="auto"/>
            <w:tcBorders>
              <w:top w:val="nil"/>
            </w:tcBorders>
            <w:shd w:val="clear" w:color="auto" w:fill="auto"/>
            <w:noWrap/>
          </w:tcPr>
          <w:p w14:paraId="7F23FD77" w14:textId="5C19D35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0,0135</w:t>
            </w:r>
          </w:p>
        </w:tc>
        <w:tc>
          <w:tcPr>
            <w:tcW w:w="1286" w:type="dxa"/>
            <w:tcBorders>
              <w:top w:val="nil"/>
            </w:tcBorders>
            <w:shd w:val="clear" w:color="auto" w:fill="auto"/>
            <w:noWrap/>
          </w:tcPr>
          <w:p w14:paraId="22BFC46E" w14:textId="65CDA318"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871 </w:t>
            </w:r>
          </w:p>
        </w:tc>
      </w:tr>
      <w:tr w:rsidR="002E42B1" w:rsidRPr="002927A1" w14:paraId="4DE9D783" w14:textId="77777777" w:rsidTr="00FA5D35">
        <w:tc>
          <w:tcPr>
            <w:tcW w:w="0" w:type="auto"/>
            <w:tcBorders>
              <w:top w:val="nil"/>
            </w:tcBorders>
            <w:shd w:val="clear" w:color="auto" w:fill="auto"/>
            <w:noWrap/>
          </w:tcPr>
          <w:p w14:paraId="63CDFC26" w14:textId="0F1FB14C"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110</w:t>
            </w:r>
          </w:p>
        </w:tc>
        <w:tc>
          <w:tcPr>
            <w:tcW w:w="0" w:type="auto"/>
            <w:tcBorders>
              <w:top w:val="nil"/>
            </w:tcBorders>
            <w:shd w:val="clear" w:color="auto" w:fill="auto"/>
          </w:tcPr>
          <w:p w14:paraId="704F25E1" w14:textId="0522EE6D"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Noruega</w:t>
            </w:r>
          </w:p>
        </w:tc>
        <w:tc>
          <w:tcPr>
            <w:tcW w:w="1424" w:type="dxa"/>
            <w:tcBorders>
              <w:top w:val="nil"/>
            </w:tcBorders>
            <w:shd w:val="clear" w:color="auto" w:fill="auto"/>
            <w:noWrap/>
          </w:tcPr>
          <w:p w14:paraId="276D0E0B" w14:textId="282186F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0,754</w:t>
            </w:r>
          </w:p>
        </w:tc>
        <w:tc>
          <w:tcPr>
            <w:tcW w:w="0" w:type="auto"/>
            <w:tcBorders>
              <w:top w:val="nil"/>
            </w:tcBorders>
            <w:shd w:val="clear" w:color="auto" w:fill="auto"/>
            <w:noWrap/>
          </w:tcPr>
          <w:p w14:paraId="1DC085A7" w14:textId="29429FF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0,9239</w:t>
            </w:r>
          </w:p>
        </w:tc>
        <w:tc>
          <w:tcPr>
            <w:tcW w:w="1286" w:type="dxa"/>
            <w:tcBorders>
              <w:top w:val="nil"/>
            </w:tcBorders>
            <w:shd w:val="clear" w:color="auto" w:fill="auto"/>
            <w:noWrap/>
          </w:tcPr>
          <w:p w14:paraId="7DD42058" w14:textId="7C00C84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59 714 </w:t>
            </w:r>
          </w:p>
        </w:tc>
      </w:tr>
      <w:tr w:rsidR="002E42B1" w:rsidRPr="002927A1" w14:paraId="5DFFEE96" w14:textId="77777777" w:rsidTr="00FA5D35">
        <w:tc>
          <w:tcPr>
            <w:tcW w:w="0" w:type="auto"/>
            <w:tcBorders>
              <w:top w:val="nil"/>
            </w:tcBorders>
            <w:shd w:val="clear" w:color="auto" w:fill="auto"/>
            <w:noWrap/>
          </w:tcPr>
          <w:p w14:paraId="1EFDAD0F" w14:textId="4DE17B03"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111</w:t>
            </w:r>
          </w:p>
        </w:tc>
        <w:tc>
          <w:tcPr>
            <w:tcW w:w="0" w:type="auto"/>
            <w:tcBorders>
              <w:top w:val="nil"/>
            </w:tcBorders>
            <w:shd w:val="clear" w:color="auto" w:fill="auto"/>
          </w:tcPr>
          <w:p w14:paraId="04E4E495" w14:textId="45117443"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Países Bajos</w:t>
            </w:r>
          </w:p>
        </w:tc>
        <w:tc>
          <w:tcPr>
            <w:tcW w:w="1424" w:type="dxa"/>
            <w:tcBorders>
              <w:top w:val="nil"/>
            </w:tcBorders>
            <w:shd w:val="clear" w:color="auto" w:fill="auto"/>
            <w:noWrap/>
          </w:tcPr>
          <w:p w14:paraId="5C21CA38" w14:textId="49A6080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1,356</w:t>
            </w:r>
          </w:p>
        </w:tc>
        <w:tc>
          <w:tcPr>
            <w:tcW w:w="0" w:type="auto"/>
            <w:tcBorders>
              <w:top w:val="nil"/>
            </w:tcBorders>
            <w:shd w:val="clear" w:color="auto" w:fill="auto"/>
            <w:noWrap/>
          </w:tcPr>
          <w:p w14:paraId="1757B8FD" w14:textId="018EDEA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1,6616</w:t>
            </w:r>
          </w:p>
        </w:tc>
        <w:tc>
          <w:tcPr>
            <w:tcW w:w="1286" w:type="dxa"/>
            <w:tcBorders>
              <w:top w:val="nil"/>
            </w:tcBorders>
            <w:shd w:val="clear" w:color="auto" w:fill="auto"/>
            <w:noWrap/>
          </w:tcPr>
          <w:p w14:paraId="1B6071F1" w14:textId="61001B3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107 390 </w:t>
            </w:r>
          </w:p>
        </w:tc>
      </w:tr>
      <w:tr w:rsidR="002E42B1" w:rsidRPr="002927A1" w14:paraId="6CC24923" w14:textId="77777777" w:rsidTr="00FA5D35">
        <w:tc>
          <w:tcPr>
            <w:tcW w:w="0" w:type="auto"/>
            <w:tcBorders>
              <w:top w:val="nil"/>
            </w:tcBorders>
            <w:shd w:val="clear" w:color="auto" w:fill="auto"/>
            <w:noWrap/>
          </w:tcPr>
          <w:p w14:paraId="3E70C7A2" w14:textId="5E390A17"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112</w:t>
            </w:r>
          </w:p>
        </w:tc>
        <w:tc>
          <w:tcPr>
            <w:tcW w:w="0" w:type="auto"/>
            <w:tcBorders>
              <w:top w:val="nil"/>
            </w:tcBorders>
            <w:shd w:val="clear" w:color="auto" w:fill="auto"/>
          </w:tcPr>
          <w:p w14:paraId="07A77536" w14:textId="1E90D8EE"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Portugal</w:t>
            </w:r>
          </w:p>
        </w:tc>
        <w:tc>
          <w:tcPr>
            <w:tcW w:w="1424" w:type="dxa"/>
            <w:tcBorders>
              <w:top w:val="nil"/>
            </w:tcBorders>
            <w:shd w:val="clear" w:color="auto" w:fill="auto"/>
            <w:noWrap/>
          </w:tcPr>
          <w:p w14:paraId="3E48468C" w14:textId="35DEF735"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0,35</w:t>
            </w:r>
          </w:p>
        </w:tc>
        <w:tc>
          <w:tcPr>
            <w:tcW w:w="0" w:type="auto"/>
            <w:tcBorders>
              <w:top w:val="nil"/>
            </w:tcBorders>
            <w:shd w:val="clear" w:color="auto" w:fill="auto"/>
            <w:noWrap/>
          </w:tcPr>
          <w:p w14:paraId="75C74FF5" w14:textId="45BE707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0,4289</w:t>
            </w:r>
          </w:p>
        </w:tc>
        <w:tc>
          <w:tcPr>
            <w:tcW w:w="1286" w:type="dxa"/>
            <w:tcBorders>
              <w:top w:val="nil"/>
            </w:tcBorders>
            <w:shd w:val="clear" w:color="auto" w:fill="auto"/>
            <w:noWrap/>
          </w:tcPr>
          <w:p w14:paraId="7A5367CE" w14:textId="35EC5DC4"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27 719 </w:t>
            </w:r>
          </w:p>
        </w:tc>
      </w:tr>
      <w:tr w:rsidR="002E42B1" w:rsidRPr="002927A1" w14:paraId="23AD4A4E" w14:textId="77777777" w:rsidTr="00FA5D35">
        <w:tc>
          <w:tcPr>
            <w:tcW w:w="0" w:type="auto"/>
            <w:tcBorders>
              <w:top w:val="nil"/>
            </w:tcBorders>
            <w:shd w:val="clear" w:color="auto" w:fill="auto"/>
            <w:noWrap/>
          </w:tcPr>
          <w:p w14:paraId="721DA941" w14:textId="4D44F2B1"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113</w:t>
            </w:r>
          </w:p>
        </w:tc>
        <w:tc>
          <w:tcPr>
            <w:tcW w:w="0" w:type="auto"/>
            <w:tcBorders>
              <w:top w:val="nil"/>
            </w:tcBorders>
            <w:shd w:val="clear" w:color="auto" w:fill="auto"/>
          </w:tcPr>
          <w:p w14:paraId="76F32223" w14:textId="47D60351"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Suecia</w:t>
            </w:r>
          </w:p>
        </w:tc>
        <w:tc>
          <w:tcPr>
            <w:tcW w:w="1424" w:type="dxa"/>
            <w:tcBorders>
              <w:top w:val="nil"/>
            </w:tcBorders>
            <w:shd w:val="clear" w:color="auto" w:fill="auto"/>
            <w:noWrap/>
          </w:tcPr>
          <w:p w14:paraId="68719EE9" w14:textId="784A0F7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0,906</w:t>
            </w:r>
          </w:p>
        </w:tc>
        <w:tc>
          <w:tcPr>
            <w:tcW w:w="0" w:type="auto"/>
            <w:tcBorders>
              <w:top w:val="nil"/>
            </w:tcBorders>
            <w:shd w:val="clear" w:color="auto" w:fill="auto"/>
            <w:noWrap/>
          </w:tcPr>
          <w:p w14:paraId="69EA36C5" w14:textId="4C404EA7"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1,1102</w:t>
            </w:r>
          </w:p>
        </w:tc>
        <w:tc>
          <w:tcPr>
            <w:tcW w:w="1286" w:type="dxa"/>
            <w:tcBorders>
              <w:top w:val="nil"/>
            </w:tcBorders>
            <w:shd w:val="clear" w:color="auto" w:fill="auto"/>
            <w:noWrap/>
          </w:tcPr>
          <w:p w14:paraId="59441382" w14:textId="5A16316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71 751 </w:t>
            </w:r>
          </w:p>
        </w:tc>
      </w:tr>
      <w:tr w:rsidR="002E42B1" w:rsidRPr="002927A1" w14:paraId="11C735E4" w14:textId="77777777" w:rsidTr="00FA5D35">
        <w:tc>
          <w:tcPr>
            <w:tcW w:w="0" w:type="auto"/>
            <w:tcBorders>
              <w:top w:val="nil"/>
            </w:tcBorders>
            <w:shd w:val="clear" w:color="auto" w:fill="auto"/>
            <w:noWrap/>
          </w:tcPr>
          <w:p w14:paraId="747CB4EE" w14:textId="691F3E13"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114</w:t>
            </w:r>
          </w:p>
        </w:tc>
        <w:tc>
          <w:tcPr>
            <w:tcW w:w="0" w:type="auto"/>
            <w:tcBorders>
              <w:top w:val="nil"/>
            </w:tcBorders>
            <w:shd w:val="clear" w:color="auto" w:fill="auto"/>
          </w:tcPr>
          <w:p w14:paraId="6F35F9FB" w14:textId="207273B2"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Suiza</w:t>
            </w:r>
          </w:p>
        </w:tc>
        <w:tc>
          <w:tcPr>
            <w:tcW w:w="1424" w:type="dxa"/>
            <w:tcBorders>
              <w:top w:val="nil"/>
            </w:tcBorders>
            <w:shd w:val="clear" w:color="auto" w:fill="auto"/>
            <w:noWrap/>
          </w:tcPr>
          <w:p w14:paraId="04C40534" w14:textId="61CD326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1,151</w:t>
            </w:r>
          </w:p>
        </w:tc>
        <w:tc>
          <w:tcPr>
            <w:tcW w:w="0" w:type="auto"/>
            <w:tcBorders>
              <w:top w:val="nil"/>
            </w:tcBorders>
            <w:shd w:val="clear" w:color="auto" w:fill="auto"/>
            <w:noWrap/>
          </w:tcPr>
          <w:p w14:paraId="6F084878" w14:textId="18128E5B"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1,4104</w:t>
            </w:r>
          </w:p>
        </w:tc>
        <w:tc>
          <w:tcPr>
            <w:tcW w:w="1286" w:type="dxa"/>
            <w:tcBorders>
              <w:top w:val="nil"/>
            </w:tcBorders>
            <w:shd w:val="clear" w:color="auto" w:fill="auto"/>
            <w:noWrap/>
          </w:tcPr>
          <w:p w14:paraId="2BD126B8" w14:textId="1AEBE7BE"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91 154 </w:t>
            </w:r>
          </w:p>
        </w:tc>
      </w:tr>
      <w:tr w:rsidR="002E42B1" w:rsidRPr="002927A1" w14:paraId="73B0E973" w14:textId="77777777" w:rsidTr="00FA5D35">
        <w:tc>
          <w:tcPr>
            <w:tcW w:w="0" w:type="auto"/>
            <w:tcBorders>
              <w:top w:val="nil"/>
            </w:tcBorders>
            <w:shd w:val="clear" w:color="auto" w:fill="auto"/>
            <w:noWrap/>
          </w:tcPr>
          <w:p w14:paraId="226B2586" w14:textId="6E9D4D92"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115</w:t>
            </w:r>
          </w:p>
        </w:tc>
        <w:tc>
          <w:tcPr>
            <w:tcW w:w="0" w:type="auto"/>
            <w:tcBorders>
              <w:top w:val="nil"/>
            </w:tcBorders>
            <w:shd w:val="clear" w:color="auto" w:fill="auto"/>
          </w:tcPr>
          <w:p w14:paraId="038B5A47" w14:textId="67261DB7"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Reino Unido de Gran Bretaña e Irlanda del Norte</w:t>
            </w:r>
          </w:p>
        </w:tc>
        <w:tc>
          <w:tcPr>
            <w:tcW w:w="1424" w:type="dxa"/>
            <w:tcBorders>
              <w:top w:val="nil"/>
            </w:tcBorders>
            <w:shd w:val="clear" w:color="auto" w:fill="auto"/>
            <w:noWrap/>
          </w:tcPr>
          <w:p w14:paraId="14130C0B" w14:textId="3C4EF070"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4,567</w:t>
            </w:r>
          </w:p>
        </w:tc>
        <w:tc>
          <w:tcPr>
            <w:tcW w:w="0" w:type="auto"/>
            <w:tcBorders>
              <w:top w:val="nil"/>
            </w:tcBorders>
            <w:shd w:val="clear" w:color="auto" w:fill="auto"/>
            <w:noWrap/>
          </w:tcPr>
          <w:p w14:paraId="39C1C8F4" w14:textId="3B6AD54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5,5962</w:t>
            </w:r>
          </w:p>
        </w:tc>
        <w:tc>
          <w:tcPr>
            <w:tcW w:w="1286" w:type="dxa"/>
            <w:tcBorders>
              <w:top w:val="nil"/>
            </w:tcBorders>
            <w:shd w:val="clear" w:color="auto" w:fill="auto"/>
            <w:noWrap/>
          </w:tcPr>
          <w:p w14:paraId="5A471301" w14:textId="0C85B1EF"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361 688 </w:t>
            </w:r>
          </w:p>
        </w:tc>
      </w:tr>
      <w:tr w:rsidR="002E42B1" w:rsidRPr="002927A1" w14:paraId="2E6660F5" w14:textId="77777777" w:rsidTr="00FA5D35">
        <w:tc>
          <w:tcPr>
            <w:tcW w:w="0" w:type="auto"/>
            <w:tcBorders>
              <w:top w:val="nil"/>
            </w:tcBorders>
            <w:shd w:val="clear" w:color="auto" w:fill="auto"/>
            <w:noWrap/>
          </w:tcPr>
          <w:p w14:paraId="64F8C3AE" w14:textId="150CDFAF" w:rsidR="002E42B1" w:rsidRPr="002927A1" w:rsidRDefault="002E42B1" w:rsidP="002E42B1">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116</w:t>
            </w:r>
          </w:p>
        </w:tc>
        <w:tc>
          <w:tcPr>
            <w:tcW w:w="0" w:type="auto"/>
            <w:tcBorders>
              <w:top w:val="nil"/>
            </w:tcBorders>
            <w:shd w:val="clear" w:color="auto" w:fill="auto"/>
          </w:tcPr>
          <w:p w14:paraId="3677E16C" w14:textId="0007D1D4"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Unión Europea</w:t>
            </w:r>
          </w:p>
        </w:tc>
        <w:tc>
          <w:tcPr>
            <w:tcW w:w="1424" w:type="dxa"/>
            <w:tcBorders>
              <w:top w:val="nil"/>
            </w:tcBorders>
            <w:shd w:val="clear" w:color="auto" w:fill="auto"/>
            <w:noWrap/>
          </w:tcPr>
          <w:p w14:paraId="300FC5B3" w14:textId="470967B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2,5</w:t>
            </w:r>
          </w:p>
        </w:tc>
        <w:tc>
          <w:tcPr>
            <w:tcW w:w="0" w:type="auto"/>
            <w:tcBorders>
              <w:top w:val="nil"/>
            </w:tcBorders>
            <w:shd w:val="clear" w:color="auto" w:fill="auto"/>
            <w:noWrap/>
          </w:tcPr>
          <w:p w14:paraId="68203938" w14:textId="4EDDA091"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2,5000</w:t>
            </w:r>
          </w:p>
        </w:tc>
        <w:tc>
          <w:tcPr>
            <w:tcW w:w="1286" w:type="dxa"/>
            <w:tcBorders>
              <w:top w:val="nil"/>
            </w:tcBorders>
            <w:shd w:val="clear" w:color="auto" w:fill="auto"/>
            <w:noWrap/>
          </w:tcPr>
          <w:p w14:paraId="37400757" w14:textId="2765B92A"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161 578 </w:t>
            </w:r>
          </w:p>
        </w:tc>
      </w:tr>
      <w:tr w:rsidR="002E42B1" w:rsidRPr="002927A1" w14:paraId="0C7AE492" w14:textId="77777777" w:rsidTr="00FA5D35">
        <w:tc>
          <w:tcPr>
            <w:tcW w:w="5557" w:type="dxa"/>
            <w:gridSpan w:val="3"/>
            <w:tcBorders>
              <w:top w:val="single" w:sz="4" w:space="0" w:color="000000" w:themeColor="text1"/>
              <w:bottom w:val="single" w:sz="4" w:space="0" w:color="000000" w:themeColor="text1"/>
            </w:tcBorders>
            <w:shd w:val="clear" w:color="auto" w:fill="auto"/>
            <w:noWrap/>
            <w:hideMark/>
          </w:tcPr>
          <w:p w14:paraId="1BB5FF90" w14:textId="0AA71D9A"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Total de cuotas</w:t>
            </w:r>
          </w:p>
        </w:tc>
        <w:tc>
          <w:tcPr>
            <w:tcW w:w="0" w:type="auto"/>
            <w:tcBorders>
              <w:top w:val="single" w:sz="4" w:space="0" w:color="000000" w:themeColor="text1"/>
              <w:bottom w:val="single" w:sz="4" w:space="0" w:color="000000" w:themeColor="text1"/>
            </w:tcBorders>
            <w:shd w:val="clear" w:color="auto" w:fill="auto"/>
            <w:noWrap/>
            <w:hideMark/>
          </w:tcPr>
          <w:p w14:paraId="3019EA0A" w14:textId="6A102199"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100,00</w:t>
            </w:r>
          </w:p>
        </w:tc>
        <w:tc>
          <w:tcPr>
            <w:tcW w:w="1286" w:type="dxa"/>
            <w:tcBorders>
              <w:top w:val="single" w:sz="4" w:space="0" w:color="000000" w:themeColor="text1"/>
              <w:bottom w:val="single" w:sz="4" w:space="0" w:color="000000" w:themeColor="text1"/>
            </w:tcBorders>
            <w:shd w:val="clear" w:color="auto" w:fill="auto"/>
            <w:noWrap/>
            <w:hideMark/>
          </w:tcPr>
          <w:p w14:paraId="6D345A58" w14:textId="0E52A1E7" w:rsidR="002E42B1" w:rsidRPr="002927A1" w:rsidRDefault="008E64BE" w:rsidP="002E42B1">
            <w:pPr>
              <w:tabs>
                <w:tab w:val="clear" w:pos="1247"/>
                <w:tab w:val="clear" w:pos="1814"/>
                <w:tab w:val="clear" w:pos="2381"/>
                <w:tab w:val="clear" w:pos="2948"/>
                <w:tab w:val="clear" w:pos="3515"/>
              </w:tabs>
              <w:spacing w:before="40" w:after="40"/>
              <w:jc w:val="right"/>
              <w:rPr>
                <w:rFonts w:asciiTheme="majorBidi" w:hAnsiTheme="majorBidi" w:cstheme="majorBidi"/>
                <w:b/>
                <w:bCs/>
                <w:color w:val="000000"/>
                <w:sz w:val="18"/>
                <w:szCs w:val="18"/>
                <w:lang w:eastAsia="zh-CN"/>
              </w:rPr>
            </w:pPr>
            <w:r>
              <w:rPr>
                <w:rFonts w:asciiTheme="majorBidi" w:hAnsiTheme="majorBidi" w:cstheme="majorBidi"/>
                <w:b/>
                <w:bCs/>
                <w:color w:val="000000"/>
                <w:sz w:val="18"/>
                <w:szCs w:val="18"/>
                <w:lang w:eastAsia="zh-CN"/>
              </w:rPr>
              <w:t xml:space="preserve">6 </w:t>
            </w:r>
            <w:r w:rsidR="002E42B1" w:rsidRPr="002927A1">
              <w:rPr>
                <w:rFonts w:asciiTheme="majorBidi" w:hAnsiTheme="majorBidi" w:cstheme="majorBidi"/>
                <w:b/>
                <w:bCs/>
                <w:color w:val="000000"/>
                <w:sz w:val="18"/>
                <w:szCs w:val="18"/>
                <w:lang w:eastAsia="zh-CN"/>
              </w:rPr>
              <w:t xml:space="preserve">463 115 </w:t>
            </w:r>
          </w:p>
        </w:tc>
      </w:tr>
      <w:tr w:rsidR="002E42B1" w:rsidRPr="002927A1" w14:paraId="675A76D6" w14:textId="77777777" w:rsidTr="00FA5D35">
        <w:tc>
          <w:tcPr>
            <w:tcW w:w="6911" w:type="dxa"/>
            <w:gridSpan w:val="4"/>
            <w:tcBorders>
              <w:top w:val="single" w:sz="4" w:space="0" w:color="000000" w:themeColor="text1"/>
              <w:bottom w:val="single" w:sz="12" w:space="0" w:color="000000" w:themeColor="text1"/>
            </w:tcBorders>
            <w:shd w:val="clear" w:color="auto" w:fill="auto"/>
            <w:hideMark/>
          </w:tcPr>
          <w:p w14:paraId="619F7F97" w14:textId="7A92C5F5" w:rsidR="002E42B1" w:rsidRPr="002927A1" w:rsidRDefault="002E42B1" w:rsidP="002E42B1">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xml:space="preserve">Presupuesto total </w:t>
            </w:r>
            <w:r w:rsidRPr="002927A1">
              <w:rPr>
                <w:rFonts w:asciiTheme="majorBidi" w:hAnsiTheme="majorBidi" w:cstheme="majorBidi"/>
                <w:b/>
                <w:bCs/>
                <w:color w:val="000000"/>
                <w:sz w:val="18"/>
                <w:szCs w:val="18"/>
                <w:lang w:eastAsia="zh-CN"/>
              </w:rPr>
              <w:br/>
              <w:t>(incluidas las contribuciones del país anfitrión*)</w:t>
            </w:r>
          </w:p>
        </w:tc>
        <w:tc>
          <w:tcPr>
            <w:tcW w:w="1286" w:type="dxa"/>
            <w:tcBorders>
              <w:top w:val="single" w:sz="4" w:space="0" w:color="000000" w:themeColor="text1"/>
              <w:bottom w:val="single" w:sz="12" w:space="0" w:color="000000" w:themeColor="text1"/>
            </w:tcBorders>
            <w:shd w:val="clear" w:color="auto" w:fill="auto"/>
            <w:noWrap/>
            <w:hideMark/>
          </w:tcPr>
          <w:p w14:paraId="3EEEB9CB" w14:textId="281479CD" w:rsidR="002E42B1" w:rsidRPr="002927A1" w:rsidRDefault="002E42B1" w:rsidP="002E42B1">
            <w:pPr>
              <w:tabs>
                <w:tab w:val="clear" w:pos="1247"/>
                <w:tab w:val="clear" w:pos="1814"/>
                <w:tab w:val="clear" w:pos="2381"/>
                <w:tab w:val="clear" w:pos="2948"/>
                <w:tab w:val="clear" w:pos="3515"/>
              </w:tabs>
              <w:spacing w:before="40" w:after="40"/>
              <w:jc w:val="right"/>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xml:space="preserve">7 579 959 </w:t>
            </w:r>
          </w:p>
        </w:tc>
      </w:tr>
    </w:tbl>
    <w:p w14:paraId="148DE4A2" w14:textId="4EDB9EE1" w:rsidR="00290418" w:rsidRPr="00FA5D35" w:rsidRDefault="00290418" w:rsidP="0025789B">
      <w:pPr>
        <w:pStyle w:val="Titletable"/>
        <w:tabs>
          <w:tab w:val="clear" w:pos="1247"/>
          <w:tab w:val="clear" w:pos="1814"/>
          <w:tab w:val="clear" w:pos="2381"/>
          <w:tab w:val="clear" w:pos="2948"/>
          <w:tab w:val="clear" w:pos="3515"/>
          <w:tab w:val="clear" w:pos="4082"/>
          <w:tab w:val="left" w:pos="624"/>
        </w:tabs>
        <w:rPr>
          <w:rFonts w:asciiTheme="majorBidi" w:hAnsiTheme="majorBidi" w:cstheme="majorBidi"/>
          <w:b w:val="0"/>
          <w:bCs w:val="0"/>
          <w:sz w:val="17"/>
          <w:szCs w:val="17"/>
          <w:lang w:val="es-ES_tradnl"/>
        </w:rPr>
      </w:pPr>
      <w:r w:rsidRPr="00FA5D35">
        <w:rPr>
          <w:rFonts w:asciiTheme="majorBidi" w:hAnsiTheme="majorBidi" w:cstheme="majorBidi"/>
          <w:b w:val="0"/>
          <w:bCs w:val="0"/>
          <w:sz w:val="17"/>
          <w:szCs w:val="17"/>
          <w:lang w:val="es-ES_tradnl"/>
        </w:rPr>
        <w:t>* Inclu</w:t>
      </w:r>
      <w:r w:rsidR="00A1649B" w:rsidRPr="00FA5D35">
        <w:rPr>
          <w:rFonts w:asciiTheme="majorBidi" w:hAnsiTheme="majorBidi" w:cstheme="majorBidi"/>
          <w:b w:val="0"/>
          <w:bCs w:val="0"/>
          <w:sz w:val="17"/>
          <w:szCs w:val="17"/>
          <w:lang w:val="es-ES_tradnl"/>
        </w:rPr>
        <w:t>ye la contribución</w:t>
      </w:r>
      <w:r w:rsidRPr="00FA5D35">
        <w:rPr>
          <w:rFonts w:asciiTheme="majorBidi" w:hAnsiTheme="majorBidi" w:cstheme="majorBidi"/>
          <w:b w:val="0"/>
          <w:bCs w:val="0"/>
          <w:sz w:val="17"/>
          <w:szCs w:val="17"/>
          <w:lang w:val="es-ES_tradnl"/>
        </w:rPr>
        <w:t xml:space="preserve"> (estima</w:t>
      </w:r>
      <w:r w:rsidR="00A1649B" w:rsidRPr="00FA5D35">
        <w:rPr>
          <w:rFonts w:asciiTheme="majorBidi" w:hAnsiTheme="majorBidi" w:cstheme="majorBidi"/>
          <w:b w:val="0"/>
          <w:bCs w:val="0"/>
          <w:sz w:val="17"/>
          <w:szCs w:val="17"/>
          <w:lang w:val="es-ES_tradnl"/>
        </w:rPr>
        <w:t>da</w:t>
      </w:r>
      <w:r w:rsidRPr="00FA5D35">
        <w:rPr>
          <w:rFonts w:asciiTheme="majorBidi" w:hAnsiTheme="majorBidi" w:cstheme="majorBidi"/>
          <w:b w:val="0"/>
          <w:bCs w:val="0"/>
          <w:sz w:val="17"/>
          <w:szCs w:val="17"/>
          <w:lang w:val="es-ES_tradnl"/>
        </w:rPr>
        <w:t xml:space="preserve">) </w:t>
      </w:r>
      <w:r w:rsidR="00A1649B" w:rsidRPr="00FA5D35">
        <w:rPr>
          <w:rFonts w:asciiTheme="majorBidi" w:hAnsiTheme="majorBidi" w:cstheme="majorBidi"/>
          <w:b w:val="0"/>
          <w:bCs w:val="0"/>
          <w:sz w:val="17"/>
          <w:szCs w:val="17"/>
          <w:lang w:val="es-ES_tradnl"/>
        </w:rPr>
        <w:t>de Suiza como país anfitrión al fondo fiduciario general en dólares de los Estados</w:t>
      </w:r>
      <w:r w:rsidR="00FA5D35">
        <w:rPr>
          <w:rFonts w:asciiTheme="majorBidi" w:hAnsiTheme="majorBidi" w:cstheme="majorBidi"/>
          <w:b w:val="0"/>
          <w:bCs w:val="0"/>
          <w:sz w:val="17"/>
          <w:szCs w:val="17"/>
          <w:lang w:val="es-ES_tradnl"/>
        </w:rPr>
        <w:t> </w:t>
      </w:r>
      <w:r w:rsidR="00A1649B" w:rsidRPr="00FA5D35">
        <w:rPr>
          <w:rFonts w:asciiTheme="majorBidi" w:hAnsiTheme="majorBidi" w:cstheme="majorBidi"/>
          <w:b w:val="0"/>
          <w:bCs w:val="0"/>
          <w:sz w:val="17"/>
          <w:szCs w:val="17"/>
          <w:lang w:val="es-ES_tradnl"/>
        </w:rPr>
        <w:t>Unidos</w:t>
      </w:r>
      <w:r w:rsidR="006B3037" w:rsidRPr="00FA5D35">
        <w:rPr>
          <w:rFonts w:asciiTheme="majorBidi" w:hAnsiTheme="majorBidi" w:cstheme="majorBidi"/>
          <w:b w:val="0"/>
          <w:bCs w:val="0"/>
          <w:sz w:val="17"/>
          <w:szCs w:val="17"/>
          <w:lang w:val="es-ES_tradnl"/>
        </w:rPr>
        <w:t>.</w:t>
      </w:r>
    </w:p>
    <w:p w14:paraId="422088A0" w14:textId="77777777" w:rsidR="00290418" w:rsidRPr="002927A1" w:rsidRDefault="00290418" w:rsidP="00290418">
      <w:pPr>
        <w:tabs>
          <w:tab w:val="clear" w:pos="1247"/>
          <w:tab w:val="clear" w:pos="1814"/>
          <w:tab w:val="clear" w:pos="2381"/>
          <w:tab w:val="clear" w:pos="2948"/>
          <w:tab w:val="clear" w:pos="3515"/>
        </w:tabs>
        <w:rPr>
          <w:b/>
          <w:bCs/>
        </w:rPr>
      </w:pPr>
      <w:r w:rsidRPr="002927A1">
        <w:rPr>
          <w:b/>
          <w:bCs/>
        </w:rPr>
        <w:br w:type="page"/>
      </w:r>
    </w:p>
    <w:p w14:paraId="19C29442" w14:textId="1A3E2A04" w:rsidR="00E34240" w:rsidRPr="002927A1" w:rsidRDefault="009754CC" w:rsidP="00E34240">
      <w:pPr>
        <w:pStyle w:val="Titletable"/>
        <w:spacing w:after="0"/>
        <w:rPr>
          <w:lang w:val="es-ES_tradnl"/>
        </w:rPr>
      </w:pPr>
      <w:r w:rsidRPr="002927A1">
        <w:rPr>
          <w:b w:val="0"/>
          <w:lang w:val="es-ES_tradnl"/>
        </w:rPr>
        <w:lastRenderedPageBreak/>
        <w:t xml:space="preserve">Cuadro </w:t>
      </w:r>
      <w:r w:rsidR="00290418" w:rsidRPr="002927A1">
        <w:rPr>
          <w:b w:val="0"/>
          <w:lang w:val="es-ES_tradnl"/>
        </w:rPr>
        <w:t>3</w:t>
      </w:r>
      <w:r w:rsidR="00E34240" w:rsidRPr="002927A1">
        <w:rPr>
          <w:lang w:val="es-ES_tradnl"/>
        </w:rPr>
        <w:t xml:space="preserve"> </w:t>
      </w:r>
      <w:r w:rsidR="00E34240" w:rsidRPr="002927A1">
        <w:rPr>
          <w:lang w:val="es-ES_tradnl"/>
        </w:rPr>
        <w:br/>
      </w:r>
      <w:r w:rsidR="00F14198" w:rsidRPr="002927A1">
        <w:rPr>
          <w:lang w:val="es-ES_tradnl"/>
        </w:rPr>
        <w:t>Necesidades indicativas en materia de personal</w:t>
      </w:r>
      <w:r w:rsidR="00290418" w:rsidRPr="002927A1">
        <w:rPr>
          <w:lang w:val="es-ES_tradnl"/>
        </w:rPr>
        <w:t xml:space="preserve"> </w:t>
      </w:r>
    </w:p>
    <w:p w14:paraId="56672972" w14:textId="40FBB391" w:rsidR="00290418" w:rsidRPr="002927A1" w:rsidRDefault="00290418" w:rsidP="00BC3F9F">
      <w:pPr>
        <w:pStyle w:val="Titletable"/>
        <w:spacing w:before="60"/>
        <w:rPr>
          <w:b w:val="0"/>
          <w:sz w:val="16"/>
          <w:szCs w:val="16"/>
          <w:lang w:val="es-ES_tradnl"/>
        </w:rPr>
      </w:pPr>
      <w:r w:rsidRPr="002927A1">
        <w:rPr>
          <w:b w:val="0"/>
          <w:sz w:val="16"/>
          <w:szCs w:val="16"/>
          <w:lang w:val="es-ES_tradnl"/>
        </w:rPr>
        <w:t>(</w:t>
      </w:r>
      <w:r w:rsidR="00F14198" w:rsidRPr="002927A1">
        <w:rPr>
          <w:b w:val="0"/>
          <w:sz w:val="16"/>
          <w:szCs w:val="16"/>
          <w:lang w:val="es-ES_tradnl"/>
        </w:rPr>
        <w:t xml:space="preserve">en dólares de los Estados </w:t>
      </w:r>
      <w:r w:rsidRPr="002927A1">
        <w:rPr>
          <w:b w:val="0"/>
          <w:sz w:val="16"/>
          <w:szCs w:val="16"/>
          <w:lang w:val="es-ES_tradnl"/>
        </w:rPr>
        <w:t>Uni</w:t>
      </w:r>
      <w:r w:rsidR="00F14198" w:rsidRPr="002927A1">
        <w:rPr>
          <w:b w:val="0"/>
          <w:sz w:val="16"/>
          <w:szCs w:val="16"/>
          <w:lang w:val="es-ES_tradnl"/>
        </w:rPr>
        <w:t>dos</w:t>
      </w:r>
      <w:r w:rsidRPr="002927A1">
        <w:rPr>
          <w:b w:val="0"/>
          <w:sz w:val="16"/>
          <w:szCs w:val="16"/>
          <w:lang w:val="es-ES_tradnl"/>
        </w:rPr>
        <w:t>)</w:t>
      </w:r>
    </w:p>
    <w:tbl>
      <w:tblPr>
        <w:tblW w:w="8307" w:type="dxa"/>
        <w:jc w:val="right"/>
        <w:tblLook w:val="04A0" w:firstRow="1" w:lastRow="0" w:firstColumn="1" w:lastColumn="0" w:noHBand="0" w:noVBand="1"/>
      </w:tblPr>
      <w:tblGrid>
        <w:gridCol w:w="4476"/>
        <w:gridCol w:w="1195"/>
        <w:gridCol w:w="2636"/>
      </w:tblGrid>
      <w:tr w:rsidR="00290418" w:rsidRPr="002927A1" w14:paraId="67C7F114" w14:textId="77777777" w:rsidTr="00BC3F9F">
        <w:trPr>
          <w:trHeight w:val="57"/>
          <w:jc w:val="right"/>
        </w:trPr>
        <w:tc>
          <w:tcPr>
            <w:tcW w:w="4248" w:type="dxa"/>
            <w:tcBorders>
              <w:top w:val="single" w:sz="4" w:space="0" w:color="000000" w:themeColor="text1"/>
              <w:bottom w:val="single" w:sz="12" w:space="0" w:color="000000" w:themeColor="text1"/>
            </w:tcBorders>
            <w:shd w:val="clear" w:color="auto" w:fill="auto"/>
            <w:hideMark/>
          </w:tcPr>
          <w:p w14:paraId="7EBD0762" w14:textId="65958884" w:rsidR="00290418" w:rsidRPr="002927A1" w:rsidRDefault="00F14198" w:rsidP="00F14198">
            <w:pPr>
              <w:tabs>
                <w:tab w:val="clear" w:pos="1247"/>
                <w:tab w:val="clear" w:pos="1814"/>
                <w:tab w:val="clear" w:pos="2381"/>
                <w:tab w:val="clear" w:pos="2948"/>
                <w:tab w:val="clear" w:pos="3515"/>
              </w:tabs>
              <w:spacing w:before="40" w:after="40"/>
              <w:rPr>
                <w:bCs/>
                <w:i/>
                <w:color w:val="000000"/>
                <w:sz w:val="18"/>
                <w:szCs w:val="18"/>
                <w:lang w:eastAsia="zh-CN"/>
              </w:rPr>
            </w:pPr>
            <w:r w:rsidRPr="002927A1">
              <w:rPr>
                <w:bCs/>
                <w:i/>
                <w:color w:val="000000"/>
                <w:sz w:val="18"/>
                <w:szCs w:val="18"/>
                <w:lang w:eastAsia="zh-CN"/>
              </w:rPr>
              <w:t>Cargos</w:t>
            </w:r>
          </w:p>
        </w:tc>
        <w:tc>
          <w:tcPr>
            <w:tcW w:w="1134" w:type="dxa"/>
            <w:tcBorders>
              <w:top w:val="single" w:sz="4" w:space="0" w:color="000000" w:themeColor="text1"/>
              <w:bottom w:val="single" w:sz="12" w:space="0" w:color="000000" w:themeColor="text1"/>
            </w:tcBorders>
            <w:shd w:val="clear" w:color="auto" w:fill="auto"/>
            <w:hideMark/>
          </w:tcPr>
          <w:p w14:paraId="34D13EDA" w14:textId="5E7618B8" w:rsidR="00290418" w:rsidRPr="002927A1" w:rsidRDefault="008E64BE" w:rsidP="00E34240">
            <w:pPr>
              <w:tabs>
                <w:tab w:val="clear" w:pos="1247"/>
                <w:tab w:val="clear" w:pos="1814"/>
                <w:tab w:val="clear" w:pos="2381"/>
                <w:tab w:val="clear" w:pos="2948"/>
                <w:tab w:val="clear" w:pos="3515"/>
              </w:tabs>
              <w:spacing w:before="40" w:after="40"/>
              <w:jc w:val="right"/>
              <w:rPr>
                <w:bCs/>
                <w:i/>
                <w:color w:val="000000"/>
                <w:sz w:val="18"/>
                <w:szCs w:val="18"/>
                <w:lang w:eastAsia="zh-CN"/>
              </w:rPr>
            </w:pPr>
            <w:r>
              <w:rPr>
                <w:bCs/>
                <w:i/>
                <w:color w:val="000000"/>
                <w:sz w:val="18"/>
                <w:szCs w:val="18"/>
                <w:lang w:eastAsia="zh-CN"/>
              </w:rPr>
              <w:t>Cantidad</w:t>
            </w:r>
          </w:p>
        </w:tc>
        <w:tc>
          <w:tcPr>
            <w:tcW w:w="2501" w:type="dxa"/>
            <w:tcBorders>
              <w:top w:val="single" w:sz="4" w:space="0" w:color="000000" w:themeColor="text1"/>
              <w:bottom w:val="single" w:sz="12" w:space="0" w:color="000000" w:themeColor="text1"/>
            </w:tcBorders>
            <w:shd w:val="clear" w:color="auto" w:fill="auto"/>
            <w:hideMark/>
          </w:tcPr>
          <w:p w14:paraId="5A64FB99" w14:textId="1F6120B1" w:rsidR="00290418" w:rsidRPr="002927A1" w:rsidRDefault="00F14198" w:rsidP="00596957">
            <w:pPr>
              <w:tabs>
                <w:tab w:val="clear" w:pos="1247"/>
                <w:tab w:val="clear" w:pos="1814"/>
                <w:tab w:val="clear" w:pos="2381"/>
                <w:tab w:val="clear" w:pos="2948"/>
                <w:tab w:val="clear" w:pos="3515"/>
              </w:tabs>
              <w:spacing w:before="40" w:after="40"/>
              <w:jc w:val="right"/>
              <w:rPr>
                <w:bCs/>
                <w:i/>
                <w:color w:val="000000"/>
                <w:sz w:val="18"/>
                <w:szCs w:val="18"/>
                <w:lang w:eastAsia="zh-CN"/>
              </w:rPr>
            </w:pPr>
            <w:r w:rsidRPr="002927A1">
              <w:rPr>
                <w:bCs/>
                <w:i/>
                <w:color w:val="000000"/>
                <w:sz w:val="18"/>
                <w:szCs w:val="18"/>
                <w:lang w:eastAsia="zh-CN"/>
              </w:rPr>
              <w:t xml:space="preserve">Costos </w:t>
            </w:r>
            <w:r w:rsidR="00A60CBD" w:rsidRPr="002927A1">
              <w:rPr>
                <w:bCs/>
                <w:i/>
                <w:color w:val="000000"/>
                <w:sz w:val="18"/>
                <w:szCs w:val="18"/>
                <w:lang w:eastAsia="zh-CN"/>
              </w:rPr>
              <w:t>totales</w:t>
            </w:r>
            <w:r w:rsidRPr="002927A1">
              <w:rPr>
                <w:bCs/>
                <w:i/>
                <w:color w:val="000000"/>
                <w:sz w:val="18"/>
                <w:szCs w:val="18"/>
                <w:lang w:eastAsia="zh-CN"/>
              </w:rPr>
              <w:t xml:space="preserve"> para el bienio</w:t>
            </w:r>
          </w:p>
          <w:p w14:paraId="6F150494" w14:textId="3CCDC730" w:rsidR="00290418" w:rsidRPr="002927A1" w:rsidRDefault="00290418" w:rsidP="00596957">
            <w:pPr>
              <w:tabs>
                <w:tab w:val="clear" w:pos="1247"/>
                <w:tab w:val="clear" w:pos="1814"/>
                <w:tab w:val="clear" w:pos="2381"/>
                <w:tab w:val="clear" w:pos="2948"/>
                <w:tab w:val="clear" w:pos="3515"/>
              </w:tabs>
              <w:spacing w:before="40" w:after="40"/>
              <w:jc w:val="right"/>
              <w:rPr>
                <w:bCs/>
                <w:i/>
                <w:color w:val="000000"/>
                <w:sz w:val="18"/>
                <w:szCs w:val="18"/>
                <w:lang w:eastAsia="zh-CN"/>
              </w:rPr>
            </w:pPr>
            <w:r w:rsidRPr="002927A1">
              <w:rPr>
                <w:bCs/>
                <w:i/>
                <w:color w:val="000000"/>
                <w:sz w:val="18"/>
                <w:szCs w:val="18"/>
                <w:lang w:eastAsia="zh-CN"/>
              </w:rPr>
              <w:t>2020</w:t>
            </w:r>
            <w:r w:rsidR="00597D8D" w:rsidRPr="002927A1">
              <w:rPr>
                <w:bCs/>
                <w:i/>
                <w:color w:val="000000"/>
                <w:sz w:val="18"/>
                <w:szCs w:val="18"/>
                <w:lang w:eastAsia="zh-CN"/>
              </w:rPr>
              <w:noBreakHyphen/>
            </w:r>
            <w:r w:rsidRPr="002927A1">
              <w:rPr>
                <w:bCs/>
                <w:i/>
                <w:color w:val="000000"/>
                <w:sz w:val="18"/>
                <w:szCs w:val="18"/>
                <w:lang w:eastAsia="zh-CN"/>
              </w:rPr>
              <w:t>2021</w:t>
            </w:r>
          </w:p>
          <w:p w14:paraId="145DA677" w14:textId="047B9BA9" w:rsidR="00290418" w:rsidRPr="002927A1" w:rsidRDefault="00290418" w:rsidP="00F14198">
            <w:pPr>
              <w:tabs>
                <w:tab w:val="clear" w:pos="1247"/>
                <w:tab w:val="clear" w:pos="1814"/>
                <w:tab w:val="clear" w:pos="2381"/>
                <w:tab w:val="clear" w:pos="2948"/>
                <w:tab w:val="clear" w:pos="3515"/>
              </w:tabs>
              <w:spacing w:before="40" w:after="40"/>
              <w:jc w:val="right"/>
              <w:rPr>
                <w:bCs/>
                <w:i/>
                <w:color w:val="000000"/>
                <w:sz w:val="18"/>
                <w:szCs w:val="18"/>
                <w:lang w:eastAsia="zh-CN"/>
              </w:rPr>
            </w:pPr>
            <w:r w:rsidRPr="002927A1">
              <w:rPr>
                <w:bCs/>
                <w:i/>
                <w:color w:val="000000"/>
                <w:sz w:val="18"/>
                <w:szCs w:val="18"/>
                <w:lang w:eastAsia="zh-CN"/>
              </w:rPr>
              <w:t>(</w:t>
            </w:r>
            <w:r w:rsidR="00F14198" w:rsidRPr="002927A1">
              <w:rPr>
                <w:bCs/>
                <w:i/>
                <w:color w:val="000000"/>
                <w:sz w:val="18"/>
                <w:szCs w:val="18"/>
                <w:lang w:eastAsia="zh-CN"/>
              </w:rPr>
              <w:t>Costos estándares por concepto de salario en Ginebra</w:t>
            </w:r>
            <w:r w:rsidRPr="002927A1">
              <w:rPr>
                <w:bCs/>
                <w:i/>
                <w:color w:val="000000"/>
                <w:sz w:val="18"/>
                <w:szCs w:val="18"/>
                <w:lang w:eastAsia="zh-CN"/>
              </w:rPr>
              <w:t>)</w:t>
            </w:r>
          </w:p>
        </w:tc>
      </w:tr>
      <w:tr w:rsidR="00290418" w:rsidRPr="002927A1" w14:paraId="08286D3A" w14:textId="77777777" w:rsidTr="00BC3F9F">
        <w:trPr>
          <w:trHeight w:val="57"/>
          <w:jc w:val="right"/>
        </w:trPr>
        <w:tc>
          <w:tcPr>
            <w:tcW w:w="4248" w:type="dxa"/>
            <w:tcBorders>
              <w:top w:val="single" w:sz="12" w:space="0" w:color="000000" w:themeColor="text1"/>
            </w:tcBorders>
            <w:shd w:val="clear" w:color="auto" w:fill="auto"/>
            <w:noWrap/>
            <w:hideMark/>
          </w:tcPr>
          <w:p w14:paraId="7C7881E6" w14:textId="5129B471" w:rsidR="00290418" w:rsidRPr="002927A1" w:rsidRDefault="00290418" w:rsidP="00F14198">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D-1 </w:t>
            </w:r>
            <w:r w:rsidR="00F14198" w:rsidRPr="002927A1">
              <w:rPr>
                <w:color w:val="000000"/>
                <w:sz w:val="18"/>
                <w:szCs w:val="18"/>
                <w:lang w:eastAsia="zh-CN"/>
              </w:rPr>
              <w:t>Secretaría Ejecutiva</w:t>
            </w:r>
          </w:p>
        </w:tc>
        <w:tc>
          <w:tcPr>
            <w:tcW w:w="1134" w:type="dxa"/>
            <w:tcBorders>
              <w:top w:val="single" w:sz="12" w:space="0" w:color="000000" w:themeColor="text1"/>
            </w:tcBorders>
            <w:shd w:val="clear" w:color="auto" w:fill="auto"/>
            <w:noWrap/>
            <w:hideMark/>
          </w:tcPr>
          <w:p w14:paraId="361C5B80"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tcBorders>
              <w:top w:val="single" w:sz="12" w:space="0" w:color="000000" w:themeColor="text1"/>
            </w:tcBorders>
            <w:shd w:val="clear" w:color="auto" w:fill="auto"/>
            <w:noWrap/>
            <w:hideMark/>
          </w:tcPr>
          <w:p w14:paraId="78EF1C95" w14:textId="64990372"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537</w:t>
            </w:r>
            <w:r w:rsidR="00F22360" w:rsidRPr="002927A1">
              <w:rPr>
                <w:color w:val="000000"/>
                <w:sz w:val="18"/>
                <w:szCs w:val="18"/>
                <w:lang w:eastAsia="zh-CN"/>
              </w:rPr>
              <w:t xml:space="preserve"> </w:t>
            </w:r>
            <w:r w:rsidRPr="002927A1">
              <w:rPr>
                <w:color w:val="000000"/>
                <w:sz w:val="18"/>
                <w:szCs w:val="18"/>
                <w:lang w:eastAsia="zh-CN"/>
              </w:rPr>
              <w:t xml:space="preserve">544 </w:t>
            </w:r>
          </w:p>
        </w:tc>
      </w:tr>
      <w:tr w:rsidR="00290418" w:rsidRPr="002927A1" w14:paraId="27F0C000" w14:textId="77777777" w:rsidTr="00BC3F9F">
        <w:trPr>
          <w:trHeight w:val="57"/>
          <w:jc w:val="right"/>
        </w:trPr>
        <w:tc>
          <w:tcPr>
            <w:tcW w:w="4248" w:type="dxa"/>
            <w:shd w:val="clear" w:color="auto" w:fill="auto"/>
            <w:noWrap/>
            <w:hideMark/>
          </w:tcPr>
          <w:p w14:paraId="11F30F88" w14:textId="588C7179" w:rsidR="00290418" w:rsidRPr="002927A1" w:rsidRDefault="00290418" w:rsidP="00F14198">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P-5 Coordina</w:t>
            </w:r>
            <w:r w:rsidR="00F14198" w:rsidRPr="002927A1">
              <w:rPr>
                <w:color w:val="000000"/>
                <w:sz w:val="18"/>
                <w:szCs w:val="18"/>
                <w:lang w:eastAsia="zh-CN"/>
              </w:rPr>
              <w:t>ción y política</w:t>
            </w:r>
          </w:p>
        </w:tc>
        <w:tc>
          <w:tcPr>
            <w:tcW w:w="1134" w:type="dxa"/>
            <w:shd w:val="clear" w:color="auto" w:fill="auto"/>
            <w:noWrap/>
            <w:hideMark/>
          </w:tcPr>
          <w:p w14:paraId="34A7967E"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1C45418F" w14:textId="5C328D84"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482</w:t>
            </w:r>
            <w:r w:rsidR="00F22360" w:rsidRPr="002927A1">
              <w:rPr>
                <w:color w:val="000000"/>
                <w:sz w:val="18"/>
                <w:szCs w:val="18"/>
                <w:lang w:eastAsia="zh-CN"/>
              </w:rPr>
              <w:t xml:space="preserve"> </w:t>
            </w:r>
            <w:r w:rsidRPr="002927A1">
              <w:rPr>
                <w:color w:val="000000"/>
                <w:sz w:val="18"/>
                <w:szCs w:val="18"/>
                <w:lang w:eastAsia="zh-CN"/>
              </w:rPr>
              <w:t xml:space="preserve">328 </w:t>
            </w:r>
          </w:p>
        </w:tc>
      </w:tr>
      <w:tr w:rsidR="00290418" w:rsidRPr="002927A1" w14:paraId="5FCF4B6F" w14:textId="77777777" w:rsidTr="00BC3F9F">
        <w:trPr>
          <w:trHeight w:val="57"/>
          <w:jc w:val="right"/>
        </w:trPr>
        <w:tc>
          <w:tcPr>
            <w:tcW w:w="4248" w:type="dxa"/>
            <w:shd w:val="clear" w:color="auto" w:fill="auto"/>
            <w:noWrap/>
            <w:hideMark/>
          </w:tcPr>
          <w:p w14:paraId="5A028A8D" w14:textId="077DD21D" w:rsidR="00290418" w:rsidRPr="002927A1" w:rsidRDefault="00290418" w:rsidP="00F14198">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P-4 </w:t>
            </w:r>
            <w:r w:rsidR="00F14198" w:rsidRPr="002927A1">
              <w:rPr>
                <w:color w:val="000000"/>
                <w:sz w:val="18"/>
                <w:szCs w:val="18"/>
                <w:lang w:eastAsia="zh-CN"/>
              </w:rPr>
              <w:t xml:space="preserve">Ciencia y </w:t>
            </w:r>
            <w:r w:rsidRPr="002927A1">
              <w:rPr>
                <w:color w:val="000000"/>
                <w:sz w:val="18"/>
                <w:szCs w:val="18"/>
                <w:lang w:eastAsia="zh-CN"/>
              </w:rPr>
              <w:t>tecnolog</w:t>
            </w:r>
            <w:r w:rsidR="00F14198" w:rsidRPr="002927A1">
              <w:rPr>
                <w:color w:val="000000"/>
                <w:sz w:val="18"/>
                <w:szCs w:val="18"/>
                <w:lang w:eastAsia="zh-CN"/>
              </w:rPr>
              <w:t>ía</w:t>
            </w:r>
          </w:p>
        </w:tc>
        <w:tc>
          <w:tcPr>
            <w:tcW w:w="1134" w:type="dxa"/>
            <w:shd w:val="clear" w:color="auto" w:fill="auto"/>
            <w:noWrap/>
            <w:hideMark/>
          </w:tcPr>
          <w:p w14:paraId="2E8A3929"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07BFAFFE" w14:textId="51C578C9"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414</w:t>
            </w:r>
            <w:r w:rsidR="00F22360" w:rsidRPr="002927A1">
              <w:rPr>
                <w:color w:val="000000"/>
                <w:sz w:val="18"/>
                <w:szCs w:val="18"/>
                <w:lang w:eastAsia="zh-CN"/>
              </w:rPr>
              <w:t xml:space="preserve"> </w:t>
            </w:r>
            <w:r w:rsidRPr="002927A1">
              <w:rPr>
                <w:color w:val="000000"/>
                <w:sz w:val="18"/>
                <w:szCs w:val="18"/>
                <w:lang w:eastAsia="zh-CN"/>
              </w:rPr>
              <w:t xml:space="preserve">120 </w:t>
            </w:r>
          </w:p>
        </w:tc>
      </w:tr>
      <w:tr w:rsidR="00290418" w:rsidRPr="002927A1" w14:paraId="13A258BC" w14:textId="77777777" w:rsidTr="00BC3F9F">
        <w:trPr>
          <w:trHeight w:val="57"/>
          <w:jc w:val="right"/>
        </w:trPr>
        <w:tc>
          <w:tcPr>
            <w:tcW w:w="4248" w:type="dxa"/>
            <w:shd w:val="clear" w:color="auto" w:fill="auto"/>
            <w:noWrap/>
            <w:hideMark/>
          </w:tcPr>
          <w:p w14:paraId="2E8DC8F4" w14:textId="53EBA09A" w:rsidR="00290418" w:rsidRPr="002927A1" w:rsidRDefault="00290418" w:rsidP="00F14198">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P-4 C</w:t>
            </w:r>
            <w:r w:rsidR="00F14198" w:rsidRPr="002927A1">
              <w:rPr>
                <w:color w:val="000000"/>
                <w:sz w:val="18"/>
                <w:szCs w:val="18"/>
                <w:lang w:eastAsia="zh-CN"/>
              </w:rPr>
              <w:t>reación de c</w:t>
            </w:r>
            <w:r w:rsidRPr="002927A1">
              <w:rPr>
                <w:color w:val="000000"/>
                <w:sz w:val="18"/>
                <w:szCs w:val="18"/>
                <w:lang w:eastAsia="zh-CN"/>
              </w:rPr>
              <w:t>apaci</w:t>
            </w:r>
            <w:r w:rsidR="00F14198" w:rsidRPr="002927A1">
              <w:rPr>
                <w:color w:val="000000"/>
                <w:sz w:val="18"/>
                <w:szCs w:val="18"/>
                <w:lang w:eastAsia="zh-CN"/>
              </w:rPr>
              <w:t>dad y asistencia té</w:t>
            </w:r>
            <w:r w:rsidRPr="002927A1">
              <w:rPr>
                <w:color w:val="000000"/>
                <w:sz w:val="18"/>
                <w:szCs w:val="18"/>
                <w:lang w:eastAsia="zh-CN"/>
              </w:rPr>
              <w:t>cnica</w:t>
            </w:r>
          </w:p>
        </w:tc>
        <w:tc>
          <w:tcPr>
            <w:tcW w:w="1134" w:type="dxa"/>
            <w:shd w:val="clear" w:color="auto" w:fill="auto"/>
            <w:noWrap/>
            <w:hideMark/>
          </w:tcPr>
          <w:p w14:paraId="1062F423"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3F3C9EBC" w14:textId="640F6658"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414</w:t>
            </w:r>
            <w:r w:rsidR="00F22360" w:rsidRPr="002927A1">
              <w:rPr>
                <w:color w:val="000000"/>
                <w:sz w:val="18"/>
                <w:szCs w:val="18"/>
                <w:lang w:eastAsia="zh-CN"/>
              </w:rPr>
              <w:t xml:space="preserve"> </w:t>
            </w:r>
            <w:r w:rsidRPr="002927A1">
              <w:rPr>
                <w:color w:val="000000"/>
                <w:sz w:val="18"/>
                <w:szCs w:val="18"/>
                <w:lang w:eastAsia="zh-CN"/>
              </w:rPr>
              <w:t xml:space="preserve">120 </w:t>
            </w:r>
          </w:p>
        </w:tc>
      </w:tr>
      <w:tr w:rsidR="00290418" w:rsidRPr="002927A1" w14:paraId="2A96C7C7" w14:textId="77777777" w:rsidTr="00BC3F9F">
        <w:trPr>
          <w:trHeight w:val="57"/>
          <w:jc w:val="right"/>
        </w:trPr>
        <w:tc>
          <w:tcPr>
            <w:tcW w:w="4248" w:type="dxa"/>
            <w:shd w:val="clear" w:color="auto" w:fill="auto"/>
            <w:noWrap/>
            <w:hideMark/>
          </w:tcPr>
          <w:p w14:paraId="5632CDE2" w14:textId="57C70B2C" w:rsidR="00290418" w:rsidRPr="002927A1" w:rsidRDefault="00F14198" w:rsidP="00F14198">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P-3 Com</w:t>
            </w:r>
            <w:r w:rsidR="00290418" w:rsidRPr="002927A1">
              <w:rPr>
                <w:color w:val="000000"/>
                <w:sz w:val="18"/>
                <w:szCs w:val="18"/>
                <w:lang w:eastAsia="zh-CN"/>
              </w:rPr>
              <w:t>unica</w:t>
            </w:r>
            <w:r w:rsidRPr="002927A1">
              <w:rPr>
                <w:color w:val="000000"/>
                <w:sz w:val="18"/>
                <w:szCs w:val="18"/>
                <w:lang w:eastAsia="zh-CN"/>
              </w:rPr>
              <w:t>ció</w:t>
            </w:r>
            <w:r w:rsidR="00290418" w:rsidRPr="002927A1">
              <w:rPr>
                <w:color w:val="000000"/>
                <w:sz w:val="18"/>
                <w:szCs w:val="18"/>
                <w:lang w:eastAsia="zh-CN"/>
              </w:rPr>
              <w:t xml:space="preserve">n </w:t>
            </w:r>
            <w:r w:rsidRPr="002927A1">
              <w:rPr>
                <w:color w:val="000000"/>
                <w:sz w:val="18"/>
                <w:szCs w:val="18"/>
                <w:lang w:eastAsia="zh-CN"/>
              </w:rPr>
              <w:t>y Gestión de Conocimientos</w:t>
            </w:r>
          </w:p>
        </w:tc>
        <w:tc>
          <w:tcPr>
            <w:tcW w:w="1134" w:type="dxa"/>
            <w:shd w:val="clear" w:color="auto" w:fill="auto"/>
            <w:noWrap/>
            <w:hideMark/>
          </w:tcPr>
          <w:p w14:paraId="761129AB"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0B788BC5" w14:textId="7E40CB0B"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341</w:t>
            </w:r>
            <w:r w:rsidR="00F22360" w:rsidRPr="002927A1">
              <w:rPr>
                <w:color w:val="000000"/>
                <w:sz w:val="18"/>
                <w:szCs w:val="18"/>
                <w:lang w:eastAsia="zh-CN"/>
              </w:rPr>
              <w:t xml:space="preserve"> </w:t>
            </w:r>
            <w:r w:rsidRPr="002927A1">
              <w:rPr>
                <w:color w:val="000000"/>
                <w:sz w:val="18"/>
                <w:szCs w:val="18"/>
                <w:lang w:eastAsia="zh-CN"/>
              </w:rPr>
              <w:t xml:space="preserve">852 </w:t>
            </w:r>
          </w:p>
        </w:tc>
      </w:tr>
      <w:tr w:rsidR="00290418" w:rsidRPr="002927A1" w14:paraId="0840880B" w14:textId="77777777" w:rsidTr="00BC3F9F">
        <w:trPr>
          <w:trHeight w:val="57"/>
          <w:jc w:val="right"/>
        </w:trPr>
        <w:tc>
          <w:tcPr>
            <w:tcW w:w="4248" w:type="dxa"/>
            <w:shd w:val="clear" w:color="auto" w:fill="auto"/>
            <w:noWrap/>
            <w:hideMark/>
          </w:tcPr>
          <w:p w14:paraId="757AF482" w14:textId="7195D8BB" w:rsidR="00290418" w:rsidRPr="002927A1" w:rsidRDefault="00290418" w:rsidP="008117DF">
            <w:pPr>
              <w:tabs>
                <w:tab w:val="clear" w:pos="1247"/>
                <w:tab w:val="clear" w:pos="1814"/>
                <w:tab w:val="clear" w:pos="2381"/>
                <w:tab w:val="clear" w:pos="2948"/>
                <w:tab w:val="clear" w:pos="3515"/>
              </w:tabs>
              <w:spacing w:before="40" w:after="40"/>
              <w:ind w:left="319" w:hanging="319"/>
              <w:rPr>
                <w:color w:val="000000"/>
                <w:sz w:val="18"/>
                <w:szCs w:val="18"/>
                <w:lang w:eastAsia="zh-CN"/>
              </w:rPr>
            </w:pPr>
            <w:r w:rsidRPr="002927A1">
              <w:rPr>
                <w:color w:val="000000"/>
                <w:sz w:val="18"/>
                <w:szCs w:val="18"/>
                <w:lang w:eastAsia="zh-CN"/>
              </w:rPr>
              <w:t xml:space="preserve">P-3 </w:t>
            </w:r>
            <w:r w:rsidR="00F14198" w:rsidRPr="002927A1">
              <w:rPr>
                <w:color w:val="000000"/>
                <w:sz w:val="18"/>
                <w:szCs w:val="18"/>
                <w:lang w:eastAsia="zh-CN"/>
              </w:rPr>
              <w:t xml:space="preserve">Oficial de </w:t>
            </w:r>
            <w:r w:rsidR="008117DF" w:rsidRPr="002927A1">
              <w:rPr>
                <w:color w:val="000000"/>
                <w:sz w:val="18"/>
                <w:szCs w:val="18"/>
                <w:lang w:eastAsia="zh-CN"/>
              </w:rPr>
              <w:t>Programas</w:t>
            </w:r>
            <w:r w:rsidRPr="002927A1">
              <w:rPr>
                <w:color w:val="000000"/>
                <w:sz w:val="18"/>
                <w:szCs w:val="18"/>
                <w:lang w:eastAsia="zh-CN"/>
              </w:rPr>
              <w:t xml:space="preserve"> (</w:t>
            </w:r>
            <w:r w:rsidR="00F14198" w:rsidRPr="002927A1">
              <w:rPr>
                <w:color w:val="000000"/>
                <w:sz w:val="18"/>
                <w:szCs w:val="18"/>
                <w:lang w:eastAsia="zh-CN"/>
              </w:rPr>
              <w:t>Presentación de informes, evaluación de la eficacia</w:t>
            </w:r>
            <w:r w:rsidRPr="002927A1">
              <w:rPr>
                <w:color w:val="000000"/>
                <w:sz w:val="18"/>
                <w:szCs w:val="18"/>
                <w:lang w:eastAsia="zh-CN"/>
              </w:rPr>
              <w:t>)</w:t>
            </w:r>
          </w:p>
        </w:tc>
        <w:tc>
          <w:tcPr>
            <w:tcW w:w="1134" w:type="dxa"/>
            <w:shd w:val="clear" w:color="auto" w:fill="auto"/>
            <w:noWrap/>
            <w:hideMark/>
          </w:tcPr>
          <w:p w14:paraId="0903098E"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54923678" w14:textId="62BACA39"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341</w:t>
            </w:r>
            <w:r w:rsidR="00F22360" w:rsidRPr="002927A1">
              <w:rPr>
                <w:color w:val="000000"/>
                <w:sz w:val="18"/>
                <w:szCs w:val="18"/>
                <w:lang w:eastAsia="zh-CN"/>
              </w:rPr>
              <w:t xml:space="preserve"> </w:t>
            </w:r>
            <w:r w:rsidRPr="002927A1">
              <w:rPr>
                <w:color w:val="000000"/>
                <w:sz w:val="18"/>
                <w:szCs w:val="18"/>
                <w:lang w:eastAsia="zh-CN"/>
              </w:rPr>
              <w:t xml:space="preserve">852 </w:t>
            </w:r>
          </w:p>
        </w:tc>
      </w:tr>
      <w:tr w:rsidR="00290418" w:rsidRPr="002927A1" w14:paraId="778B8FCA" w14:textId="77777777" w:rsidTr="00BC3F9F">
        <w:trPr>
          <w:trHeight w:val="57"/>
          <w:jc w:val="right"/>
        </w:trPr>
        <w:tc>
          <w:tcPr>
            <w:tcW w:w="4248" w:type="dxa"/>
            <w:shd w:val="clear" w:color="auto" w:fill="auto"/>
            <w:noWrap/>
            <w:hideMark/>
          </w:tcPr>
          <w:p w14:paraId="2EAFB76F" w14:textId="6CEB09C0" w:rsidR="00290418" w:rsidRPr="002927A1" w:rsidRDefault="00290418" w:rsidP="008117DF">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P-3 </w:t>
            </w:r>
            <w:r w:rsidR="00F14198" w:rsidRPr="002927A1">
              <w:rPr>
                <w:color w:val="000000"/>
                <w:sz w:val="18"/>
                <w:szCs w:val="18"/>
                <w:lang w:eastAsia="zh-CN"/>
              </w:rPr>
              <w:t xml:space="preserve">Oficial </w:t>
            </w:r>
            <w:r w:rsidR="008117DF" w:rsidRPr="002927A1">
              <w:rPr>
                <w:color w:val="000000"/>
                <w:sz w:val="18"/>
                <w:szCs w:val="18"/>
                <w:lang w:eastAsia="zh-CN"/>
              </w:rPr>
              <w:t>Jurídico</w:t>
            </w:r>
            <w:r w:rsidRPr="002927A1">
              <w:rPr>
                <w:color w:val="000000"/>
                <w:sz w:val="18"/>
                <w:szCs w:val="18"/>
                <w:lang w:eastAsia="zh-CN"/>
              </w:rPr>
              <w:t xml:space="preserve"> </w:t>
            </w:r>
          </w:p>
        </w:tc>
        <w:tc>
          <w:tcPr>
            <w:tcW w:w="1134" w:type="dxa"/>
            <w:shd w:val="clear" w:color="auto" w:fill="auto"/>
            <w:noWrap/>
            <w:hideMark/>
          </w:tcPr>
          <w:p w14:paraId="261CE1F6"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3D155C88" w14:textId="6BFEAF85"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341</w:t>
            </w:r>
            <w:r w:rsidR="00F22360" w:rsidRPr="002927A1">
              <w:rPr>
                <w:color w:val="000000"/>
                <w:sz w:val="18"/>
                <w:szCs w:val="18"/>
                <w:lang w:eastAsia="zh-CN"/>
              </w:rPr>
              <w:t xml:space="preserve"> </w:t>
            </w:r>
            <w:r w:rsidRPr="002927A1">
              <w:rPr>
                <w:color w:val="000000"/>
                <w:sz w:val="18"/>
                <w:szCs w:val="18"/>
                <w:lang w:eastAsia="zh-CN"/>
              </w:rPr>
              <w:t xml:space="preserve">852 </w:t>
            </w:r>
          </w:p>
        </w:tc>
      </w:tr>
      <w:tr w:rsidR="00290418" w:rsidRPr="002927A1" w14:paraId="2CA14987" w14:textId="77777777" w:rsidTr="00BC3F9F">
        <w:trPr>
          <w:trHeight w:val="57"/>
          <w:jc w:val="right"/>
        </w:trPr>
        <w:tc>
          <w:tcPr>
            <w:tcW w:w="4248" w:type="dxa"/>
            <w:shd w:val="clear" w:color="auto" w:fill="auto"/>
            <w:noWrap/>
            <w:hideMark/>
          </w:tcPr>
          <w:p w14:paraId="4018360A" w14:textId="0C4FB715" w:rsidR="00290418" w:rsidRPr="002927A1" w:rsidRDefault="00CA3D46" w:rsidP="00CA3D46">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S</w:t>
            </w:r>
            <w:r w:rsidR="00290418" w:rsidRPr="002927A1">
              <w:rPr>
                <w:color w:val="000000"/>
                <w:sz w:val="18"/>
                <w:szCs w:val="18"/>
                <w:lang w:eastAsia="zh-CN"/>
              </w:rPr>
              <w:t xml:space="preserve">G </w:t>
            </w:r>
            <w:r w:rsidR="00F14198" w:rsidRPr="002927A1">
              <w:rPr>
                <w:color w:val="000000"/>
                <w:sz w:val="18"/>
                <w:szCs w:val="18"/>
                <w:lang w:eastAsia="zh-CN"/>
              </w:rPr>
              <w:t>Asistencia a programas</w:t>
            </w:r>
          </w:p>
        </w:tc>
        <w:tc>
          <w:tcPr>
            <w:tcW w:w="1134" w:type="dxa"/>
            <w:shd w:val="clear" w:color="auto" w:fill="auto"/>
            <w:noWrap/>
            <w:hideMark/>
          </w:tcPr>
          <w:p w14:paraId="7BDDE8A2" w14:textId="77777777"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w:t>
            </w:r>
          </w:p>
        </w:tc>
        <w:tc>
          <w:tcPr>
            <w:tcW w:w="2501" w:type="dxa"/>
            <w:shd w:val="clear" w:color="auto" w:fill="auto"/>
            <w:noWrap/>
            <w:hideMark/>
          </w:tcPr>
          <w:p w14:paraId="0B32883D" w14:textId="0EFE24E4" w:rsidR="00290418" w:rsidRPr="002927A1" w:rsidRDefault="00290418" w:rsidP="00596957">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r w:rsidR="00F22360" w:rsidRPr="002927A1">
              <w:rPr>
                <w:color w:val="000000"/>
                <w:sz w:val="18"/>
                <w:szCs w:val="18"/>
                <w:lang w:eastAsia="zh-CN"/>
              </w:rPr>
              <w:t xml:space="preserve"> </w:t>
            </w:r>
            <w:r w:rsidRPr="002927A1">
              <w:rPr>
                <w:color w:val="000000"/>
                <w:sz w:val="18"/>
                <w:szCs w:val="18"/>
                <w:lang w:eastAsia="zh-CN"/>
              </w:rPr>
              <w:t>100</w:t>
            </w:r>
            <w:r w:rsidR="00F22360" w:rsidRPr="002927A1">
              <w:rPr>
                <w:color w:val="000000"/>
                <w:sz w:val="18"/>
                <w:szCs w:val="18"/>
                <w:lang w:eastAsia="zh-CN"/>
              </w:rPr>
              <w:t xml:space="preserve"> </w:t>
            </w:r>
            <w:r w:rsidRPr="002927A1">
              <w:rPr>
                <w:color w:val="000000"/>
                <w:sz w:val="18"/>
                <w:szCs w:val="18"/>
                <w:lang w:eastAsia="zh-CN"/>
              </w:rPr>
              <w:t xml:space="preserve">260 </w:t>
            </w:r>
          </w:p>
        </w:tc>
      </w:tr>
      <w:tr w:rsidR="00290418" w:rsidRPr="002927A1" w14:paraId="6962E47A" w14:textId="77777777" w:rsidTr="00BC3F9F">
        <w:trPr>
          <w:trHeight w:val="57"/>
          <w:jc w:val="right"/>
        </w:trPr>
        <w:tc>
          <w:tcPr>
            <w:tcW w:w="4248" w:type="dxa"/>
            <w:tcBorders>
              <w:bottom w:val="single" w:sz="12" w:space="0" w:color="000000" w:themeColor="text1"/>
            </w:tcBorders>
            <w:shd w:val="clear" w:color="auto" w:fill="auto"/>
            <w:hideMark/>
          </w:tcPr>
          <w:p w14:paraId="428E90D1" w14:textId="0BA648AE" w:rsidR="00290418" w:rsidRPr="002927A1" w:rsidRDefault="00290418" w:rsidP="00F14198">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Total </w:t>
            </w:r>
            <w:r w:rsidR="00F14198" w:rsidRPr="002927A1">
              <w:rPr>
                <w:b/>
                <w:bCs/>
                <w:color w:val="000000"/>
                <w:sz w:val="18"/>
                <w:szCs w:val="18"/>
                <w:lang w:eastAsia="zh-CN"/>
              </w:rPr>
              <w:t>de gastos de personal (e</w:t>
            </w:r>
            <w:r w:rsidRPr="002927A1">
              <w:rPr>
                <w:b/>
                <w:bCs/>
                <w:color w:val="000000"/>
                <w:sz w:val="18"/>
                <w:szCs w:val="18"/>
                <w:lang w:eastAsia="zh-CN"/>
              </w:rPr>
              <w:t xml:space="preserve">n </w:t>
            </w:r>
            <w:r w:rsidR="00F14198" w:rsidRPr="002927A1">
              <w:rPr>
                <w:b/>
                <w:bCs/>
                <w:color w:val="000000"/>
                <w:sz w:val="18"/>
                <w:szCs w:val="18"/>
                <w:lang w:eastAsia="zh-CN"/>
              </w:rPr>
              <w:t>dólares de los Estados</w:t>
            </w:r>
            <w:r w:rsidR="00597D8D" w:rsidRPr="002927A1">
              <w:rPr>
                <w:b/>
                <w:bCs/>
                <w:color w:val="000000"/>
                <w:sz w:val="18"/>
                <w:szCs w:val="18"/>
                <w:lang w:eastAsia="zh-CN"/>
              </w:rPr>
              <w:t> </w:t>
            </w:r>
            <w:r w:rsidR="00F14198" w:rsidRPr="002927A1">
              <w:rPr>
                <w:b/>
                <w:bCs/>
                <w:color w:val="000000"/>
                <w:sz w:val="18"/>
                <w:szCs w:val="18"/>
                <w:lang w:eastAsia="zh-CN"/>
              </w:rPr>
              <w:t>Uni</w:t>
            </w:r>
            <w:r w:rsidR="006B3037" w:rsidRPr="002927A1">
              <w:rPr>
                <w:b/>
                <w:bCs/>
                <w:color w:val="000000"/>
                <w:sz w:val="18"/>
                <w:szCs w:val="18"/>
                <w:lang w:eastAsia="zh-CN"/>
              </w:rPr>
              <w:t>d</w:t>
            </w:r>
            <w:r w:rsidR="00F14198" w:rsidRPr="002927A1">
              <w:rPr>
                <w:b/>
                <w:bCs/>
                <w:color w:val="000000"/>
                <w:sz w:val="18"/>
                <w:szCs w:val="18"/>
                <w:lang w:eastAsia="zh-CN"/>
              </w:rPr>
              <w:t>os</w:t>
            </w:r>
            <w:r w:rsidRPr="002927A1">
              <w:rPr>
                <w:b/>
                <w:bCs/>
                <w:color w:val="000000"/>
                <w:sz w:val="18"/>
                <w:szCs w:val="18"/>
                <w:lang w:eastAsia="zh-CN"/>
              </w:rPr>
              <w:t>)</w:t>
            </w:r>
          </w:p>
        </w:tc>
        <w:tc>
          <w:tcPr>
            <w:tcW w:w="1134" w:type="dxa"/>
            <w:tcBorders>
              <w:bottom w:val="single" w:sz="12" w:space="0" w:color="000000" w:themeColor="text1"/>
            </w:tcBorders>
            <w:shd w:val="clear" w:color="auto" w:fill="auto"/>
            <w:hideMark/>
          </w:tcPr>
          <w:p w14:paraId="7256746B" w14:textId="77777777" w:rsidR="00290418" w:rsidRPr="002927A1" w:rsidRDefault="00290418" w:rsidP="00596957">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11</w:t>
            </w:r>
          </w:p>
        </w:tc>
        <w:tc>
          <w:tcPr>
            <w:tcW w:w="2501" w:type="dxa"/>
            <w:tcBorders>
              <w:bottom w:val="single" w:sz="12" w:space="0" w:color="000000" w:themeColor="text1"/>
            </w:tcBorders>
            <w:shd w:val="clear" w:color="auto" w:fill="auto"/>
            <w:hideMark/>
          </w:tcPr>
          <w:p w14:paraId="79BD2C8C" w14:textId="5439AE3D" w:rsidR="00290418" w:rsidRPr="002927A1" w:rsidRDefault="00290418" w:rsidP="00596957">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3</w:t>
            </w:r>
            <w:r w:rsidR="00F22360" w:rsidRPr="002927A1">
              <w:rPr>
                <w:b/>
                <w:bCs/>
                <w:color w:val="000000"/>
                <w:sz w:val="18"/>
                <w:szCs w:val="18"/>
                <w:lang w:eastAsia="zh-CN"/>
              </w:rPr>
              <w:t xml:space="preserve"> </w:t>
            </w:r>
            <w:r w:rsidRPr="002927A1">
              <w:rPr>
                <w:b/>
                <w:bCs/>
                <w:color w:val="000000"/>
                <w:sz w:val="18"/>
                <w:szCs w:val="18"/>
                <w:lang w:eastAsia="zh-CN"/>
              </w:rPr>
              <w:t>973</w:t>
            </w:r>
            <w:r w:rsidR="00F22360" w:rsidRPr="002927A1">
              <w:rPr>
                <w:b/>
                <w:bCs/>
                <w:color w:val="000000"/>
                <w:sz w:val="18"/>
                <w:szCs w:val="18"/>
                <w:lang w:eastAsia="zh-CN"/>
              </w:rPr>
              <w:t xml:space="preserve"> </w:t>
            </w:r>
            <w:r w:rsidRPr="002927A1">
              <w:rPr>
                <w:b/>
                <w:bCs/>
                <w:color w:val="000000"/>
                <w:sz w:val="18"/>
                <w:szCs w:val="18"/>
                <w:lang w:eastAsia="zh-CN"/>
              </w:rPr>
              <w:t>928</w:t>
            </w:r>
          </w:p>
        </w:tc>
      </w:tr>
    </w:tbl>
    <w:p w14:paraId="13A3D15C" w14:textId="4EA27A8B" w:rsidR="00E34240" w:rsidRPr="002927A1" w:rsidRDefault="00F14198" w:rsidP="00B81EBF">
      <w:pPr>
        <w:pStyle w:val="BodyTextFirstIndent2"/>
        <w:ind w:left="1247" w:firstLine="0"/>
        <w:rPr>
          <w:sz w:val="17"/>
          <w:szCs w:val="17"/>
          <w:lang w:eastAsia="zh-CN"/>
        </w:rPr>
      </w:pPr>
      <w:r w:rsidRPr="002927A1">
        <w:rPr>
          <w:sz w:val="17"/>
          <w:szCs w:val="17"/>
          <w:lang w:eastAsia="zh-CN"/>
        </w:rPr>
        <w:t>Nota</w:t>
      </w:r>
      <w:r w:rsidR="00E34240" w:rsidRPr="002927A1">
        <w:rPr>
          <w:sz w:val="17"/>
          <w:szCs w:val="17"/>
          <w:lang w:eastAsia="zh-CN"/>
        </w:rPr>
        <w:t xml:space="preserve">: </w:t>
      </w:r>
      <w:r w:rsidRPr="002927A1">
        <w:rPr>
          <w:sz w:val="17"/>
          <w:szCs w:val="17"/>
          <w:lang w:eastAsia="zh-CN"/>
        </w:rPr>
        <w:t>Además del personal indicado en el cuadro anterior, los puestos de un Oficial administrativo, P</w:t>
      </w:r>
      <w:r w:rsidR="001F6AD9" w:rsidRPr="002927A1">
        <w:rPr>
          <w:sz w:val="17"/>
          <w:szCs w:val="17"/>
          <w:lang w:eastAsia="zh-CN"/>
        </w:rPr>
        <w:t>-</w:t>
      </w:r>
      <w:r w:rsidRPr="002927A1">
        <w:rPr>
          <w:sz w:val="17"/>
          <w:szCs w:val="17"/>
          <w:lang w:eastAsia="zh-CN"/>
        </w:rPr>
        <w:t>4, y un</w:t>
      </w:r>
      <w:r w:rsidR="00FA6A30" w:rsidRPr="002927A1">
        <w:rPr>
          <w:sz w:val="17"/>
          <w:szCs w:val="17"/>
          <w:lang w:eastAsia="zh-CN"/>
        </w:rPr>
        <w:t xml:space="preserve"> </w:t>
      </w:r>
      <w:r w:rsidR="008117DF" w:rsidRPr="002927A1">
        <w:rPr>
          <w:sz w:val="17"/>
          <w:szCs w:val="17"/>
          <w:lang w:eastAsia="zh-CN"/>
        </w:rPr>
        <w:t xml:space="preserve">Auxiliar </w:t>
      </w:r>
      <w:r w:rsidRPr="002927A1">
        <w:rPr>
          <w:sz w:val="17"/>
          <w:szCs w:val="17"/>
          <w:lang w:eastAsia="zh-CN"/>
        </w:rPr>
        <w:t xml:space="preserve">de </w:t>
      </w:r>
      <w:r w:rsidR="008117DF" w:rsidRPr="002927A1">
        <w:rPr>
          <w:sz w:val="17"/>
          <w:szCs w:val="17"/>
          <w:lang w:eastAsia="zh-CN"/>
        </w:rPr>
        <w:t>F</w:t>
      </w:r>
      <w:r w:rsidRPr="002927A1">
        <w:rPr>
          <w:sz w:val="17"/>
          <w:szCs w:val="17"/>
          <w:lang w:eastAsia="zh-CN"/>
        </w:rPr>
        <w:t xml:space="preserve">inanzas y </w:t>
      </w:r>
      <w:r w:rsidR="008117DF" w:rsidRPr="002927A1">
        <w:rPr>
          <w:sz w:val="17"/>
          <w:szCs w:val="17"/>
          <w:lang w:eastAsia="zh-CN"/>
        </w:rPr>
        <w:t>P</w:t>
      </w:r>
      <w:r w:rsidRPr="002927A1">
        <w:rPr>
          <w:sz w:val="17"/>
          <w:szCs w:val="17"/>
          <w:lang w:eastAsia="zh-CN"/>
        </w:rPr>
        <w:t xml:space="preserve">resupuesto, </w:t>
      </w:r>
      <w:r w:rsidR="00CA3D46" w:rsidRPr="002927A1">
        <w:rPr>
          <w:sz w:val="17"/>
          <w:szCs w:val="17"/>
          <w:lang w:eastAsia="zh-CN"/>
        </w:rPr>
        <w:t>S</w:t>
      </w:r>
      <w:r w:rsidRPr="002927A1">
        <w:rPr>
          <w:sz w:val="17"/>
          <w:szCs w:val="17"/>
          <w:lang w:eastAsia="zh-CN"/>
        </w:rPr>
        <w:t>G</w:t>
      </w:r>
      <w:r w:rsidR="00E34240" w:rsidRPr="002927A1">
        <w:rPr>
          <w:sz w:val="17"/>
          <w:szCs w:val="17"/>
          <w:lang w:eastAsia="zh-CN"/>
        </w:rPr>
        <w:t>-6</w:t>
      </w:r>
      <w:r w:rsidRPr="002927A1">
        <w:rPr>
          <w:sz w:val="17"/>
          <w:szCs w:val="17"/>
          <w:lang w:eastAsia="zh-CN"/>
        </w:rPr>
        <w:t>, serán financiados con cargo a los gastos de apoyo a los programas</w:t>
      </w:r>
      <w:r w:rsidR="00E34240" w:rsidRPr="002927A1">
        <w:rPr>
          <w:sz w:val="17"/>
          <w:szCs w:val="17"/>
          <w:lang w:eastAsia="zh-CN"/>
        </w:rPr>
        <w:t>.</w:t>
      </w:r>
      <w:bookmarkStart w:id="97" w:name="_Toc27124754"/>
    </w:p>
    <w:p w14:paraId="57FADC08" w14:textId="4AED9E74" w:rsidR="003230A4" w:rsidRPr="002927A1" w:rsidRDefault="00F14198" w:rsidP="00FA5D35">
      <w:pPr>
        <w:pStyle w:val="Titletable"/>
        <w:spacing w:before="240" w:after="0"/>
        <w:rPr>
          <w:b w:val="0"/>
          <w:lang w:val="es-ES_tradnl"/>
        </w:rPr>
      </w:pPr>
      <w:r w:rsidRPr="002927A1">
        <w:rPr>
          <w:b w:val="0"/>
          <w:lang w:val="es-ES_tradnl"/>
        </w:rPr>
        <w:t>Cuadro</w:t>
      </w:r>
      <w:r w:rsidR="003F20F5" w:rsidRPr="002927A1">
        <w:rPr>
          <w:b w:val="0"/>
          <w:lang w:val="es-ES_tradnl"/>
        </w:rPr>
        <w:t xml:space="preserve"> 4</w:t>
      </w:r>
      <w:r w:rsidR="002C2C8B" w:rsidRPr="002927A1">
        <w:rPr>
          <w:b w:val="0"/>
          <w:lang w:val="es-ES_tradnl"/>
        </w:rPr>
        <w:br/>
      </w:r>
      <w:r w:rsidR="003F20F5" w:rsidRPr="002927A1">
        <w:rPr>
          <w:bCs w:val="0"/>
          <w:lang w:val="es-ES_tradnl"/>
        </w:rPr>
        <w:t>Organi</w:t>
      </w:r>
      <w:r w:rsidRPr="002927A1">
        <w:rPr>
          <w:bCs w:val="0"/>
          <w:lang w:val="es-ES_tradnl"/>
        </w:rPr>
        <w:t xml:space="preserve">grama de la Secretaría del Convenio de </w:t>
      </w:r>
      <w:r w:rsidR="003F20F5" w:rsidRPr="002927A1">
        <w:rPr>
          <w:bCs w:val="0"/>
          <w:lang w:val="es-ES_tradnl"/>
        </w:rPr>
        <w:t>Minamata</w:t>
      </w:r>
    </w:p>
    <w:tbl>
      <w:tblPr>
        <w:tblStyle w:val="TableGrid"/>
        <w:tblW w:w="0" w:type="auto"/>
        <w:tblLook w:val="04A0" w:firstRow="1" w:lastRow="0" w:firstColumn="1" w:lastColumn="0" w:noHBand="0" w:noVBand="1"/>
      </w:tblPr>
      <w:tblGrid>
        <w:gridCol w:w="9490"/>
      </w:tblGrid>
      <w:tr w:rsidR="00B14136" w:rsidRPr="002927A1" w14:paraId="64497CE0" w14:textId="77777777" w:rsidTr="00B14136">
        <w:tc>
          <w:tcPr>
            <w:tcW w:w="9480" w:type="dxa"/>
            <w:tcBorders>
              <w:top w:val="nil"/>
              <w:left w:val="nil"/>
              <w:bottom w:val="nil"/>
              <w:right w:val="nil"/>
            </w:tcBorders>
          </w:tcPr>
          <w:p w14:paraId="133E9E3E" w14:textId="2D46E5E8" w:rsidR="00B14136" w:rsidRPr="002927A1" w:rsidRDefault="00FA5D35" w:rsidP="002F6441">
            <w:pPr>
              <w:pStyle w:val="Normal-pool"/>
              <w:rPr>
                <w:lang w:val="es-ES_tradnl"/>
              </w:rPr>
            </w:pPr>
            <w:r>
              <w:rPr>
                <w:noProof/>
              </w:rPr>
              <w:drawing>
                <wp:inline distT="0" distB="0" distL="0" distR="0" wp14:anchorId="13EEC4DC" wp14:editId="4A02DBA7">
                  <wp:extent cx="6026150" cy="3479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26150" cy="3479800"/>
                          </a:xfrm>
                          <a:prstGeom prst="rect">
                            <a:avLst/>
                          </a:prstGeom>
                        </pic:spPr>
                      </pic:pic>
                    </a:graphicData>
                  </a:graphic>
                </wp:inline>
              </w:drawing>
            </w:r>
          </w:p>
        </w:tc>
      </w:tr>
    </w:tbl>
    <w:p w14:paraId="57719B43" w14:textId="6C251F68" w:rsidR="002F6441" w:rsidRPr="002927A1" w:rsidRDefault="002F6441" w:rsidP="002F6441">
      <w:pPr>
        <w:pStyle w:val="Normal-pool"/>
        <w:rPr>
          <w:lang w:val="es-ES_tradnl"/>
        </w:rPr>
      </w:pPr>
    </w:p>
    <w:p w14:paraId="3984530E" w14:textId="77777777" w:rsidR="003F20F5" w:rsidRPr="002927A1" w:rsidRDefault="003F20F5" w:rsidP="003F20F5">
      <w:pPr>
        <w:tabs>
          <w:tab w:val="clear" w:pos="1247"/>
          <w:tab w:val="clear" w:pos="1814"/>
          <w:tab w:val="clear" w:pos="2381"/>
          <w:tab w:val="clear" w:pos="2948"/>
          <w:tab w:val="clear" w:pos="3515"/>
        </w:tabs>
      </w:pPr>
      <w:r w:rsidRPr="002927A1">
        <w:br w:type="page"/>
      </w:r>
    </w:p>
    <w:p w14:paraId="4B1C65C5" w14:textId="0035C629" w:rsidR="00DC4F9B" w:rsidRPr="00F82F20" w:rsidRDefault="002C2C8B" w:rsidP="00DC4F9B">
      <w:pPr>
        <w:pStyle w:val="Normalnumber"/>
        <w:ind w:left="1247"/>
        <w:rPr>
          <w:b/>
          <w:sz w:val="28"/>
          <w:szCs w:val="28"/>
          <w:lang w:val="es-ES_tradnl"/>
        </w:rPr>
      </w:pPr>
      <w:r w:rsidRPr="00F82F20">
        <w:rPr>
          <w:b/>
          <w:sz w:val="28"/>
          <w:szCs w:val="28"/>
          <w:lang w:val="es-ES_tradnl"/>
        </w:rPr>
        <w:lastRenderedPageBreak/>
        <w:t xml:space="preserve">MC-3/13: </w:t>
      </w:r>
      <w:r w:rsidR="00DC4F9B" w:rsidRPr="00F82F20">
        <w:rPr>
          <w:b/>
          <w:sz w:val="28"/>
          <w:szCs w:val="28"/>
          <w:lang w:val="es-ES_tradnl"/>
        </w:rPr>
        <w:t>Orientación relativa a la finalización del formato para la presentación de informes nacionales</w:t>
      </w:r>
      <w:bookmarkEnd w:id="97"/>
    </w:p>
    <w:p w14:paraId="2DCC3148" w14:textId="3A64776E" w:rsidR="003F4DA7" w:rsidRPr="002927A1" w:rsidRDefault="001F6AD9" w:rsidP="00DC4F9B">
      <w:pPr>
        <w:pStyle w:val="Normalnumber"/>
        <w:ind w:left="1247"/>
        <w:rPr>
          <w:b/>
          <w:sz w:val="24"/>
          <w:szCs w:val="24"/>
          <w:lang w:val="es-ES_tradnl"/>
        </w:rPr>
      </w:pPr>
      <w:r w:rsidRPr="002927A1">
        <w:rPr>
          <w:i/>
          <w:lang w:val="es-ES_tradnl"/>
        </w:rPr>
        <w:tab/>
      </w:r>
      <w:r w:rsidRPr="002927A1">
        <w:rPr>
          <w:i/>
          <w:lang w:val="es-ES_tradnl"/>
        </w:rPr>
        <w:tab/>
      </w:r>
      <w:r w:rsidRPr="002927A1">
        <w:rPr>
          <w:i/>
          <w:lang w:val="es-ES_tradnl"/>
        </w:rPr>
        <w:tab/>
      </w:r>
      <w:r w:rsidR="00C74605" w:rsidRPr="002927A1">
        <w:rPr>
          <w:i/>
          <w:lang w:val="es-ES_tradnl"/>
        </w:rPr>
        <w:t xml:space="preserve">La </w:t>
      </w:r>
      <w:r w:rsidR="003F4DA7" w:rsidRPr="002927A1">
        <w:rPr>
          <w:i/>
          <w:lang w:val="es-ES_tradnl"/>
        </w:rPr>
        <w:t>Conferenc</w:t>
      </w:r>
      <w:r w:rsidR="00C74605" w:rsidRPr="002927A1">
        <w:rPr>
          <w:i/>
          <w:lang w:val="es-ES_tradnl"/>
        </w:rPr>
        <w:t>ia</w:t>
      </w:r>
      <w:r w:rsidR="003F4DA7" w:rsidRPr="002927A1">
        <w:rPr>
          <w:i/>
          <w:lang w:val="es-ES_tradnl"/>
        </w:rPr>
        <w:t xml:space="preserve"> </w:t>
      </w:r>
      <w:r w:rsidR="00C74605" w:rsidRPr="002927A1">
        <w:rPr>
          <w:i/>
          <w:lang w:val="es-ES_tradnl"/>
        </w:rPr>
        <w:t xml:space="preserve">de las </w:t>
      </w:r>
      <w:r w:rsidR="003F4DA7" w:rsidRPr="002927A1">
        <w:rPr>
          <w:i/>
          <w:lang w:val="es-ES_tradnl"/>
        </w:rPr>
        <w:t>Partes,</w:t>
      </w:r>
    </w:p>
    <w:p w14:paraId="0D8B5CD8" w14:textId="5312E5EE" w:rsidR="003F4DA7" w:rsidRPr="002927A1" w:rsidRDefault="003F4DA7" w:rsidP="0088695B">
      <w:pPr>
        <w:keepNext/>
        <w:keepLines/>
        <w:tabs>
          <w:tab w:val="clear" w:pos="1247"/>
          <w:tab w:val="clear" w:pos="1814"/>
          <w:tab w:val="clear" w:pos="2381"/>
          <w:tab w:val="clear" w:pos="2948"/>
          <w:tab w:val="clear" w:pos="3515"/>
          <w:tab w:val="left" w:pos="624"/>
        </w:tabs>
        <w:spacing w:before="120" w:after="120"/>
        <w:ind w:left="1247" w:firstLine="624"/>
      </w:pPr>
      <w:r w:rsidRPr="002927A1">
        <w:rPr>
          <w:i/>
        </w:rPr>
        <w:t>Recon</w:t>
      </w:r>
      <w:r w:rsidR="00C74605" w:rsidRPr="002927A1">
        <w:rPr>
          <w:i/>
        </w:rPr>
        <w:t>ociendo</w:t>
      </w:r>
      <w:r w:rsidRPr="002927A1">
        <w:t xml:space="preserve"> </w:t>
      </w:r>
      <w:r w:rsidR="00C74605" w:rsidRPr="002927A1">
        <w:t xml:space="preserve">la </w:t>
      </w:r>
      <w:r w:rsidR="00C74605" w:rsidRPr="002927A1">
        <w:rPr>
          <w:i/>
        </w:rPr>
        <w:t>necesidad</w:t>
      </w:r>
      <w:r w:rsidR="00C74605" w:rsidRPr="002927A1">
        <w:t xml:space="preserve"> de que la presentación de informes nacionales abarque todos los aspectos y sea coherente de manera que pueda proporcionar información sobre la evaluación de la eficacia y apoyar el cumplimiento</w:t>
      </w:r>
      <w:r w:rsidRPr="002927A1">
        <w:t>,</w:t>
      </w:r>
    </w:p>
    <w:p w14:paraId="36757B19" w14:textId="2C1B1AA8" w:rsidR="003F4DA7" w:rsidRPr="002927A1" w:rsidRDefault="00C74605" w:rsidP="0088695B">
      <w:pPr>
        <w:keepNext/>
        <w:keepLines/>
        <w:tabs>
          <w:tab w:val="clear" w:pos="1247"/>
          <w:tab w:val="clear" w:pos="1814"/>
          <w:tab w:val="clear" w:pos="2381"/>
          <w:tab w:val="clear" w:pos="2948"/>
          <w:tab w:val="clear" w:pos="3515"/>
          <w:tab w:val="left" w:pos="624"/>
        </w:tabs>
        <w:spacing w:before="120" w:after="120"/>
        <w:ind w:left="1247" w:firstLine="624"/>
      </w:pPr>
      <w:r w:rsidRPr="002927A1">
        <w:rPr>
          <w:i/>
        </w:rPr>
        <w:t>Acogiendo con beneplácito</w:t>
      </w:r>
      <w:r w:rsidRPr="002927A1">
        <w:t xml:space="preserve"> la labor de la S</w:t>
      </w:r>
      <w:r w:rsidR="003F4DA7" w:rsidRPr="002927A1">
        <w:t>ecretar</w:t>
      </w:r>
      <w:r w:rsidRPr="002927A1">
        <w:t xml:space="preserve">ía </w:t>
      </w:r>
      <w:r w:rsidR="00A60CBD" w:rsidRPr="002927A1">
        <w:t>relativa</w:t>
      </w:r>
      <w:r w:rsidRPr="002927A1">
        <w:t xml:space="preserve"> a la preparación de un formato breve para la presentación de informes nacionales a fin de que sea examinado por la </w:t>
      </w:r>
      <w:r w:rsidR="003F4DA7" w:rsidRPr="002927A1">
        <w:t>Conferenc</w:t>
      </w:r>
      <w:r w:rsidRPr="002927A1">
        <w:t xml:space="preserve">ia de las Partes en su </w:t>
      </w:r>
      <w:r w:rsidR="00986AA8">
        <w:t>tercera</w:t>
      </w:r>
      <w:r w:rsidRPr="002927A1">
        <w:t xml:space="preserve"> reunión</w:t>
      </w:r>
      <w:r w:rsidR="003F4DA7" w:rsidRPr="002927A1">
        <w:t>,</w:t>
      </w:r>
    </w:p>
    <w:p w14:paraId="54004380" w14:textId="08DF9F47" w:rsidR="003F4DA7" w:rsidRPr="002927A1" w:rsidRDefault="00C74605" w:rsidP="00A524DB">
      <w:pPr>
        <w:keepNext/>
        <w:keepLines/>
        <w:numPr>
          <w:ilvl w:val="0"/>
          <w:numId w:val="18"/>
        </w:numPr>
        <w:tabs>
          <w:tab w:val="clear" w:pos="1247"/>
          <w:tab w:val="clear" w:pos="1814"/>
          <w:tab w:val="clear" w:pos="2381"/>
          <w:tab w:val="clear" w:pos="2948"/>
          <w:tab w:val="clear" w:pos="3515"/>
          <w:tab w:val="left" w:pos="624"/>
        </w:tabs>
        <w:spacing w:before="120" w:after="120"/>
        <w:ind w:left="1247" w:firstLine="624"/>
      </w:pPr>
      <w:r w:rsidRPr="002927A1">
        <w:rPr>
          <w:i/>
        </w:rPr>
        <w:t>Solicita</w:t>
      </w:r>
      <w:r w:rsidR="003F4DA7" w:rsidRPr="002927A1">
        <w:rPr>
          <w:i/>
        </w:rPr>
        <w:t xml:space="preserve"> </w:t>
      </w:r>
      <w:r w:rsidRPr="002927A1">
        <w:t>a la Secretaría que elabore un proyecto de orientación relativ</w:t>
      </w:r>
      <w:r w:rsidR="001F6AD9" w:rsidRPr="002927A1">
        <w:t xml:space="preserve">o </w:t>
      </w:r>
      <w:r w:rsidRPr="002927A1">
        <w:t>al formato general para la presentación de informes nacionales, a fin de aclarar qué tipo de información se busca en el formato de presentación de informes nacionales</w:t>
      </w:r>
      <w:r w:rsidR="003F4DA7" w:rsidRPr="002927A1">
        <w:t xml:space="preserve">; </w:t>
      </w:r>
    </w:p>
    <w:p w14:paraId="292A620A" w14:textId="2EAE6A0A" w:rsidR="003F4DA7" w:rsidRPr="002927A1" w:rsidRDefault="00C74605" w:rsidP="00A524DB">
      <w:pPr>
        <w:keepNext/>
        <w:keepLines/>
        <w:numPr>
          <w:ilvl w:val="0"/>
          <w:numId w:val="18"/>
        </w:numPr>
        <w:tabs>
          <w:tab w:val="clear" w:pos="1247"/>
          <w:tab w:val="clear" w:pos="1814"/>
          <w:tab w:val="clear" w:pos="2381"/>
          <w:tab w:val="clear" w:pos="2948"/>
          <w:tab w:val="clear" w:pos="3515"/>
          <w:tab w:val="left" w:pos="624"/>
        </w:tabs>
        <w:spacing w:before="120" w:after="120"/>
        <w:ind w:left="1247" w:firstLine="624"/>
      </w:pPr>
      <w:r w:rsidRPr="002927A1">
        <w:rPr>
          <w:i/>
        </w:rPr>
        <w:t xml:space="preserve">Solicita también </w:t>
      </w:r>
      <w:r w:rsidRPr="002927A1">
        <w:t xml:space="preserve">a la </w:t>
      </w:r>
      <w:r w:rsidRPr="002927A1">
        <w:rPr>
          <w:iCs/>
        </w:rPr>
        <w:t>S</w:t>
      </w:r>
      <w:r w:rsidR="003F4DA7" w:rsidRPr="002927A1">
        <w:rPr>
          <w:iCs/>
        </w:rPr>
        <w:t>ecretar</w:t>
      </w:r>
      <w:r w:rsidRPr="002927A1">
        <w:rPr>
          <w:iCs/>
        </w:rPr>
        <w:t>ía que pida</w:t>
      </w:r>
      <w:r w:rsidRPr="002927A1">
        <w:t xml:space="preserve"> a las Partes y a otros interesados que formulen observaciones sobre el proyecto de orientación a más tardar en marzo de </w:t>
      </w:r>
      <w:r w:rsidR="003F4DA7" w:rsidRPr="002927A1">
        <w:t xml:space="preserve">2021, </w:t>
      </w:r>
      <w:r w:rsidRPr="002927A1">
        <w:t>a fin de tenerlas en cuenta, y presentar un proyecto revisado de las orientaciones, si procede</w:t>
      </w:r>
      <w:r w:rsidR="003F4DA7" w:rsidRPr="002927A1">
        <w:t xml:space="preserve">; </w:t>
      </w:r>
    </w:p>
    <w:p w14:paraId="59FFD99F" w14:textId="472BC1FE" w:rsidR="003F4DA7" w:rsidRPr="002927A1" w:rsidRDefault="00C74605" w:rsidP="00A524DB">
      <w:pPr>
        <w:keepNext/>
        <w:keepLines/>
        <w:numPr>
          <w:ilvl w:val="0"/>
          <w:numId w:val="18"/>
        </w:numPr>
        <w:tabs>
          <w:tab w:val="clear" w:pos="1247"/>
          <w:tab w:val="clear" w:pos="1814"/>
          <w:tab w:val="clear" w:pos="2381"/>
          <w:tab w:val="clear" w:pos="2948"/>
          <w:tab w:val="clear" w:pos="3515"/>
          <w:tab w:val="left" w:pos="624"/>
        </w:tabs>
        <w:spacing w:before="120" w:after="120"/>
        <w:ind w:left="1247" w:firstLine="624"/>
      </w:pPr>
      <w:r w:rsidRPr="002927A1">
        <w:rPr>
          <w:i/>
        </w:rPr>
        <w:t xml:space="preserve">Alienta </w:t>
      </w:r>
      <w:r w:rsidRPr="002927A1">
        <w:t xml:space="preserve">a las Partes </w:t>
      </w:r>
      <w:r w:rsidR="00270A6E" w:rsidRPr="002927A1">
        <w:t xml:space="preserve">a aplicar el </w:t>
      </w:r>
      <w:r w:rsidRPr="002927A1">
        <w:t xml:space="preserve">proyecto de orientación de manera provisional para ayudar en la preparación de sus informes nacionales, </w:t>
      </w:r>
      <w:r w:rsidR="00270A6E" w:rsidRPr="002927A1">
        <w:t>los cuales</w:t>
      </w:r>
      <w:r w:rsidRPr="002927A1">
        <w:t xml:space="preserve"> habrán de presentarse a más tardar el</w:t>
      </w:r>
      <w:r w:rsidR="001F6AD9" w:rsidRPr="002927A1">
        <w:t> </w:t>
      </w:r>
      <w:r w:rsidR="0012067A" w:rsidRPr="002927A1">
        <w:t xml:space="preserve">31 </w:t>
      </w:r>
      <w:r w:rsidRPr="002927A1">
        <w:t>de di</w:t>
      </w:r>
      <w:r w:rsidR="003F4DA7" w:rsidRPr="002927A1">
        <w:t>c</w:t>
      </w:r>
      <w:r w:rsidRPr="002927A1">
        <w:t>i</w:t>
      </w:r>
      <w:r w:rsidR="003F4DA7" w:rsidRPr="002927A1">
        <w:t>embr</w:t>
      </w:r>
      <w:r w:rsidRPr="002927A1">
        <w:t>e de</w:t>
      </w:r>
      <w:r w:rsidR="003F4DA7" w:rsidRPr="002927A1">
        <w:t xml:space="preserve"> 2021; </w:t>
      </w:r>
    </w:p>
    <w:p w14:paraId="474C873F" w14:textId="73994D83" w:rsidR="003F4DA7" w:rsidRPr="002927A1" w:rsidRDefault="00C74605" w:rsidP="00A524DB">
      <w:pPr>
        <w:keepNext/>
        <w:keepLines/>
        <w:numPr>
          <w:ilvl w:val="0"/>
          <w:numId w:val="18"/>
        </w:numPr>
        <w:tabs>
          <w:tab w:val="clear" w:pos="1247"/>
          <w:tab w:val="clear" w:pos="1814"/>
          <w:tab w:val="clear" w:pos="2381"/>
          <w:tab w:val="clear" w:pos="2948"/>
          <w:tab w:val="clear" w:pos="3515"/>
          <w:tab w:val="left" w:pos="624"/>
        </w:tabs>
        <w:spacing w:before="120" w:after="120"/>
        <w:ind w:left="1247" w:firstLine="624"/>
      </w:pPr>
      <w:r w:rsidRPr="002927A1">
        <w:rPr>
          <w:i/>
        </w:rPr>
        <w:t>Solicita</w:t>
      </w:r>
      <w:r w:rsidR="003F4DA7" w:rsidRPr="002927A1">
        <w:rPr>
          <w:i/>
        </w:rPr>
        <w:t xml:space="preserve"> </w:t>
      </w:r>
      <w:r w:rsidRPr="002927A1">
        <w:t xml:space="preserve">a la </w:t>
      </w:r>
      <w:r w:rsidRPr="002927A1">
        <w:rPr>
          <w:iCs/>
        </w:rPr>
        <w:t>S</w:t>
      </w:r>
      <w:r w:rsidR="003F4DA7" w:rsidRPr="002927A1">
        <w:rPr>
          <w:iCs/>
        </w:rPr>
        <w:t>ecretar</w:t>
      </w:r>
      <w:r w:rsidRPr="002927A1">
        <w:rPr>
          <w:iCs/>
        </w:rPr>
        <w:t>ía que</w:t>
      </w:r>
      <w:r w:rsidRPr="002927A1">
        <w:t xml:space="preserve"> presente el proyecto de orientación a la Conferencia de las Partes para su examen y posible aprobación en su cuarta reunión.</w:t>
      </w:r>
    </w:p>
    <w:p w14:paraId="74A2DEE9" w14:textId="77777777" w:rsidR="003F4DA7" w:rsidRPr="003477A7" w:rsidRDefault="003F4DA7" w:rsidP="003F4DA7">
      <w:pPr>
        <w:pStyle w:val="Normal-pool"/>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896"/>
        <w:gridCol w:w="1896"/>
        <w:gridCol w:w="1896"/>
        <w:gridCol w:w="1896"/>
      </w:tblGrid>
      <w:tr w:rsidR="006D169F" w:rsidRPr="003477A7" w14:paraId="776A2DD9" w14:textId="77777777" w:rsidTr="006D169F">
        <w:tc>
          <w:tcPr>
            <w:tcW w:w="1896" w:type="dxa"/>
          </w:tcPr>
          <w:p w14:paraId="1022BC7A" w14:textId="77777777" w:rsidR="006D169F" w:rsidRPr="003477A7" w:rsidRDefault="006D169F" w:rsidP="006D169F">
            <w:pPr>
              <w:pStyle w:val="Normal-pool"/>
              <w:spacing w:before="520"/>
              <w:rPr>
                <w:lang w:val="es-ES_tradnl"/>
              </w:rPr>
            </w:pPr>
          </w:p>
        </w:tc>
        <w:tc>
          <w:tcPr>
            <w:tcW w:w="1896" w:type="dxa"/>
          </w:tcPr>
          <w:p w14:paraId="1FA5592F" w14:textId="77777777" w:rsidR="006D169F" w:rsidRPr="003477A7" w:rsidRDefault="006D169F" w:rsidP="006D169F">
            <w:pPr>
              <w:pStyle w:val="Normal-pool"/>
              <w:spacing w:before="520"/>
              <w:rPr>
                <w:lang w:val="es-ES_tradnl"/>
              </w:rPr>
            </w:pPr>
          </w:p>
        </w:tc>
        <w:tc>
          <w:tcPr>
            <w:tcW w:w="1896" w:type="dxa"/>
            <w:tcBorders>
              <w:bottom w:val="single" w:sz="4" w:space="0" w:color="000000" w:themeColor="text1"/>
            </w:tcBorders>
          </w:tcPr>
          <w:p w14:paraId="255B10C8" w14:textId="77777777" w:rsidR="006D169F" w:rsidRPr="003477A7" w:rsidRDefault="006D169F" w:rsidP="006D169F">
            <w:pPr>
              <w:pStyle w:val="Normal-pool"/>
              <w:spacing w:before="520"/>
              <w:rPr>
                <w:lang w:val="es-ES_tradnl"/>
              </w:rPr>
            </w:pPr>
          </w:p>
        </w:tc>
        <w:tc>
          <w:tcPr>
            <w:tcW w:w="1896" w:type="dxa"/>
          </w:tcPr>
          <w:p w14:paraId="319F7EAE" w14:textId="77777777" w:rsidR="006D169F" w:rsidRPr="003477A7" w:rsidRDefault="006D169F" w:rsidP="006D169F">
            <w:pPr>
              <w:pStyle w:val="Normal-pool"/>
              <w:spacing w:before="520"/>
              <w:rPr>
                <w:lang w:val="es-ES_tradnl"/>
              </w:rPr>
            </w:pPr>
          </w:p>
        </w:tc>
        <w:tc>
          <w:tcPr>
            <w:tcW w:w="1896" w:type="dxa"/>
          </w:tcPr>
          <w:p w14:paraId="4ECBB1A0" w14:textId="77777777" w:rsidR="006D169F" w:rsidRPr="003477A7" w:rsidRDefault="006D169F" w:rsidP="006D169F">
            <w:pPr>
              <w:pStyle w:val="Normal-pool"/>
              <w:spacing w:before="520"/>
              <w:rPr>
                <w:lang w:val="es-ES_tradnl"/>
              </w:rPr>
            </w:pPr>
          </w:p>
        </w:tc>
      </w:tr>
    </w:tbl>
    <w:p w14:paraId="533807B3" w14:textId="77777777" w:rsidR="009E64B0" w:rsidRPr="003477A7" w:rsidRDefault="009E64B0" w:rsidP="009E64B0">
      <w:pPr>
        <w:pStyle w:val="Normal-pool"/>
        <w:rPr>
          <w:lang w:val="es-ES_tradnl"/>
        </w:rPr>
      </w:pPr>
    </w:p>
    <w:sectPr w:rsidR="009E64B0" w:rsidRPr="003477A7" w:rsidSect="003F4DA7">
      <w:headerReference w:type="even" r:id="rId22"/>
      <w:headerReference w:type="default" r:id="rId23"/>
      <w:headerReference w:type="first" r:id="rId24"/>
      <w:footerReference w:type="first" r:id="rId25"/>
      <w:footnotePr>
        <w:numRestart w:val="eachSect"/>
      </w:footnotePr>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03CA" w14:textId="77777777" w:rsidR="00495181" w:rsidRDefault="00495181">
      <w:r>
        <w:separator/>
      </w:r>
    </w:p>
  </w:endnote>
  <w:endnote w:type="continuationSeparator" w:id="0">
    <w:p w14:paraId="111902A9" w14:textId="77777777" w:rsidR="00495181" w:rsidRDefault="00495181">
      <w:r>
        <w:continuationSeparator/>
      </w:r>
    </w:p>
  </w:endnote>
  <w:endnote w:type="continuationNotice" w:id="1">
    <w:p w14:paraId="7D3B8579" w14:textId="77777777" w:rsidR="00495181" w:rsidRDefault="00495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MS PGothic">
    <w:panose1 w:val="020B0600070205080204"/>
    <w:charset w:val="80"/>
    <w:family w:val="swiss"/>
    <w:pitch w:val="variable"/>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092500"/>
      <w:docPartObj>
        <w:docPartGallery w:val="Page Numbers (Bottom of Page)"/>
        <w:docPartUnique/>
      </w:docPartObj>
    </w:sdtPr>
    <w:sdtEndPr>
      <w:rPr>
        <w:noProof/>
      </w:rPr>
    </w:sdtEndPr>
    <w:sdtContent>
      <w:p w14:paraId="2D576942" w14:textId="1AB1A78E" w:rsidR="00454804" w:rsidRDefault="00454804" w:rsidP="00D02286">
        <w:pPr>
          <w:pStyle w:val="Footer-pool"/>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633323"/>
      <w:docPartObj>
        <w:docPartGallery w:val="Page Numbers (Bottom of Page)"/>
        <w:docPartUnique/>
      </w:docPartObj>
    </w:sdtPr>
    <w:sdtEndPr>
      <w:rPr>
        <w:noProof/>
      </w:rPr>
    </w:sdtEndPr>
    <w:sdtContent>
      <w:p w14:paraId="60F47901" w14:textId="3D27CF2B" w:rsidR="00454804" w:rsidRDefault="00454804" w:rsidP="00D02286">
        <w:pPr>
          <w:pStyle w:val="Footer-pool"/>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87A4" w14:textId="7D3DCC20" w:rsidR="00454804" w:rsidRPr="009C52E8" w:rsidRDefault="00454804" w:rsidP="009C52E8">
    <w:pPr>
      <w:pStyle w:val="Footer-pool"/>
      <w:tabs>
        <w:tab w:val="clear" w:pos="1247"/>
        <w:tab w:val="clear" w:pos="1814"/>
        <w:tab w:val="clear" w:pos="2381"/>
        <w:tab w:val="clear" w:pos="2948"/>
        <w:tab w:val="clear" w:pos="3515"/>
        <w:tab w:val="clear" w:pos="4082"/>
        <w:tab w:val="clear" w:pos="4321"/>
        <w:tab w:val="clear" w:pos="8641"/>
        <w:tab w:val="left" w:pos="624"/>
      </w:tabs>
      <w:rPr>
        <w:b w:val="0"/>
        <w:sz w:val="20"/>
      </w:rPr>
    </w:pPr>
    <w:r w:rsidRPr="009C52E8">
      <w:rPr>
        <w:b w:val="0"/>
        <w:sz w:val="20"/>
      </w:rPr>
      <w:t>K</w:t>
    </w:r>
    <w:r w:rsidRPr="009C52E8">
      <w:rPr>
        <w:rStyle w:val="job-value"/>
        <w:b w:val="0"/>
        <w:sz w:val="20"/>
      </w:rPr>
      <w:t>2000</w:t>
    </w:r>
    <w:r>
      <w:rPr>
        <w:rStyle w:val="job-value"/>
        <w:b w:val="0"/>
        <w:sz w:val="20"/>
      </w:rPr>
      <w:t>717</w:t>
    </w:r>
    <w:r w:rsidRPr="009C52E8">
      <w:rPr>
        <w:b w:val="0"/>
        <w:sz w:val="20"/>
      </w:rPr>
      <w:tab/>
    </w:r>
    <w:r w:rsidR="00BA006B">
      <w:rPr>
        <w:b w:val="0"/>
        <w:sz w:val="20"/>
      </w:rPr>
      <w:t>18</w:t>
    </w:r>
    <w:r>
      <w:rPr>
        <w:b w:val="0"/>
        <w:sz w:val="20"/>
      </w:rPr>
      <w:t>05</w:t>
    </w:r>
    <w:r w:rsidRPr="009C52E8">
      <w:rPr>
        <w:b w:val="0"/>
        <w:sz w:val="20"/>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468B4EE1" w:rsidR="00454804" w:rsidRPr="003F4DA7" w:rsidRDefault="00454804" w:rsidP="00FE7E26">
    <w:pPr>
      <w:pStyle w:val="Footer"/>
      <w:rPr>
        <w:b/>
      </w:rPr>
    </w:pPr>
    <w:r w:rsidRPr="003F4DA7">
      <w:rPr>
        <w:b/>
      </w:rPr>
      <w:fldChar w:fldCharType="begin"/>
    </w:r>
    <w:r w:rsidRPr="003F4DA7">
      <w:rPr>
        <w:b/>
      </w:rPr>
      <w:instrText xml:space="preserve"> PAGE   \* MERGEFORMAT </w:instrText>
    </w:r>
    <w:r w:rsidRPr="003F4DA7">
      <w:rPr>
        <w:b/>
      </w:rPr>
      <w:fldChar w:fldCharType="separate"/>
    </w:r>
    <w:r>
      <w:rPr>
        <w:b/>
        <w:noProof/>
      </w:rPr>
      <w:t>34</w:t>
    </w:r>
    <w:r w:rsidRPr="003F4DA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BDD8" w14:textId="77777777" w:rsidR="00495181" w:rsidRPr="008D1ED6" w:rsidRDefault="00495181"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571A3917" w14:textId="77777777" w:rsidR="00495181" w:rsidRDefault="00495181">
      <w:r>
        <w:continuationSeparator/>
      </w:r>
    </w:p>
  </w:footnote>
  <w:footnote w:type="continuationNotice" w:id="1">
    <w:p w14:paraId="213035A2" w14:textId="77777777" w:rsidR="00495181" w:rsidRDefault="00495181"/>
  </w:footnote>
  <w:footnote w:id="2">
    <w:p w14:paraId="711482E5" w14:textId="2D5B6DB5" w:rsidR="00454804" w:rsidRPr="00FB6282" w:rsidRDefault="00454804">
      <w:pPr>
        <w:pStyle w:val="FootnoteText"/>
        <w:rPr>
          <w:szCs w:val="18"/>
          <w:lang w:val="en-US"/>
        </w:rPr>
      </w:pPr>
      <w:r w:rsidRPr="00157E17">
        <w:rPr>
          <w:rStyle w:val="FootnoteReference"/>
          <w:sz w:val="18"/>
          <w:lang w:val="es-ES_tradnl"/>
        </w:rPr>
        <w:footnoteRef/>
      </w:r>
      <w:r w:rsidRPr="00FB6282">
        <w:rPr>
          <w:szCs w:val="18"/>
          <w:lang w:val="en-US"/>
        </w:rPr>
        <w:t xml:space="preserve"> </w:t>
      </w:r>
      <w:r w:rsidRPr="00FB6282">
        <w:rPr>
          <w:rStyle w:val="DeltaViewInsertion"/>
          <w:color w:val="auto"/>
          <w:szCs w:val="18"/>
          <w:u w:val="none"/>
          <w:lang w:val="en-US"/>
        </w:rPr>
        <w:t>UNEP/MC/COP.3/6, anexo II.</w:t>
      </w:r>
    </w:p>
  </w:footnote>
  <w:footnote w:id="3">
    <w:p w14:paraId="2A1D852E" w14:textId="77777777" w:rsidR="00454804" w:rsidRPr="00FB6282" w:rsidRDefault="00454804" w:rsidP="00FB4230">
      <w:pPr>
        <w:pStyle w:val="FootnoteText"/>
        <w:tabs>
          <w:tab w:val="left" w:pos="624"/>
        </w:tabs>
        <w:rPr>
          <w:szCs w:val="18"/>
          <w:lang w:val="en-US"/>
        </w:rPr>
      </w:pPr>
      <w:r w:rsidRPr="00157E17">
        <w:rPr>
          <w:rStyle w:val="FootnoteReference"/>
          <w:sz w:val="18"/>
          <w:lang w:val="es-ES_tradnl"/>
        </w:rPr>
        <w:footnoteRef/>
      </w:r>
      <w:r w:rsidRPr="00FB6282">
        <w:rPr>
          <w:szCs w:val="18"/>
          <w:lang w:val="en-US"/>
        </w:rPr>
        <w:t xml:space="preserve"> UNEP/CHW.12/5/Add.8/Rev.1.</w:t>
      </w:r>
    </w:p>
  </w:footnote>
  <w:footnote w:id="4">
    <w:p w14:paraId="565D5BF5" w14:textId="76BE4456" w:rsidR="00454804" w:rsidRPr="00FB6282" w:rsidRDefault="00454804">
      <w:pPr>
        <w:pStyle w:val="FootnoteText"/>
        <w:rPr>
          <w:szCs w:val="18"/>
          <w:lang w:val="en-US"/>
        </w:rPr>
      </w:pPr>
      <w:r w:rsidRPr="00157E17">
        <w:rPr>
          <w:rStyle w:val="FootnoteReference"/>
          <w:sz w:val="18"/>
          <w:lang w:val="es-ES_tradnl"/>
        </w:rPr>
        <w:footnoteRef/>
      </w:r>
      <w:r w:rsidRPr="00FB6282">
        <w:rPr>
          <w:szCs w:val="18"/>
          <w:lang w:val="en-US"/>
        </w:rPr>
        <w:t xml:space="preserve"> </w:t>
      </w:r>
      <w:r w:rsidRPr="00FB6282">
        <w:rPr>
          <w:rStyle w:val="DeltaViewInsertion"/>
          <w:color w:val="auto"/>
          <w:szCs w:val="18"/>
          <w:u w:val="none"/>
          <w:lang w:val="en-US"/>
        </w:rPr>
        <w:t>UNEP/MC/COP.3/8.</w:t>
      </w:r>
    </w:p>
  </w:footnote>
  <w:footnote w:id="5">
    <w:p w14:paraId="31D637DA" w14:textId="4AFE8B6E" w:rsidR="00454804" w:rsidRPr="00FB6282" w:rsidRDefault="00454804">
      <w:pPr>
        <w:pStyle w:val="FootnoteText"/>
        <w:rPr>
          <w:szCs w:val="18"/>
          <w:lang w:val="en-US"/>
        </w:rPr>
      </w:pPr>
      <w:r w:rsidRPr="00157E17">
        <w:rPr>
          <w:rStyle w:val="FootnoteReference"/>
          <w:sz w:val="18"/>
          <w:lang w:val="es-ES_tradnl"/>
        </w:rPr>
        <w:footnoteRef/>
      </w:r>
      <w:r w:rsidRPr="00FB6282">
        <w:rPr>
          <w:rStyle w:val="DeltaViewInsertion"/>
          <w:color w:val="auto"/>
          <w:szCs w:val="18"/>
          <w:u w:val="none"/>
          <w:lang w:val="en-US"/>
        </w:rPr>
        <w:t xml:space="preserve"> UNEP/MC/COP.3/8/Rev.1</w:t>
      </w:r>
    </w:p>
  </w:footnote>
  <w:footnote w:id="6">
    <w:p w14:paraId="515CDF25" w14:textId="4A1273BE" w:rsidR="00454804" w:rsidRPr="00FB6282" w:rsidRDefault="00454804">
      <w:pPr>
        <w:pStyle w:val="FootnoteText"/>
        <w:rPr>
          <w:szCs w:val="18"/>
          <w:lang w:val="en-US"/>
        </w:rPr>
      </w:pPr>
      <w:r w:rsidRPr="00157E17">
        <w:rPr>
          <w:rStyle w:val="FootnoteReference"/>
          <w:sz w:val="18"/>
          <w:lang w:val="es-ES_tradnl"/>
        </w:rPr>
        <w:footnoteRef/>
      </w:r>
      <w:r w:rsidRPr="00FB6282">
        <w:rPr>
          <w:szCs w:val="18"/>
          <w:lang w:val="en-US"/>
        </w:rPr>
        <w:t xml:space="preserve"> </w:t>
      </w:r>
      <w:r w:rsidRPr="00FB6282">
        <w:rPr>
          <w:rStyle w:val="DeltaViewInsertion"/>
          <w:color w:val="auto"/>
          <w:szCs w:val="18"/>
          <w:u w:val="none"/>
          <w:lang w:val="en-US"/>
        </w:rPr>
        <w:t>UNEP/MC/COP.3/11.</w:t>
      </w:r>
    </w:p>
  </w:footnote>
  <w:footnote w:id="7">
    <w:p w14:paraId="69A19BAB" w14:textId="39FC80FF" w:rsidR="00454804" w:rsidRPr="00FB6282" w:rsidRDefault="00454804" w:rsidP="00FB4230">
      <w:pPr>
        <w:pStyle w:val="FootnoteText"/>
        <w:rPr>
          <w:szCs w:val="18"/>
          <w:lang w:val="en-US"/>
        </w:rPr>
      </w:pPr>
      <w:r w:rsidRPr="00157E17">
        <w:rPr>
          <w:rStyle w:val="FootnoteReference"/>
          <w:sz w:val="18"/>
          <w:lang w:val="es-ES_tradnl"/>
        </w:rPr>
        <w:footnoteRef/>
      </w:r>
      <w:r w:rsidRPr="00FB6282">
        <w:rPr>
          <w:szCs w:val="18"/>
          <w:lang w:val="en-US"/>
        </w:rPr>
        <w:t xml:space="preserve"> UNEP/MC/COP.3/INF/14.</w:t>
      </w:r>
    </w:p>
  </w:footnote>
  <w:footnote w:id="8">
    <w:p w14:paraId="0066F0AB" w14:textId="06D77168" w:rsidR="00454804" w:rsidRPr="00FB6282" w:rsidRDefault="00454804">
      <w:pPr>
        <w:pStyle w:val="FootnoteText"/>
        <w:rPr>
          <w:szCs w:val="18"/>
          <w:lang w:val="en-US"/>
        </w:rPr>
      </w:pPr>
      <w:r w:rsidRPr="00157E17">
        <w:rPr>
          <w:rStyle w:val="FootnoteReference"/>
          <w:sz w:val="18"/>
          <w:lang w:val="es-ES_tradnl"/>
        </w:rPr>
        <w:footnoteRef/>
      </w:r>
      <w:r w:rsidRPr="00FB6282">
        <w:rPr>
          <w:szCs w:val="18"/>
          <w:lang w:val="en-US"/>
        </w:rPr>
        <w:t xml:space="preserve"> </w:t>
      </w:r>
      <w:r w:rsidRPr="00FB6282">
        <w:rPr>
          <w:rStyle w:val="DeltaViewInsertion"/>
          <w:rFonts w:eastAsia="SimSun"/>
          <w:color w:val="auto"/>
          <w:szCs w:val="18"/>
          <w:u w:val="none"/>
          <w:lang w:val="en-US"/>
        </w:rPr>
        <w:t>UNEP/MC/COP.3/13.</w:t>
      </w:r>
    </w:p>
  </w:footnote>
  <w:footnote w:id="9">
    <w:p w14:paraId="22AC943C" w14:textId="77777777" w:rsidR="00454804" w:rsidRPr="00FB6282" w:rsidRDefault="00454804" w:rsidP="00FB4230">
      <w:pPr>
        <w:pStyle w:val="Text"/>
        <w:tabs>
          <w:tab w:val="left" w:pos="624"/>
        </w:tabs>
        <w:spacing w:before="20" w:after="40" w:line="240" w:lineRule="auto"/>
        <w:ind w:left="1247"/>
        <w:rPr>
          <w:rFonts w:ascii="Times New Roman" w:hAnsi="Times New Roman" w:cs="Times New Roman"/>
          <w:sz w:val="18"/>
          <w:szCs w:val="18"/>
        </w:rPr>
      </w:pPr>
      <w:r w:rsidRPr="00157E17">
        <w:rPr>
          <w:rFonts w:ascii="Times New Roman" w:eastAsia="Calibri Light" w:hAnsi="Times New Roman" w:cs="Times New Roman"/>
          <w:sz w:val="18"/>
          <w:szCs w:val="18"/>
          <w:vertAlign w:val="superscript"/>
          <w:lang w:val="es-ES_tradnl"/>
        </w:rPr>
        <w:footnoteRef/>
      </w:r>
      <w:r w:rsidRPr="00FB6282">
        <w:rPr>
          <w:rFonts w:ascii="Times New Roman" w:hAnsi="Times New Roman" w:cs="Times New Roman"/>
          <w:sz w:val="18"/>
          <w:szCs w:val="18"/>
        </w:rPr>
        <w:t xml:space="preserve"> UNEP/MC/COP.3/14.</w:t>
      </w:r>
    </w:p>
  </w:footnote>
  <w:footnote w:id="10">
    <w:p w14:paraId="09FE46A5" w14:textId="5913281C" w:rsidR="00454804" w:rsidRPr="00FB6282" w:rsidRDefault="00454804" w:rsidP="00FB4230">
      <w:pPr>
        <w:pStyle w:val="Text"/>
        <w:tabs>
          <w:tab w:val="left" w:pos="624"/>
        </w:tabs>
        <w:spacing w:before="20" w:after="40" w:line="240" w:lineRule="auto"/>
        <w:ind w:left="1247"/>
        <w:rPr>
          <w:sz w:val="18"/>
          <w:szCs w:val="18"/>
        </w:rPr>
      </w:pPr>
      <w:r w:rsidRPr="00157E17">
        <w:rPr>
          <w:rFonts w:ascii="Times New Roman" w:eastAsia="Calibri Light" w:hAnsi="Times New Roman" w:cs="Times New Roman"/>
          <w:sz w:val="18"/>
          <w:szCs w:val="18"/>
          <w:vertAlign w:val="superscript"/>
          <w:lang w:val="es-ES_tradnl"/>
        </w:rPr>
        <w:footnoteRef/>
      </w:r>
      <w:r w:rsidRPr="00FB6282">
        <w:rPr>
          <w:rFonts w:ascii="Times New Roman" w:hAnsi="Times New Roman" w:cs="Times New Roman"/>
          <w:sz w:val="18"/>
          <w:szCs w:val="18"/>
        </w:rPr>
        <w:t xml:space="preserve"> UNEP/MC/COP.3/INF/15.</w:t>
      </w:r>
    </w:p>
  </w:footnote>
  <w:footnote w:id="11">
    <w:p w14:paraId="5628523F" w14:textId="146AACD7" w:rsidR="00454804" w:rsidRPr="00FB6282" w:rsidRDefault="00454804" w:rsidP="00FB4230">
      <w:pPr>
        <w:pStyle w:val="FootnoteText"/>
        <w:rPr>
          <w:szCs w:val="18"/>
          <w:lang w:val="en-US"/>
        </w:rPr>
      </w:pPr>
      <w:r w:rsidRPr="00157E17">
        <w:rPr>
          <w:rStyle w:val="FootnoteReference"/>
          <w:sz w:val="18"/>
          <w:lang w:val="es-ES_tradnl"/>
        </w:rPr>
        <w:footnoteRef/>
      </w:r>
      <w:r w:rsidRPr="00FB6282">
        <w:rPr>
          <w:szCs w:val="18"/>
          <w:lang w:val="en-US"/>
        </w:rPr>
        <w:t xml:space="preserve"> UNEP/MC/ COP.3/INF/15.</w:t>
      </w:r>
    </w:p>
  </w:footnote>
  <w:footnote w:id="12">
    <w:p w14:paraId="248DE3F4" w14:textId="77777777" w:rsidR="00454804" w:rsidRPr="00FB6282" w:rsidRDefault="00454804" w:rsidP="00BF02B7">
      <w:pPr>
        <w:pStyle w:val="Normal-pool"/>
        <w:tabs>
          <w:tab w:val="clear" w:pos="1247"/>
          <w:tab w:val="clear" w:pos="1814"/>
          <w:tab w:val="clear" w:pos="2381"/>
          <w:tab w:val="clear" w:pos="2948"/>
          <w:tab w:val="clear" w:pos="3515"/>
          <w:tab w:val="left" w:pos="624"/>
        </w:tabs>
        <w:spacing w:before="20" w:after="40"/>
        <w:ind w:left="1247"/>
        <w:rPr>
          <w:sz w:val="18"/>
          <w:szCs w:val="18"/>
          <w:lang w:val="en-US"/>
        </w:rPr>
      </w:pPr>
      <w:r w:rsidRPr="00157E17">
        <w:rPr>
          <w:rStyle w:val="FootnoteReference"/>
          <w:sz w:val="18"/>
          <w:lang w:val="es-ES_tradnl"/>
        </w:rPr>
        <w:footnoteRef/>
      </w:r>
      <w:r w:rsidRPr="00FB6282">
        <w:rPr>
          <w:sz w:val="18"/>
          <w:szCs w:val="18"/>
          <w:lang w:val="en-US"/>
        </w:rPr>
        <w:t xml:space="preserve"> UNEP/MC/COP.3/16.</w:t>
      </w:r>
    </w:p>
  </w:footnote>
  <w:footnote w:id="13">
    <w:p w14:paraId="6F037847"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UNEP/MC/COP.3/19.</w:t>
      </w:r>
    </w:p>
  </w:footnote>
  <w:footnote w:id="14">
    <w:p w14:paraId="732A3E3E"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15">
    <w:p w14:paraId="36A2B381"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UNEP/MC/COP.3/20.</w:t>
      </w:r>
    </w:p>
  </w:footnote>
  <w:footnote w:id="16">
    <w:p w14:paraId="1ACD33C2"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17">
    <w:p w14:paraId="4D474F6D" w14:textId="47340A05"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UNEP/MC/COP.3/INF/11 e INF/11/Add.1.</w:t>
      </w:r>
    </w:p>
  </w:footnote>
  <w:footnote w:id="18">
    <w:p w14:paraId="43BEDA0B"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UNEP/MC/COP.3/INF/9.</w:t>
      </w:r>
    </w:p>
  </w:footnote>
  <w:footnote w:id="19">
    <w:p w14:paraId="5C873264"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20">
    <w:p w14:paraId="658345C7" w14:textId="77777777" w:rsidR="00454804" w:rsidRPr="00FB6282" w:rsidRDefault="00454804" w:rsidP="00FB4230">
      <w:pPr>
        <w:pStyle w:val="FootnoteText"/>
        <w:tabs>
          <w:tab w:val="left" w:pos="624"/>
        </w:tabs>
        <w:rPr>
          <w:szCs w:val="18"/>
          <w:lang w:val="en-US"/>
        </w:rPr>
      </w:pPr>
      <w:r w:rsidRPr="00157E17">
        <w:rPr>
          <w:rStyle w:val="FootnoteReference"/>
          <w:sz w:val="18"/>
          <w:lang w:val="es-ES_tradnl"/>
        </w:rPr>
        <w:footnoteRef/>
      </w:r>
      <w:r w:rsidRPr="00FB6282">
        <w:rPr>
          <w:szCs w:val="18"/>
          <w:lang w:val="en-US"/>
        </w:rPr>
        <w:t xml:space="preserve"> UNEP/MC/COP.3/19.</w:t>
      </w:r>
    </w:p>
  </w:footnote>
  <w:footnote w:id="21">
    <w:p w14:paraId="7243D638"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UNEP/MC/COP.3/20.</w:t>
      </w:r>
    </w:p>
  </w:footnote>
  <w:footnote w:id="22">
    <w:p w14:paraId="2F7E0FF7"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23">
    <w:p w14:paraId="123746AF" w14:textId="56256CF3"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UNEP/MC/COP.3/INF/11 e INF/11/Add.1.</w:t>
      </w:r>
    </w:p>
  </w:footnote>
  <w:footnote w:id="24">
    <w:p w14:paraId="6D9F53C8" w14:textId="77777777" w:rsidR="00454804" w:rsidRPr="00FB6282" w:rsidRDefault="00454804" w:rsidP="00AA4016">
      <w:pPr>
        <w:pStyle w:val="FootnoteText"/>
        <w:rPr>
          <w:szCs w:val="18"/>
          <w:lang w:val="en-US"/>
        </w:rPr>
      </w:pPr>
      <w:r w:rsidRPr="00157E17">
        <w:rPr>
          <w:rStyle w:val="FootnoteReference"/>
          <w:sz w:val="18"/>
          <w:lang w:val="es-ES_tradnl"/>
        </w:rPr>
        <w:footnoteRef/>
      </w:r>
      <w:r w:rsidRPr="00FB6282">
        <w:rPr>
          <w:szCs w:val="18"/>
          <w:lang w:val="en-US"/>
        </w:rPr>
        <w:t xml:space="preserve"> UNEP/MC/COP.3/INF/9.</w:t>
      </w:r>
    </w:p>
  </w:footnote>
  <w:footnote w:id="25">
    <w:p w14:paraId="669D6EBA" w14:textId="77777777" w:rsidR="00454804" w:rsidRPr="00157E17" w:rsidRDefault="00454804" w:rsidP="00C0114A">
      <w:pPr>
        <w:pStyle w:val="FootnoteText"/>
        <w:rPr>
          <w:szCs w:val="18"/>
          <w:lang w:val="es-ES_tradnl"/>
        </w:rPr>
      </w:pPr>
      <w:r w:rsidRPr="00157E17">
        <w:rPr>
          <w:rStyle w:val="FootnoteReference"/>
          <w:sz w:val="18"/>
          <w:lang w:val="es-ES_tradnl"/>
        </w:rPr>
        <w:footnoteRef/>
      </w:r>
      <w:r w:rsidRPr="00157E17">
        <w:rPr>
          <w:szCs w:val="18"/>
          <w:lang w:val="es-ES_tradnl"/>
        </w:rPr>
        <w:t xml:space="preserve"> UNEP/MC/COP.3/10.</w:t>
      </w:r>
    </w:p>
  </w:footnote>
  <w:footnote w:id="26">
    <w:p w14:paraId="282C72F9" w14:textId="2EA4BEFE" w:rsidR="00157E17" w:rsidRPr="00157E17" w:rsidRDefault="00157E17">
      <w:pPr>
        <w:pStyle w:val="FootnoteText"/>
        <w:rPr>
          <w:szCs w:val="18"/>
          <w:lang w:val="es-ES_tradnl"/>
        </w:rPr>
      </w:pPr>
      <w:r w:rsidRPr="00157E17">
        <w:rPr>
          <w:rStyle w:val="FootnoteReference"/>
          <w:sz w:val="18"/>
          <w:lang w:val="es-ES_tradnl"/>
        </w:rPr>
        <w:footnoteRef/>
      </w:r>
      <w:r w:rsidRPr="00157E17">
        <w:rPr>
          <w:szCs w:val="18"/>
          <w:lang w:val="es-ES_tradnl"/>
        </w:rPr>
        <w:t xml:space="preserve"> La actividad 6, evaluación de la eficacia, fue ajustada por la Secretaría con arreglo a una solicitud de la Conferencia de las Partes en su tercera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365F9F62" w:rsidR="00454804" w:rsidRPr="005C0019" w:rsidRDefault="00454804">
    <w:pPr>
      <w:pStyle w:val="Header"/>
      <w:rPr>
        <w:szCs w:val="18"/>
      </w:rPr>
    </w:pPr>
    <w:r w:rsidRPr="009C52E8">
      <w:rPr>
        <w:bCs/>
        <w:szCs w:val="18"/>
      </w:rPr>
      <w:t>UNEP</w:t>
    </w:r>
    <w:r w:rsidRPr="009C52E8">
      <w:rPr>
        <w:szCs w:val="18"/>
      </w:rPr>
      <w:t>/MC/COP.3/23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0D7242A1" w:rsidR="00454804" w:rsidRPr="005C0019" w:rsidRDefault="00454804" w:rsidP="001D516A">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Pr="001D516A">
      <w:rPr>
        <w:szCs w:val="18"/>
      </w:rPr>
      <w:t>3/</w:t>
    </w:r>
    <w:r>
      <w:rPr>
        <w:szCs w:val="18"/>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42B7284" w:rsidR="00454804" w:rsidRPr="00417FE2" w:rsidRDefault="00454804">
    <w:pPr>
      <w:pStyle w:val="Header"/>
      <w:rPr>
        <w:szCs w:val="18"/>
      </w:rPr>
    </w:pPr>
    <w:r w:rsidRPr="009C52E8">
      <w:rPr>
        <w:bCs/>
        <w:szCs w:val="18"/>
      </w:rPr>
      <w:t>UNEP</w:t>
    </w:r>
    <w:r w:rsidRPr="009C52E8">
      <w:rPr>
        <w:szCs w:val="18"/>
      </w:rPr>
      <w:t>/MC/COP.3/23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797D52E4" w:rsidR="00454804" w:rsidRPr="00417FE2" w:rsidRDefault="00454804" w:rsidP="00417FE2">
    <w:pPr>
      <w:pStyle w:val="Header"/>
      <w:jc w:val="right"/>
      <w:rPr>
        <w:szCs w:val="18"/>
      </w:rPr>
    </w:pPr>
    <w:r w:rsidRPr="009C52E8">
      <w:rPr>
        <w:bCs/>
        <w:szCs w:val="18"/>
      </w:rPr>
      <w:t>UNEP</w:t>
    </w:r>
    <w:r w:rsidRPr="009C52E8">
      <w:rPr>
        <w:szCs w:val="18"/>
      </w:rPr>
      <w:t>/MC/COP.3/23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1DE18863" w:rsidR="00454804" w:rsidRPr="003F4DA7" w:rsidRDefault="00454804" w:rsidP="00FE7E26">
    <w:pPr>
      <w:pStyle w:val="Header"/>
      <w:rPr>
        <w:szCs w:val="18"/>
      </w:rPr>
    </w:pPr>
    <w:r w:rsidRPr="009C52E8">
      <w:rPr>
        <w:bCs/>
        <w:szCs w:val="18"/>
      </w:rPr>
      <w:t>UNEP</w:t>
    </w:r>
    <w:r w:rsidRPr="009C52E8">
      <w:rPr>
        <w:szCs w:val="18"/>
      </w:rPr>
      <w:t>/MC/COP.3/23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5A12"/>
    <w:rsid w:val="0025789B"/>
    <w:rsid w:val="0026018E"/>
    <w:rsid w:val="002606D7"/>
    <w:rsid w:val="00262301"/>
    <w:rsid w:val="002643D7"/>
    <w:rsid w:val="00264C66"/>
    <w:rsid w:val="00264E2F"/>
    <w:rsid w:val="0026615A"/>
    <w:rsid w:val="00270A6E"/>
    <w:rsid w:val="00271861"/>
    <w:rsid w:val="00272F6D"/>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mea-minamatasecretariat@u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mercuryconven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09453-39CD-4BA1-AF81-4C7D6849BCAB}"/>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63120200-C1FA-4A8C-BBAE-EA5FA65D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40528</Words>
  <Characters>222906</Characters>
  <Application>Microsoft Office Word</Application>
  <DocSecurity>0</DocSecurity>
  <Lines>1857</Lines>
  <Paragraphs>525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262909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Marina Pariente Rodrigo</cp:lastModifiedBy>
  <cp:revision>2</cp:revision>
  <cp:lastPrinted>2020-03-02T13:04:00Z</cp:lastPrinted>
  <dcterms:created xsi:type="dcterms:W3CDTF">2020-05-18T09:36:00Z</dcterms:created>
  <dcterms:modified xsi:type="dcterms:W3CDTF">2020-05-18T09:36:00Z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