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51504E91"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r w:rsidR="7EE972C7" w:rsidRPr="002A2EA6">
              <w:t>23</w:t>
            </w:r>
            <w:bookmarkStart w:id="0" w:name="OLE_LINK1"/>
            <w:bookmarkStart w:id="1" w:name="OLE_LINK2"/>
            <w:bookmarkEnd w:id="0"/>
            <w:bookmarkEnd w:id="1"/>
          </w:p>
        </w:tc>
      </w:tr>
      <w:bookmarkStart w:id="2" w:name="_1021710482"/>
      <w:bookmarkStart w:id="3" w:name="_1021710510"/>
      <w:bookmarkEnd w:id="2"/>
      <w:bookmarkEnd w:id="3"/>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75pt" o:ole="" fillcolor="window">
                  <v:imagedata r:id="rId11" o:title=""/>
                </v:shape>
                <o:OLEObject Type="Embed" ProgID="Word.Picture.8" ShapeID="_x0000_i1025" DrawAspect="Content" ObjectID="_1651413176"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r w:rsidRPr="002A2EA6">
              <w:t>Distr.</w:t>
            </w:r>
            <w:r w:rsidR="006A0F16" w:rsidRPr="002A2EA6">
              <w:t> </w:t>
            </w:r>
            <w:r w:rsidR="027992BE" w:rsidRPr="002A2EA6">
              <w:t>générale</w:t>
            </w:r>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D735218" w:rsidR="007A517A" w:rsidRPr="002A2EA6" w:rsidRDefault="269D8C1B" w:rsidP="00FE4C00">
      <w:pPr>
        <w:pStyle w:val="BBTitle"/>
        <w:rPr>
          <w:lang w:val="fr-FR"/>
        </w:rPr>
      </w:pPr>
      <w:r w:rsidRPr="002A2EA6">
        <w:rPr>
          <w:lang w:val="fr-FR"/>
        </w:rPr>
        <w:t>R</w:t>
      </w:r>
      <w:r w:rsidR="00FE4C00" w:rsidRPr="002A2EA6">
        <w:rPr>
          <w:lang w:val="fr-FR"/>
        </w:rPr>
        <w:t>apport de la Conférence des Parties à la Convention de</w:t>
      </w:r>
      <w:r w:rsidR="00B03BB4" w:rsidRPr="002A2EA6">
        <w:rPr>
          <w:lang w:val="fr-FR"/>
        </w:rPr>
        <w:t> </w:t>
      </w:r>
      <w:r w:rsidR="00FE4C00" w:rsidRPr="002A2EA6">
        <w:rPr>
          <w:lang w:val="fr-FR"/>
        </w:rPr>
        <w:t xml:space="preserve">Minamata sur le mercure </w:t>
      </w:r>
      <w:r w:rsidR="008012C0" w:rsidRPr="002A2EA6">
        <w:rPr>
          <w:lang w:val="fr-FR"/>
        </w:rPr>
        <w:t xml:space="preserve">sur les </w:t>
      </w:r>
      <w:r w:rsidR="0093585D" w:rsidRPr="002A2EA6">
        <w:rPr>
          <w:lang w:val="fr-FR"/>
        </w:rPr>
        <w:t>travaux de</w:t>
      </w:r>
      <w:r w:rsidR="00B03BB4" w:rsidRPr="002A2EA6">
        <w:rPr>
          <w:lang w:val="fr-FR"/>
        </w:rPr>
        <w:t> </w:t>
      </w:r>
      <w:r w:rsidR="0093585D" w:rsidRPr="002A2EA6">
        <w:rPr>
          <w:lang w:val="fr-FR"/>
        </w:rPr>
        <w:t>sa troisième réunion</w:t>
      </w:r>
    </w:p>
    <w:p w14:paraId="11F5D2F4" w14:textId="01101BCA" w:rsidR="00FE4C00" w:rsidRPr="002A2EA6" w:rsidRDefault="00FE4C00" w:rsidP="00FE4C00">
      <w:pPr>
        <w:pStyle w:val="CH1"/>
        <w:rPr>
          <w:lang w:val="fr-FR"/>
        </w:rPr>
      </w:pPr>
      <w:r w:rsidRPr="002A2EA6">
        <w:rPr>
          <w:lang w:val="fr-FR"/>
        </w:rPr>
        <w:tab/>
      </w:r>
      <w:r w:rsidRPr="002A2EA6">
        <w:rPr>
          <w:lang w:val="fr-FR"/>
        </w:rPr>
        <w:tab/>
        <w:t>Introduction</w:t>
      </w:r>
    </w:p>
    <w:p w14:paraId="3B41EA8A" w14:textId="16B749DB" w:rsidR="00FE4C00" w:rsidRPr="002A2EA6" w:rsidRDefault="00A056A2" w:rsidP="00A056A2">
      <w:pPr>
        <w:pStyle w:val="Normalnumber"/>
        <w:numPr>
          <w:ilvl w:val="0"/>
          <w:numId w:val="42"/>
        </w:numPr>
        <w:tabs>
          <w:tab w:val="clear" w:pos="1814"/>
          <w:tab w:val="left" w:pos="1843"/>
          <w:tab w:val="left" w:pos="1985"/>
        </w:tabs>
        <w:ind w:left="1288" w:hanging="28"/>
        <w:rPr>
          <w:lang w:val="fr-FR"/>
        </w:rPr>
      </w:pPr>
      <w:r>
        <w:rPr>
          <w:lang w:val="fr-FR"/>
        </w:rPr>
        <w:t>La</w:t>
      </w:r>
      <w:r w:rsidR="008012C0" w:rsidRPr="002A2EA6">
        <w:rPr>
          <w:lang w:val="fr-FR"/>
        </w:rPr>
        <w:t xml:space="preserve"> troisième</w:t>
      </w:r>
      <w:r w:rsidR="0093585D" w:rsidRPr="002A2EA6">
        <w:rPr>
          <w:lang w:val="fr-FR"/>
        </w:rPr>
        <w:t> </w:t>
      </w:r>
      <w:r w:rsidR="008012C0" w:rsidRPr="002A2EA6">
        <w:rPr>
          <w:lang w:val="fr-FR"/>
        </w:rPr>
        <w:t>réunion de la Conférence des Parties à la Convention de Minamata sur le mercure s</w:t>
      </w:r>
      <w:r w:rsidR="00CA4DAC">
        <w:rPr>
          <w:lang w:val="fr-FR"/>
        </w:rPr>
        <w:t>’</w:t>
      </w:r>
      <w:r w:rsidR="008012C0" w:rsidRPr="002A2EA6">
        <w:rPr>
          <w:lang w:val="fr-FR"/>
        </w:rPr>
        <w:t>est tenue du</w:t>
      </w:r>
      <w:r w:rsidR="006A0F16" w:rsidRPr="002A2EA6">
        <w:rPr>
          <w:lang w:val="fr-FR"/>
        </w:rPr>
        <w:t> </w:t>
      </w:r>
      <w:r w:rsidR="008012C0" w:rsidRPr="002A2EA6">
        <w:rPr>
          <w:lang w:val="fr-FR"/>
        </w:rPr>
        <w:t>25 au 29</w:t>
      </w:r>
      <w:r w:rsidR="0093585D" w:rsidRPr="002A2EA6">
        <w:rPr>
          <w:lang w:val="fr-FR"/>
        </w:rPr>
        <w:t> </w:t>
      </w:r>
      <w:r w:rsidR="008012C0" w:rsidRPr="002A2EA6">
        <w:rPr>
          <w:lang w:val="fr-FR"/>
        </w:rPr>
        <w:t>novembre 2019</w:t>
      </w:r>
      <w:r w:rsidR="007B4FCA" w:rsidRPr="002A2EA6">
        <w:rPr>
          <w:lang w:val="fr-FR"/>
        </w:rPr>
        <w:t xml:space="preserve"> au Centre international de conférences de Genève</w:t>
      </w:r>
      <w:r w:rsidR="008012C0" w:rsidRPr="002A2EA6">
        <w:rPr>
          <w:lang w:val="fr-FR"/>
        </w:rPr>
        <w:t>.</w:t>
      </w:r>
    </w:p>
    <w:p w14:paraId="257CB6EF" w14:textId="47375946" w:rsidR="00FE4C00" w:rsidRPr="002A2EA6" w:rsidRDefault="0095048C" w:rsidP="00A056A2">
      <w:pPr>
        <w:pStyle w:val="CH1"/>
        <w:tabs>
          <w:tab w:val="left" w:pos="1843"/>
        </w:tabs>
        <w:rPr>
          <w:lang w:val="fr-FR"/>
        </w:rPr>
      </w:pPr>
      <w:r w:rsidRPr="002A2EA6">
        <w:rPr>
          <w:lang w:val="fr-FR"/>
        </w:rPr>
        <w:tab/>
        <w:t>I.</w:t>
      </w:r>
      <w:r w:rsidRPr="002A2EA6">
        <w:rPr>
          <w:lang w:val="fr-FR"/>
        </w:rPr>
        <w:tab/>
      </w:r>
      <w:r w:rsidR="00FE4C00" w:rsidRPr="002A2EA6">
        <w:rPr>
          <w:lang w:val="fr-FR"/>
        </w:rPr>
        <w:t>Ouverture de la réunion</w:t>
      </w:r>
    </w:p>
    <w:p w14:paraId="17170DD9" w14:textId="5A8F1CAB" w:rsidR="00FE4C00" w:rsidRPr="002A2EA6" w:rsidRDefault="00D16706"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Le </w:t>
      </w:r>
      <w:r w:rsidR="008012C0" w:rsidRPr="002A2EA6">
        <w:rPr>
          <w:lang w:val="fr-FR"/>
        </w:rPr>
        <w:t>Directeur du Bureau pour l</w:t>
      </w:r>
      <w:r w:rsidR="00CA4DAC">
        <w:rPr>
          <w:lang w:val="fr-FR"/>
        </w:rPr>
        <w:t>’</w:t>
      </w:r>
      <w:r w:rsidR="008012C0" w:rsidRPr="002A2EA6">
        <w:rPr>
          <w:lang w:val="fr-FR"/>
        </w:rPr>
        <w:t>Europe du Programme des Nations Unies pour l</w:t>
      </w:r>
      <w:r w:rsidR="00CA4DAC">
        <w:rPr>
          <w:lang w:val="fr-FR"/>
        </w:rPr>
        <w:t>’</w:t>
      </w:r>
      <w:r w:rsidR="008012C0" w:rsidRPr="002A2EA6">
        <w:rPr>
          <w:lang w:val="fr-FR"/>
        </w:rPr>
        <w:t xml:space="preserve">environnement (PNUE), </w:t>
      </w:r>
      <w:r w:rsidRPr="002A2EA6">
        <w:rPr>
          <w:lang w:val="fr-FR"/>
        </w:rPr>
        <w:t xml:space="preserve">M. Bruno Pozzi, </w:t>
      </w:r>
      <w:r w:rsidR="008012C0" w:rsidRPr="002A2EA6">
        <w:rPr>
          <w:lang w:val="fr-FR"/>
        </w:rPr>
        <w:t xml:space="preserve">a souhaité la bienvenue </w:t>
      </w:r>
      <w:r w:rsidR="0093585D" w:rsidRPr="002A2EA6">
        <w:rPr>
          <w:lang w:val="fr-FR"/>
        </w:rPr>
        <w:t>aux participants le lundi 25 </w:t>
      </w:r>
      <w:r w:rsidR="008012C0" w:rsidRPr="002A2EA6">
        <w:rPr>
          <w:lang w:val="fr-FR"/>
        </w:rPr>
        <w:t>novembre</w:t>
      </w:r>
      <w:r w:rsidR="00654FC3">
        <w:rPr>
          <w:lang w:val="fr-FR"/>
        </w:rPr>
        <w:t> </w:t>
      </w:r>
      <w:r w:rsidR="008012C0" w:rsidRPr="002A2EA6">
        <w:rPr>
          <w:lang w:val="fr-FR"/>
        </w:rPr>
        <w:t>2019 à</w:t>
      </w:r>
      <w:r w:rsidR="0095048C" w:rsidRPr="002A2EA6">
        <w:rPr>
          <w:lang w:val="fr-FR"/>
        </w:rPr>
        <w:t> </w:t>
      </w:r>
      <w:r w:rsidR="008012C0" w:rsidRPr="002A2EA6">
        <w:rPr>
          <w:lang w:val="fr-FR"/>
        </w:rPr>
        <w:t>10 h 20.</w:t>
      </w:r>
    </w:p>
    <w:p w14:paraId="0C35F1EB" w14:textId="5A09FA6C" w:rsidR="00FE4C00" w:rsidRPr="002A2EA6" w:rsidRDefault="0095048C" w:rsidP="0095048C">
      <w:pPr>
        <w:pStyle w:val="CH2"/>
        <w:rPr>
          <w:lang w:val="fr-FR"/>
        </w:rPr>
      </w:pPr>
      <w:r w:rsidRPr="002A2EA6">
        <w:rPr>
          <w:lang w:val="fr-FR"/>
        </w:rPr>
        <w:tab/>
      </w:r>
      <w:bookmarkStart w:id="4" w:name="_Toc39063329"/>
      <w:r w:rsidRPr="002A2EA6">
        <w:rPr>
          <w:lang w:val="fr-FR"/>
        </w:rPr>
        <w:t>A.</w:t>
      </w:r>
      <w:r w:rsidRPr="002A2EA6">
        <w:rPr>
          <w:lang w:val="fr-FR"/>
        </w:rPr>
        <w:tab/>
      </w:r>
      <w:r w:rsidR="00FE4C00" w:rsidRPr="002A2EA6">
        <w:rPr>
          <w:lang w:val="fr-FR"/>
        </w:rPr>
        <w:t>Déclarations liminaires</w:t>
      </w:r>
      <w:bookmarkEnd w:id="4"/>
    </w:p>
    <w:p w14:paraId="7C39CED2" w14:textId="7C2A6B07" w:rsidR="008012C0" w:rsidRPr="002A2EA6" w:rsidRDefault="008012C0"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issue d</w:t>
      </w:r>
      <w:r w:rsidR="00CA4DAC">
        <w:rPr>
          <w:lang w:val="fr-FR"/>
        </w:rPr>
        <w:t>’</w:t>
      </w:r>
      <w:r w:rsidRPr="002A2EA6">
        <w:rPr>
          <w:lang w:val="fr-FR"/>
        </w:rPr>
        <w:t>un spectacle de musique traditionnelle suisse et de la diffusion d</w:t>
      </w:r>
      <w:r w:rsidR="00CA4DAC">
        <w:rPr>
          <w:lang w:val="fr-FR"/>
        </w:rPr>
        <w:t>’</w:t>
      </w:r>
      <w:r w:rsidRPr="002A2EA6">
        <w:rPr>
          <w:lang w:val="fr-FR"/>
        </w:rPr>
        <w:t>une vidéo sur la</w:t>
      </w:r>
      <w:r w:rsidR="0095048C" w:rsidRPr="002A2EA6">
        <w:rPr>
          <w:lang w:val="fr-FR"/>
        </w:rPr>
        <w:t> </w:t>
      </w:r>
      <w:r w:rsidRPr="002A2EA6">
        <w:rPr>
          <w:lang w:val="fr-FR"/>
        </w:rPr>
        <w:t>Convention de Minamata, des déclarations liminaires ont été pr</w:t>
      </w:r>
      <w:r w:rsidR="007B4FCA" w:rsidRPr="002A2EA6">
        <w:rPr>
          <w:lang w:val="fr-FR"/>
        </w:rPr>
        <w:t>ononc</w:t>
      </w:r>
      <w:r w:rsidRPr="002A2EA6">
        <w:rPr>
          <w:lang w:val="fr-FR"/>
        </w:rPr>
        <w:t>ées par M.</w:t>
      </w:r>
      <w:r w:rsidR="0093585D" w:rsidRPr="002A2EA6">
        <w:rPr>
          <w:lang w:val="fr-FR"/>
        </w:rPr>
        <w:t> </w:t>
      </w:r>
      <w:r w:rsidRPr="002A2EA6">
        <w:rPr>
          <w:lang w:val="fr-FR"/>
        </w:rPr>
        <w:t>Marc</w:t>
      </w:r>
      <w:r w:rsidR="0070208A" w:rsidRPr="002A2EA6">
        <w:rPr>
          <w:lang w:val="fr-FR"/>
        </w:rPr>
        <w:t> </w:t>
      </w:r>
      <w:r w:rsidRPr="002A2EA6">
        <w:rPr>
          <w:lang w:val="fr-FR"/>
        </w:rPr>
        <w:t>Chardonnens, Secrétaire d</w:t>
      </w:r>
      <w:r w:rsidR="00CA4DAC">
        <w:rPr>
          <w:lang w:val="fr-FR"/>
        </w:rPr>
        <w:t>’</w:t>
      </w:r>
      <w:r w:rsidRPr="002A2EA6">
        <w:rPr>
          <w:lang w:val="fr-FR"/>
        </w:rPr>
        <w:t>État et Directeur de l</w:t>
      </w:r>
      <w:r w:rsidR="00CA4DAC">
        <w:rPr>
          <w:lang w:val="fr-FR"/>
        </w:rPr>
        <w:t>’</w:t>
      </w:r>
      <w:r w:rsidRPr="002A2EA6">
        <w:rPr>
          <w:lang w:val="fr-FR"/>
        </w:rPr>
        <w:t>Office fédéral suisse de l</w:t>
      </w:r>
      <w:r w:rsidR="00CA4DAC">
        <w:rPr>
          <w:lang w:val="fr-FR"/>
        </w:rPr>
        <w:t>’</w:t>
      </w:r>
      <w:r w:rsidRPr="002A2EA6">
        <w:rPr>
          <w:lang w:val="fr-FR"/>
        </w:rPr>
        <w:t>environnement</w:t>
      </w:r>
      <w:r w:rsidR="006A0F16" w:rsidRPr="002A2EA6">
        <w:rPr>
          <w:lang w:val="fr-FR"/>
        </w:rPr>
        <w:t> </w:t>
      </w:r>
      <w:r w:rsidR="631BDA25" w:rsidRPr="002A2EA6">
        <w:rPr>
          <w:lang w:val="fr-FR"/>
        </w:rPr>
        <w:t>;</w:t>
      </w:r>
      <w:r w:rsidRPr="002A2EA6">
        <w:rPr>
          <w:lang w:val="fr-FR"/>
        </w:rPr>
        <w:t xml:space="preserve"> </w:t>
      </w:r>
      <w:r w:rsidR="00E26279" w:rsidRPr="002A2EA6">
        <w:rPr>
          <w:sz w:val="22"/>
          <w:szCs w:val="22"/>
          <w:lang w:val="fr-FR"/>
        </w:rPr>
        <w:t>Mme</w:t>
      </w:r>
      <w:r w:rsidR="00E26279" w:rsidRPr="002A2EA6">
        <w:rPr>
          <w:lang w:val="fr-FR"/>
        </w:rPr>
        <w:t> </w:t>
      </w:r>
      <w:r w:rsidRPr="002A2EA6">
        <w:rPr>
          <w:lang w:val="fr-FR"/>
        </w:rPr>
        <w:t>Inger</w:t>
      </w:r>
      <w:r w:rsidR="0070208A" w:rsidRPr="002A2EA6">
        <w:rPr>
          <w:lang w:val="fr-FR"/>
        </w:rPr>
        <w:t> </w:t>
      </w:r>
      <w:r w:rsidRPr="002A2EA6">
        <w:rPr>
          <w:lang w:val="fr-FR"/>
        </w:rPr>
        <w:t>Andersen, Directrice exécutive du PNUE</w:t>
      </w:r>
      <w:r w:rsidR="006A0F16" w:rsidRPr="002A2EA6">
        <w:rPr>
          <w:lang w:val="fr-FR"/>
        </w:rPr>
        <w:t> </w:t>
      </w:r>
      <w:r w:rsidR="631BDA25" w:rsidRPr="002A2EA6">
        <w:rPr>
          <w:lang w:val="fr-FR"/>
        </w:rPr>
        <w:t>;</w:t>
      </w:r>
      <w:r w:rsidRPr="002A2EA6">
        <w:rPr>
          <w:lang w:val="fr-FR"/>
        </w:rPr>
        <w:t xml:space="preserve"> </w:t>
      </w:r>
      <w:r w:rsidR="00E26279" w:rsidRPr="002A2EA6">
        <w:rPr>
          <w:sz w:val="22"/>
          <w:szCs w:val="22"/>
          <w:lang w:val="fr-FR"/>
        </w:rPr>
        <w:t>Mme</w:t>
      </w:r>
      <w:r w:rsidR="00E26279" w:rsidRPr="002A2EA6">
        <w:rPr>
          <w:lang w:val="fr-FR"/>
        </w:rPr>
        <w:t> </w:t>
      </w:r>
      <w:r w:rsidRPr="002A2EA6">
        <w:rPr>
          <w:lang w:val="fr-FR"/>
        </w:rPr>
        <w:t>Rossana Silva Repetto, Secrétaire exécutive de la Convention de</w:t>
      </w:r>
      <w:r w:rsidR="0095048C" w:rsidRPr="002A2EA6">
        <w:rPr>
          <w:lang w:val="fr-FR"/>
        </w:rPr>
        <w:t> </w:t>
      </w:r>
      <w:r w:rsidRPr="002A2EA6">
        <w:rPr>
          <w:lang w:val="fr-FR"/>
        </w:rPr>
        <w:t>Minamata sur le mercure</w:t>
      </w:r>
      <w:r w:rsidR="006A0F16" w:rsidRPr="002A2EA6">
        <w:rPr>
          <w:lang w:val="fr-FR"/>
        </w:rPr>
        <w:t> </w:t>
      </w:r>
      <w:r w:rsidR="631BDA25" w:rsidRPr="002A2EA6">
        <w:rPr>
          <w:lang w:val="fr-FR"/>
        </w:rPr>
        <w:t>;</w:t>
      </w:r>
      <w:r w:rsidRPr="002A2EA6">
        <w:rPr>
          <w:lang w:val="fr-FR"/>
        </w:rPr>
        <w:t xml:space="preserve"> et M.</w:t>
      </w:r>
      <w:r w:rsidR="0093585D" w:rsidRPr="002A2EA6">
        <w:rPr>
          <w:lang w:val="fr-FR"/>
        </w:rPr>
        <w:t> </w:t>
      </w:r>
      <w:r w:rsidRPr="002A2EA6">
        <w:rPr>
          <w:lang w:val="fr-FR"/>
        </w:rPr>
        <w:t>David Kapindula (Zambie), Président</w:t>
      </w:r>
      <w:r w:rsidR="00654FC3">
        <w:rPr>
          <w:lang w:val="fr-FR"/>
        </w:rPr>
        <w:t> </w:t>
      </w:r>
      <w:r w:rsidRPr="002A2EA6">
        <w:rPr>
          <w:lang w:val="fr-FR"/>
        </w:rPr>
        <w:t>de la Conférence des Parties à</w:t>
      </w:r>
      <w:r w:rsidR="0095048C" w:rsidRPr="002A2EA6">
        <w:rPr>
          <w:lang w:val="fr-FR"/>
        </w:rPr>
        <w:t> </w:t>
      </w:r>
      <w:r w:rsidRPr="002A2EA6">
        <w:rPr>
          <w:lang w:val="fr-FR"/>
        </w:rPr>
        <w:t>sa troisième</w:t>
      </w:r>
      <w:r w:rsidR="001B5AEA" w:rsidRPr="002A2EA6">
        <w:rPr>
          <w:lang w:val="fr-FR"/>
        </w:rPr>
        <w:t> </w:t>
      </w:r>
      <w:r w:rsidRPr="002A2EA6">
        <w:rPr>
          <w:lang w:val="fr-FR"/>
        </w:rPr>
        <w:t>réunion.</w:t>
      </w:r>
    </w:p>
    <w:p w14:paraId="50C03F81" w14:textId="787C8A6D" w:rsidR="008012C0" w:rsidRPr="002A2EA6" w:rsidRDefault="008012C0" w:rsidP="00A056A2">
      <w:pPr>
        <w:pStyle w:val="Normalnumber"/>
        <w:numPr>
          <w:ilvl w:val="0"/>
          <w:numId w:val="42"/>
        </w:numPr>
        <w:tabs>
          <w:tab w:val="clear" w:pos="1814"/>
          <w:tab w:val="left" w:pos="1843"/>
          <w:tab w:val="left" w:pos="1985"/>
        </w:tabs>
        <w:ind w:left="1288" w:hanging="28"/>
        <w:rPr>
          <w:lang w:val="fr-FR"/>
        </w:rPr>
      </w:pPr>
      <w:r w:rsidRPr="002A2EA6">
        <w:rPr>
          <w:lang w:val="fr-FR"/>
        </w:rPr>
        <w:t>Dans sa déclaration liminaire, M.</w:t>
      </w:r>
      <w:r w:rsidR="0093585D" w:rsidRPr="002A2EA6">
        <w:rPr>
          <w:lang w:val="fr-FR"/>
        </w:rPr>
        <w:t> </w:t>
      </w:r>
      <w:r w:rsidRPr="002A2EA6">
        <w:rPr>
          <w:lang w:val="fr-FR"/>
        </w:rPr>
        <w:t>Chardonnens a souhaité aux participants</w:t>
      </w:r>
      <w:r w:rsidR="007B4FCA" w:rsidRPr="002A2EA6">
        <w:rPr>
          <w:lang w:val="fr-FR"/>
        </w:rPr>
        <w:t xml:space="preserve"> la bienvenue à Genève</w:t>
      </w:r>
      <w:r w:rsidRPr="002A2EA6">
        <w:rPr>
          <w:lang w:val="fr-FR"/>
        </w:rPr>
        <w:t xml:space="preserve">, notant que </w:t>
      </w:r>
      <w:r w:rsidR="007B4FCA" w:rsidRPr="002A2EA6">
        <w:rPr>
          <w:lang w:val="fr-FR"/>
        </w:rPr>
        <w:t>la réunion en cours</w:t>
      </w:r>
      <w:r w:rsidRPr="002A2EA6">
        <w:rPr>
          <w:lang w:val="fr-FR"/>
        </w:rPr>
        <w:t xml:space="preserve"> était la troisième réunion </w:t>
      </w:r>
      <w:r w:rsidR="007B4FCA" w:rsidRPr="002A2EA6">
        <w:rPr>
          <w:lang w:val="fr-FR"/>
        </w:rPr>
        <w:t>consécutive de la Conférence des</w:t>
      </w:r>
      <w:r w:rsidR="0095048C" w:rsidRPr="002A2EA6">
        <w:rPr>
          <w:lang w:val="fr-FR"/>
        </w:rPr>
        <w:t> </w:t>
      </w:r>
      <w:r w:rsidR="007B4FCA" w:rsidRPr="002A2EA6">
        <w:rPr>
          <w:lang w:val="fr-FR"/>
        </w:rPr>
        <w:t xml:space="preserve">Parties </w:t>
      </w:r>
      <w:r w:rsidRPr="002A2EA6">
        <w:rPr>
          <w:lang w:val="fr-FR"/>
        </w:rPr>
        <w:t>à se tenir à Genève depuis l</w:t>
      </w:r>
      <w:r w:rsidR="00CA4DAC">
        <w:rPr>
          <w:lang w:val="fr-FR"/>
        </w:rPr>
        <w:t>’</w:t>
      </w:r>
      <w:r w:rsidRPr="002A2EA6">
        <w:rPr>
          <w:lang w:val="fr-FR"/>
        </w:rPr>
        <w:t>entrée en vigueur de la Convention</w:t>
      </w:r>
      <w:r w:rsidR="0007545E" w:rsidRPr="002A2EA6">
        <w:rPr>
          <w:lang w:val="fr-FR"/>
        </w:rPr>
        <w:t>,</w:t>
      </w:r>
      <w:r w:rsidRPr="002A2EA6">
        <w:rPr>
          <w:lang w:val="fr-FR"/>
        </w:rPr>
        <w:t xml:space="preserve"> en 2017. </w:t>
      </w:r>
      <w:r w:rsidR="00D31C85" w:rsidRPr="002A2EA6">
        <w:rPr>
          <w:lang w:val="fr-FR"/>
        </w:rPr>
        <w:t xml:space="preserve">Rappelant </w:t>
      </w:r>
      <w:r w:rsidR="00C83364" w:rsidRPr="002A2EA6">
        <w:rPr>
          <w:lang w:val="fr-FR"/>
        </w:rPr>
        <w:t>la</w:t>
      </w:r>
      <w:r w:rsidR="0070208A" w:rsidRPr="002A2EA6">
        <w:rPr>
          <w:lang w:val="fr-FR"/>
        </w:rPr>
        <w:t> </w:t>
      </w:r>
      <w:r w:rsidR="00C83364" w:rsidRPr="002A2EA6">
        <w:rPr>
          <w:lang w:val="fr-FR"/>
        </w:rPr>
        <w:t xml:space="preserve">genèse </w:t>
      </w:r>
      <w:r w:rsidRPr="002A2EA6">
        <w:rPr>
          <w:lang w:val="fr-FR"/>
        </w:rPr>
        <w:t xml:space="preserve">de la Convention et les progrès considérables déjà réalisés dans sa mise en œuvre, </w:t>
      </w:r>
      <w:r w:rsidR="007B4FCA" w:rsidRPr="002A2EA6">
        <w:rPr>
          <w:lang w:val="fr-FR"/>
        </w:rPr>
        <w:t>il</w:t>
      </w:r>
      <w:r w:rsidR="00654FC3">
        <w:rPr>
          <w:lang w:val="fr-FR"/>
        </w:rPr>
        <w:t> </w:t>
      </w:r>
      <w:r w:rsidRPr="002A2EA6">
        <w:rPr>
          <w:lang w:val="fr-FR"/>
        </w:rPr>
        <w:t>a</w:t>
      </w:r>
      <w:r w:rsidR="00654FC3">
        <w:rPr>
          <w:lang w:val="fr-FR"/>
        </w:rPr>
        <w:t> </w:t>
      </w:r>
      <w:r w:rsidR="005E2FF9" w:rsidRPr="002A2EA6">
        <w:rPr>
          <w:lang w:val="fr-FR"/>
        </w:rPr>
        <w:t xml:space="preserve">évoqué </w:t>
      </w:r>
      <w:r w:rsidRPr="002A2EA6">
        <w:rPr>
          <w:lang w:val="fr-FR"/>
        </w:rPr>
        <w:t>les problèmes que rencontrent actuellement les Parties, notamment en matière de seuils applicables aux déchets, de sites contaminés et d</w:t>
      </w:r>
      <w:r w:rsidR="00CA4DAC">
        <w:rPr>
          <w:lang w:val="fr-FR"/>
        </w:rPr>
        <w:t>’</w:t>
      </w:r>
      <w:r w:rsidRPr="002A2EA6">
        <w:rPr>
          <w:lang w:val="fr-FR"/>
        </w:rPr>
        <w:t>inventaires. Pour résoudre ces</w:t>
      </w:r>
      <w:r w:rsidR="0095048C" w:rsidRPr="002A2EA6">
        <w:rPr>
          <w:lang w:val="fr-FR"/>
        </w:rPr>
        <w:t> </w:t>
      </w:r>
      <w:r w:rsidRPr="002A2EA6">
        <w:rPr>
          <w:lang w:val="fr-FR"/>
        </w:rPr>
        <w:t>problèmes et d</w:t>
      </w:r>
      <w:r w:rsidR="00CA4DAC">
        <w:rPr>
          <w:lang w:val="fr-FR"/>
        </w:rPr>
        <w:t>’</w:t>
      </w:r>
      <w:r w:rsidRPr="002A2EA6">
        <w:rPr>
          <w:lang w:val="fr-FR"/>
        </w:rPr>
        <w:t>autres difficultés, il</w:t>
      </w:r>
      <w:r w:rsidR="001B5AEA" w:rsidRPr="002A2EA6">
        <w:rPr>
          <w:lang w:val="fr-FR"/>
        </w:rPr>
        <w:t> </w:t>
      </w:r>
      <w:r w:rsidRPr="002A2EA6">
        <w:rPr>
          <w:lang w:val="fr-FR"/>
        </w:rPr>
        <w:t>importait que l</w:t>
      </w:r>
      <w:r w:rsidR="00CA4DAC">
        <w:rPr>
          <w:lang w:val="fr-FR"/>
        </w:rPr>
        <w:t>’</w:t>
      </w:r>
      <w:r w:rsidRPr="002A2EA6">
        <w:rPr>
          <w:lang w:val="fr-FR"/>
        </w:rPr>
        <w:t xml:space="preserve">ensemble des Parties et des parties prenantes </w:t>
      </w:r>
      <w:r w:rsidR="001B3027" w:rsidRPr="002A2EA6">
        <w:rPr>
          <w:lang w:val="fr-FR"/>
        </w:rPr>
        <w:t xml:space="preserve">assurent </w:t>
      </w:r>
      <w:r w:rsidRPr="002A2EA6">
        <w:rPr>
          <w:lang w:val="fr-FR"/>
        </w:rPr>
        <w:t xml:space="preserve">une action collective concertée et </w:t>
      </w:r>
      <w:r w:rsidR="001B3027" w:rsidRPr="002A2EA6">
        <w:rPr>
          <w:lang w:val="fr-FR"/>
        </w:rPr>
        <w:t>la collaboration</w:t>
      </w:r>
      <w:r w:rsidR="005D3AE7" w:rsidRPr="002A2EA6">
        <w:rPr>
          <w:lang w:val="fr-FR"/>
        </w:rPr>
        <w:t xml:space="preserve"> et</w:t>
      </w:r>
      <w:r w:rsidRPr="002A2EA6">
        <w:rPr>
          <w:lang w:val="fr-FR"/>
        </w:rPr>
        <w:t xml:space="preserve">, à cet égard, </w:t>
      </w:r>
      <w:r w:rsidR="005D3AE7" w:rsidRPr="002A2EA6">
        <w:rPr>
          <w:lang w:val="fr-FR"/>
        </w:rPr>
        <w:t xml:space="preserve">le fait que le </w:t>
      </w:r>
      <w:r w:rsidRPr="002A2EA6">
        <w:rPr>
          <w:lang w:val="fr-FR"/>
        </w:rPr>
        <w:t xml:space="preserve">secrétariat de la Convention </w:t>
      </w:r>
      <w:r w:rsidR="005D3AE7" w:rsidRPr="002A2EA6">
        <w:rPr>
          <w:lang w:val="fr-FR"/>
        </w:rPr>
        <w:t>se</w:t>
      </w:r>
      <w:r w:rsidR="0070208A" w:rsidRPr="002A2EA6">
        <w:rPr>
          <w:lang w:val="fr-FR"/>
        </w:rPr>
        <w:t> </w:t>
      </w:r>
      <w:r w:rsidR="005D3AE7" w:rsidRPr="002A2EA6">
        <w:rPr>
          <w:lang w:val="fr-FR"/>
        </w:rPr>
        <w:t xml:space="preserve">situe </w:t>
      </w:r>
      <w:r w:rsidRPr="002A2EA6">
        <w:rPr>
          <w:lang w:val="fr-FR"/>
        </w:rPr>
        <w:t xml:space="preserve">à Genève, </w:t>
      </w:r>
      <w:r w:rsidR="00E4400F" w:rsidRPr="002A2EA6">
        <w:rPr>
          <w:lang w:val="fr-FR"/>
        </w:rPr>
        <w:t xml:space="preserve">qui </w:t>
      </w:r>
      <w:r w:rsidRPr="002A2EA6">
        <w:rPr>
          <w:lang w:val="fr-FR"/>
        </w:rPr>
        <w:t>accueill</w:t>
      </w:r>
      <w:r w:rsidR="00E4400F" w:rsidRPr="002A2EA6">
        <w:rPr>
          <w:lang w:val="fr-FR"/>
        </w:rPr>
        <w:t>e</w:t>
      </w:r>
      <w:r w:rsidRPr="002A2EA6">
        <w:rPr>
          <w:lang w:val="fr-FR"/>
        </w:rPr>
        <w:t xml:space="preserve"> divers instruments et organisations </w:t>
      </w:r>
      <w:r w:rsidR="007B4FCA" w:rsidRPr="002A2EA6">
        <w:rPr>
          <w:lang w:val="fr-FR"/>
        </w:rPr>
        <w:t xml:space="preserve">œuvrant dans le domaine </w:t>
      </w:r>
      <w:r w:rsidRPr="002A2EA6">
        <w:rPr>
          <w:lang w:val="fr-FR"/>
        </w:rPr>
        <w:t xml:space="preserve">de </w:t>
      </w:r>
      <w:r w:rsidR="007B4FCA" w:rsidRPr="002A2EA6">
        <w:rPr>
          <w:lang w:val="fr-FR"/>
        </w:rPr>
        <w:t>la</w:t>
      </w:r>
      <w:r w:rsidR="0070208A" w:rsidRPr="002A2EA6">
        <w:rPr>
          <w:lang w:val="fr-FR"/>
        </w:rPr>
        <w:t> </w:t>
      </w:r>
      <w:r w:rsidRPr="002A2EA6">
        <w:rPr>
          <w:lang w:val="fr-FR"/>
        </w:rPr>
        <w:t xml:space="preserve">gouvernance mondiale </w:t>
      </w:r>
      <w:r w:rsidR="005A196F" w:rsidRPr="002A2EA6">
        <w:rPr>
          <w:lang w:val="fr-FR"/>
        </w:rPr>
        <w:t xml:space="preserve">des produits chimiques et </w:t>
      </w:r>
      <w:r w:rsidRPr="002A2EA6">
        <w:rPr>
          <w:lang w:val="fr-FR"/>
        </w:rPr>
        <w:t xml:space="preserve">des déchets, présentait de nombreux avantages. </w:t>
      </w:r>
      <w:r w:rsidR="007B4FCA" w:rsidRPr="002A2EA6">
        <w:rPr>
          <w:lang w:val="fr-FR"/>
        </w:rPr>
        <w:t>Pour reléguer</w:t>
      </w:r>
      <w:r w:rsidRPr="002A2EA6">
        <w:rPr>
          <w:lang w:val="fr-FR"/>
        </w:rPr>
        <w:t xml:space="preserve"> le mercure</w:t>
      </w:r>
      <w:r w:rsidR="007B4FCA" w:rsidRPr="002A2EA6">
        <w:rPr>
          <w:lang w:val="fr-FR"/>
        </w:rPr>
        <w:t xml:space="preserve"> aux oubliettes</w:t>
      </w:r>
      <w:r w:rsidRPr="002A2EA6">
        <w:rPr>
          <w:lang w:val="fr-FR"/>
        </w:rPr>
        <w:t>, il était essentiel de mettre en œuvre la Convention de manière résolue et de veiller à disposer des capacités requises à cette fin, ainsi que d</w:t>
      </w:r>
      <w:r w:rsidR="00CA4DAC">
        <w:rPr>
          <w:lang w:val="fr-FR"/>
        </w:rPr>
        <w:t>’</w:t>
      </w:r>
      <w:r w:rsidRPr="002A2EA6">
        <w:rPr>
          <w:lang w:val="fr-FR"/>
        </w:rPr>
        <w:t xml:space="preserve">utiliser les ressources de manière </w:t>
      </w:r>
      <w:r w:rsidR="00161635" w:rsidRPr="002A2EA6">
        <w:rPr>
          <w:lang w:val="fr-FR"/>
        </w:rPr>
        <w:t>rationnelle</w:t>
      </w:r>
      <w:r w:rsidRPr="002A2EA6">
        <w:rPr>
          <w:lang w:val="fr-FR"/>
        </w:rPr>
        <w:t xml:space="preserve">, </w:t>
      </w:r>
      <w:r w:rsidR="007B4FCA" w:rsidRPr="002A2EA6">
        <w:rPr>
          <w:lang w:val="fr-FR"/>
        </w:rPr>
        <w:t>un</w:t>
      </w:r>
      <w:r w:rsidR="001B5AEA" w:rsidRPr="002A2EA6">
        <w:rPr>
          <w:lang w:val="fr-FR"/>
        </w:rPr>
        <w:t> </w:t>
      </w:r>
      <w:r w:rsidR="007B4FCA" w:rsidRPr="002A2EA6">
        <w:rPr>
          <w:lang w:val="fr-FR"/>
        </w:rPr>
        <w:t>bon exemple étant</w:t>
      </w:r>
      <w:r w:rsidRPr="002A2EA6">
        <w:rPr>
          <w:lang w:val="fr-FR"/>
        </w:rPr>
        <w:t xml:space="preserve"> la coopération entre le secrétariat de la Convention de Minamata et le Secrétariat des </w:t>
      </w:r>
      <w:r w:rsidR="006A0F16" w:rsidRPr="002A2EA6">
        <w:rPr>
          <w:lang w:val="fr-FR"/>
        </w:rPr>
        <w:t>c</w:t>
      </w:r>
      <w:r w:rsidRPr="002A2EA6">
        <w:rPr>
          <w:lang w:val="fr-FR"/>
        </w:rPr>
        <w:t xml:space="preserve">onventions de Bâle, de Rotterdam et de Stockholm. Pour finir, </w:t>
      </w:r>
      <w:r w:rsidR="00CA4C3A" w:rsidRPr="002A2EA6">
        <w:rPr>
          <w:lang w:val="fr-FR"/>
        </w:rPr>
        <w:t xml:space="preserve">M. Chardonnens </w:t>
      </w:r>
      <w:r w:rsidRPr="002A2EA6">
        <w:rPr>
          <w:lang w:val="fr-FR"/>
        </w:rPr>
        <w:t>a souhaité aux participants des délibérations fructueuses et les a remerciés de relever le défi mondial pos</w:t>
      </w:r>
      <w:r w:rsidR="007B4FCA" w:rsidRPr="002A2EA6">
        <w:rPr>
          <w:lang w:val="fr-FR"/>
        </w:rPr>
        <w:t>é par</w:t>
      </w:r>
      <w:r w:rsidRPr="002A2EA6">
        <w:rPr>
          <w:lang w:val="fr-FR"/>
        </w:rPr>
        <w:t xml:space="preserve"> les produits chimiques et les déchets sur le chemin d</w:t>
      </w:r>
      <w:r w:rsidR="00CA4DAC">
        <w:rPr>
          <w:lang w:val="fr-FR"/>
        </w:rPr>
        <w:t>’</w:t>
      </w:r>
      <w:r w:rsidRPr="002A2EA6">
        <w:rPr>
          <w:lang w:val="fr-FR"/>
        </w:rPr>
        <w:t>un avenir détoxifié.</w:t>
      </w:r>
    </w:p>
    <w:p w14:paraId="7A512362" w14:textId="515B92AF" w:rsidR="008012C0" w:rsidRPr="002A2EA6" w:rsidRDefault="008012C0" w:rsidP="00A056A2">
      <w:pPr>
        <w:pStyle w:val="Normalnumber"/>
        <w:numPr>
          <w:ilvl w:val="0"/>
          <w:numId w:val="42"/>
        </w:numPr>
        <w:tabs>
          <w:tab w:val="clear" w:pos="1814"/>
          <w:tab w:val="left" w:pos="1843"/>
          <w:tab w:val="left" w:pos="1985"/>
        </w:tabs>
        <w:ind w:left="1288" w:hanging="28"/>
        <w:rPr>
          <w:lang w:val="fr-FR"/>
        </w:rPr>
      </w:pPr>
      <w:r w:rsidRPr="002A2EA6">
        <w:rPr>
          <w:lang w:val="fr-FR"/>
        </w:rPr>
        <w:lastRenderedPageBreak/>
        <w:t xml:space="preserve">Dans sa déclaration, </w:t>
      </w:r>
      <w:r w:rsidR="00E26279" w:rsidRPr="002A2EA6">
        <w:rPr>
          <w:sz w:val="22"/>
          <w:szCs w:val="22"/>
          <w:lang w:val="fr-FR"/>
        </w:rPr>
        <w:t>Mme</w:t>
      </w:r>
      <w:r w:rsidR="00E26279" w:rsidRPr="002A2EA6">
        <w:rPr>
          <w:lang w:val="fr-FR"/>
        </w:rPr>
        <w:t> </w:t>
      </w:r>
      <w:r w:rsidRPr="002A2EA6">
        <w:rPr>
          <w:lang w:val="fr-FR"/>
        </w:rPr>
        <w:t>Andersen a indiqué qu</w:t>
      </w:r>
      <w:r w:rsidR="00CA4DAC">
        <w:rPr>
          <w:lang w:val="fr-FR"/>
        </w:rPr>
        <w:t>’</w:t>
      </w:r>
      <w:r w:rsidR="0015091F" w:rsidRPr="002A2EA6">
        <w:rPr>
          <w:lang w:val="fr-FR"/>
        </w:rPr>
        <w:t>étant l</w:t>
      </w:r>
      <w:r w:rsidR="001317DC" w:rsidRPr="002A2EA6">
        <w:rPr>
          <w:lang w:val="fr-FR"/>
        </w:rPr>
        <w:t>a</w:t>
      </w:r>
      <w:r w:rsidR="0015091F" w:rsidRPr="002A2EA6">
        <w:rPr>
          <w:lang w:val="fr-FR"/>
        </w:rPr>
        <w:t xml:space="preserve"> </w:t>
      </w:r>
      <w:r w:rsidR="001317DC" w:rsidRPr="002A2EA6">
        <w:rPr>
          <w:lang w:val="fr-FR"/>
        </w:rPr>
        <w:t>dernière-née</w:t>
      </w:r>
      <w:r w:rsidRPr="002A2EA6">
        <w:rPr>
          <w:lang w:val="fr-FR"/>
        </w:rPr>
        <w:t xml:space="preserve"> d</w:t>
      </w:r>
      <w:r w:rsidR="0015091F" w:rsidRPr="002A2EA6">
        <w:rPr>
          <w:lang w:val="fr-FR"/>
        </w:rPr>
        <w:t>ans</w:t>
      </w:r>
      <w:r w:rsidRPr="002A2EA6">
        <w:rPr>
          <w:lang w:val="fr-FR"/>
        </w:rPr>
        <w:t xml:space="preserve"> la famille des</w:t>
      </w:r>
      <w:r w:rsidR="0070208A" w:rsidRPr="002A2EA6">
        <w:rPr>
          <w:lang w:val="fr-FR"/>
        </w:rPr>
        <w:t> </w:t>
      </w:r>
      <w:r w:rsidRPr="002A2EA6">
        <w:rPr>
          <w:lang w:val="fr-FR"/>
        </w:rPr>
        <w:t>conventions environnementales, la Convention de Minamata offrait d</w:t>
      </w:r>
      <w:r w:rsidR="00CA4DAC">
        <w:rPr>
          <w:lang w:val="fr-FR"/>
        </w:rPr>
        <w:t>’</w:t>
      </w:r>
      <w:r w:rsidRPr="002A2EA6">
        <w:rPr>
          <w:lang w:val="fr-FR"/>
        </w:rPr>
        <w:t>immenses possibilités pour produire des résultats favorables aux populations et à l</w:t>
      </w:r>
      <w:r w:rsidR="00CA4DAC">
        <w:rPr>
          <w:lang w:val="fr-FR"/>
        </w:rPr>
        <w:t>’</w:t>
      </w:r>
      <w:r w:rsidRPr="002A2EA6">
        <w:rPr>
          <w:lang w:val="fr-FR"/>
        </w:rPr>
        <w:t xml:space="preserve">environnement dans le cadre de la campagne visant à </w:t>
      </w:r>
      <w:r w:rsidR="003E5CB9" w:rsidRPr="002A2EA6">
        <w:rPr>
          <w:lang w:val="fr-FR"/>
        </w:rPr>
        <w:t>se débarrasser du</w:t>
      </w:r>
      <w:r w:rsidRPr="002A2EA6">
        <w:rPr>
          <w:lang w:val="fr-FR"/>
        </w:rPr>
        <w:t xml:space="preserve"> mercure. Parmi les réalisations de la Convention à ce jour, elle a </w:t>
      </w:r>
      <w:r w:rsidR="003E5CB9" w:rsidRPr="002A2EA6">
        <w:rPr>
          <w:lang w:val="fr-FR"/>
        </w:rPr>
        <w:t xml:space="preserve">notamment cité </w:t>
      </w:r>
      <w:r w:rsidRPr="002A2EA6">
        <w:rPr>
          <w:lang w:val="fr-FR"/>
        </w:rPr>
        <w:t>la création d</w:t>
      </w:r>
      <w:r w:rsidR="00CA4DAC">
        <w:rPr>
          <w:lang w:val="fr-FR"/>
        </w:rPr>
        <w:t>’</w:t>
      </w:r>
      <w:r w:rsidRPr="002A2EA6">
        <w:rPr>
          <w:lang w:val="fr-FR"/>
        </w:rPr>
        <w:t xml:space="preserve">un mécanisme de financement </w:t>
      </w:r>
      <w:r w:rsidR="003E5CB9" w:rsidRPr="002A2EA6">
        <w:rPr>
          <w:lang w:val="fr-FR"/>
        </w:rPr>
        <w:t>entièr</w:t>
      </w:r>
      <w:r w:rsidRPr="002A2EA6">
        <w:rPr>
          <w:lang w:val="fr-FR"/>
        </w:rPr>
        <w:t xml:space="preserve">ement </w:t>
      </w:r>
      <w:r w:rsidR="003E5CB9" w:rsidRPr="002A2EA6">
        <w:rPr>
          <w:lang w:val="fr-FR"/>
        </w:rPr>
        <w:t>capitalisé</w:t>
      </w:r>
      <w:r w:rsidRPr="002A2EA6">
        <w:rPr>
          <w:lang w:val="fr-FR"/>
        </w:rPr>
        <w:t xml:space="preserve"> et doté </w:t>
      </w:r>
      <w:r w:rsidR="0045624C">
        <w:rPr>
          <w:lang w:val="fr-FR"/>
        </w:rPr>
        <w:t>d</w:t>
      </w:r>
      <w:r w:rsidR="00CA4DAC">
        <w:rPr>
          <w:lang w:val="fr-FR"/>
        </w:rPr>
        <w:t>’</w:t>
      </w:r>
      <w:r w:rsidR="0045624C">
        <w:rPr>
          <w:lang w:val="fr-FR"/>
        </w:rPr>
        <w:t xml:space="preserve">un montant indicatif </w:t>
      </w:r>
      <w:r w:rsidRPr="002A2EA6">
        <w:rPr>
          <w:lang w:val="fr-FR"/>
        </w:rPr>
        <w:t>de 2</w:t>
      </w:r>
      <w:r w:rsidR="005A196F" w:rsidRPr="002A2EA6">
        <w:rPr>
          <w:lang w:val="fr-FR"/>
        </w:rPr>
        <w:t>06</w:t>
      </w:r>
      <w:r w:rsidRPr="002A2EA6">
        <w:rPr>
          <w:lang w:val="fr-FR"/>
        </w:rPr>
        <w:t> millions de dollars au titre de la septième reconstitution des ressources du Fonds pour l</w:t>
      </w:r>
      <w:r w:rsidR="00CA4DAC">
        <w:rPr>
          <w:lang w:val="fr-FR"/>
        </w:rPr>
        <w:t>’</w:t>
      </w:r>
      <w:r w:rsidRPr="002A2EA6">
        <w:rPr>
          <w:lang w:val="fr-FR"/>
        </w:rPr>
        <w:t xml:space="preserve">environnement mondial (FEM). Décrivant les tâches qui attendaient les Parties à </w:t>
      </w:r>
      <w:r w:rsidR="007B4FCA" w:rsidRPr="002A2EA6">
        <w:rPr>
          <w:lang w:val="fr-FR"/>
        </w:rPr>
        <w:t>la réunion en cours</w:t>
      </w:r>
      <w:r w:rsidRPr="002A2EA6">
        <w:rPr>
          <w:lang w:val="fr-FR"/>
        </w:rPr>
        <w:t>, elle a mis en lumière la</w:t>
      </w:r>
      <w:r w:rsidR="0095048C" w:rsidRPr="002A2EA6">
        <w:rPr>
          <w:lang w:val="fr-FR"/>
        </w:rPr>
        <w:t> </w:t>
      </w:r>
      <w:r w:rsidR="006A743A" w:rsidRPr="002A2EA6">
        <w:rPr>
          <w:lang w:val="fr-FR"/>
        </w:rPr>
        <w:t xml:space="preserve">proposition concernant </w:t>
      </w:r>
      <w:r w:rsidRPr="002A2EA6">
        <w:rPr>
          <w:lang w:val="fr-FR"/>
        </w:rPr>
        <w:t>un cadre stable pour le partage des services entre les</w:t>
      </w:r>
      <w:r w:rsidR="00610FB0">
        <w:rPr>
          <w:lang w:val="fr-FR"/>
        </w:rPr>
        <w:t> </w:t>
      </w:r>
      <w:r w:rsidRPr="002A2EA6">
        <w:rPr>
          <w:lang w:val="fr-FR"/>
        </w:rPr>
        <w:t xml:space="preserve">conventions </w:t>
      </w:r>
      <w:r w:rsidR="771A75B2" w:rsidRPr="002A2EA6">
        <w:rPr>
          <w:lang w:val="fr-FR"/>
        </w:rPr>
        <w:t xml:space="preserve">relatives aux produits chimiques </w:t>
      </w:r>
      <w:r w:rsidRPr="002A2EA6">
        <w:rPr>
          <w:lang w:val="fr-FR"/>
        </w:rPr>
        <w:t>basées à Genève et a engagé l</w:t>
      </w:r>
      <w:r w:rsidR="00CA4DAC">
        <w:rPr>
          <w:lang w:val="fr-FR"/>
        </w:rPr>
        <w:t>’</w:t>
      </w:r>
      <w:r w:rsidRPr="002A2EA6">
        <w:rPr>
          <w:lang w:val="fr-FR"/>
        </w:rPr>
        <w:t>ensemble des Parties et des parties prenantes à entreprendre une action concertée dans les domaines clefs, tels que l</w:t>
      </w:r>
      <w:r w:rsidR="00CA4DAC">
        <w:rPr>
          <w:lang w:val="fr-FR"/>
        </w:rPr>
        <w:t>’</w:t>
      </w:r>
      <w:r w:rsidRPr="002A2EA6">
        <w:rPr>
          <w:lang w:val="fr-FR"/>
        </w:rPr>
        <w:t>extraction</w:t>
      </w:r>
      <w:r w:rsidR="00644DB2" w:rsidRPr="002A2EA6">
        <w:rPr>
          <w:lang w:val="fr-FR"/>
        </w:rPr>
        <w:t xml:space="preserve"> minière</w:t>
      </w:r>
      <w:r w:rsidRPr="002A2EA6">
        <w:rPr>
          <w:lang w:val="fr-FR"/>
        </w:rPr>
        <w:t xml:space="preserve"> artisanale et à petite </w:t>
      </w:r>
      <w:r w:rsidR="006A743A" w:rsidRPr="002A2EA6">
        <w:rPr>
          <w:lang w:val="fr-FR"/>
        </w:rPr>
        <w:t>échelle d</w:t>
      </w:r>
      <w:r w:rsidR="00CA4DAC">
        <w:rPr>
          <w:lang w:val="fr-FR"/>
        </w:rPr>
        <w:t>’</w:t>
      </w:r>
      <w:r w:rsidR="006A743A" w:rsidRPr="002A2EA6">
        <w:rPr>
          <w:lang w:val="fr-FR"/>
        </w:rPr>
        <w:t>or</w:t>
      </w:r>
      <w:r w:rsidR="006A0F16" w:rsidRPr="002A2EA6">
        <w:rPr>
          <w:lang w:val="fr-FR"/>
        </w:rPr>
        <w:t> </w:t>
      </w:r>
      <w:r w:rsidR="631BDA25" w:rsidRPr="002A2EA6">
        <w:rPr>
          <w:lang w:val="fr-FR"/>
        </w:rPr>
        <w:t>;</w:t>
      </w:r>
      <w:r w:rsidRPr="002A2EA6">
        <w:rPr>
          <w:lang w:val="fr-FR"/>
        </w:rPr>
        <w:t xml:space="preserve"> </w:t>
      </w:r>
      <w:r w:rsidR="00C06944" w:rsidRPr="002A2EA6">
        <w:rPr>
          <w:lang w:val="fr-FR"/>
        </w:rPr>
        <w:t xml:space="preserve">la nécessité </w:t>
      </w:r>
      <w:r w:rsidR="006A743A" w:rsidRPr="002A2EA6">
        <w:rPr>
          <w:lang w:val="fr-FR"/>
        </w:rPr>
        <w:t>de mettre fin au</w:t>
      </w:r>
      <w:r w:rsidRPr="002A2EA6">
        <w:rPr>
          <w:lang w:val="fr-FR"/>
        </w:rPr>
        <w:t xml:space="preserve"> commerce d</w:t>
      </w:r>
      <w:r w:rsidR="006A743A" w:rsidRPr="002A2EA6">
        <w:rPr>
          <w:lang w:val="fr-FR"/>
        </w:rPr>
        <w:t>e</w:t>
      </w:r>
      <w:r w:rsidRPr="002A2EA6">
        <w:rPr>
          <w:lang w:val="fr-FR"/>
        </w:rPr>
        <w:t xml:space="preserve"> mercure</w:t>
      </w:r>
      <w:r w:rsidR="006A0F16" w:rsidRPr="002A2EA6">
        <w:rPr>
          <w:lang w:val="fr-FR"/>
        </w:rPr>
        <w:t> </w:t>
      </w:r>
      <w:r w:rsidR="631BDA25" w:rsidRPr="002A2EA6">
        <w:rPr>
          <w:lang w:val="fr-FR"/>
        </w:rPr>
        <w:t>;</w:t>
      </w:r>
      <w:r w:rsidRPr="002A2EA6">
        <w:rPr>
          <w:lang w:val="fr-FR"/>
        </w:rPr>
        <w:t xml:space="preserve"> l</w:t>
      </w:r>
      <w:r w:rsidR="00CA4DAC">
        <w:rPr>
          <w:lang w:val="fr-FR"/>
        </w:rPr>
        <w:t>’</w:t>
      </w:r>
      <w:r w:rsidRPr="002A2EA6">
        <w:rPr>
          <w:lang w:val="fr-FR"/>
        </w:rPr>
        <w:t>incidence de la combustion du charbon et des émissions de mercure connexes sur les</w:t>
      </w:r>
      <w:r w:rsidR="00610FB0">
        <w:rPr>
          <w:lang w:val="fr-FR"/>
        </w:rPr>
        <w:t> </w:t>
      </w:r>
      <w:r w:rsidRPr="002A2EA6">
        <w:rPr>
          <w:lang w:val="fr-FR"/>
        </w:rPr>
        <w:t>changements climatiques</w:t>
      </w:r>
      <w:r w:rsidR="006A0F16" w:rsidRPr="002A2EA6">
        <w:rPr>
          <w:lang w:val="fr-FR"/>
        </w:rPr>
        <w:t> </w:t>
      </w:r>
      <w:r w:rsidR="631BDA25" w:rsidRPr="002A2EA6">
        <w:rPr>
          <w:lang w:val="fr-FR"/>
        </w:rPr>
        <w:t>;</w:t>
      </w:r>
      <w:r w:rsidRPr="002A2EA6">
        <w:rPr>
          <w:lang w:val="fr-FR"/>
        </w:rPr>
        <w:t xml:space="preserve"> et la part importante du mercure dans les déchets. Rappelant que la</w:t>
      </w:r>
      <w:r w:rsidR="00610FB0">
        <w:rPr>
          <w:lang w:val="fr-FR"/>
        </w:rPr>
        <w:t> </w:t>
      </w:r>
      <w:r w:rsidRPr="002A2EA6">
        <w:rPr>
          <w:lang w:val="fr-FR"/>
        </w:rPr>
        <w:t>pollution par le mercure ne conna</w:t>
      </w:r>
      <w:r w:rsidR="0014726A" w:rsidRPr="002A2EA6">
        <w:rPr>
          <w:lang w:val="fr-FR"/>
        </w:rPr>
        <w:t>i</w:t>
      </w:r>
      <w:bookmarkStart w:id="5" w:name="_GoBack"/>
      <w:bookmarkEnd w:id="5"/>
      <w:r w:rsidR="0014726A" w:rsidRPr="002A2EA6">
        <w:rPr>
          <w:lang w:val="fr-FR"/>
        </w:rPr>
        <w:t>ssait</w:t>
      </w:r>
      <w:r w:rsidRPr="002A2EA6">
        <w:rPr>
          <w:lang w:val="fr-FR"/>
        </w:rPr>
        <w:t xml:space="preserve"> pas de frontières, </w:t>
      </w:r>
      <w:r w:rsidR="00E26279" w:rsidRPr="002A2EA6">
        <w:rPr>
          <w:sz w:val="22"/>
          <w:szCs w:val="22"/>
          <w:lang w:val="fr-FR"/>
        </w:rPr>
        <w:t>Mme</w:t>
      </w:r>
      <w:r w:rsidR="00E26279" w:rsidRPr="002A2EA6">
        <w:rPr>
          <w:lang w:val="fr-FR"/>
        </w:rPr>
        <w:t> </w:t>
      </w:r>
      <w:r w:rsidRPr="002A2EA6">
        <w:rPr>
          <w:lang w:val="fr-FR"/>
        </w:rPr>
        <w:t xml:space="preserve">Andersen a </w:t>
      </w:r>
      <w:r w:rsidR="00A3344D" w:rsidRPr="002A2EA6">
        <w:rPr>
          <w:lang w:val="fr-FR"/>
        </w:rPr>
        <w:t xml:space="preserve">instamment invité </w:t>
      </w:r>
      <w:r w:rsidRPr="002A2EA6">
        <w:rPr>
          <w:lang w:val="fr-FR"/>
        </w:rPr>
        <w:t>les</w:t>
      </w:r>
      <w:r w:rsidR="00610FB0">
        <w:rPr>
          <w:lang w:val="fr-FR"/>
        </w:rPr>
        <w:t> </w:t>
      </w:r>
      <w:r w:rsidRPr="002A2EA6">
        <w:rPr>
          <w:lang w:val="fr-FR"/>
        </w:rPr>
        <w:t xml:space="preserve">Parties, </w:t>
      </w:r>
      <w:r w:rsidR="00A3344D" w:rsidRPr="002A2EA6">
        <w:rPr>
          <w:lang w:val="fr-FR"/>
        </w:rPr>
        <w:t xml:space="preserve">les </w:t>
      </w:r>
      <w:r w:rsidRPr="002A2EA6">
        <w:rPr>
          <w:lang w:val="fr-FR"/>
        </w:rPr>
        <w:t xml:space="preserve">parties prenantes et </w:t>
      </w:r>
      <w:r w:rsidR="00A3344D" w:rsidRPr="002A2EA6">
        <w:rPr>
          <w:lang w:val="fr-FR"/>
        </w:rPr>
        <w:t xml:space="preserve">les </w:t>
      </w:r>
      <w:r w:rsidRPr="002A2EA6">
        <w:rPr>
          <w:lang w:val="fr-FR"/>
        </w:rPr>
        <w:t>conventions à collabor</w:t>
      </w:r>
      <w:r w:rsidR="00A3344D" w:rsidRPr="002A2EA6">
        <w:rPr>
          <w:lang w:val="fr-FR"/>
        </w:rPr>
        <w:t>er davantage</w:t>
      </w:r>
      <w:r w:rsidRPr="002A2EA6">
        <w:rPr>
          <w:lang w:val="fr-FR"/>
        </w:rPr>
        <w:t xml:space="preserve"> et a</w:t>
      </w:r>
      <w:r w:rsidR="006A0F16" w:rsidRPr="002A2EA6">
        <w:rPr>
          <w:lang w:val="fr-FR"/>
        </w:rPr>
        <w:t> </w:t>
      </w:r>
      <w:r w:rsidRPr="002A2EA6">
        <w:rPr>
          <w:lang w:val="fr-FR"/>
        </w:rPr>
        <w:t>souligné qu</w:t>
      </w:r>
      <w:r w:rsidR="00CA4DAC">
        <w:rPr>
          <w:lang w:val="fr-FR"/>
        </w:rPr>
        <w:t>’</w:t>
      </w:r>
      <w:r w:rsidRPr="002A2EA6">
        <w:rPr>
          <w:lang w:val="fr-FR"/>
        </w:rPr>
        <w:t xml:space="preserve">il fallait par conséquent attribuer un rôle </w:t>
      </w:r>
      <w:r w:rsidR="002448C1" w:rsidRPr="002A2EA6">
        <w:rPr>
          <w:lang w:val="fr-FR"/>
        </w:rPr>
        <w:t xml:space="preserve">spécifique </w:t>
      </w:r>
      <w:r w:rsidRPr="002A2EA6">
        <w:rPr>
          <w:lang w:val="fr-FR"/>
        </w:rPr>
        <w:t>à la Convention au titre des cadres de collaboration en matière de gestion internationale des</w:t>
      </w:r>
      <w:r w:rsidR="0095048C" w:rsidRPr="002A2EA6">
        <w:rPr>
          <w:lang w:val="fr-FR"/>
        </w:rPr>
        <w:t> </w:t>
      </w:r>
      <w:r w:rsidRPr="002A2EA6">
        <w:rPr>
          <w:lang w:val="fr-FR"/>
        </w:rPr>
        <w:t>produits chimiques et de biodiversité</w:t>
      </w:r>
      <w:r w:rsidR="006A743A" w:rsidRPr="002A2EA6">
        <w:rPr>
          <w:lang w:val="fr-FR"/>
        </w:rPr>
        <w:t xml:space="preserve"> pour l</w:t>
      </w:r>
      <w:r w:rsidR="00CA4DAC">
        <w:rPr>
          <w:lang w:val="fr-FR"/>
        </w:rPr>
        <w:t>’</w:t>
      </w:r>
      <w:r w:rsidR="006A743A" w:rsidRPr="002A2EA6">
        <w:rPr>
          <w:lang w:val="fr-FR"/>
        </w:rPr>
        <w:t>après-2020</w:t>
      </w:r>
      <w:r w:rsidRPr="002A2EA6">
        <w:rPr>
          <w:lang w:val="fr-FR"/>
        </w:rPr>
        <w:t>. Une action résolue sur tous les plans était indispensable pour réaliser les objectifs de développement durable, y</w:t>
      </w:r>
      <w:r w:rsidR="00610FB0">
        <w:rPr>
          <w:lang w:val="fr-FR"/>
        </w:rPr>
        <w:t> </w:t>
      </w:r>
      <w:r w:rsidRPr="002A2EA6">
        <w:rPr>
          <w:lang w:val="fr-FR"/>
        </w:rPr>
        <w:t>compris une action concertée en vue d</w:t>
      </w:r>
      <w:r w:rsidR="00CA4DAC">
        <w:rPr>
          <w:lang w:val="fr-FR"/>
        </w:rPr>
        <w:t>’</w:t>
      </w:r>
      <w:r w:rsidRPr="002A2EA6">
        <w:rPr>
          <w:lang w:val="fr-FR"/>
        </w:rPr>
        <w:t>éliminer les métaux lourds toxiques, tels que le mercure, qui</w:t>
      </w:r>
      <w:r w:rsidR="00610FB0">
        <w:rPr>
          <w:lang w:val="fr-FR"/>
        </w:rPr>
        <w:t> </w:t>
      </w:r>
      <w:r w:rsidRPr="002A2EA6">
        <w:rPr>
          <w:lang w:val="fr-FR"/>
        </w:rPr>
        <w:t>compromettaient la santé humaine et l</w:t>
      </w:r>
      <w:r w:rsidR="00CA4DAC">
        <w:rPr>
          <w:lang w:val="fr-FR"/>
        </w:rPr>
        <w:t>’</w:t>
      </w:r>
      <w:r w:rsidRPr="002A2EA6">
        <w:rPr>
          <w:lang w:val="fr-FR"/>
        </w:rPr>
        <w:t>environnement.</w:t>
      </w:r>
    </w:p>
    <w:p w14:paraId="4A74C2B6" w14:textId="4A91D155" w:rsidR="003D0299" w:rsidRPr="002A2EA6" w:rsidRDefault="0093585D"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Dans sa déclaration, </w:t>
      </w:r>
      <w:r w:rsidR="00DB4505" w:rsidRPr="002A2EA6">
        <w:rPr>
          <w:sz w:val="22"/>
          <w:szCs w:val="22"/>
          <w:lang w:val="fr-FR"/>
        </w:rPr>
        <w:t>Mme</w:t>
      </w:r>
      <w:r w:rsidR="00DB4505" w:rsidRPr="002A2EA6">
        <w:rPr>
          <w:lang w:val="fr-FR"/>
        </w:rPr>
        <w:t> </w:t>
      </w:r>
      <w:r w:rsidR="005A196F" w:rsidRPr="002A2EA6">
        <w:rPr>
          <w:lang w:val="fr-FR"/>
        </w:rPr>
        <w:t xml:space="preserve">Silva </w:t>
      </w:r>
      <w:r w:rsidR="008012C0" w:rsidRPr="002A2EA6">
        <w:rPr>
          <w:lang w:val="fr-FR"/>
        </w:rPr>
        <w:t>Repetto est revenue sur les deux</w:t>
      </w:r>
      <w:r w:rsidR="001B5AEA" w:rsidRPr="002A2EA6">
        <w:rPr>
          <w:lang w:val="fr-FR"/>
        </w:rPr>
        <w:t> </w:t>
      </w:r>
      <w:r w:rsidR="008012C0" w:rsidRPr="002A2EA6">
        <w:rPr>
          <w:lang w:val="fr-FR"/>
        </w:rPr>
        <w:t>années durant lesquelles elle</w:t>
      </w:r>
      <w:r w:rsidR="001B5AEA" w:rsidRPr="002A2EA6">
        <w:rPr>
          <w:lang w:val="fr-FR"/>
        </w:rPr>
        <w:t> </w:t>
      </w:r>
      <w:r w:rsidR="008012C0" w:rsidRPr="002A2EA6">
        <w:rPr>
          <w:lang w:val="fr-FR"/>
        </w:rPr>
        <w:t>avait eu le privilège de servir la cause de la Convention à la tête de son secrétariat et a fait l</w:t>
      </w:r>
      <w:r w:rsidR="00CA4DAC">
        <w:rPr>
          <w:lang w:val="fr-FR"/>
        </w:rPr>
        <w:t>’</w:t>
      </w:r>
      <w:r w:rsidR="008012C0" w:rsidRPr="002A2EA6">
        <w:rPr>
          <w:lang w:val="fr-FR"/>
        </w:rPr>
        <w:t xml:space="preserve">éloge du dévouement de ses collaborateurs à cette </w:t>
      </w:r>
      <w:r w:rsidR="00DE6A2C" w:rsidRPr="002A2EA6">
        <w:rPr>
          <w:lang w:val="fr-FR"/>
        </w:rPr>
        <w:t>œuvre</w:t>
      </w:r>
      <w:r w:rsidR="008012C0" w:rsidRPr="002A2EA6">
        <w:rPr>
          <w:lang w:val="fr-FR"/>
        </w:rPr>
        <w:t>. Elle a fait le point sur les réalisations accomplies à</w:t>
      </w:r>
      <w:r w:rsidR="007A6967" w:rsidRPr="002A2EA6">
        <w:rPr>
          <w:lang w:val="fr-FR"/>
        </w:rPr>
        <w:t> </w:t>
      </w:r>
      <w:r w:rsidR="008012C0" w:rsidRPr="002A2EA6">
        <w:rPr>
          <w:lang w:val="fr-FR"/>
        </w:rPr>
        <w:t>ce</w:t>
      </w:r>
      <w:r w:rsidR="0095048C" w:rsidRPr="002A2EA6">
        <w:rPr>
          <w:lang w:val="fr-FR"/>
        </w:rPr>
        <w:t> </w:t>
      </w:r>
      <w:r w:rsidR="008012C0" w:rsidRPr="002A2EA6">
        <w:rPr>
          <w:lang w:val="fr-FR"/>
        </w:rPr>
        <w:t>jour au titre de la Convention, y compris la création de trois fonds d</w:t>
      </w:r>
      <w:r w:rsidR="00CA4DAC">
        <w:rPr>
          <w:lang w:val="fr-FR"/>
        </w:rPr>
        <w:t>’</w:t>
      </w:r>
      <w:r w:rsidR="008012C0" w:rsidRPr="002A2EA6">
        <w:rPr>
          <w:lang w:val="fr-FR"/>
        </w:rPr>
        <w:t>affectation spéciale</w:t>
      </w:r>
      <w:r w:rsidR="001B5AEA" w:rsidRPr="002A2EA6">
        <w:rPr>
          <w:lang w:val="fr-FR"/>
        </w:rPr>
        <w:t> </w:t>
      </w:r>
      <w:r w:rsidR="631BDA25" w:rsidRPr="002A2EA6">
        <w:rPr>
          <w:lang w:val="fr-FR"/>
        </w:rPr>
        <w:t>;</w:t>
      </w:r>
      <w:r w:rsidR="008012C0" w:rsidRPr="002A2EA6">
        <w:rPr>
          <w:lang w:val="fr-FR"/>
        </w:rPr>
        <w:t xml:space="preserve"> la</w:t>
      </w:r>
      <w:r w:rsidR="0095048C" w:rsidRPr="002A2EA6">
        <w:rPr>
          <w:lang w:val="fr-FR"/>
        </w:rPr>
        <w:t> </w:t>
      </w:r>
      <w:r w:rsidR="008012C0" w:rsidRPr="002A2EA6">
        <w:rPr>
          <w:lang w:val="fr-FR"/>
        </w:rPr>
        <w:t>création d</w:t>
      </w:r>
      <w:r w:rsidR="00CA4DAC">
        <w:rPr>
          <w:lang w:val="fr-FR"/>
        </w:rPr>
        <w:t>’</w:t>
      </w:r>
      <w:r w:rsidR="008012C0" w:rsidRPr="002A2EA6">
        <w:rPr>
          <w:lang w:val="fr-FR"/>
        </w:rPr>
        <w:t>une base administrative solide pour le secrétariat, dont tous les postes étaient pourvus</w:t>
      </w:r>
      <w:r w:rsidR="001B5AEA" w:rsidRPr="002A2EA6">
        <w:rPr>
          <w:lang w:val="fr-FR"/>
        </w:rPr>
        <w:t> </w:t>
      </w:r>
      <w:r w:rsidR="631BDA25" w:rsidRPr="002A2EA6">
        <w:rPr>
          <w:lang w:val="fr-FR"/>
        </w:rPr>
        <w:t>;</w:t>
      </w:r>
      <w:r w:rsidR="008012C0" w:rsidRPr="002A2EA6">
        <w:rPr>
          <w:lang w:val="fr-FR"/>
        </w:rPr>
        <w:t xml:space="preserve"> et</w:t>
      </w:r>
      <w:r w:rsidR="0095048C" w:rsidRPr="002A2EA6">
        <w:rPr>
          <w:lang w:val="fr-FR"/>
        </w:rPr>
        <w:t> </w:t>
      </w:r>
      <w:r w:rsidR="008012C0" w:rsidRPr="002A2EA6">
        <w:rPr>
          <w:lang w:val="fr-FR"/>
        </w:rPr>
        <w:t>l</w:t>
      </w:r>
      <w:r w:rsidR="00CA4DAC">
        <w:rPr>
          <w:lang w:val="fr-FR"/>
        </w:rPr>
        <w:t>’</w:t>
      </w:r>
      <w:r w:rsidR="008012C0" w:rsidRPr="002A2EA6">
        <w:rPr>
          <w:lang w:val="fr-FR"/>
        </w:rPr>
        <w:t>appui fourni avec succès aux pays pour qu</w:t>
      </w:r>
      <w:r w:rsidR="00CA4DAC">
        <w:rPr>
          <w:lang w:val="fr-FR"/>
        </w:rPr>
        <w:t>’</w:t>
      </w:r>
      <w:r w:rsidR="008012C0" w:rsidRPr="002A2EA6">
        <w:rPr>
          <w:lang w:val="fr-FR"/>
        </w:rPr>
        <w:t>ils s</w:t>
      </w:r>
      <w:r w:rsidR="00CA4DAC">
        <w:rPr>
          <w:lang w:val="fr-FR"/>
        </w:rPr>
        <w:t>’</w:t>
      </w:r>
      <w:r w:rsidR="008012C0" w:rsidRPr="002A2EA6">
        <w:rPr>
          <w:lang w:val="fr-FR"/>
        </w:rPr>
        <w:t>acquittent de</w:t>
      </w:r>
      <w:r w:rsidR="00172600" w:rsidRPr="002A2EA6">
        <w:rPr>
          <w:lang w:val="fr-FR"/>
        </w:rPr>
        <w:t>s</w:t>
      </w:r>
      <w:r w:rsidR="008012C0" w:rsidRPr="002A2EA6">
        <w:rPr>
          <w:lang w:val="fr-FR"/>
        </w:rPr>
        <w:t xml:space="preserve"> obligations </w:t>
      </w:r>
      <w:r w:rsidR="00172600" w:rsidRPr="002A2EA6">
        <w:rPr>
          <w:lang w:val="fr-FR"/>
        </w:rPr>
        <w:t xml:space="preserve">imposées par </w:t>
      </w:r>
      <w:r w:rsidR="008012C0" w:rsidRPr="002A2EA6">
        <w:rPr>
          <w:lang w:val="fr-FR"/>
        </w:rPr>
        <w:t>la</w:t>
      </w:r>
      <w:r w:rsidR="00610FB0">
        <w:rPr>
          <w:lang w:val="fr-FR"/>
        </w:rPr>
        <w:t> </w:t>
      </w:r>
      <w:r w:rsidR="008012C0" w:rsidRPr="002A2EA6">
        <w:rPr>
          <w:lang w:val="fr-FR"/>
        </w:rPr>
        <w:t xml:space="preserve">Convention </w:t>
      </w:r>
      <w:r w:rsidR="00172600" w:rsidRPr="002A2EA6">
        <w:rPr>
          <w:lang w:val="fr-FR"/>
        </w:rPr>
        <w:t>au moyen d</w:t>
      </w:r>
      <w:r w:rsidR="008012C0" w:rsidRPr="002A2EA6">
        <w:rPr>
          <w:lang w:val="fr-FR"/>
        </w:rPr>
        <w:t xml:space="preserve">es deux éléments constituant le mécanisme </w:t>
      </w:r>
      <w:r w:rsidR="006A743A" w:rsidRPr="002A2EA6">
        <w:rPr>
          <w:lang w:val="fr-FR"/>
        </w:rPr>
        <w:t xml:space="preserve">de </w:t>
      </w:r>
      <w:r w:rsidR="008012C0" w:rsidRPr="002A2EA6">
        <w:rPr>
          <w:lang w:val="fr-FR"/>
        </w:rPr>
        <w:t>financ</w:t>
      </w:r>
      <w:r w:rsidR="006A743A" w:rsidRPr="002A2EA6">
        <w:rPr>
          <w:lang w:val="fr-FR"/>
        </w:rPr>
        <w:t>ement</w:t>
      </w:r>
      <w:r w:rsidR="008012C0" w:rsidRPr="002A2EA6">
        <w:rPr>
          <w:lang w:val="fr-FR"/>
        </w:rPr>
        <w:t xml:space="preserve"> de la</w:t>
      </w:r>
      <w:r w:rsidR="00610FB0">
        <w:rPr>
          <w:lang w:val="fr-FR"/>
        </w:rPr>
        <w:t> </w:t>
      </w:r>
      <w:r w:rsidR="008012C0" w:rsidRPr="002A2EA6">
        <w:rPr>
          <w:lang w:val="fr-FR"/>
        </w:rPr>
        <w:t xml:space="preserve">Convention, </w:t>
      </w:r>
      <w:r w:rsidR="006A743A" w:rsidRPr="002A2EA6">
        <w:t>à</w:t>
      </w:r>
      <w:r w:rsidR="007A6967" w:rsidRPr="002A2EA6">
        <w:t> </w:t>
      </w:r>
      <w:r w:rsidR="006A743A" w:rsidRPr="002A2EA6">
        <w:t>savoir</w:t>
      </w:r>
      <w:r w:rsidR="006A743A" w:rsidRPr="002A2EA6">
        <w:rPr>
          <w:lang w:val="fr-FR"/>
        </w:rPr>
        <w:t xml:space="preserve"> </w:t>
      </w:r>
      <w:r w:rsidR="008012C0" w:rsidRPr="002A2EA6">
        <w:rPr>
          <w:lang w:val="fr-FR"/>
        </w:rPr>
        <w:t xml:space="preserve">le FEM et le </w:t>
      </w:r>
      <w:r w:rsidR="00F532EB" w:rsidRPr="002A2EA6">
        <w:rPr>
          <w:rStyle w:val="fr"/>
          <w:lang w:val="fr-FR"/>
        </w:rPr>
        <w:t>Programme international spécifique visant à soutenir le</w:t>
      </w:r>
      <w:r w:rsidR="00610FB0">
        <w:rPr>
          <w:rStyle w:val="fr"/>
          <w:lang w:val="fr-FR"/>
        </w:rPr>
        <w:t> </w:t>
      </w:r>
      <w:r w:rsidR="00F532EB" w:rsidRPr="002A2EA6">
        <w:rPr>
          <w:rStyle w:val="fr"/>
          <w:lang w:val="fr-FR"/>
        </w:rPr>
        <w:t>renforcement des capacités et l</w:t>
      </w:r>
      <w:r w:rsidR="00CA4DAC">
        <w:rPr>
          <w:rStyle w:val="fr"/>
          <w:lang w:val="fr-FR"/>
        </w:rPr>
        <w:t>’</w:t>
      </w:r>
      <w:r w:rsidR="00F532EB" w:rsidRPr="002A2EA6">
        <w:rPr>
          <w:rStyle w:val="fr"/>
          <w:lang w:val="fr-FR"/>
        </w:rPr>
        <w:t xml:space="preserve">assistance technique </w:t>
      </w:r>
      <w:r w:rsidR="00E16773" w:rsidRPr="002A2EA6">
        <w:rPr>
          <w:rStyle w:val="fr"/>
          <w:lang w:val="fr-FR"/>
        </w:rPr>
        <w:t xml:space="preserve">(le « Programme international spécifique ») </w:t>
      </w:r>
      <w:r w:rsidR="008012C0" w:rsidRPr="002A2EA6">
        <w:rPr>
          <w:lang w:val="fr-FR"/>
        </w:rPr>
        <w:t>à</w:t>
      </w:r>
      <w:r w:rsidR="00610FB0">
        <w:rPr>
          <w:lang w:val="fr-FR"/>
        </w:rPr>
        <w:t> </w:t>
      </w:r>
      <w:r w:rsidR="008012C0" w:rsidRPr="002A2EA6">
        <w:rPr>
          <w:lang w:val="fr-FR"/>
        </w:rPr>
        <w:t>l</w:t>
      </w:r>
      <w:r w:rsidR="00CA4DAC">
        <w:rPr>
          <w:lang w:val="fr-FR"/>
        </w:rPr>
        <w:t>’</w:t>
      </w:r>
      <w:r w:rsidRPr="002A2EA6">
        <w:rPr>
          <w:lang w:val="fr-FR"/>
        </w:rPr>
        <w:t xml:space="preserve">échelle nationale. </w:t>
      </w:r>
      <w:r w:rsidR="00D63FE5" w:rsidRPr="002A2EA6">
        <w:rPr>
          <w:lang w:val="fr-FR"/>
        </w:rPr>
        <w:t>Elle a s</w:t>
      </w:r>
      <w:r w:rsidR="008012C0" w:rsidRPr="002A2EA6">
        <w:rPr>
          <w:lang w:val="fr-FR"/>
        </w:rPr>
        <w:t>oulign</w:t>
      </w:r>
      <w:r w:rsidR="00D63FE5" w:rsidRPr="002A2EA6">
        <w:rPr>
          <w:lang w:val="fr-FR"/>
        </w:rPr>
        <w:t>é</w:t>
      </w:r>
      <w:r w:rsidR="008012C0" w:rsidRPr="002A2EA6">
        <w:rPr>
          <w:lang w:val="fr-FR"/>
        </w:rPr>
        <w:t xml:space="preserve"> l</w:t>
      </w:r>
      <w:r w:rsidR="00CA4DAC">
        <w:rPr>
          <w:lang w:val="fr-FR"/>
        </w:rPr>
        <w:t>’</w:t>
      </w:r>
      <w:r w:rsidR="008012C0" w:rsidRPr="002A2EA6">
        <w:rPr>
          <w:lang w:val="fr-FR"/>
        </w:rPr>
        <w:t>importance de la</w:t>
      </w:r>
      <w:r w:rsidR="0095048C" w:rsidRPr="002A2EA6">
        <w:rPr>
          <w:lang w:val="fr-FR"/>
        </w:rPr>
        <w:t> </w:t>
      </w:r>
      <w:r w:rsidR="008012C0" w:rsidRPr="002A2EA6">
        <w:rPr>
          <w:lang w:val="fr-FR"/>
        </w:rPr>
        <w:t>première évaluation de l</w:t>
      </w:r>
      <w:r w:rsidR="00CA4DAC">
        <w:rPr>
          <w:lang w:val="fr-FR"/>
        </w:rPr>
        <w:t>’</w:t>
      </w:r>
      <w:r w:rsidR="008012C0" w:rsidRPr="002A2EA6">
        <w:rPr>
          <w:lang w:val="fr-FR"/>
        </w:rPr>
        <w:t>efficacité de la</w:t>
      </w:r>
      <w:r w:rsidR="00717DC5">
        <w:rPr>
          <w:lang w:val="fr-FR"/>
        </w:rPr>
        <w:t> </w:t>
      </w:r>
      <w:r w:rsidR="008012C0" w:rsidRPr="002A2EA6">
        <w:rPr>
          <w:lang w:val="fr-FR"/>
        </w:rPr>
        <w:t xml:space="preserve">Convention, prévue en 2023, </w:t>
      </w:r>
      <w:r w:rsidR="00D63FE5" w:rsidRPr="002A2EA6">
        <w:rPr>
          <w:lang w:val="fr-FR"/>
        </w:rPr>
        <w:t>et</w:t>
      </w:r>
      <w:r w:rsidR="008012C0" w:rsidRPr="002A2EA6">
        <w:rPr>
          <w:lang w:val="fr-FR"/>
        </w:rPr>
        <w:t xml:space="preserve"> a </w:t>
      </w:r>
      <w:r w:rsidR="00C80055" w:rsidRPr="002A2EA6">
        <w:rPr>
          <w:lang w:val="fr-FR"/>
        </w:rPr>
        <w:t>fait observer qu</w:t>
      </w:r>
      <w:r w:rsidR="00CA4DAC">
        <w:rPr>
          <w:lang w:val="fr-FR"/>
        </w:rPr>
        <w:t>’</w:t>
      </w:r>
      <w:r w:rsidR="00C80055" w:rsidRPr="002A2EA6">
        <w:rPr>
          <w:lang w:val="fr-FR"/>
        </w:rPr>
        <w:t xml:space="preserve">il fallait créer </w:t>
      </w:r>
      <w:r w:rsidR="008012C0" w:rsidRPr="002A2EA6">
        <w:rPr>
          <w:lang w:val="fr-FR"/>
        </w:rPr>
        <w:t xml:space="preserve">un mécanisme à cette fin </w:t>
      </w:r>
      <w:r w:rsidR="00D63FE5" w:rsidRPr="002A2EA6">
        <w:rPr>
          <w:lang w:val="fr-FR"/>
        </w:rPr>
        <w:t>à</w:t>
      </w:r>
      <w:r w:rsidR="008012C0" w:rsidRPr="002A2EA6">
        <w:rPr>
          <w:lang w:val="fr-FR"/>
        </w:rPr>
        <w:t xml:space="preserve"> </w:t>
      </w:r>
      <w:r w:rsidR="007B4FCA" w:rsidRPr="002A2EA6">
        <w:rPr>
          <w:lang w:val="fr-FR"/>
        </w:rPr>
        <w:t>la</w:t>
      </w:r>
      <w:r w:rsidR="00717DC5">
        <w:rPr>
          <w:lang w:val="fr-FR"/>
        </w:rPr>
        <w:t> </w:t>
      </w:r>
      <w:r w:rsidR="007B4FCA" w:rsidRPr="002A2EA6">
        <w:rPr>
          <w:lang w:val="fr-FR"/>
        </w:rPr>
        <w:t>réunion en cours</w:t>
      </w:r>
      <w:r w:rsidR="008012C0" w:rsidRPr="002A2EA6">
        <w:rPr>
          <w:lang w:val="fr-FR"/>
        </w:rPr>
        <w:t>. Rappelant sa</w:t>
      </w:r>
      <w:r w:rsidR="0070208A" w:rsidRPr="002A2EA6">
        <w:rPr>
          <w:lang w:val="fr-FR"/>
        </w:rPr>
        <w:t> </w:t>
      </w:r>
      <w:r w:rsidR="008012C0" w:rsidRPr="002A2EA6">
        <w:rPr>
          <w:lang w:val="fr-FR"/>
        </w:rPr>
        <w:t xml:space="preserve">récente visite </w:t>
      </w:r>
      <w:r w:rsidR="00D63FE5" w:rsidRPr="002A2EA6">
        <w:rPr>
          <w:lang w:val="fr-FR"/>
        </w:rPr>
        <w:t>édifi</w:t>
      </w:r>
      <w:r w:rsidR="008012C0" w:rsidRPr="002A2EA6">
        <w:rPr>
          <w:lang w:val="fr-FR"/>
        </w:rPr>
        <w:t xml:space="preserve">ante </w:t>
      </w:r>
      <w:r w:rsidR="005A196F" w:rsidRPr="002A2EA6">
        <w:rPr>
          <w:lang w:val="fr-FR"/>
        </w:rPr>
        <w:t xml:space="preserve">à </w:t>
      </w:r>
      <w:r w:rsidR="008012C0" w:rsidRPr="002A2EA6">
        <w:rPr>
          <w:lang w:val="fr-FR"/>
        </w:rPr>
        <w:t>Minamata</w:t>
      </w:r>
      <w:r w:rsidR="00DD3AC1">
        <w:rPr>
          <w:lang w:val="fr-FR"/>
        </w:rPr>
        <w:t xml:space="preserve"> (Japon)</w:t>
      </w:r>
      <w:r w:rsidR="008012C0" w:rsidRPr="002A2EA6">
        <w:rPr>
          <w:lang w:val="fr-FR"/>
        </w:rPr>
        <w:t xml:space="preserve">, elle a </w:t>
      </w:r>
      <w:r w:rsidR="00317323" w:rsidRPr="002A2EA6">
        <w:rPr>
          <w:lang w:val="fr-FR"/>
        </w:rPr>
        <w:t>estimé qu</w:t>
      </w:r>
      <w:r w:rsidR="00CA4DAC">
        <w:rPr>
          <w:lang w:val="fr-FR"/>
        </w:rPr>
        <w:t>’</w:t>
      </w:r>
      <w:r w:rsidR="00317323" w:rsidRPr="002A2EA6">
        <w:rPr>
          <w:lang w:val="fr-FR"/>
        </w:rPr>
        <w:t>il restait beaucoup à faire</w:t>
      </w:r>
      <w:r w:rsidR="008012C0" w:rsidRPr="002A2EA6">
        <w:rPr>
          <w:lang w:val="fr-FR"/>
        </w:rPr>
        <w:t xml:space="preserve"> malgré les progrès réalisés au cours des années </w:t>
      </w:r>
      <w:r w:rsidR="00066114" w:rsidRPr="002A2EA6">
        <w:rPr>
          <w:lang w:val="fr-FR"/>
        </w:rPr>
        <w:t xml:space="preserve">écoulées entre </w:t>
      </w:r>
      <w:r w:rsidR="008012C0" w:rsidRPr="002A2EA6">
        <w:rPr>
          <w:lang w:val="fr-FR"/>
        </w:rPr>
        <w:t>la</w:t>
      </w:r>
      <w:r w:rsidR="00006FE4" w:rsidRPr="002A2EA6">
        <w:rPr>
          <w:lang w:val="fr-FR"/>
        </w:rPr>
        <w:t xml:space="preserve"> </w:t>
      </w:r>
      <w:r w:rsidR="008012C0" w:rsidRPr="002A2EA6">
        <w:rPr>
          <w:lang w:val="fr-FR"/>
        </w:rPr>
        <w:t>première Conférence des Nations Unies sur l</w:t>
      </w:r>
      <w:r w:rsidR="00CA4DAC">
        <w:rPr>
          <w:lang w:val="fr-FR"/>
        </w:rPr>
        <w:t>’</w:t>
      </w:r>
      <w:r w:rsidR="008012C0" w:rsidRPr="002A2EA6">
        <w:rPr>
          <w:lang w:val="fr-FR"/>
        </w:rPr>
        <w:t>environnement, tenue en 1972, et l</w:t>
      </w:r>
      <w:r w:rsidR="00CA4DAC">
        <w:rPr>
          <w:lang w:val="fr-FR"/>
        </w:rPr>
        <w:t>’</w:t>
      </w:r>
      <w:r w:rsidR="008012C0" w:rsidRPr="002A2EA6">
        <w:rPr>
          <w:lang w:val="fr-FR"/>
        </w:rPr>
        <w:t>adoption de la Convention</w:t>
      </w:r>
      <w:r w:rsidR="00054221" w:rsidRPr="002A2EA6">
        <w:rPr>
          <w:lang w:val="fr-FR"/>
        </w:rPr>
        <w:t>,</w:t>
      </w:r>
      <w:r w:rsidR="008012C0" w:rsidRPr="002A2EA6">
        <w:rPr>
          <w:lang w:val="fr-FR"/>
        </w:rPr>
        <w:t xml:space="preserve"> en</w:t>
      </w:r>
      <w:r w:rsidR="00717DC5">
        <w:rPr>
          <w:lang w:val="fr-FR"/>
        </w:rPr>
        <w:t> </w:t>
      </w:r>
      <w:r w:rsidR="008012C0" w:rsidRPr="002A2EA6">
        <w:rPr>
          <w:lang w:val="fr-FR"/>
        </w:rPr>
        <w:t>2013. L</w:t>
      </w:r>
      <w:r w:rsidR="00CA4DAC">
        <w:rPr>
          <w:lang w:val="fr-FR"/>
        </w:rPr>
        <w:t>’</w:t>
      </w:r>
      <w:r w:rsidR="008012C0" w:rsidRPr="002A2EA6">
        <w:rPr>
          <w:lang w:val="fr-FR"/>
        </w:rPr>
        <w:t>adoption de la Convention, a-t-elle répété, n</w:t>
      </w:r>
      <w:r w:rsidR="00CA4DAC">
        <w:rPr>
          <w:lang w:val="fr-FR"/>
        </w:rPr>
        <w:t>’</w:t>
      </w:r>
      <w:r w:rsidR="008012C0" w:rsidRPr="002A2EA6">
        <w:rPr>
          <w:lang w:val="fr-FR"/>
        </w:rPr>
        <w:t>était pas une fin en soi mais le début d</w:t>
      </w:r>
      <w:r w:rsidR="00CA4DAC">
        <w:rPr>
          <w:lang w:val="fr-FR"/>
        </w:rPr>
        <w:t>’</w:t>
      </w:r>
      <w:r w:rsidR="008012C0" w:rsidRPr="002A2EA6">
        <w:rPr>
          <w:lang w:val="fr-FR"/>
        </w:rPr>
        <w:t>un</w:t>
      </w:r>
      <w:r w:rsidR="00717DC5">
        <w:rPr>
          <w:lang w:val="fr-FR"/>
        </w:rPr>
        <w:t> </w:t>
      </w:r>
      <w:r w:rsidR="008012C0" w:rsidRPr="002A2EA6">
        <w:rPr>
          <w:lang w:val="fr-FR"/>
        </w:rPr>
        <w:t>processus qui ne s</w:t>
      </w:r>
      <w:r w:rsidR="00CA4DAC">
        <w:rPr>
          <w:lang w:val="fr-FR"/>
        </w:rPr>
        <w:t>’</w:t>
      </w:r>
      <w:r w:rsidR="008012C0" w:rsidRPr="002A2EA6">
        <w:rPr>
          <w:lang w:val="fr-FR"/>
        </w:rPr>
        <w:t>achèverait que lorsque le</w:t>
      </w:r>
      <w:r w:rsidR="00FF3C36" w:rsidRPr="002A2EA6">
        <w:rPr>
          <w:lang w:val="fr-FR"/>
        </w:rPr>
        <w:t>s</w:t>
      </w:r>
      <w:r w:rsidR="008012C0" w:rsidRPr="002A2EA6">
        <w:rPr>
          <w:lang w:val="fr-FR"/>
        </w:rPr>
        <w:t xml:space="preserve"> émissions et rejets </w:t>
      </w:r>
      <w:r w:rsidR="00FF3C36" w:rsidRPr="002A2EA6">
        <w:rPr>
          <w:lang w:val="fr-FR"/>
        </w:rPr>
        <w:t xml:space="preserve">anthropiques </w:t>
      </w:r>
      <w:r w:rsidR="008012C0" w:rsidRPr="002A2EA6">
        <w:rPr>
          <w:lang w:val="fr-FR"/>
        </w:rPr>
        <w:t>de mercure</w:t>
      </w:r>
      <w:r w:rsidR="00FF3C36" w:rsidRPr="002A2EA6">
        <w:rPr>
          <w:lang w:val="fr-FR"/>
        </w:rPr>
        <w:t xml:space="preserve"> auraient complètement cessé</w:t>
      </w:r>
      <w:r w:rsidR="008012C0" w:rsidRPr="002A2EA6">
        <w:rPr>
          <w:lang w:val="fr-FR"/>
        </w:rPr>
        <w:t xml:space="preserve">, </w:t>
      </w:r>
      <w:r w:rsidR="00FF3C36" w:rsidRPr="002A2EA6">
        <w:rPr>
          <w:lang w:val="fr-FR"/>
        </w:rPr>
        <w:t>que la</w:t>
      </w:r>
      <w:r w:rsidR="0070208A" w:rsidRPr="002A2EA6">
        <w:rPr>
          <w:lang w:val="fr-FR"/>
        </w:rPr>
        <w:t> </w:t>
      </w:r>
      <w:r w:rsidR="00FF3C36" w:rsidRPr="002A2EA6">
        <w:rPr>
          <w:lang w:val="fr-FR"/>
        </w:rPr>
        <w:t>population</w:t>
      </w:r>
      <w:r w:rsidR="008012C0" w:rsidRPr="002A2EA6">
        <w:rPr>
          <w:lang w:val="fr-FR"/>
        </w:rPr>
        <w:t xml:space="preserve"> humain</w:t>
      </w:r>
      <w:r w:rsidR="00FF3C36" w:rsidRPr="002A2EA6">
        <w:rPr>
          <w:lang w:val="fr-FR"/>
        </w:rPr>
        <w:t>e</w:t>
      </w:r>
      <w:r w:rsidR="008012C0" w:rsidRPr="002A2EA6">
        <w:rPr>
          <w:lang w:val="fr-FR"/>
        </w:rPr>
        <w:t xml:space="preserve"> et l</w:t>
      </w:r>
      <w:r w:rsidR="00CA4DAC">
        <w:rPr>
          <w:lang w:val="fr-FR"/>
        </w:rPr>
        <w:t>’</w:t>
      </w:r>
      <w:r w:rsidR="008012C0" w:rsidRPr="002A2EA6">
        <w:rPr>
          <w:lang w:val="fr-FR"/>
        </w:rPr>
        <w:t xml:space="preserve">environnement </w:t>
      </w:r>
      <w:r w:rsidR="00FF3C36" w:rsidRPr="002A2EA6">
        <w:rPr>
          <w:lang w:val="fr-FR"/>
        </w:rPr>
        <w:t>ne se trouver</w:t>
      </w:r>
      <w:r w:rsidR="008012C0" w:rsidRPr="002A2EA6">
        <w:rPr>
          <w:lang w:val="fr-FR"/>
        </w:rPr>
        <w:t xml:space="preserve">aient </w:t>
      </w:r>
      <w:r w:rsidR="005A196F" w:rsidRPr="002A2EA6">
        <w:rPr>
          <w:lang w:val="fr-FR"/>
        </w:rPr>
        <w:t>plus sous</w:t>
      </w:r>
      <w:r w:rsidR="008012C0" w:rsidRPr="002A2EA6">
        <w:rPr>
          <w:lang w:val="fr-FR"/>
        </w:rPr>
        <w:t xml:space="preserve"> la menace </w:t>
      </w:r>
      <w:r w:rsidR="005A196F" w:rsidRPr="002A2EA6">
        <w:rPr>
          <w:lang w:val="fr-FR"/>
        </w:rPr>
        <w:t>de cette substance</w:t>
      </w:r>
      <w:r w:rsidR="008012C0" w:rsidRPr="002A2EA6">
        <w:rPr>
          <w:lang w:val="fr-FR"/>
        </w:rPr>
        <w:t xml:space="preserve"> et </w:t>
      </w:r>
      <w:r w:rsidR="005A196F" w:rsidRPr="002A2EA6">
        <w:rPr>
          <w:lang w:val="fr-FR"/>
        </w:rPr>
        <w:t>que</w:t>
      </w:r>
      <w:r w:rsidR="008012C0" w:rsidRPr="002A2EA6">
        <w:rPr>
          <w:lang w:val="fr-FR"/>
        </w:rPr>
        <w:t xml:space="preserve"> la maladie de Minamata aurait </w:t>
      </w:r>
      <w:r w:rsidR="005A196F" w:rsidRPr="002A2EA6">
        <w:rPr>
          <w:lang w:val="fr-FR"/>
        </w:rPr>
        <w:t>été éradiquée partout dans le</w:t>
      </w:r>
      <w:r w:rsidR="00717DC5">
        <w:rPr>
          <w:lang w:val="fr-FR"/>
        </w:rPr>
        <w:t> </w:t>
      </w:r>
      <w:r w:rsidR="005A196F" w:rsidRPr="002A2EA6">
        <w:rPr>
          <w:lang w:val="fr-FR"/>
        </w:rPr>
        <w:t>monde</w:t>
      </w:r>
      <w:r w:rsidR="004E3E23" w:rsidRPr="002A2EA6">
        <w:rPr>
          <w:lang w:val="fr-FR"/>
        </w:rPr>
        <w:t>. B</w:t>
      </w:r>
      <w:r w:rsidR="008012C0" w:rsidRPr="002A2EA6">
        <w:rPr>
          <w:lang w:val="fr-FR"/>
        </w:rPr>
        <w:t xml:space="preserve">ref, que le </w:t>
      </w:r>
      <w:r w:rsidR="005A196F" w:rsidRPr="002A2EA6">
        <w:rPr>
          <w:lang w:val="fr-FR"/>
        </w:rPr>
        <w:t xml:space="preserve">mercure </w:t>
      </w:r>
      <w:r w:rsidR="008012C0" w:rsidRPr="002A2EA6">
        <w:rPr>
          <w:lang w:val="fr-FR"/>
        </w:rPr>
        <w:t xml:space="preserve">aurait </w:t>
      </w:r>
      <w:r w:rsidR="005A196F" w:rsidRPr="002A2EA6">
        <w:rPr>
          <w:lang w:val="fr-FR"/>
        </w:rPr>
        <w:t xml:space="preserve">été </w:t>
      </w:r>
      <w:r w:rsidR="006A743A" w:rsidRPr="002A2EA6">
        <w:rPr>
          <w:lang w:val="fr-FR"/>
        </w:rPr>
        <w:t>relégué</w:t>
      </w:r>
      <w:r w:rsidR="008012C0" w:rsidRPr="002A2EA6">
        <w:rPr>
          <w:lang w:val="fr-FR"/>
        </w:rPr>
        <w:t xml:space="preserve"> </w:t>
      </w:r>
      <w:r w:rsidR="006A743A" w:rsidRPr="002A2EA6">
        <w:rPr>
          <w:lang w:val="fr-FR"/>
        </w:rPr>
        <w:t>aux</w:t>
      </w:r>
      <w:r w:rsidR="0095048C" w:rsidRPr="002A2EA6">
        <w:rPr>
          <w:lang w:val="fr-FR"/>
        </w:rPr>
        <w:t> </w:t>
      </w:r>
      <w:r w:rsidR="006A743A" w:rsidRPr="002A2EA6">
        <w:rPr>
          <w:lang w:val="fr-FR"/>
        </w:rPr>
        <w:t>oubliettes de l</w:t>
      </w:r>
      <w:r w:rsidR="00CA4DAC">
        <w:rPr>
          <w:lang w:val="fr-FR"/>
        </w:rPr>
        <w:t>’</w:t>
      </w:r>
      <w:r w:rsidR="006A743A" w:rsidRPr="002A2EA6">
        <w:rPr>
          <w:lang w:val="fr-FR"/>
        </w:rPr>
        <w:t>histoire</w:t>
      </w:r>
      <w:r w:rsidR="008012C0" w:rsidRPr="002A2EA6">
        <w:rPr>
          <w:lang w:val="fr-FR"/>
        </w:rPr>
        <w:t>.</w:t>
      </w:r>
    </w:p>
    <w:p w14:paraId="00112452" w14:textId="690D3CD2" w:rsidR="003D0299" w:rsidRPr="002A2EA6" w:rsidRDefault="0093585D" w:rsidP="00A056A2">
      <w:pPr>
        <w:pStyle w:val="Normalnumber"/>
        <w:numPr>
          <w:ilvl w:val="0"/>
          <w:numId w:val="42"/>
        </w:numPr>
        <w:tabs>
          <w:tab w:val="clear" w:pos="1814"/>
          <w:tab w:val="left" w:pos="1843"/>
          <w:tab w:val="left" w:pos="1985"/>
        </w:tabs>
        <w:ind w:left="1288" w:hanging="28"/>
        <w:rPr>
          <w:lang w:val="fr-FR"/>
        </w:rPr>
      </w:pPr>
      <w:r w:rsidRPr="002A2EA6">
        <w:rPr>
          <w:lang w:val="fr-FR"/>
        </w:rPr>
        <w:t>Dans sa déclaration, M. </w:t>
      </w:r>
      <w:r w:rsidR="008012C0" w:rsidRPr="002A2EA6">
        <w:rPr>
          <w:lang w:val="fr-FR"/>
        </w:rPr>
        <w:t xml:space="preserve">Kapindula a </w:t>
      </w:r>
      <w:r w:rsidR="00D63FE5" w:rsidRPr="002A2EA6">
        <w:rPr>
          <w:lang w:val="fr-FR"/>
        </w:rPr>
        <w:t xml:space="preserve">relevé </w:t>
      </w:r>
      <w:r w:rsidR="008012C0" w:rsidRPr="002A2EA6">
        <w:rPr>
          <w:lang w:val="fr-FR"/>
        </w:rPr>
        <w:t xml:space="preserve">que les </w:t>
      </w:r>
      <w:r w:rsidR="005A196F" w:rsidRPr="002A2EA6">
        <w:rPr>
          <w:lang w:val="fr-FR"/>
        </w:rPr>
        <w:t xml:space="preserve">ambitions qui avaient </w:t>
      </w:r>
      <w:r w:rsidR="0085488D" w:rsidRPr="002A2EA6">
        <w:rPr>
          <w:lang w:val="fr-FR"/>
        </w:rPr>
        <w:t xml:space="preserve">présidé </w:t>
      </w:r>
      <w:r w:rsidR="005A196F" w:rsidRPr="002A2EA6">
        <w:rPr>
          <w:lang w:val="fr-FR"/>
        </w:rPr>
        <w:t xml:space="preserve">à la mise en place </w:t>
      </w:r>
      <w:r w:rsidR="008012C0" w:rsidRPr="002A2EA6">
        <w:rPr>
          <w:lang w:val="fr-FR"/>
        </w:rPr>
        <w:t xml:space="preserve">de la Convention </w:t>
      </w:r>
      <w:r w:rsidR="00F9623B" w:rsidRPr="002A2EA6">
        <w:rPr>
          <w:lang w:val="fr-FR"/>
        </w:rPr>
        <w:t>s</w:t>
      </w:r>
      <w:r w:rsidR="00CA4DAC">
        <w:rPr>
          <w:lang w:val="fr-FR"/>
        </w:rPr>
        <w:t>’</w:t>
      </w:r>
      <w:r w:rsidR="00F9623B" w:rsidRPr="002A2EA6">
        <w:rPr>
          <w:lang w:val="fr-FR"/>
        </w:rPr>
        <w:t xml:space="preserve">étaient clairement confirmées par </w:t>
      </w:r>
      <w:r w:rsidR="005A196F" w:rsidRPr="002A2EA6">
        <w:rPr>
          <w:lang w:val="fr-FR"/>
        </w:rPr>
        <w:t xml:space="preserve">le fait que </w:t>
      </w:r>
      <w:r w:rsidR="008012C0" w:rsidRPr="002A2EA6">
        <w:rPr>
          <w:lang w:val="fr-FR"/>
        </w:rPr>
        <w:t>pas moins de 114</w:t>
      </w:r>
      <w:r w:rsidRPr="002A2EA6">
        <w:rPr>
          <w:lang w:val="fr-FR"/>
        </w:rPr>
        <w:t> </w:t>
      </w:r>
      <w:r w:rsidR="008012C0" w:rsidRPr="002A2EA6">
        <w:rPr>
          <w:lang w:val="fr-FR"/>
        </w:rPr>
        <w:t>Parties</w:t>
      </w:r>
      <w:r w:rsidR="005A196F" w:rsidRPr="002A2EA6">
        <w:rPr>
          <w:lang w:val="fr-FR"/>
        </w:rPr>
        <w:t xml:space="preserve"> </w:t>
      </w:r>
      <w:r w:rsidR="000B20BA" w:rsidRPr="002A2EA6">
        <w:rPr>
          <w:lang w:val="fr-FR"/>
        </w:rPr>
        <w:t>l</w:t>
      </w:r>
      <w:r w:rsidR="00CA4DAC">
        <w:rPr>
          <w:lang w:val="fr-FR"/>
        </w:rPr>
        <w:t>’</w:t>
      </w:r>
      <w:r w:rsidR="005A196F" w:rsidRPr="002A2EA6">
        <w:rPr>
          <w:lang w:val="fr-FR"/>
        </w:rPr>
        <w:t>avai</w:t>
      </w:r>
      <w:r w:rsidR="000B20BA" w:rsidRPr="002A2EA6">
        <w:rPr>
          <w:lang w:val="fr-FR"/>
        </w:rPr>
        <w:t>en</w:t>
      </w:r>
      <w:r w:rsidR="005A196F" w:rsidRPr="002A2EA6">
        <w:rPr>
          <w:lang w:val="fr-FR"/>
        </w:rPr>
        <w:t>t promptement ratifiée</w:t>
      </w:r>
      <w:r w:rsidR="008012C0" w:rsidRPr="002A2EA6">
        <w:rPr>
          <w:lang w:val="fr-FR"/>
        </w:rPr>
        <w:t xml:space="preserve">. </w:t>
      </w:r>
      <w:r w:rsidR="000B20BA" w:rsidRPr="002A2EA6">
        <w:rPr>
          <w:lang w:val="fr-FR"/>
        </w:rPr>
        <w:t>L</w:t>
      </w:r>
      <w:r w:rsidR="008012C0" w:rsidRPr="002A2EA6">
        <w:rPr>
          <w:lang w:val="fr-FR"/>
        </w:rPr>
        <w:t xml:space="preserve">a Convention </w:t>
      </w:r>
      <w:r w:rsidR="000B20BA" w:rsidRPr="002A2EA6">
        <w:rPr>
          <w:lang w:val="fr-FR"/>
        </w:rPr>
        <w:t>n</w:t>
      </w:r>
      <w:r w:rsidR="00CA4DAC">
        <w:rPr>
          <w:lang w:val="fr-FR"/>
        </w:rPr>
        <w:t>’</w:t>
      </w:r>
      <w:r w:rsidR="000B20BA" w:rsidRPr="002A2EA6">
        <w:rPr>
          <w:lang w:val="fr-FR"/>
        </w:rPr>
        <w:t>en était plus au stade des ambitions mais à</w:t>
      </w:r>
      <w:r w:rsidR="008012C0" w:rsidRPr="002A2EA6">
        <w:rPr>
          <w:lang w:val="fr-FR"/>
        </w:rPr>
        <w:t xml:space="preserve"> celui de la</w:t>
      </w:r>
      <w:r w:rsidR="0070208A" w:rsidRPr="002A2EA6">
        <w:rPr>
          <w:lang w:val="fr-FR"/>
        </w:rPr>
        <w:t> </w:t>
      </w:r>
      <w:r w:rsidR="008012C0" w:rsidRPr="002A2EA6">
        <w:rPr>
          <w:lang w:val="fr-FR"/>
        </w:rPr>
        <w:t xml:space="preserve">mise en œuvre, </w:t>
      </w:r>
      <w:r w:rsidR="000B20BA" w:rsidRPr="002A2EA6">
        <w:rPr>
          <w:lang w:val="fr-FR"/>
        </w:rPr>
        <w:t xml:space="preserve">qui était plus problématique, </w:t>
      </w:r>
      <w:r w:rsidR="0056264B" w:rsidRPr="002A2EA6">
        <w:rPr>
          <w:lang w:val="fr-FR"/>
        </w:rPr>
        <w:t>étant donné qu</w:t>
      </w:r>
      <w:r w:rsidR="00CA4DAC">
        <w:rPr>
          <w:lang w:val="fr-FR"/>
        </w:rPr>
        <w:t>’</w:t>
      </w:r>
      <w:r w:rsidR="000B20BA" w:rsidRPr="002A2EA6">
        <w:rPr>
          <w:lang w:val="fr-FR"/>
        </w:rPr>
        <w:t>aucun terrain d</w:t>
      </w:r>
      <w:r w:rsidR="00CA4DAC">
        <w:rPr>
          <w:lang w:val="fr-FR"/>
        </w:rPr>
        <w:t>’</w:t>
      </w:r>
      <w:r w:rsidR="000B20BA" w:rsidRPr="002A2EA6">
        <w:rPr>
          <w:lang w:val="fr-FR"/>
        </w:rPr>
        <w:t>entente n</w:t>
      </w:r>
      <w:r w:rsidR="00CA4DAC">
        <w:rPr>
          <w:lang w:val="fr-FR"/>
        </w:rPr>
        <w:t>’</w:t>
      </w:r>
      <w:r w:rsidR="000B20BA" w:rsidRPr="002A2EA6">
        <w:rPr>
          <w:lang w:val="fr-FR"/>
        </w:rPr>
        <w:t>a</w:t>
      </w:r>
      <w:r w:rsidR="0056264B" w:rsidRPr="002A2EA6">
        <w:rPr>
          <w:lang w:val="fr-FR"/>
        </w:rPr>
        <w:t>vai</w:t>
      </w:r>
      <w:r w:rsidR="000B20BA" w:rsidRPr="002A2EA6">
        <w:rPr>
          <w:lang w:val="fr-FR"/>
        </w:rPr>
        <w:t xml:space="preserve">t pu être trouvé sur </w:t>
      </w:r>
      <w:r w:rsidR="008012C0" w:rsidRPr="002A2EA6">
        <w:rPr>
          <w:lang w:val="fr-FR"/>
        </w:rPr>
        <w:t>certaines questions clefs. M.</w:t>
      </w:r>
      <w:r w:rsidRPr="002A2EA6">
        <w:rPr>
          <w:lang w:val="fr-FR"/>
        </w:rPr>
        <w:t> </w:t>
      </w:r>
      <w:r w:rsidR="008012C0" w:rsidRPr="002A2EA6">
        <w:rPr>
          <w:lang w:val="fr-FR"/>
        </w:rPr>
        <w:t>Kapindula a engagé les Parties à s</w:t>
      </w:r>
      <w:r w:rsidR="00CA4DAC">
        <w:rPr>
          <w:lang w:val="fr-FR"/>
        </w:rPr>
        <w:t>’</w:t>
      </w:r>
      <w:r w:rsidR="008012C0" w:rsidRPr="002A2EA6">
        <w:rPr>
          <w:lang w:val="fr-FR"/>
        </w:rPr>
        <w:t>efforcer de parvenir à un</w:t>
      </w:r>
      <w:r w:rsidR="00717DC5">
        <w:rPr>
          <w:lang w:val="fr-FR"/>
        </w:rPr>
        <w:t> </w:t>
      </w:r>
      <w:r w:rsidR="008012C0" w:rsidRPr="002A2EA6">
        <w:rPr>
          <w:lang w:val="fr-FR"/>
        </w:rPr>
        <w:t>consensus sur ces</w:t>
      </w:r>
      <w:r w:rsidR="0095048C" w:rsidRPr="002A2EA6">
        <w:rPr>
          <w:lang w:val="fr-FR"/>
        </w:rPr>
        <w:t> </w:t>
      </w:r>
      <w:r w:rsidR="008012C0" w:rsidRPr="002A2EA6">
        <w:rPr>
          <w:lang w:val="fr-FR"/>
        </w:rPr>
        <w:t>questions et à ne pas en reporter l</w:t>
      </w:r>
      <w:r w:rsidR="00CA4DAC">
        <w:rPr>
          <w:lang w:val="fr-FR"/>
        </w:rPr>
        <w:t>’</w:t>
      </w:r>
      <w:r w:rsidR="008012C0" w:rsidRPr="002A2EA6">
        <w:rPr>
          <w:lang w:val="fr-FR"/>
        </w:rPr>
        <w:t xml:space="preserve">examen à des réunions ultérieures, ce qui </w:t>
      </w:r>
      <w:r w:rsidR="0056264B" w:rsidRPr="002A2EA6">
        <w:rPr>
          <w:lang w:val="fr-FR"/>
        </w:rPr>
        <w:t>entraîne</w:t>
      </w:r>
      <w:r w:rsidR="008012C0" w:rsidRPr="002A2EA6">
        <w:rPr>
          <w:lang w:val="fr-FR"/>
        </w:rPr>
        <w:t>rait une</w:t>
      </w:r>
      <w:r w:rsidR="0095048C" w:rsidRPr="002A2EA6">
        <w:rPr>
          <w:lang w:val="fr-FR"/>
        </w:rPr>
        <w:t> </w:t>
      </w:r>
      <w:r w:rsidR="0056264B" w:rsidRPr="002A2EA6">
        <w:rPr>
          <w:lang w:val="fr-FR"/>
        </w:rPr>
        <w:t xml:space="preserve">accumulation </w:t>
      </w:r>
      <w:r w:rsidR="008012C0" w:rsidRPr="002A2EA6">
        <w:rPr>
          <w:lang w:val="fr-FR"/>
        </w:rPr>
        <w:t xml:space="preserve">de questions non résolues </w:t>
      </w:r>
      <w:r w:rsidR="000B20BA" w:rsidRPr="002A2EA6">
        <w:rPr>
          <w:lang w:val="fr-FR"/>
        </w:rPr>
        <w:t>entravant la réalisation d</w:t>
      </w:r>
      <w:r w:rsidR="008012C0" w:rsidRPr="002A2EA6">
        <w:rPr>
          <w:lang w:val="fr-FR"/>
        </w:rPr>
        <w:t>es objectifs énoncés à</w:t>
      </w:r>
      <w:r w:rsidR="007A6967" w:rsidRPr="002A2EA6">
        <w:rPr>
          <w:lang w:val="fr-FR"/>
        </w:rPr>
        <w:t> </w:t>
      </w:r>
      <w:r w:rsidR="008012C0" w:rsidRPr="002A2EA6">
        <w:rPr>
          <w:lang w:val="fr-FR"/>
        </w:rPr>
        <w:t>l</w:t>
      </w:r>
      <w:r w:rsidR="00CA4DAC">
        <w:rPr>
          <w:lang w:val="fr-FR"/>
        </w:rPr>
        <w:t>’</w:t>
      </w:r>
      <w:r w:rsidR="008012C0" w:rsidRPr="002A2EA6">
        <w:rPr>
          <w:lang w:val="fr-FR"/>
        </w:rPr>
        <w:t>article</w:t>
      </w:r>
      <w:r w:rsidR="0095048C" w:rsidRPr="002A2EA6">
        <w:rPr>
          <w:lang w:val="fr-FR"/>
        </w:rPr>
        <w:t> </w:t>
      </w:r>
      <w:r w:rsidR="007B4B6E" w:rsidRPr="002A2EA6">
        <w:rPr>
          <w:lang w:val="fr-FR"/>
        </w:rPr>
        <w:t>premier</w:t>
      </w:r>
      <w:r w:rsidR="008012C0" w:rsidRPr="002A2EA6">
        <w:rPr>
          <w:lang w:val="fr-FR"/>
        </w:rPr>
        <w:t xml:space="preserve"> de la Convention, </w:t>
      </w:r>
      <w:r w:rsidR="0056264B" w:rsidRPr="002A2EA6">
        <w:rPr>
          <w:lang w:val="fr-FR"/>
        </w:rPr>
        <w:t>d</w:t>
      </w:r>
      <w:r w:rsidR="00CA4DAC">
        <w:rPr>
          <w:lang w:val="fr-FR"/>
        </w:rPr>
        <w:t>’</w:t>
      </w:r>
      <w:r w:rsidR="0056264B" w:rsidRPr="002A2EA6">
        <w:rPr>
          <w:lang w:val="fr-FR"/>
        </w:rPr>
        <w:t>autant plus que l</w:t>
      </w:r>
      <w:r w:rsidR="008012C0" w:rsidRPr="002A2EA6">
        <w:rPr>
          <w:lang w:val="fr-FR"/>
        </w:rPr>
        <w:t>es réunions de la Conférence</w:t>
      </w:r>
      <w:r w:rsidR="00C5393A">
        <w:rPr>
          <w:lang w:val="fr-FR"/>
        </w:rPr>
        <w:t xml:space="preserve"> des Parties</w:t>
      </w:r>
      <w:r w:rsidR="008012C0" w:rsidRPr="002A2EA6">
        <w:rPr>
          <w:lang w:val="fr-FR"/>
        </w:rPr>
        <w:t xml:space="preserve"> se tiendraient </w:t>
      </w:r>
      <w:r w:rsidR="0056264B" w:rsidRPr="002A2EA6">
        <w:rPr>
          <w:lang w:val="fr-FR"/>
        </w:rPr>
        <w:t xml:space="preserve">désormais à intervalle plus éloigné, à savoir tous les </w:t>
      </w:r>
      <w:r w:rsidR="008012C0" w:rsidRPr="002A2EA6">
        <w:rPr>
          <w:lang w:val="fr-FR"/>
        </w:rPr>
        <w:t>deux</w:t>
      </w:r>
      <w:r w:rsidR="006A0F16" w:rsidRPr="002A2EA6">
        <w:rPr>
          <w:lang w:val="fr-FR"/>
        </w:rPr>
        <w:t> </w:t>
      </w:r>
      <w:r w:rsidR="008012C0" w:rsidRPr="002A2EA6">
        <w:rPr>
          <w:lang w:val="fr-FR"/>
        </w:rPr>
        <w:t xml:space="preserve">ans. Rappelant le programme chargé </w:t>
      </w:r>
      <w:r w:rsidR="0056264B" w:rsidRPr="002A2EA6">
        <w:rPr>
          <w:lang w:val="fr-FR"/>
        </w:rPr>
        <w:t>de la</w:t>
      </w:r>
      <w:r w:rsidR="0070208A" w:rsidRPr="002A2EA6">
        <w:rPr>
          <w:lang w:val="fr-FR"/>
        </w:rPr>
        <w:t> </w:t>
      </w:r>
      <w:r w:rsidR="0056264B" w:rsidRPr="002A2EA6">
        <w:rPr>
          <w:lang w:val="fr-FR"/>
        </w:rPr>
        <w:t xml:space="preserve">réunion, </w:t>
      </w:r>
      <w:r w:rsidR="008012C0" w:rsidRPr="002A2EA6">
        <w:rPr>
          <w:lang w:val="fr-FR"/>
        </w:rPr>
        <w:t xml:space="preserve">il a </w:t>
      </w:r>
      <w:r w:rsidR="0056264B" w:rsidRPr="002A2EA6">
        <w:rPr>
          <w:lang w:val="fr-FR"/>
        </w:rPr>
        <w:t>demandé l</w:t>
      </w:r>
      <w:r w:rsidR="00CA4DAC">
        <w:rPr>
          <w:lang w:val="fr-FR"/>
        </w:rPr>
        <w:t>’</w:t>
      </w:r>
      <w:r w:rsidR="008012C0" w:rsidRPr="002A2EA6">
        <w:rPr>
          <w:lang w:val="fr-FR"/>
        </w:rPr>
        <w:t>appui et l</w:t>
      </w:r>
      <w:r w:rsidR="0056264B" w:rsidRPr="002A2EA6">
        <w:rPr>
          <w:lang w:val="fr-FR"/>
        </w:rPr>
        <w:t>a</w:t>
      </w:r>
      <w:r w:rsidR="008012C0" w:rsidRPr="002A2EA6">
        <w:rPr>
          <w:lang w:val="fr-FR"/>
        </w:rPr>
        <w:t xml:space="preserve"> co</w:t>
      </w:r>
      <w:r w:rsidR="0056264B" w:rsidRPr="002A2EA6">
        <w:rPr>
          <w:lang w:val="fr-FR"/>
        </w:rPr>
        <w:t>opé</w:t>
      </w:r>
      <w:r w:rsidR="008012C0" w:rsidRPr="002A2EA6">
        <w:rPr>
          <w:lang w:val="fr-FR"/>
        </w:rPr>
        <w:t xml:space="preserve">ration </w:t>
      </w:r>
      <w:r w:rsidR="0056264B" w:rsidRPr="002A2EA6">
        <w:rPr>
          <w:lang w:val="fr-FR"/>
        </w:rPr>
        <w:t xml:space="preserve">des participants </w:t>
      </w:r>
      <w:r w:rsidR="00AF1ED8" w:rsidRPr="002A2EA6">
        <w:rPr>
          <w:lang w:val="fr-FR"/>
        </w:rPr>
        <w:t xml:space="preserve">de sorte que </w:t>
      </w:r>
      <w:r w:rsidR="008012C0" w:rsidRPr="002A2EA6">
        <w:rPr>
          <w:lang w:val="fr-FR"/>
        </w:rPr>
        <w:t xml:space="preserve">la réunion </w:t>
      </w:r>
      <w:r w:rsidR="00D63FE5" w:rsidRPr="002A2EA6">
        <w:rPr>
          <w:lang w:val="fr-FR"/>
        </w:rPr>
        <w:t>en</w:t>
      </w:r>
      <w:r w:rsidR="00717DC5">
        <w:rPr>
          <w:lang w:val="fr-FR"/>
        </w:rPr>
        <w:t> </w:t>
      </w:r>
      <w:r w:rsidR="00D63FE5" w:rsidRPr="002A2EA6">
        <w:rPr>
          <w:lang w:val="fr-FR"/>
        </w:rPr>
        <w:t>cours</w:t>
      </w:r>
      <w:r w:rsidR="00AF1ED8" w:rsidRPr="002A2EA6">
        <w:rPr>
          <w:lang w:val="fr-FR"/>
        </w:rPr>
        <w:t xml:space="preserve"> soit fructueuse</w:t>
      </w:r>
      <w:r w:rsidR="008012C0" w:rsidRPr="002A2EA6">
        <w:rPr>
          <w:lang w:val="fr-FR"/>
        </w:rPr>
        <w:t>.</w:t>
      </w:r>
    </w:p>
    <w:p w14:paraId="09F598F3" w14:textId="17B093FE" w:rsidR="00FE4C00" w:rsidRPr="002A2EA6" w:rsidRDefault="008012C0" w:rsidP="00A056A2">
      <w:pPr>
        <w:pStyle w:val="Normalnumber"/>
        <w:numPr>
          <w:ilvl w:val="0"/>
          <w:numId w:val="42"/>
        </w:numPr>
        <w:tabs>
          <w:tab w:val="clear" w:pos="1814"/>
          <w:tab w:val="left" w:pos="1843"/>
          <w:tab w:val="left" w:pos="1985"/>
        </w:tabs>
        <w:ind w:left="1288" w:hanging="28"/>
        <w:rPr>
          <w:lang w:val="fr-FR"/>
        </w:rPr>
      </w:pPr>
      <w:r w:rsidRPr="002A2EA6">
        <w:rPr>
          <w:lang w:val="fr-FR"/>
        </w:rPr>
        <w:t>Après ces déclarations, le Président a prononcé l</w:t>
      </w:r>
      <w:r w:rsidR="00CA4DAC">
        <w:rPr>
          <w:lang w:val="fr-FR"/>
        </w:rPr>
        <w:t>’</w:t>
      </w:r>
      <w:r w:rsidRPr="002A2EA6">
        <w:rPr>
          <w:lang w:val="fr-FR"/>
        </w:rPr>
        <w:t>ouverture de la réunion</w:t>
      </w:r>
      <w:r w:rsidR="00860A8A" w:rsidRPr="002A2EA6">
        <w:rPr>
          <w:lang w:val="fr-FR"/>
        </w:rPr>
        <w:t>.</w:t>
      </w:r>
    </w:p>
    <w:p w14:paraId="63659AB5" w14:textId="51F66B99" w:rsidR="00FE4C00" w:rsidRPr="002A2EA6" w:rsidRDefault="0095048C" w:rsidP="0095048C">
      <w:pPr>
        <w:pStyle w:val="CH2"/>
        <w:rPr>
          <w:lang w:val="fr-FR"/>
        </w:rPr>
      </w:pPr>
      <w:r w:rsidRPr="002A2EA6">
        <w:rPr>
          <w:lang w:val="fr-FR"/>
        </w:rPr>
        <w:tab/>
      </w:r>
      <w:bookmarkStart w:id="6" w:name="_Toc39063330"/>
      <w:r w:rsidRPr="002A2EA6">
        <w:rPr>
          <w:lang w:val="fr-FR"/>
        </w:rPr>
        <w:t>B.</w:t>
      </w:r>
      <w:r w:rsidRPr="002A2EA6">
        <w:rPr>
          <w:lang w:val="fr-FR"/>
        </w:rPr>
        <w:tab/>
      </w:r>
      <w:r w:rsidR="008012C0" w:rsidRPr="002A2EA6">
        <w:rPr>
          <w:lang w:val="fr-FR"/>
        </w:rPr>
        <w:t>Déclarations prononcées au nom d</w:t>
      </w:r>
      <w:r w:rsidR="00CA4DAC">
        <w:rPr>
          <w:lang w:val="fr-FR"/>
        </w:rPr>
        <w:t>’</w:t>
      </w:r>
      <w:r w:rsidR="008012C0" w:rsidRPr="002A2EA6">
        <w:rPr>
          <w:lang w:val="fr-FR"/>
        </w:rPr>
        <w:t>un individu ou d</w:t>
      </w:r>
      <w:r w:rsidR="00CA4DAC">
        <w:rPr>
          <w:lang w:val="fr-FR"/>
        </w:rPr>
        <w:t>’</w:t>
      </w:r>
      <w:r w:rsidR="008012C0" w:rsidRPr="002A2EA6">
        <w:rPr>
          <w:lang w:val="fr-FR"/>
        </w:rPr>
        <w:t>un groupe régional</w:t>
      </w:r>
      <w:bookmarkEnd w:id="6"/>
    </w:p>
    <w:p w14:paraId="10CEEE3B" w14:textId="64C290C5" w:rsidR="008012C0" w:rsidRPr="002A2EA6" w:rsidRDefault="00DB4505" w:rsidP="00A056A2">
      <w:pPr>
        <w:pStyle w:val="Normalnumber"/>
        <w:numPr>
          <w:ilvl w:val="0"/>
          <w:numId w:val="42"/>
        </w:numPr>
        <w:tabs>
          <w:tab w:val="clear" w:pos="1814"/>
          <w:tab w:val="left" w:pos="1843"/>
          <w:tab w:val="left" w:pos="1985"/>
        </w:tabs>
        <w:ind w:left="1288" w:hanging="28"/>
        <w:rPr>
          <w:lang w:val="fr-FR"/>
        </w:rPr>
      </w:pPr>
      <w:r w:rsidRPr="002A2EA6">
        <w:rPr>
          <w:sz w:val="22"/>
          <w:szCs w:val="22"/>
          <w:lang w:val="fr-FR"/>
        </w:rPr>
        <w:t>Mme</w:t>
      </w:r>
      <w:r w:rsidRPr="002A2EA6">
        <w:rPr>
          <w:lang w:val="fr-FR"/>
        </w:rPr>
        <w:t> </w:t>
      </w:r>
      <w:r w:rsidR="008012C0" w:rsidRPr="002A2EA6">
        <w:rPr>
          <w:lang w:val="fr-FR"/>
        </w:rPr>
        <w:t>Siti Nurbaya Bakar, Ministre indonésienne de l</w:t>
      </w:r>
      <w:r w:rsidR="00CA4DAC">
        <w:rPr>
          <w:lang w:val="fr-FR"/>
        </w:rPr>
        <w:t>’</w:t>
      </w:r>
      <w:r w:rsidR="008012C0" w:rsidRPr="002A2EA6">
        <w:rPr>
          <w:lang w:val="fr-FR"/>
        </w:rPr>
        <w:t xml:space="preserve">environnement et des forêts, a décrit certaines politiques et mesures adoptées par son pays au sujet du mercure, notant que le principe de développement écologiquement rationnel était inscrit dans </w:t>
      </w:r>
      <w:r w:rsidR="00A63BE3" w:rsidRPr="002A2EA6">
        <w:rPr>
          <w:lang w:val="fr-FR"/>
        </w:rPr>
        <w:t>l</w:t>
      </w:r>
      <w:r w:rsidR="008012C0" w:rsidRPr="002A2EA6">
        <w:rPr>
          <w:lang w:val="fr-FR"/>
        </w:rPr>
        <w:t xml:space="preserve">a </w:t>
      </w:r>
      <w:r w:rsidR="009C2897" w:rsidRPr="002A2EA6">
        <w:rPr>
          <w:lang w:val="fr-FR"/>
        </w:rPr>
        <w:t>C</w:t>
      </w:r>
      <w:r w:rsidR="008012C0" w:rsidRPr="002A2EA6">
        <w:rPr>
          <w:lang w:val="fr-FR"/>
        </w:rPr>
        <w:t>onstitution. Son pays avait mis en place un plan d</w:t>
      </w:r>
      <w:r w:rsidR="00CA4DAC">
        <w:rPr>
          <w:lang w:val="fr-FR"/>
        </w:rPr>
        <w:t>’</w:t>
      </w:r>
      <w:r w:rsidR="008012C0" w:rsidRPr="002A2EA6">
        <w:rPr>
          <w:lang w:val="fr-FR"/>
        </w:rPr>
        <w:t>action national pour éliminer l</w:t>
      </w:r>
      <w:r w:rsidR="00CA4DAC">
        <w:rPr>
          <w:lang w:val="fr-FR"/>
        </w:rPr>
        <w:t>’</w:t>
      </w:r>
      <w:r w:rsidR="008012C0" w:rsidRPr="002A2EA6">
        <w:rPr>
          <w:lang w:val="fr-FR"/>
        </w:rPr>
        <w:t>utilisation d</w:t>
      </w:r>
      <w:r w:rsidR="002C45FD" w:rsidRPr="002A2EA6">
        <w:rPr>
          <w:lang w:val="fr-FR"/>
        </w:rPr>
        <w:t>e</w:t>
      </w:r>
      <w:r w:rsidR="008012C0" w:rsidRPr="002A2EA6">
        <w:rPr>
          <w:lang w:val="fr-FR"/>
        </w:rPr>
        <w:t xml:space="preserve"> mercure dans certains secteurs d</w:t>
      </w:r>
      <w:r w:rsidR="00CA4DAC">
        <w:rPr>
          <w:lang w:val="fr-FR"/>
        </w:rPr>
        <w:t>’</w:t>
      </w:r>
      <w:r w:rsidR="008012C0" w:rsidRPr="002A2EA6">
        <w:rPr>
          <w:lang w:val="fr-FR"/>
        </w:rPr>
        <w:t xml:space="preserve">ici </w:t>
      </w:r>
      <w:r w:rsidR="006F4284" w:rsidRPr="002A2EA6">
        <w:rPr>
          <w:lang w:val="fr-FR"/>
        </w:rPr>
        <w:t>à </w:t>
      </w:r>
      <w:r w:rsidR="008012C0" w:rsidRPr="002A2EA6">
        <w:rPr>
          <w:lang w:val="fr-FR"/>
        </w:rPr>
        <w:t xml:space="preserve">2025. </w:t>
      </w:r>
      <w:r w:rsidR="002C45FD" w:rsidRPr="002A2EA6">
        <w:rPr>
          <w:lang w:val="fr-FR"/>
        </w:rPr>
        <w:t>Il</w:t>
      </w:r>
      <w:r w:rsidR="00860A8A" w:rsidRPr="002A2EA6">
        <w:rPr>
          <w:lang w:val="fr-FR"/>
        </w:rPr>
        <w:t> </w:t>
      </w:r>
      <w:r w:rsidR="002C45FD" w:rsidRPr="002A2EA6">
        <w:rPr>
          <w:lang w:val="fr-FR"/>
        </w:rPr>
        <w:t>prévoyait d</w:t>
      </w:r>
      <w:r w:rsidR="00CA4DAC">
        <w:rPr>
          <w:lang w:val="fr-FR"/>
        </w:rPr>
        <w:t>’</w:t>
      </w:r>
      <w:r w:rsidR="008012C0" w:rsidRPr="002A2EA6">
        <w:rPr>
          <w:lang w:val="fr-FR"/>
        </w:rPr>
        <w:t>interdi</w:t>
      </w:r>
      <w:r w:rsidR="002C45FD" w:rsidRPr="002A2EA6">
        <w:rPr>
          <w:lang w:val="fr-FR"/>
        </w:rPr>
        <w:t>re</w:t>
      </w:r>
      <w:r w:rsidR="008012C0" w:rsidRPr="002A2EA6">
        <w:rPr>
          <w:lang w:val="fr-FR"/>
        </w:rPr>
        <w:t xml:space="preserve"> </w:t>
      </w:r>
      <w:r w:rsidR="002C45FD" w:rsidRPr="002A2EA6">
        <w:rPr>
          <w:lang w:val="fr-FR"/>
        </w:rPr>
        <w:t>à partir de 2020 l</w:t>
      </w:r>
      <w:r w:rsidR="00CA4DAC">
        <w:rPr>
          <w:lang w:val="fr-FR"/>
        </w:rPr>
        <w:t>’</w:t>
      </w:r>
      <w:r w:rsidR="002C45FD" w:rsidRPr="002A2EA6">
        <w:rPr>
          <w:lang w:val="fr-FR"/>
        </w:rPr>
        <w:t xml:space="preserve">utilisation de </w:t>
      </w:r>
      <w:r w:rsidR="008012C0" w:rsidRPr="002A2EA6">
        <w:rPr>
          <w:lang w:val="fr-FR"/>
        </w:rPr>
        <w:t xml:space="preserve">certains équipements médicaux contenant </w:t>
      </w:r>
      <w:r w:rsidR="002C45FD" w:rsidRPr="002A2EA6">
        <w:rPr>
          <w:lang w:val="fr-FR"/>
        </w:rPr>
        <w:t xml:space="preserve">du mercure </w:t>
      </w:r>
      <w:r w:rsidR="008012C0" w:rsidRPr="002A2EA6">
        <w:rPr>
          <w:lang w:val="fr-FR"/>
        </w:rPr>
        <w:t>dans l</w:t>
      </w:r>
      <w:r w:rsidR="00CA4DAC">
        <w:rPr>
          <w:lang w:val="fr-FR"/>
        </w:rPr>
        <w:t>’</w:t>
      </w:r>
      <w:r w:rsidR="008012C0" w:rsidRPr="002A2EA6">
        <w:rPr>
          <w:lang w:val="fr-FR"/>
        </w:rPr>
        <w:t>ensemble des centres de santé et autres infrastructures publiques</w:t>
      </w:r>
      <w:r w:rsidR="00450870" w:rsidRPr="002A2EA6">
        <w:rPr>
          <w:lang w:val="fr-FR"/>
        </w:rPr>
        <w:t> ;</w:t>
      </w:r>
      <w:r w:rsidR="008012C0" w:rsidRPr="002A2EA6">
        <w:rPr>
          <w:lang w:val="fr-FR"/>
        </w:rPr>
        <w:t xml:space="preserve"> et un projet de renforcement des capacités était en cours pour améliorer la collecte et le tri des déchets </w:t>
      </w:r>
      <w:r w:rsidR="008012C0" w:rsidRPr="002A2EA6">
        <w:rPr>
          <w:lang w:val="fr-FR"/>
        </w:rPr>
        <w:lastRenderedPageBreak/>
        <w:t>contenant du mercure. Par</w:t>
      </w:r>
      <w:r w:rsidR="0093585D" w:rsidRPr="002A2EA6">
        <w:rPr>
          <w:lang w:val="fr-FR"/>
        </w:rPr>
        <w:t> </w:t>
      </w:r>
      <w:r w:rsidR="008012C0" w:rsidRPr="002A2EA6">
        <w:rPr>
          <w:lang w:val="fr-FR"/>
        </w:rPr>
        <w:t xml:space="preserve">ailleurs, un programme de transformation socioéconomique et environnementale </w:t>
      </w:r>
      <w:r w:rsidR="002C45FD" w:rsidRPr="002A2EA6">
        <w:rPr>
          <w:lang w:val="fr-FR"/>
        </w:rPr>
        <w:t>avait été mis en place afin d</w:t>
      </w:r>
      <w:r w:rsidR="00CA4DAC">
        <w:rPr>
          <w:lang w:val="fr-FR"/>
        </w:rPr>
        <w:t>’</w:t>
      </w:r>
      <w:r w:rsidR="002C45FD" w:rsidRPr="002A2EA6">
        <w:rPr>
          <w:lang w:val="fr-FR"/>
        </w:rPr>
        <w:t>offrir</w:t>
      </w:r>
      <w:r w:rsidR="008012C0" w:rsidRPr="002A2EA6">
        <w:rPr>
          <w:lang w:val="fr-FR"/>
        </w:rPr>
        <w:t xml:space="preserve"> de nouveaux </w:t>
      </w:r>
      <w:r w:rsidR="00687D34" w:rsidRPr="002A2EA6">
        <w:rPr>
          <w:lang w:val="fr-FR"/>
        </w:rPr>
        <w:t xml:space="preserve">emplois </w:t>
      </w:r>
      <w:r w:rsidR="008012C0" w:rsidRPr="002A2EA6">
        <w:rPr>
          <w:lang w:val="fr-FR"/>
        </w:rPr>
        <w:t xml:space="preserve">aux personnes travaillant dans le </w:t>
      </w:r>
      <w:r w:rsidR="002C45FD" w:rsidRPr="002A2EA6">
        <w:rPr>
          <w:lang w:val="fr-FR"/>
        </w:rPr>
        <w:t xml:space="preserve">secteur </w:t>
      </w:r>
      <w:r w:rsidR="008012C0" w:rsidRPr="002A2EA6">
        <w:rPr>
          <w:lang w:val="fr-FR"/>
        </w:rPr>
        <w:t>de l</w:t>
      </w:r>
      <w:r w:rsidR="00CA4DAC">
        <w:rPr>
          <w:lang w:val="fr-FR"/>
        </w:rPr>
        <w:t>’</w:t>
      </w:r>
      <w:r w:rsidR="008012C0" w:rsidRPr="002A2EA6">
        <w:rPr>
          <w:lang w:val="fr-FR"/>
        </w:rPr>
        <w:t xml:space="preserve">extraction artisanale et à petite </w:t>
      </w:r>
      <w:r w:rsidR="006A743A" w:rsidRPr="002A2EA6">
        <w:rPr>
          <w:lang w:val="fr-FR"/>
        </w:rPr>
        <w:t>échelle d</w:t>
      </w:r>
      <w:r w:rsidR="00CA4DAC">
        <w:rPr>
          <w:lang w:val="fr-FR"/>
        </w:rPr>
        <w:t>’</w:t>
      </w:r>
      <w:r w:rsidR="006A743A" w:rsidRPr="002A2EA6">
        <w:rPr>
          <w:lang w:val="fr-FR"/>
        </w:rPr>
        <w:t>or</w:t>
      </w:r>
      <w:r w:rsidR="002C45FD" w:rsidRPr="002A2EA6">
        <w:rPr>
          <w:lang w:val="fr-FR"/>
        </w:rPr>
        <w:t xml:space="preserve"> ou</w:t>
      </w:r>
      <w:r w:rsidR="008012C0" w:rsidRPr="002A2EA6">
        <w:rPr>
          <w:lang w:val="fr-FR"/>
        </w:rPr>
        <w:t xml:space="preserve"> de leur fournir des techniques plus sûres d</w:t>
      </w:r>
      <w:r w:rsidR="00CA4DAC">
        <w:rPr>
          <w:lang w:val="fr-FR"/>
        </w:rPr>
        <w:t>’</w:t>
      </w:r>
      <w:r w:rsidR="008012C0" w:rsidRPr="002A2EA6">
        <w:rPr>
          <w:lang w:val="fr-FR"/>
        </w:rPr>
        <w:t>extraction d</w:t>
      </w:r>
      <w:r w:rsidR="00CA4DAC">
        <w:rPr>
          <w:lang w:val="fr-FR"/>
        </w:rPr>
        <w:t>’</w:t>
      </w:r>
      <w:r w:rsidR="008012C0" w:rsidRPr="002A2EA6">
        <w:rPr>
          <w:lang w:val="fr-FR"/>
        </w:rPr>
        <w:t>or. En</w:t>
      </w:r>
      <w:r w:rsidR="00860A8A" w:rsidRPr="002A2EA6">
        <w:rPr>
          <w:lang w:val="fr-FR"/>
        </w:rPr>
        <w:t> </w:t>
      </w:r>
      <w:r w:rsidR="008012C0" w:rsidRPr="002A2EA6">
        <w:rPr>
          <w:lang w:val="fr-FR"/>
        </w:rPr>
        <w:t xml:space="preserve">outre, les </w:t>
      </w:r>
      <w:r w:rsidR="00873992" w:rsidRPr="002A2EA6">
        <w:rPr>
          <w:lang w:val="fr-FR"/>
        </w:rPr>
        <w:t>parquets</w:t>
      </w:r>
      <w:r w:rsidR="008012C0" w:rsidRPr="002A2EA6">
        <w:rPr>
          <w:lang w:val="fr-FR"/>
        </w:rPr>
        <w:t xml:space="preserve">, la police et les administrations locales </w:t>
      </w:r>
      <w:r w:rsidR="00FB0775" w:rsidRPr="002A2EA6">
        <w:rPr>
          <w:lang w:val="fr-FR"/>
        </w:rPr>
        <w:t>travaillaient ensemble en vue de prévenir ou de</w:t>
      </w:r>
      <w:r w:rsidR="008012C0" w:rsidRPr="002A2EA6">
        <w:rPr>
          <w:lang w:val="fr-FR"/>
        </w:rPr>
        <w:t xml:space="preserve"> réduire l</w:t>
      </w:r>
      <w:r w:rsidR="00FB0775" w:rsidRPr="002A2EA6">
        <w:rPr>
          <w:lang w:val="fr-FR"/>
        </w:rPr>
        <w:t xml:space="preserve">es </w:t>
      </w:r>
      <w:r w:rsidR="008012C0" w:rsidRPr="002A2EA6">
        <w:rPr>
          <w:lang w:val="fr-FR"/>
        </w:rPr>
        <w:t>utilisation</w:t>
      </w:r>
      <w:r w:rsidR="00FB0775" w:rsidRPr="002A2EA6">
        <w:rPr>
          <w:lang w:val="fr-FR"/>
        </w:rPr>
        <w:t>s</w:t>
      </w:r>
      <w:r w:rsidR="008012C0" w:rsidRPr="002A2EA6">
        <w:rPr>
          <w:lang w:val="fr-FR"/>
        </w:rPr>
        <w:t xml:space="preserve"> ill</w:t>
      </w:r>
      <w:r w:rsidR="002C45FD" w:rsidRPr="002A2EA6">
        <w:rPr>
          <w:lang w:val="fr-FR"/>
        </w:rPr>
        <w:t>icit</w:t>
      </w:r>
      <w:r w:rsidR="008012C0" w:rsidRPr="002A2EA6">
        <w:rPr>
          <w:lang w:val="fr-FR"/>
        </w:rPr>
        <w:t>e</w:t>
      </w:r>
      <w:r w:rsidR="00FB0775" w:rsidRPr="002A2EA6">
        <w:rPr>
          <w:lang w:val="fr-FR"/>
        </w:rPr>
        <w:t>s</w:t>
      </w:r>
      <w:r w:rsidR="008012C0" w:rsidRPr="002A2EA6">
        <w:rPr>
          <w:lang w:val="fr-FR"/>
        </w:rPr>
        <w:t xml:space="preserve"> d</w:t>
      </w:r>
      <w:r w:rsidR="002C45FD" w:rsidRPr="002A2EA6">
        <w:rPr>
          <w:lang w:val="fr-FR"/>
        </w:rPr>
        <w:t>e</w:t>
      </w:r>
      <w:r w:rsidR="008012C0" w:rsidRPr="002A2EA6">
        <w:rPr>
          <w:lang w:val="fr-FR"/>
        </w:rPr>
        <w:t xml:space="preserve"> mercure, par exemple en ferm</w:t>
      </w:r>
      <w:r w:rsidR="00FB0775" w:rsidRPr="002A2EA6">
        <w:rPr>
          <w:lang w:val="fr-FR"/>
        </w:rPr>
        <w:t>ant l</w:t>
      </w:r>
      <w:r w:rsidR="008012C0" w:rsidRPr="002A2EA6">
        <w:rPr>
          <w:lang w:val="fr-FR"/>
        </w:rPr>
        <w:t>es installations d</w:t>
      </w:r>
      <w:r w:rsidR="00CA4DAC">
        <w:rPr>
          <w:lang w:val="fr-FR"/>
        </w:rPr>
        <w:t>’</w:t>
      </w:r>
      <w:r w:rsidR="008012C0" w:rsidRPr="002A2EA6">
        <w:rPr>
          <w:lang w:val="fr-FR"/>
        </w:rPr>
        <w:t>extraction de cinabre</w:t>
      </w:r>
      <w:r w:rsidR="00FB0775" w:rsidRPr="002A2EA6">
        <w:rPr>
          <w:lang w:val="fr-FR"/>
        </w:rPr>
        <w:t xml:space="preserve"> afin de faire cesser la production de mercure</w:t>
      </w:r>
      <w:r w:rsidR="008012C0" w:rsidRPr="002A2EA6">
        <w:rPr>
          <w:lang w:val="fr-FR"/>
        </w:rPr>
        <w:t xml:space="preserve">. </w:t>
      </w:r>
      <w:r w:rsidRPr="002A2EA6">
        <w:rPr>
          <w:sz w:val="22"/>
          <w:szCs w:val="22"/>
          <w:lang w:val="fr-FR"/>
        </w:rPr>
        <w:t>Mme</w:t>
      </w:r>
      <w:r w:rsidRPr="002A2EA6">
        <w:rPr>
          <w:lang w:val="fr-FR"/>
        </w:rPr>
        <w:t> </w:t>
      </w:r>
      <w:r w:rsidR="008012C0" w:rsidRPr="002A2EA6">
        <w:rPr>
          <w:lang w:val="fr-FR"/>
        </w:rPr>
        <w:t xml:space="preserve">Bakar a assuré </w:t>
      </w:r>
      <w:r w:rsidR="005367E3" w:rsidRPr="002A2EA6">
        <w:rPr>
          <w:lang w:val="fr-FR"/>
        </w:rPr>
        <w:t xml:space="preserve">aux </w:t>
      </w:r>
      <w:r w:rsidR="002E24AF" w:rsidRPr="002A2EA6">
        <w:rPr>
          <w:lang w:val="fr-FR"/>
        </w:rPr>
        <w:t>participants à</w:t>
      </w:r>
      <w:r w:rsidR="007A6967" w:rsidRPr="002A2EA6">
        <w:rPr>
          <w:lang w:val="fr-FR"/>
        </w:rPr>
        <w:t> </w:t>
      </w:r>
      <w:r w:rsidR="002E24AF" w:rsidRPr="002A2EA6">
        <w:rPr>
          <w:lang w:val="fr-FR"/>
        </w:rPr>
        <w:t>la</w:t>
      </w:r>
      <w:r w:rsidR="007A6967" w:rsidRPr="002A2EA6">
        <w:rPr>
          <w:lang w:val="fr-FR"/>
        </w:rPr>
        <w:t> </w:t>
      </w:r>
      <w:r w:rsidR="008012C0" w:rsidRPr="002A2EA6">
        <w:rPr>
          <w:lang w:val="fr-FR"/>
        </w:rPr>
        <w:t xml:space="preserve">réunion </w:t>
      </w:r>
      <w:r w:rsidR="005367E3" w:rsidRPr="002A2EA6">
        <w:rPr>
          <w:lang w:val="fr-FR"/>
        </w:rPr>
        <w:t xml:space="preserve">que son pays était fermement résolu à </w:t>
      </w:r>
      <w:r w:rsidR="008012C0" w:rsidRPr="002A2EA6">
        <w:rPr>
          <w:lang w:val="fr-FR"/>
        </w:rPr>
        <w:t>continuer de mettre en œuvre son plan d</w:t>
      </w:r>
      <w:r w:rsidR="00CA4DAC">
        <w:rPr>
          <w:lang w:val="fr-FR"/>
        </w:rPr>
        <w:t>’</w:t>
      </w:r>
      <w:r w:rsidR="008012C0" w:rsidRPr="002A2EA6">
        <w:rPr>
          <w:lang w:val="fr-FR"/>
        </w:rPr>
        <w:t>action, à</w:t>
      </w:r>
      <w:r w:rsidR="007A6967" w:rsidRPr="002A2EA6">
        <w:rPr>
          <w:lang w:val="fr-FR"/>
        </w:rPr>
        <w:t> </w:t>
      </w:r>
      <w:r w:rsidR="008012C0" w:rsidRPr="002A2EA6">
        <w:rPr>
          <w:lang w:val="fr-FR"/>
        </w:rPr>
        <w:t>atteindre ses</w:t>
      </w:r>
      <w:r w:rsidR="0095048C" w:rsidRPr="002A2EA6">
        <w:rPr>
          <w:lang w:val="fr-FR"/>
        </w:rPr>
        <w:t> </w:t>
      </w:r>
      <w:r w:rsidR="008012C0" w:rsidRPr="002A2EA6">
        <w:rPr>
          <w:lang w:val="fr-FR"/>
        </w:rPr>
        <w:t>objectifs nationaux et à collaborer de manière constructive avec les autres pays sur les</w:t>
      </w:r>
      <w:r w:rsidR="007A6967" w:rsidRPr="002A2EA6">
        <w:rPr>
          <w:lang w:val="fr-FR"/>
        </w:rPr>
        <w:t> </w:t>
      </w:r>
      <w:r w:rsidR="008012C0" w:rsidRPr="002A2EA6">
        <w:rPr>
          <w:lang w:val="fr-FR"/>
        </w:rPr>
        <w:t>questions relatives au mercure. Elle a ajouté qu</w:t>
      </w:r>
      <w:r w:rsidR="00CA4DAC">
        <w:rPr>
          <w:lang w:val="fr-FR"/>
        </w:rPr>
        <w:t>’</w:t>
      </w:r>
      <w:r w:rsidR="008012C0" w:rsidRPr="002A2EA6">
        <w:rPr>
          <w:lang w:val="fr-FR"/>
        </w:rPr>
        <w:t xml:space="preserve">il était indispensable de former des partenariats, </w:t>
      </w:r>
      <w:r w:rsidR="00FB0775" w:rsidRPr="002A2EA6">
        <w:rPr>
          <w:lang w:val="fr-FR"/>
        </w:rPr>
        <w:t>car</w:t>
      </w:r>
      <w:r w:rsidR="007A6967" w:rsidRPr="002A2EA6">
        <w:rPr>
          <w:lang w:val="fr-FR"/>
        </w:rPr>
        <w:t> </w:t>
      </w:r>
      <w:r w:rsidR="008012C0" w:rsidRPr="002A2EA6">
        <w:rPr>
          <w:lang w:val="fr-FR"/>
        </w:rPr>
        <w:t>aucun pays développé ou en développement ne pouva</w:t>
      </w:r>
      <w:r w:rsidR="00FB0775" w:rsidRPr="002A2EA6">
        <w:rPr>
          <w:lang w:val="fr-FR"/>
        </w:rPr>
        <w:t>i</w:t>
      </w:r>
      <w:r w:rsidR="008012C0" w:rsidRPr="002A2EA6">
        <w:rPr>
          <w:lang w:val="fr-FR"/>
        </w:rPr>
        <w:t>t échapper aux</w:t>
      </w:r>
      <w:r w:rsidR="000C7703">
        <w:rPr>
          <w:lang w:val="fr-FR"/>
        </w:rPr>
        <w:t> </w:t>
      </w:r>
      <w:r w:rsidR="008012C0" w:rsidRPr="002A2EA6">
        <w:rPr>
          <w:lang w:val="fr-FR"/>
        </w:rPr>
        <w:t>conséquences d</w:t>
      </w:r>
      <w:r w:rsidR="00CA4DAC">
        <w:rPr>
          <w:lang w:val="fr-FR"/>
        </w:rPr>
        <w:t>’</w:t>
      </w:r>
      <w:r w:rsidR="00FB0775" w:rsidRPr="002A2EA6">
        <w:rPr>
          <w:lang w:val="fr-FR"/>
        </w:rPr>
        <w:t>une</w:t>
      </w:r>
      <w:r w:rsidR="008012C0" w:rsidRPr="002A2EA6">
        <w:rPr>
          <w:lang w:val="fr-FR"/>
        </w:rPr>
        <w:t xml:space="preserve"> mauvaise gestion du mercure.</w:t>
      </w:r>
      <w:bookmarkStart w:id="7" w:name="_Hlk25593791"/>
      <w:bookmarkEnd w:id="7"/>
    </w:p>
    <w:p w14:paraId="539F8513" w14:textId="63BD59F6" w:rsidR="008012C0" w:rsidRPr="002A2EA6" w:rsidRDefault="008012C0"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s</w:t>
      </w:r>
      <w:r w:rsidR="00CA4DAC">
        <w:rPr>
          <w:lang w:val="fr-FR"/>
        </w:rPr>
        <w:t>’</w:t>
      </w:r>
      <w:r w:rsidRPr="002A2EA6">
        <w:rPr>
          <w:lang w:val="fr-FR"/>
        </w:rPr>
        <w:t>exprimant au nom des États d</w:t>
      </w:r>
      <w:r w:rsidR="00CA4DAC">
        <w:rPr>
          <w:lang w:val="fr-FR"/>
        </w:rPr>
        <w:t>’</w:t>
      </w:r>
      <w:r w:rsidRPr="002A2EA6">
        <w:rPr>
          <w:lang w:val="fr-FR"/>
        </w:rPr>
        <w:t>Afrique a</w:t>
      </w:r>
      <w:r w:rsidR="00243F77" w:rsidRPr="002A2EA6">
        <w:rPr>
          <w:lang w:val="fr-FR"/>
        </w:rPr>
        <w:t xml:space="preserve"> remercié la Secrétaire exécutive </w:t>
      </w:r>
      <w:r w:rsidR="00FA7402" w:rsidRPr="002A2EA6">
        <w:rPr>
          <w:lang w:val="fr-FR"/>
        </w:rPr>
        <w:t>du</w:t>
      </w:r>
      <w:r w:rsidR="007A6967" w:rsidRPr="002A2EA6">
        <w:rPr>
          <w:lang w:val="fr-FR"/>
        </w:rPr>
        <w:t> </w:t>
      </w:r>
      <w:r w:rsidR="00243F77" w:rsidRPr="002A2EA6">
        <w:rPr>
          <w:lang w:val="fr-FR"/>
        </w:rPr>
        <w:t>travail accompli et</w:t>
      </w:r>
      <w:r w:rsidRPr="002A2EA6">
        <w:rPr>
          <w:lang w:val="fr-FR"/>
        </w:rPr>
        <w:t xml:space="preserve"> </w:t>
      </w:r>
      <w:r w:rsidR="00CE6254" w:rsidRPr="002A2EA6">
        <w:rPr>
          <w:lang w:val="fr-FR"/>
        </w:rPr>
        <w:t xml:space="preserve">a </w:t>
      </w:r>
      <w:r w:rsidRPr="002A2EA6">
        <w:rPr>
          <w:lang w:val="fr-FR"/>
        </w:rPr>
        <w:t>mis en lumière les questions que sa</w:t>
      </w:r>
      <w:r w:rsidR="0095048C" w:rsidRPr="002A2EA6">
        <w:rPr>
          <w:lang w:val="fr-FR"/>
        </w:rPr>
        <w:t> </w:t>
      </w:r>
      <w:r w:rsidRPr="002A2EA6">
        <w:rPr>
          <w:lang w:val="fr-FR"/>
        </w:rPr>
        <w:t>région avait à cœur de traiter</w:t>
      </w:r>
      <w:r w:rsidR="00FB0775" w:rsidRPr="002A2EA6">
        <w:rPr>
          <w:lang w:val="fr-FR"/>
        </w:rPr>
        <w:t>, dont</w:t>
      </w:r>
      <w:r w:rsidRPr="002A2EA6">
        <w:rPr>
          <w:lang w:val="fr-FR"/>
        </w:rPr>
        <w:t xml:space="preserve"> celle</w:t>
      </w:r>
      <w:r w:rsidR="00FB0775" w:rsidRPr="002A2EA6">
        <w:rPr>
          <w:lang w:val="fr-FR"/>
        </w:rPr>
        <w:t>s d</w:t>
      </w:r>
      <w:r w:rsidRPr="002A2EA6">
        <w:rPr>
          <w:lang w:val="fr-FR"/>
        </w:rPr>
        <w:t>es</w:t>
      </w:r>
      <w:r w:rsidR="00243F77" w:rsidRPr="002A2EA6">
        <w:rPr>
          <w:lang w:val="fr-FR"/>
        </w:rPr>
        <w:t> </w:t>
      </w:r>
      <w:r w:rsidRPr="002A2EA6">
        <w:rPr>
          <w:lang w:val="fr-FR"/>
        </w:rPr>
        <w:t>amalgames dentaires, qui f</w:t>
      </w:r>
      <w:r w:rsidR="00FB0775" w:rsidRPr="002A2EA6">
        <w:rPr>
          <w:lang w:val="fr-FR"/>
        </w:rPr>
        <w:t>aisai</w:t>
      </w:r>
      <w:r w:rsidR="003656C2" w:rsidRPr="002A2EA6">
        <w:rPr>
          <w:lang w:val="fr-FR"/>
        </w:rPr>
        <w:t>en</w:t>
      </w:r>
      <w:r w:rsidRPr="002A2EA6">
        <w:rPr>
          <w:lang w:val="fr-FR"/>
        </w:rPr>
        <w:t>t l</w:t>
      </w:r>
      <w:r w:rsidR="00CA4DAC">
        <w:rPr>
          <w:lang w:val="fr-FR"/>
        </w:rPr>
        <w:t>’</w:t>
      </w:r>
      <w:r w:rsidRPr="002A2EA6">
        <w:rPr>
          <w:lang w:val="fr-FR"/>
        </w:rPr>
        <w:t>objet d</w:t>
      </w:r>
      <w:r w:rsidR="00CA4DAC">
        <w:rPr>
          <w:lang w:val="fr-FR"/>
        </w:rPr>
        <w:t>’</w:t>
      </w:r>
      <w:r w:rsidRPr="002A2EA6">
        <w:rPr>
          <w:lang w:val="fr-FR"/>
        </w:rPr>
        <w:t>une</w:t>
      </w:r>
      <w:r w:rsidR="0095048C" w:rsidRPr="002A2EA6">
        <w:rPr>
          <w:lang w:val="fr-FR"/>
        </w:rPr>
        <w:t> </w:t>
      </w:r>
      <w:r w:rsidRPr="002A2EA6">
        <w:rPr>
          <w:lang w:val="fr-FR"/>
        </w:rPr>
        <w:t xml:space="preserve">proposition </w:t>
      </w:r>
      <w:r w:rsidR="00FB0775" w:rsidRPr="002A2EA6">
        <w:rPr>
          <w:lang w:val="fr-FR"/>
        </w:rPr>
        <w:t>d</w:t>
      </w:r>
      <w:r w:rsidR="00CA4DAC">
        <w:rPr>
          <w:lang w:val="fr-FR"/>
        </w:rPr>
        <w:t>’</w:t>
      </w:r>
      <w:r w:rsidR="00FB0775" w:rsidRPr="002A2EA6">
        <w:rPr>
          <w:lang w:val="fr-FR"/>
        </w:rPr>
        <w:t>amendement de</w:t>
      </w:r>
      <w:r w:rsidRPr="002A2EA6">
        <w:rPr>
          <w:lang w:val="fr-FR"/>
        </w:rPr>
        <w:t xml:space="preserve"> l</w:t>
      </w:r>
      <w:r w:rsidR="00CA4DAC">
        <w:rPr>
          <w:lang w:val="fr-FR"/>
        </w:rPr>
        <w:t>’</w:t>
      </w:r>
      <w:r w:rsidR="00243F77" w:rsidRPr="002A2EA6">
        <w:rPr>
          <w:lang w:val="fr-FR"/>
        </w:rPr>
        <w:t>A</w:t>
      </w:r>
      <w:r w:rsidRPr="002A2EA6">
        <w:rPr>
          <w:lang w:val="fr-FR"/>
        </w:rPr>
        <w:t>nnexe</w:t>
      </w:r>
      <w:r w:rsidR="00243F77" w:rsidRPr="002A2EA6">
        <w:rPr>
          <w:lang w:val="fr-FR"/>
        </w:rPr>
        <w:t> </w:t>
      </w:r>
      <w:r w:rsidRPr="002A2EA6">
        <w:rPr>
          <w:lang w:val="fr-FR"/>
        </w:rPr>
        <w:t xml:space="preserve">A </w:t>
      </w:r>
      <w:r w:rsidR="00FB0775" w:rsidRPr="002A2EA6">
        <w:rPr>
          <w:lang w:val="fr-FR"/>
        </w:rPr>
        <w:t>visant à</w:t>
      </w:r>
      <w:r w:rsidR="006135C9" w:rsidRPr="002A2EA6">
        <w:rPr>
          <w:lang w:val="fr-FR"/>
        </w:rPr>
        <w:t> </w:t>
      </w:r>
      <w:r w:rsidR="003656C2" w:rsidRPr="002A2EA6">
        <w:rPr>
          <w:lang w:val="fr-FR"/>
        </w:rPr>
        <w:t xml:space="preserve">les </w:t>
      </w:r>
      <w:r w:rsidR="00FB0775" w:rsidRPr="002A2EA6">
        <w:rPr>
          <w:lang w:val="fr-FR"/>
        </w:rPr>
        <w:t>faire passer</w:t>
      </w:r>
      <w:r w:rsidRPr="002A2EA6">
        <w:rPr>
          <w:lang w:val="fr-FR"/>
        </w:rPr>
        <w:t xml:space="preserve"> de </w:t>
      </w:r>
      <w:r w:rsidR="003656C2" w:rsidRPr="002A2EA6">
        <w:rPr>
          <w:lang w:val="fr-FR"/>
        </w:rPr>
        <w:t>l</w:t>
      </w:r>
      <w:r w:rsidRPr="002A2EA6">
        <w:rPr>
          <w:lang w:val="fr-FR"/>
        </w:rPr>
        <w:t xml:space="preserve">a </w:t>
      </w:r>
      <w:r w:rsidR="002E5929" w:rsidRPr="002A2EA6">
        <w:rPr>
          <w:lang w:val="fr-FR"/>
        </w:rPr>
        <w:t>deuxième </w:t>
      </w:r>
      <w:r w:rsidRPr="002A2EA6">
        <w:rPr>
          <w:lang w:val="fr-FR"/>
        </w:rPr>
        <w:t>partie</w:t>
      </w:r>
      <w:r w:rsidR="0093585D" w:rsidRPr="002A2EA6">
        <w:rPr>
          <w:lang w:val="fr-FR"/>
        </w:rPr>
        <w:t xml:space="preserve"> </w:t>
      </w:r>
      <w:r w:rsidR="003656C2" w:rsidRPr="002A2EA6">
        <w:rPr>
          <w:lang w:val="fr-FR"/>
        </w:rPr>
        <w:t>de cette</w:t>
      </w:r>
      <w:r w:rsidR="002E5929" w:rsidRPr="002A2EA6">
        <w:rPr>
          <w:lang w:val="fr-FR"/>
        </w:rPr>
        <w:t> </w:t>
      </w:r>
      <w:r w:rsidR="003656C2" w:rsidRPr="002A2EA6">
        <w:rPr>
          <w:lang w:val="fr-FR"/>
        </w:rPr>
        <w:t xml:space="preserve">Annexe </w:t>
      </w:r>
      <w:r w:rsidR="0093585D" w:rsidRPr="002A2EA6">
        <w:rPr>
          <w:lang w:val="fr-FR"/>
        </w:rPr>
        <w:t>à sa</w:t>
      </w:r>
      <w:r w:rsidR="002E5929" w:rsidRPr="002A2EA6">
        <w:rPr>
          <w:lang w:val="fr-FR"/>
        </w:rPr>
        <w:t> première </w:t>
      </w:r>
      <w:r w:rsidR="0093585D" w:rsidRPr="002A2EA6">
        <w:rPr>
          <w:lang w:val="fr-FR"/>
        </w:rPr>
        <w:t>partie</w:t>
      </w:r>
      <w:r w:rsidR="00E3394B" w:rsidRPr="002A2EA6">
        <w:rPr>
          <w:lang w:val="fr-FR"/>
        </w:rPr>
        <w:t> </w:t>
      </w:r>
      <w:r w:rsidR="631BDA25" w:rsidRPr="002A2EA6">
        <w:rPr>
          <w:lang w:val="fr-FR"/>
        </w:rPr>
        <w:t>;</w:t>
      </w:r>
      <w:r w:rsidRPr="002A2EA6">
        <w:rPr>
          <w:lang w:val="fr-FR"/>
        </w:rPr>
        <w:t xml:space="preserve"> </w:t>
      </w:r>
      <w:r w:rsidR="00FB0775" w:rsidRPr="002A2EA6">
        <w:rPr>
          <w:lang w:val="fr-FR"/>
        </w:rPr>
        <w:t>d</w:t>
      </w:r>
      <w:r w:rsidRPr="002A2EA6">
        <w:rPr>
          <w:lang w:val="fr-FR"/>
        </w:rPr>
        <w:t>es codes douaniers, en</w:t>
      </w:r>
      <w:r w:rsidR="00B97AB5" w:rsidRPr="002A2EA6">
        <w:rPr>
          <w:lang w:val="fr-FR"/>
        </w:rPr>
        <w:t> </w:t>
      </w:r>
      <w:r w:rsidRPr="002A2EA6">
        <w:rPr>
          <w:lang w:val="fr-FR"/>
        </w:rPr>
        <w:t>vue d</w:t>
      </w:r>
      <w:r w:rsidR="00CA4DAC">
        <w:rPr>
          <w:lang w:val="fr-FR"/>
        </w:rPr>
        <w:t>’</w:t>
      </w:r>
      <w:r w:rsidRPr="002A2EA6">
        <w:rPr>
          <w:lang w:val="fr-FR"/>
        </w:rPr>
        <w:t>appuyer les efforts de réglementation du commerce des</w:t>
      </w:r>
      <w:r w:rsidR="0095048C" w:rsidRPr="002A2EA6">
        <w:rPr>
          <w:lang w:val="fr-FR"/>
        </w:rPr>
        <w:t> </w:t>
      </w:r>
      <w:r w:rsidRPr="002A2EA6">
        <w:rPr>
          <w:lang w:val="fr-FR"/>
        </w:rPr>
        <w:t>produits contenant du mercure ajouté</w:t>
      </w:r>
      <w:r w:rsidR="00E3394B" w:rsidRPr="002A2EA6">
        <w:rPr>
          <w:lang w:val="fr-FR"/>
        </w:rPr>
        <w:t> </w:t>
      </w:r>
      <w:r w:rsidR="631BDA25" w:rsidRPr="002A2EA6">
        <w:rPr>
          <w:lang w:val="fr-FR"/>
        </w:rPr>
        <w:t>;</w:t>
      </w:r>
      <w:r w:rsidRPr="002A2EA6">
        <w:rPr>
          <w:lang w:val="fr-FR"/>
        </w:rPr>
        <w:t xml:space="preserve"> </w:t>
      </w:r>
      <w:r w:rsidR="00FB0775" w:rsidRPr="002A2EA6">
        <w:rPr>
          <w:lang w:val="fr-FR"/>
        </w:rPr>
        <w:t>d</w:t>
      </w:r>
      <w:r w:rsidRPr="002A2EA6">
        <w:rPr>
          <w:lang w:val="fr-FR"/>
        </w:rPr>
        <w:t xml:space="preserve">es rejets de mercure et </w:t>
      </w:r>
      <w:r w:rsidR="00FB0775" w:rsidRPr="002A2EA6">
        <w:rPr>
          <w:lang w:val="fr-FR"/>
        </w:rPr>
        <w:t>du</w:t>
      </w:r>
      <w:r w:rsidRPr="002A2EA6">
        <w:rPr>
          <w:lang w:val="fr-FR"/>
        </w:rPr>
        <w:t xml:space="preserve"> recensement des</w:t>
      </w:r>
      <w:r w:rsidR="002E5929" w:rsidRPr="002A2EA6">
        <w:rPr>
          <w:lang w:val="fr-FR"/>
        </w:rPr>
        <w:t> </w:t>
      </w:r>
      <w:r w:rsidRPr="002A2EA6">
        <w:rPr>
          <w:lang w:val="fr-FR"/>
        </w:rPr>
        <w:t xml:space="preserve">rejets </w:t>
      </w:r>
      <w:r w:rsidR="00FB0775" w:rsidRPr="002A2EA6">
        <w:rPr>
          <w:lang w:val="fr-FR"/>
        </w:rPr>
        <w:t>non</w:t>
      </w:r>
      <w:r w:rsidRPr="002A2EA6">
        <w:rPr>
          <w:lang w:val="fr-FR"/>
        </w:rPr>
        <w:t xml:space="preserve"> visés </w:t>
      </w:r>
      <w:r w:rsidR="00FB0775" w:rsidRPr="002A2EA6">
        <w:rPr>
          <w:lang w:val="fr-FR"/>
        </w:rPr>
        <w:t>par</w:t>
      </w:r>
      <w:r w:rsidRPr="002A2EA6">
        <w:rPr>
          <w:lang w:val="fr-FR"/>
        </w:rPr>
        <w:t xml:space="preserve"> la Convention de Minamata</w:t>
      </w:r>
      <w:r w:rsidR="00E3394B" w:rsidRPr="002A2EA6">
        <w:rPr>
          <w:lang w:val="fr-FR"/>
        </w:rPr>
        <w:t> </w:t>
      </w:r>
      <w:r w:rsidR="631BDA25" w:rsidRPr="002A2EA6">
        <w:rPr>
          <w:lang w:val="fr-FR"/>
        </w:rPr>
        <w:t>;</w:t>
      </w:r>
      <w:r w:rsidRPr="002A2EA6">
        <w:rPr>
          <w:lang w:val="fr-FR"/>
        </w:rPr>
        <w:t xml:space="preserve"> </w:t>
      </w:r>
      <w:r w:rsidR="00FB0775" w:rsidRPr="002A2EA6">
        <w:rPr>
          <w:lang w:val="fr-FR"/>
        </w:rPr>
        <w:t>du</w:t>
      </w:r>
      <w:r w:rsidR="00243F77" w:rsidRPr="002A2EA6">
        <w:rPr>
          <w:lang w:val="fr-FR"/>
        </w:rPr>
        <w:t> </w:t>
      </w:r>
      <w:r w:rsidRPr="002A2EA6">
        <w:rPr>
          <w:lang w:val="fr-FR"/>
        </w:rPr>
        <w:t>brûlage à l</w:t>
      </w:r>
      <w:r w:rsidR="00CA4DAC">
        <w:rPr>
          <w:lang w:val="fr-FR"/>
        </w:rPr>
        <w:t>’</w:t>
      </w:r>
      <w:r w:rsidRPr="002A2EA6">
        <w:rPr>
          <w:lang w:val="fr-FR"/>
        </w:rPr>
        <w:t>air libre des déchets contenant du mercure</w:t>
      </w:r>
      <w:r w:rsidR="00E3394B" w:rsidRPr="002A2EA6">
        <w:rPr>
          <w:lang w:val="fr-FR"/>
        </w:rPr>
        <w:t> </w:t>
      </w:r>
      <w:r w:rsidR="631BDA25" w:rsidRPr="002A2EA6">
        <w:rPr>
          <w:lang w:val="fr-FR"/>
        </w:rPr>
        <w:t>;</w:t>
      </w:r>
      <w:r w:rsidRPr="002A2EA6">
        <w:rPr>
          <w:lang w:val="fr-FR"/>
        </w:rPr>
        <w:t xml:space="preserve"> </w:t>
      </w:r>
      <w:r w:rsidR="00FB0775" w:rsidRPr="002A2EA6">
        <w:rPr>
          <w:lang w:val="fr-FR"/>
        </w:rPr>
        <w:t xml:space="preserve">de </w:t>
      </w:r>
      <w:r w:rsidRPr="002A2EA6">
        <w:rPr>
          <w:lang w:val="fr-FR"/>
        </w:rPr>
        <w:t>la</w:t>
      </w:r>
      <w:r w:rsidR="0095048C" w:rsidRPr="002A2EA6">
        <w:rPr>
          <w:lang w:val="fr-FR"/>
        </w:rPr>
        <w:t> </w:t>
      </w:r>
      <w:r w:rsidRPr="002A2EA6">
        <w:rPr>
          <w:lang w:val="fr-FR"/>
        </w:rPr>
        <w:t>définition de seuils applicables aux</w:t>
      </w:r>
      <w:r w:rsidR="00243F77" w:rsidRPr="002A2EA6">
        <w:rPr>
          <w:lang w:val="fr-FR"/>
        </w:rPr>
        <w:t> </w:t>
      </w:r>
      <w:r w:rsidRPr="002A2EA6">
        <w:rPr>
          <w:lang w:val="fr-FR"/>
        </w:rPr>
        <w:t xml:space="preserve">émissions et aux déchets de mercure, </w:t>
      </w:r>
      <w:r w:rsidR="003656C2" w:rsidRPr="002A2EA6">
        <w:rPr>
          <w:lang w:val="fr-FR"/>
        </w:rPr>
        <w:t>à l</w:t>
      </w:r>
      <w:r w:rsidR="00CA4DAC">
        <w:rPr>
          <w:lang w:val="fr-FR"/>
        </w:rPr>
        <w:t>’</w:t>
      </w:r>
      <w:r w:rsidR="003656C2" w:rsidRPr="002A2EA6">
        <w:rPr>
          <w:lang w:val="fr-FR"/>
        </w:rPr>
        <w:t xml:space="preserve">appui, entre autres, </w:t>
      </w:r>
      <w:r w:rsidRPr="002A2EA6">
        <w:rPr>
          <w:lang w:val="fr-FR"/>
        </w:rPr>
        <w:t>des</w:t>
      </w:r>
      <w:r w:rsidR="0095048C" w:rsidRPr="002A2EA6">
        <w:rPr>
          <w:lang w:val="fr-FR"/>
        </w:rPr>
        <w:t> </w:t>
      </w:r>
      <w:r w:rsidRPr="002A2EA6">
        <w:rPr>
          <w:lang w:val="fr-FR"/>
        </w:rPr>
        <w:t xml:space="preserve">décisions </w:t>
      </w:r>
      <w:r w:rsidR="003656C2" w:rsidRPr="002A2EA6">
        <w:rPr>
          <w:lang w:val="fr-FR"/>
        </w:rPr>
        <w:t xml:space="preserve">de principe </w:t>
      </w:r>
      <w:r w:rsidRPr="002A2EA6">
        <w:rPr>
          <w:lang w:val="fr-FR"/>
        </w:rPr>
        <w:t>adoptées</w:t>
      </w:r>
      <w:r w:rsidR="00E3394B" w:rsidRPr="002A2EA6">
        <w:rPr>
          <w:lang w:val="fr-FR"/>
        </w:rPr>
        <w:t> </w:t>
      </w:r>
      <w:r w:rsidR="631BDA25" w:rsidRPr="002A2EA6">
        <w:rPr>
          <w:lang w:val="fr-FR"/>
        </w:rPr>
        <w:t>;</w:t>
      </w:r>
      <w:r w:rsidRPr="002A2EA6">
        <w:rPr>
          <w:lang w:val="fr-FR"/>
        </w:rPr>
        <w:t xml:space="preserve"> </w:t>
      </w:r>
      <w:r w:rsidR="003656C2" w:rsidRPr="002A2EA6">
        <w:rPr>
          <w:lang w:val="fr-FR"/>
        </w:rPr>
        <w:t xml:space="preserve">de </w:t>
      </w:r>
      <w:r w:rsidRPr="002A2EA6">
        <w:rPr>
          <w:lang w:val="fr-FR"/>
        </w:rPr>
        <w:t>la gestion des sites contaminés</w:t>
      </w:r>
      <w:r w:rsidR="003656C2" w:rsidRPr="002A2EA6">
        <w:rPr>
          <w:lang w:val="fr-FR"/>
        </w:rPr>
        <w:t xml:space="preserve">, qui nécessitait </w:t>
      </w:r>
      <w:r w:rsidR="007F1205" w:rsidRPr="002A2EA6">
        <w:rPr>
          <w:lang w:val="fr-FR"/>
        </w:rPr>
        <w:t xml:space="preserve">la mise à jour </w:t>
      </w:r>
      <w:r w:rsidR="003656C2" w:rsidRPr="002A2EA6">
        <w:rPr>
          <w:lang w:val="fr-FR"/>
        </w:rPr>
        <w:t>d</w:t>
      </w:r>
      <w:r w:rsidRPr="002A2EA6">
        <w:rPr>
          <w:lang w:val="fr-FR"/>
        </w:rPr>
        <w:t xml:space="preserve">es directives y relatives et </w:t>
      </w:r>
      <w:r w:rsidR="003656C2" w:rsidRPr="002A2EA6">
        <w:rPr>
          <w:lang w:val="fr-FR"/>
        </w:rPr>
        <w:t>le</w:t>
      </w:r>
      <w:r w:rsidR="00243F77" w:rsidRPr="002A2EA6">
        <w:rPr>
          <w:lang w:val="fr-FR"/>
        </w:rPr>
        <w:t> </w:t>
      </w:r>
      <w:r w:rsidRPr="002A2EA6">
        <w:rPr>
          <w:lang w:val="fr-FR"/>
        </w:rPr>
        <w:t>lan</w:t>
      </w:r>
      <w:r w:rsidR="003656C2" w:rsidRPr="002A2EA6">
        <w:rPr>
          <w:lang w:val="fr-FR"/>
        </w:rPr>
        <w:t xml:space="preserve">cement de </w:t>
      </w:r>
      <w:r w:rsidRPr="002A2EA6">
        <w:rPr>
          <w:lang w:val="fr-FR"/>
        </w:rPr>
        <w:t xml:space="preserve">projets pilotes visant à </w:t>
      </w:r>
      <w:r w:rsidR="00541199" w:rsidRPr="002A2EA6">
        <w:rPr>
          <w:lang w:val="fr-FR"/>
        </w:rPr>
        <w:t>les mettre à l</w:t>
      </w:r>
      <w:r w:rsidR="00CA4DAC">
        <w:rPr>
          <w:lang w:val="fr-FR"/>
        </w:rPr>
        <w:t>’</w:t>
      </w:r>
      <w:r w:rsidR="00541199" w:rsidRPr="002A2EA6">
        <w:rPr>
          <w:lang w:val="fr-FR"/>
        </w:rPr>
        <w:t>essai</w:t>
      </w:r>
      <w:r w:rsidR="00E3394B" w:rsidRPr="002A2EA6">
        <w:rPr>
          <w:lang w:val="fr-FR"/>
        </w:rPr>
        <w:t> </w:t>
      </w:r>
      <w:r w:rsidR="631BDA25" w:rsidRPr="002A2EA6">
        <w:rPr>
          <w:lang w:val="fr-FR"/>
        </w:rPr>
        <w:t>;</w:t>
      </w:r>
      <w:r w:rsidRPr="002A2EA6">
        <w:rPr>
          <w:lang w:val="fr-FR"/>
        </w:rPr>
        <w:t xml:space="preserve"> </w:t>
      </w:r>
      <w:r w:rsidR="003656C2" w:rsidRPr="002A2EA6">
        <w:rPr>
          <w:lang w:val="fr-FR"/>
        </w:rPr>
        <w:t xml:space="preserve">de </w:t>
      </w:r>
      <w:r w:rsidRPr="002A2EA6">
        <w:rPr>
          <w:lang w:val="fr-FR"/>
        </w:rPr>
        <w:t>l</w:t>
      </w:r>
      <w:r w:rsidR="00CA4DAC">
        <w:rPr>
          <w:lang w:val="fr-FR"/>
        </w:rPr>
        <w:t>’</w:t>
      </w:r>
      <w:r w:rsidRPr="002A2EA6">
        <w:rPr>
          <w:lang w:val="fr-FR"/>
        </w:rPr>
        <w:t>évaluation de l</w:t>
      </w:r>
      <w:r w:rsidR="00CA4DAC">
        <w:rPr>
          <w:lang w:val="fr-FR"/>
        </w:rPr>
        <w:t>’</w:t>
      </w:r>
      <w:r w:rsidRPr="002A2EA6">
        <w:rPr>
          <w:lang w:val="fr-FR"/>
        </w:rPr>
        <w:t>efficacité</w:t>
      </w:r>
      <w:r w:rsidR="09D46F6B" w:rsidRPr="002A2EA6">
        <w:rPr>
          <w:lang w:val="fr-FR"/>
        </w:rPr>
        <w:t xml:space="preserve"> de la</w:t>
      </w:r>
      <w:r w:rsidR="000C7703">
        <w:rPr>
          <w:lang w:val="fr-FR"/>
        </w:rPr>
        <w:t> </w:t>
      </w:r>
      <w:r w:rsidR="09D46F6B" w:rsidRPr="002A2EA6">
        <w:rPr>
          <w:lang w:val="fr-FR"/>
        </w:rPr>
        <w:t>Convention</w:t>
      </w:r>
      <w:r w:rsidR="00E3394B" w:rsidRPr="002A2EA6">
        <w:rPr>
          <w:lang w:val="fr-FR"/>
        </w:rPr>
        <w:t> </w:t>
      </w:r>
      <w:r w:rsidR="631BDA25" w:rsidRPr="002A2EA6">
        <w:rPr>
          <w:lang w:val="fr-FR"/>
        </w:rPr>
        <w:t>;</w:t>
      </w:r>
      <w:r w:rsidRPr="002A2EA6">
        <w:rPr>
          <w:lang w:val="fr-FR"/>
        </w:rPr>
        <w:t xml:space="preserve"> et </w:t>
      </w:r>
      <w:r w:rsidR="003656C2" w:rsidRPr="002A2EA6">
        <w:rPr>
          <w:lang w:val="fr-FR"/>
        </w:rPr>
        <w:t>de la</w:t>
      </w:r>
      <w:r w:rsidR="00243F77" w:rsidRPr="002A2EA6">
        <w:rPr>
          <w:lang w:val="fr-FR"/>
        </w:rPr>
        <w:t> </w:t>
      </w:r>
      <w:r w:rsidR="003656C2" w:rsidRPr="002A2EA6">
        <w:rPr>
          <w:lang w:val="fr-FR"/>
        </w:rPr>
        <w:t xml:space="preserve">nécessité </w:t>
      </w:r>
      <w:r w:rsidR="00CB22B6" w:rsidRPr="002A2EA6">
        <w:rPr>
          <w:lang w:val="fr-FR"/>
        </w:rPr>
        <w:t>qu</w:t>
      </w:r>
      <w:r w:rsidR="00CA4DAC">
        <w:rPr>
          <w:lang w:val="fr-FR"/>
        </w:rPr>
        <w:t>’</w:t>
      </w:r>
      <w:r w:rsidRPr="002A2EA6">
        <w:rPr>
          <w:lang w:val="fr-FR"/>
        </w:rPr>
        <w:t>un financement suffisant, prévisible et durable</w:t>
      </w:r>
      <w:r w:rsidR="00CB22B6" w:rsidRPr="002A2EA6">
        <w:rPr>
          <w:lang w:val="fr-FR"/>
        </w:rPr>
        <w:t xml:space="preserve"> soit </w:t>
      </w:r>
      <w:r w:rsidR="00596C5D" w:rsidRPr="002A2EA6">
        <w:rPr>
          <w:lang w:val="fr-FR"/>
        </w:rPr>
        <w:t>fourni</w:t>
      </w:r>
      <w:r w:rsidR="00CB22B6" w:rsidRPr="002A2EA6">
        <w:rPr>
          <w:lang w:val="fr-FR"/>
        </w:rPr>
        <w:t xml:space="preserve"> en temps voulu</w:t>
      </w:r>
      <w:r w:rsidRPr="002A2EA6">
        <w:rPr>
          <w:lang w:val="fr-FR"/>
        </w:rPr>
        <w:t xml:space="preserve">, </w:t>
      </w:r>
      <w:r w:rsidR="003656C2" w:rsidRPr="002A2EA6">
        <w:rPr>
          <w:lang w:val="fr-FR"/>
        </w:rPr>
        <w:t xml:space="preserve">et </w:t>
      </w:r>
      <w:r w:rsidR="00CB22B6" w:rsidRPr="002A2EA6">
        <w:rPr>
          <w:lang w:val="fr-FR"/>
        </w:rPr>
        <w:t>qu</w:t>
      </w:r>
      <w:r w:rsidR="00CA4DAC">
        <w:rPr>
          <w:lang w:val="fr-FR"/>
        </w:rPr>
        <w:t>’</w:t>
      </w:r>
      <w:r w:rsidR="00CB22B6" w:rsidRPr="002A2EA6">
        <w:rPr>
          <w:lang w:val="fr-FR"/>
        </w:rPr>
        <w:t>une</w:t>
      </w:r>
      <w:r w:rsidR="00243F77" w:rsidRPr="002A2EA6">
        <w:rPr>
          <w:lang w:val="fr-FR"/>
        </w:rPr>
        <w:t> </w:t>
      </w:r>
      <w:r w:rsidRPr="002A2EA6">
        <w:rPr>
          <w:lang w:val="fr-FR"/>
        </w:rPr>
        <w:t xml:space="preserve">assistance technique et </w:t>
      </w:r>
      <w:r w:rsidR="00CB22B6" w:rsidRPr="002A2EA6">
        <w:rPr>
          <w:lang w:val="fr-FR"/>
        </w:rPr>
        <w:t>un</w:t>
      </w:r>
      <w:r w:rsidRPr="002A2EA6">
        <w:rPr>
          <w:lang w:val="fr-FR"/>
        </w:rPr>
        <w:t xml:space="preserve"> transfert de technologies</w:t>
      </w:r>
      <w:r w:rsidR="00CB22B6" w:rsidRPr="002A2EA6">
        <w:rPr>
          <w:lang w:val="fr-FR"/>
        </w:rPr>
        <w:t xml:space="preserve"> soient </w:t>
      </w:r>
      <w:r w:rsidR="00596C5D" w:rsidRPr="002A2EA6">
        <w:rPr>
          <w:lang w:val="fr-FR"/>
        </w:rPr>
        <w:t>assurés</w:t>
      </w:r>
      <w:r w:rsidRPr="002A2EA6">
        <w:rPr>
          <w:lang w:val="fr-FR"/>
        </w:rPr>
        <w:t>. Le</w:t>
      </w:r>
      <w:r w:rsidR="0095048C" w:rsidRPr="002A2EA6">
        <w:rPr>
          <w:lang w:val="fr-FR"/>
        </w:rPr>
        <w:t> </w:t>
      </w:r>
      <w:r w:rsidRPr="002A2EA6">
        <w:rPr>
          <w:lang w:val="fr-FR"/>
        </w:rPr>
        <w:t>représentant a</w:t>
      </w:r>
      <w:r w:rsidR="007A6967" w:rsidRPr="002A2EA6">
        <w:rPr>
          <w:lang w:val="fr-FR"/>
        </w:rPr>
        <w:t> </w:t>
      </w:r>
      <w:r w:rsidRPr="002A2EA6">
        <w:rPr>
          <w:lang w:val="fr-FR"/>
        </w:rPr>
        <w:t>remercié l</w:t>
      </w:r>
      <w:r w:rsidR="00CA4DAC">
        <w:rPr>
          <w:lang w:val="fr-FR"/>
        </w:rPr>
        <w:t>’</w:t>
      </w:r>
      <w:r w:rsidRPr="002A2EA6">
        <w:rPr>
          <w:lang w:val="fr-FR"/>
        </w:rPr>
        <w:t xml:space="preserve">ensemble des pays ayant contribué au Programme international spécifique </w:t>
      </w:r>
      <w:r w:rsidR="000C3035" w:rsidRPr="002A2EA6">
        <w:rPr>
          <w:lang w:val="fr-FR"/>
        </w:rPr>
        <w:t xml:space="preserve">de </w:t>
      </w:r>
      <w:r w:rsidRPr="002A2EA6">
        <w:rPr>
          <w:lang w:val="fr-FR"/>
        </w:rPr>
        <w:t>l</w:t>
      </w:r>
      <w:r w:rsidR="00CA4DAC">
        <w:rPr>
          <w:lang w:val="fr-FR"/>
        </w:rPr>
        <w:t>’</w:t>
      </w:r>
      <w:r w:rsidRPr="002A2EA6">
        <w:rPr>
          <w:lang w:val="fr-FR"/>
        </w:rPr>
        <w:t>appui fourni aux projets menés en Afrique.</w:t>
      </w:r>
    </w:p>
    <w:p w14:paraId="4F3351AA" w14:textId="53EB3B0C" w:rsidR="00FE4C00"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parlant au nom des États d</w:t>
      </w:r>
      <w:r w:rsidR="00CA4DAC">
        <w:rPr>
          <w:lang w:val="fr-FR"/>
        </w:rPr>
        <w:t>’</w:t>
      </w:r>
      <w:r w:rsidRPr="002A2EA6">
        <w:rPr>
          <w:lang w:val="fr-FR"/>
        </w:rPr>
        <w:t>Asie et du Pacifique a dit que sa région avait adopté de nombreuses mesures aux niveaux national, régional et international. Néanmoins, des difficultés subsistaient, notamment en raison du manque de ressources et de capacités techniques et financières des pays. S</w:t>
      </w:r>
      <w:r w:rsidR="00CA4DAC">
        <w:rPr>
          <w:lang w:val="fr-FR"/>
        </w:rPr>
        <w:t>’</w:t>
      </w:r>
      <w:r w:rsidRPr="002A2EA6">
        <w:rPr>
          <w:lang w:val="fr-FR"/>
        </w:rPr>
        <w:t>agissant de l</w:t>
      </w:r>
      <w:r w:rsidR="00CA4DAC">
        <w:rPr>
          <w:lang w:val="fr-FR"/>
        </w:rPr>
        <w:t>’</w:t>
      </w:r>
      <w:r w:rsidRPr="002A2EA6">
        <w:rPr>
          <w:lang w:val="fr-FR"/>
        </w:rPr>
        <w:t>évaluation de l</w:t>
      </w:r>
      <w:r w:rsidR="00CA4DAC">
        <w:rPr>
          <w:lang w:val="fr-FR"/>
        </w:rPr>
        <w:t>’</w:t>
      </w:r>
      <w:r w:rsidRPr="002A2EA6">
        <w:rPr>
          <w:lang w:val="fr-FR"/>
        </w:rPr>
        <w:t xml:space="preserve">efficacité, il était donc impératif de tenir compte des niveaux de développement économique et industriel et des capacités des différents pays. De même, le principe des responsabilités communes mais différenciées des États, qui est </w:t>
      </w:r>
      <w:r w:rsidR="00672EF3" w:rsidRPr="002A2EA6">
        <w:rPr>
          <w:lang w:val="fr-FR"/>
        </w:rPr>
        <w:t>rappelé</w:t>
      </w:r>
      <w:r w:rsidRPr="002A2EA6">
        <w:rPr>
          <w:lang w:val="fr-FR"/>
        </w:rPr>
        <w:t xml:space="preserve"> dans le préambule de la</w:t>
      </w:r>
      <w:r w:rsidR="0095048C" w:rsidRPr="002A2EA6">
        <w:rPr>
          <w:lang w:val="fr-FR"/>
        </w:rPr>
        <w:t> </w:t>
      </w:r>
      <w:r w:rsidRPr="002A2EA6">
        <w:rPr>
          <w:lang w:val="fr-FR"/>
        </w:rPr>
        <w:t>Convention, devait être au cœur de toute obligation découlant de l</w:t>
      </w:r>
      <w:r w:rsidR="00CA4DAC">
        <w:rPr>
          <w:lang w:val="fr-FR"/>
        </w:rPr>
        <w:t>’</w:t>
      </w:r>
      <w:r w:rsidRPr="002A2EA6">
        <w:rPr>
          <w:lang w:val="fr-FR"/>
        </w:rPr>
        <w:t xml:space="preserve">examen des </w:t>
      </w:r>
      <w:r w:rsidR="002E5929" w:rsidRPr="002A2EA6">
        <w:rPr>
          <w:lang w:val="fr-FR"/>
        </w:rPr>
        <w:t>A</w:t>
      </w:r>
      <w:r w:rsidRPr="002A2EA6">
        <w:rPr>
          <w:lang w:val="fr-FR"/>
        </w:rPr>
        <w:t>nnexes</w:t>
      </w:r>
      <w:r w:rsidR="00E3394B" w:rsidRPr="002A2EA6">
        <w:rPr>
          <w:lang w:val="fr-FR"/>
        </w:rPr>
        <w:t> </w:t>
      </w:r>
      <w:r w:rsidRPr="002A2EA6">
        <w:rPr>
          <w:lang w:val="fr-FR"/>
        </w:rPr>
        <w:t>A et B. Tout</w:t>
      </w:r>
      <w:r w:rsidR="0095048C" w:rsidRPr="002A2EA6">
        <w:rPr>
          <w:lang w:val="fr-FR"/>
        </w:rPr>
        <w:t> </w:t>
      </w:r>
      <w:r w:rsidRPr="002A2EA6">
        <w:rPr>
          <w:lang w:val="fr-FR"/>
        </w:rPr>
        <w:t xml:space="preserve">mécanisme de financement devait fournir aux pays en développement des ressources financières durables, spécifiques, adéquates, transparentes et prévisibles aux fins de la mise en </w:t>
      </w:r>
      <w:r w:rsidR="00936850" w:rsidRPr="002A2EA6">
        <w:rPr>
          <w:lang w:val="fr-FR"/>
        </w:rPr>
        <w:t>œuvre</w:t>
      </w:r>
      <w:r w:rsidRPr="002A2EA6">
        <w:rPr>
          <w:lang w:val="fr-FR"/>
        </w:rPr>
        <w:t xml:space="preserve"> de la</w:t>
      </w:r>
      <w:r w:rsidR="0095048C" w:rsidRPr="002A2EA6">
        <w:rPr>
          <w:lang w:val="fr-FR"/>
        </w:rPr>
        <w:t> </w:t>
      </w:r>
      <w:r w:rsidRPr="002A2EA6">
        <w:rPr>
          <w:lang w:val="fr-FR"/>
        </w:rPr>
        <w:t>Convention</w:t>
      </w:r>
      <w:r w:rsidR="00CB79AB" w:rsidRPr="002A2EA6">
        <w:rPr>
          <w:lang w:val="fr-FR"/>
        </w:rPr>
        <w:t> </w:t>
      </w:r>
      <w:r w:rsidR="631BDA25" w:rsidRPr="002A2EA6">
        <w:rPr>
          <w:lang w:val="fr-FR"/>
        </w:rPr>
        <w:t>;</w:t>
      </w:r>
      <w:r w:rsidRPr="002A2EA6">
        <w:rPr>
          <w:lang w:val="fr-FR"/>
        </w:rPr>
        <w:t xml:space="preserve"> le mécanisme de financement en place ne convenait pas et il fallait </w:t>
      </w:r>
      <w:r w:rsidR="00742131" w:rsidRPr="002A2EA6">
        <w:rPr>
          <w:lang w:val="fr-FR"/>
        </w:rPr>
        <w:t>le repenser</w:t>
      </w:r>
      <w:r w:rsidRPr="002A2EA6">
        <w:rPr>
          <w:lang w:val="fr-FR"/>
        </w:rPr>
        <w:t>. Enfin,</w:t>
      </w:r>
      <w:r w:rsidR="0070208A" w:rsidRPr="002A2EA6">
        <w:rPr>
          <w:lang w:val="fr-FR"/>
        </w:rPr>
        <w:t> </w:t>
      </w:r>
      <w:r w:rsidRPr="002A2EA6">
        <w:rPr>
          <w:lang w:val="fr-FR"/>
        </w:rPr>
        <w:t xml:space="preserve">le représentant a expliqué que, selon sa région, la prise de décisions par consensus était un atout qui devait </w:t>
      </w:r>
      <w:r w:rsidR="00963D82" w:rsidRPr="002A2EA6">
        <w:rPr>
          <w:lang w:val="fr-FR"/>
        </w:rPr>
        <w:t xml:space="preserve">être inscrit </w:t>
      </w:r>
      <w:r w:rsidRPr="002A2EA6">
        <w:rPr>
          <w:lang w:val="fr-FR"/>
        </w:rPr>
        <w:t>dans le règlement intérieur.</w:t>
      </w:r>
    </w:p>
    <w:p w14:paraId="7ED0BA39" w14:textId="49AAD91B" w:rsidR="00FE4C00"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Prenant l</w:t>
      </w:r>
      <w:r w:rsidR="00CA4DAC">
        <w:rPr>
          <w:lang w:val="fr-FR"/>
        </w:rPr>
        <w:t>’</w:t>
      </w:r>
      <w:r w:rsidRPr="002A2EA6">
        <w:rPr>
          <w:lang w:val="fr-FR"/>
        </w:rPr>
        <w:t>exemple des activités actuellement menées dans un pays de sa région, la</w:t>
      </w:r>
      <w:r w:rsidR="000C7703">
        <w:rPr>
          <w:lang w:val="fr-FR"/>
        </w:rPr>
        <w:t> </w:t>
      </w:r>
      <w:r w:rsidRPr="002A2EA6">
        <w:rPr>
          <w:lang w:val="fr-FR"/>
        </w:rPr>
        <w:t>représentante s</w:t>
      </w:r>
      <w:r w:rsidR="00CA4DAC">
        <w:rPr>
          <w:lang w:val="fr-FR"/>
        </w:rPr>
        <w:t>’</w:t>
      </w:r>
      <w:r w:rsidRPr="002A2EA6">
        <w:rPr>
          <w:lang w:val="fr-FR"/>
        </w:rPr>
        <w:t>exprimant au nom des États d</w:t>
      </w:r>
      <w:r w:rsidR="00CA4DAC">
        <w:rPr>
          <w:lang w:val="fr-FR"/>
        </w:rPr>
        <w:t>’</w:t>
      </w:r>
      <w:r w:rsidRPr="002A2EA6">
        <w:rPr>
          <w:lang w:val="fr-FR"/>
        </w:rPr>
        <w:t>Europe orientale a souligné l</w:t>
      </w:r>
      <w:r w:rsidR="00CA4DAC">
        <w:rPr>
          <w:lang w:val="fr-FR"/>
        </w:rPr>
        <w:t>’</w:t>
      </w:r>
      <w:r w:rsidRPr="002A2EA6">
        <w:rPr>
          <w:lang w:val="fr-FR"/>
        </w:rPr>
        <w:t>importance de la</w:t>
      </w:r>
      <w:r w:rsidR="000C7703">
        <w:rPr>
          <w:lang w:val="fr-FR"/>
        </w:rPr>
        <w:t> </w:t>
      </w:r>
      <w:r w:rsidRPr="002A2EA6">
        <w:rPr>
          <w:lang w:val="fr-FR"/>
        </w:rPr>
        <w:t xml:space="preserve">législation dans la lutte contre le mercure. </w:t>
      </w:r>
      <w:r w:rsidR="00BE3FA7" w:rsidRPr="002A2EA6">
        <w:rPr>
          <w:lang w:val="fr-FR"/>
        </w:rPr>
        <w:t>L</w:t>
      </w:r>
      <w:r w:rsidRPr="002A2EA6">
        <w:rPr>
          <w:lang w:val="fr-FR"/>
        </w:rPr>
        <w:t xml:space="preserve">e pays </w:t>
      </w:r>
      <w:r w:rsidR="00BE3FA7" w:rsidRPr="002A2EA6">
        <w:rPr>
          <w:lang w:val="fr-FR"/>
        </w:rPr>
        <w:t xml:space="preserve">en question </w:t>
      </w:r>
      <w:r w:rsidRPr="002A2EA6">
        <w:rPr>
          <w:lang w:val="fr-FR"/>
        </w:rPr>
        <w:t>avait adopté une législation globale sur les produits chimiques et, à cet égard, entendait interdire le mercure dans les thermomètres à partir de</w:t>
      </w:r>
      <w:r w:rsidR="0093585D" w:rsidRPr="002A2EA6">
        <w:rPr>
          <w:lang w:val="fr-FR"/>
        </w:rPr>
        <w:t> </w:t>
      </w:r>
      <w:r w:rsidRPr="002A2EA6">
        <w:rPr>
          <w:lang w:val="fr-FR"/>
        </w:rPr>
        <w:t>2024 et réduire l</w:t>
      </w:r>
      <w:r w:rsidR="00CA4DAC">
        <w:rPr>
          <w:lang w:val="fr-FR"/>
        </w:rPr>
        <w:t>’</w:t>
      </w:r>
      <w:r w:rsidRPr="002A2EA6">
        <w:rPr>
          <w:lang w:val="fr-FR"/>
        </w:rPr>
        <w:t xml:space="preserve">utilisation du mercure dans certains produits. </w:t>
      </w:r>
      <w:r w:rsidR="00CB00AC" w:rsidRPr="002A2EA6">
        <w:rPr>
          <w:lang w:val="fr-FR"/>
        </w:rPr>
        <w:t xml:space="preserve">La représentante </w:t>
      </w:r>
      <w:r w:rsidRPr="002A2EA6">
        <w:rPr>
          <w:lang w:val="fr-FR"/>
        </w:rPr>
        <w:t>a engagé tous les</w:t>
      </w:r>
      <w:r w:rsidR="000C7703">
        <w:rPr>
          <w:lang w:val="fr-FR"/>
        </w:rPr>
        <w:t> </w:t>
      </w:r>
      <w:r w:rsidRPr="002A2EA6">
        <w:rPr>
          <w:lang w:val="fr-FR"/>
        </w:rPr>
        <w:t>pays ayant ratifié</w:t>
      </w:r>
      <w:r w:rsidR="0092082A" w:rsidRPr="002A2EA6">
        <w:rPr>
          <w:lang w:val="fr-FR"/>
        </w:rPr>
        <w:t> </w:t>
      </w:r>
      <w:r w:rsidRPr="002A2EA6">
        <w:rPr>
          <w:lang w:val="fr-FR"/>
        </w:rPr>
        <w:t>la</w:t>
      </w:r>
      <w:r w:rsidR="007A6967" w:rsidRPr="002A2EA6">
        <w:rPr>
          <w:lang w:val="fr-FR"/>
        </w:rPr>
        <w:t> </w:t>
      </w:r>
      <w:r w:rsidRPr="002A2EA6">
        <w:rPr>
          <w:lang w:val="fr-FR"/>
        </w:rPr>
        <w:t>Convention à commencer à la mettre en œuvre et exhorté tous ceux ne l</w:t>
      </w:r>
      <w:r w:rsidR="00CA4DAC">
        <w:rPr>
          <w:lang w:val="fr-FR"/>
        </w:rPr>
        <w:t>’</w:t>
      </w:r>
      <w:r w:rsidRPr="002A2EA6">
        <w:rPr>
          <w:lang w:val="fr-FR"/>
        </w:rPr>
        <w:t>ayant pas encore ratifiée à le faire dès que possible. Elle a également souligné qu</w:t>
      </w:r>
      <w:r w:rsidR="00CA4DAC">
        <w:rPr>
          <w:lang w:val="fr-FR"/>
        </w:rPr>
        <w:t>’</w:t>
      </w:r>
      <w:r w:rsidRPr="002A2EA6">
        <w:rPr>
          <w:lang w:val="fr-FR"/>
        </w:rPr>
        <w:t>il fallait renforcer la</w:t>
      </w:r>
      <w:r w:rsidR="000C7703">
        <w:rPr>
          <w:lang w:val="fr-FR"/>
        </w:rPr>
        <w:t> </w:t>
      </w:r>
      <w:r w:rsidRPr="002A2EA6">
        <w:rPr>
          <w:lang w:val="fr-FR"/>
        </w:rPr>
        <w:t>coopération avec</w:t>
      </w:r>
      <w:r w:rsidR="0092082A" w:rsidRPr="002A2EA6">
        <w:rPr>
          <w:lang w:val="fr-FR"/>
        </w:rPr>
        <w:t> </w:t>
      </w:r>
      <w:r w:rsidRPr="002A2EA6">
        <w:rPr>
          <w:lang w:val="fr-FR"/>
        </w:rPr>
        <w:t>les secrétariats d</w:t>
      </w:r>
      <w:r w:rsidR="00CA4DAC">
        <w:rPr>
          <w:lang w:val="fr-FR"/>
        </w:rPr>
        <w:t>’</w:t>
      </w:r>
      <w:r w:rsidRPr="002A2EA6">
        <w:rPr>
          <w:lang w:val="fr-FR"/>
        </w:rPr>
        <w:t>autres accords multilatéraux sur l</w:t>
      </w:r>
      <w:r w:rsidR="00CA4DAC">
        <w:rPr>
          <w:lang w:val="fr-FR"/>
        </w:rPr>
        <w:t>’</w:t>
      </w:r>
      <w:r w:rsidRPr="002A2EA6">
        <w:rPr>
          <w:lang w:val="fr-FR"/>
        </w:rPr>
        <w:t>environnement dans le cadre d</w:t>
      </w:r>
      <w:r w:rsidR="00CA4DAC">
        <w:rPr>
          <w:lang w:val="fr-FR"/>
        </w:rPr>
        <w:t>’</w:t>
      </w:r>
      <w:r w:rsidRPr="002A2EA6">
        <w:rPr>
          <w:lang w:val="fr-FR"/>
        </w:rPr>
        <w:t>une approche globale de la gestion des produits chimiques.</w:t>
      </w:r>
    </w:p>
    <w:p w14:paraId="5D4E6416" w14:textId="550C122E" w:rsidR="003D0299"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La représentante parlant au nom des États d</w:t>
      </w:r>
      <w:r w:rsidR="00CA4DAC">
        <w:rPr>
          <w:lang w:val="fr-FR"/>
        </w:rPr>
        <w:t>’</w:t>
      </w:r>
      <w:r w:rsidRPr="002A2EA6">
        <w:rPr>
          <w:lang w:val="fr-FR"/>
        </w:rPr>
        <w:t xml:space="preserve">Amérique latine et des Caraïbes a </w:t>
      </w:r>
      <w:r w:rsidR="00CE28AC" w:rsidRPr="002A2EA6">
        <w:rPr>
          <w:lang w:val="fr-FR"/>
        </w:rPr>
        <w:t xml:space="preserve">remercié </w:t>
      </w:r>
      <w:r w:rsidR="00243F77" w:rsidRPr="002A2EA6">
        <w:rPr>
          <w:lang w:val="fr-FR"/>
        </w:rPr>
        <w:t>la</w:t>
      </w:r>
      <w:r w:rsidR="0092082A" w:rsidRPr="002A2EA6">
        <w:rPr>
          <w:lang w:val="fr-FR"/>
        </w:rPr>
        <w:t> </w:t>
      </w:r>
      <w:r w:rsidR="00243F77" w:rsidRPr="002A2EA6">
        <w:rPr>
          <w:lang w:val="fr-FR"/>
        </w:rPr>
        <w:t xml:space="preserve">Secrétaire exécutive </w:t>
      </w:r>
      <w:r w:rsidR="00CE28AC" w:rsidRPr="002A2EA6">
        <w:rPr>
          <w:lang w:val="fr-FR"/>
        </w:rPr>
        <w:t xml:space="preserve">du </w:t>
      </w:r>
      <w:r w:rsidR="00243F77" w:rsidRPr="002A2EA6">
        <w:rPr>
          <w:lang w:val="fr-FR"/>
        </w:rPr>
        <w:t xml:space="preserve">travail accompli et </w:t>
      </w:r>
      <w:r w:rsidR="00CE28AC" w:rsidRPr="002A2EA6">
        <w:rPr>
          <w:lang w:val="fr-FR"/>
        </w:rPr>
        <w:t xml:space="preserve">de </w:t>
      </w:r>
      <w:r w:rsidR="00243F77" w:rsidRPr="002A2EA6">
        <w:rPr>
          <w:lang w:val="fr-FR"/>
        </w:rPr>
        <w:t>son engagement en faveur de la Convention. Elle</w:t>
      </w:r>
      <w:r w:rsidR="0092082A" w:rsidRPr="002A2EA6">
        <w:rPr>
          <w:lang w:val="fr-FR"/>
        </w:rPr>
        <w:t> </w:t>
      </w:r>
      <w:r w:rsidR="00243F77" w:rsidRPr="002A2EA6">
        <w:rPr>
          <w:lang w:val="fr-FR"/>
        </w:rPr>
        <w:t>a</w:t>
      </w:r>
      <w:r w:rsidR="0092082A" w:rsidRPr="002A2EA6">
        <w:rPr>
          <w:lang w:val="fr-FR"/>
        </w:rPr>
        <w:t> </w:t>
      </w:r>
      <w:r w:rsidRPr="002A2EA6">
        <w:rPr>
          <w:lang w:val="fr-FR"/>
        </w:rPr>
        <w:t xml:space="preserve">affirmé que, dans sa région, les pays avaient besoin de ressources techniques et financières </w:t>
      </w:r>
      <w:r w:rsidR="002576B5" w:rsidRPr="002A2EA6">
        <w:rPr>
          <w:lang w:val="fr-FR"/>
        </w:rPr>
        <w:t>pour</w:t>
      </w:r>
      <w:r w:rsidR="0092082A" w:rsidRPr="002A2EA6">
        <w:rPr>
          <w:lang w:val="fr-FR"/>
        </w:rPr>
        <w:t> </w:t>
      </w:r>
      <w:r w:rsidR="002576B5" w:rsidRPr="002A2EA6">
        <w:rPr>
          <w:lang w:val="fr-FR"/>
        </w:rPr>
        <w:t xml:space="preserve">mettre </w:t>
      </w:r>
      <w:r w:rsidRPr="002A2EA6">
        <w:rPr>
          <w:lang w:val="fr-FR"/>
        </w:rPr>
        <w:t>en œuvre</w:t>
      </w:r>
      <w:r w:rsidR="002576B5" w:rsidRPr="002A2EA6">
        <w:rPr>
          <w:lang w:val="fr-FR"/>
        </w:rPr>
        <w:t xml:space="preserve"> la Convention</w:t>
      </w:r>
      <w:r w:rsidRPr="002A2EA6">
        <w:rPr>
          <w:lang w:val="fr-FR"/>
        </w:rPr>
        <w:t>. Le mécanisme de financement de la Convention devait donc être solide. La</w:t>
      </w:r>
      <w:r w:rsidR="0092082A" w:rsidRPr="002A2EA6">
        <w:rPr>
          <w:lang w:val="fr-FR"/>
        </w:rPr>
        <w:t> </w:t>
      </w:r>
      <w:r w:rsidRPr="002A2EA6">
        <w:rPr>
          <w:lang w:val="fr-FR"/>
        </w:rPr>
        <w:t>représentante a également souligné l</w:t>
      </w:r>
      <w:r w:rsidR="00CA4DAC">
        <w:rPr>
          <w:lang w:val="fr-FR"/>
        </w:rPr>
        <w:t>’</w:t>
      </w:r>
      <w:r w:rsidRPr="002A2EA6">
        <w:rPr>
          <w:lang w:val="fr-FR"/>
        </w:rPr>
        <w:t>importance de la surveillance et de la vérification de l</w:t>
      </w:r>
      <w:r w:rsidR="00CA4DAC">
        <w:rPr>
          <w:lang w:val="fr-FR"/>
        </w:rPr>
        <w:t>’</w:t>
      </w:r>
      <w:r w:rsidRPr="002A2EA6">
        <w:rPr>
          <w:lang w:val="fr-FR"/>
        </w:rPr>
        <w:t>application et de l</w:t>
      </w:r>
      <w:r w:rsidR="00CA4DAC">
        <w:rPr>
          <w:lang w:val="fr-FR"/>
        </w:rPr>
        <w:t>’</w:t>
      </w:r>
      <w:r w:rsidRPr="002A2EA6">
        <w:rPr>
          <w:lang w:val="fr-FR"/>
        </w:rPr>
        <w:t>efficacité</w:t>
      </w:r>
      <w:r w:rsidR="00E3394B" w:rsidRPr="002A2EA6">
        <w:rPr>
          <w:lang w:val="fr-FR"/>
        </w:rPr>
        <w:t> </w:t>
      </w:r>
      <w:r w:rsidR="631BDA25" w:rsidRPr="002A2EA6">
        <w:rPr>
          <w:lang w:val="fr-FR"/>
        </w:rPr>
        <w:t>;</w:t>
      </w:r>
      <w:r w:rsidRPr="002A2EA6">
        <w:rPr>
          <w:lang w:val="fr-FR"/>
        </w:rPr>
        <w:t xml:space="preserve"> la nécessité de renforcer la coopération et la coordination avec le</w:t>
      </w:r>
      <w:r w:rsidR="00243F77" w:rsidRPr="002A2EA6">
        <w:rPr>
          <w:lang w:val="fr-FR"/>
        </w:rPr>
        <w:t> </w:t>
      </w:r>
      <w:r w:rsidRPr="002A2EA6">
        <w:rPr>
          <w:lang w:val="fr-FR"/>
        </w:rPr>
        <w:t>Secrétariat des</w:t>
      </w:r>
      <w:r w:rsidR="0095048C" w:rsidRPr="002A2EA6">
        <w:rPr>
          <w:lang w:val="fr-FR"/>
        </w:rPr>
        <w:t> </w:t>
      </w:r>
      <w:r w:rsidRPr="002A2EA6">
        <w:rPr>
          <w:lang w:val="fr-FR"/>
        </w:rPr>
        <w:t xml:space="preserve">conventions de Bâle, de Rotterdam et de Stockholm en vue </w:t>
      </w:r>
      <w:r w:rsidR="00672EF3" w:rsidRPr="002A2EA6">
        <w:rPr>
          <w:lang w:val="fr-FR"/>
        </w:rPr>
        <w:t>d</w:t>
      </w:r>
      <w:r w:rsidR="00CA4DAC">
        <w:rPr>
          <w:lang w:val="fr-FR"/>
        </w:rPr>
        <w:t>’</w:t>
      </w:r>
      <w:r w:rsidR="00672EF3" w:rsidRPr="002A2EA6">
        <w:rPr>
          <w:lang w:val="fr-FR"/>
        </w:rPr>
        <w:t>utilis</w:t>
      </w:r>
      <w:r w:rsidRPr="002A2EA6">
        <w:rPr>
          <w:lang w:val="fr-FR"/>
        </w:rPr>
        <w:t>er les ressources</w:t>
      </w:r>
      <w:r w:rsidR="00672EF3" w:rsidRPr="002A2EA6">
        <w:rPr>
          <w:lang w:val="fr-FR"/>
        </w:rPr>
        <w:t xml:space="preserve"> au mieux</w:t>
      </w:r>
      <w:r w:rsidR="00E3394B" w:rsidRPr="002A2EA6">
        <w:rPr>
          <w:lang w:val="fr-FR"/>
        </w:rPr>
        <w:t> </w:t>
      </w:r>
      <w:r w:rsidR="631BDA25" w:rsidRPr="002A2EA6">
        <w:rPr>
          <w:lang w:val="fr-FR"/>
        </w:rPr>
        <w:t>;</w:t>
      </w:r>
      <w:r w:rsidRPr="002A2EA6">
        <w:rPr>
          <w:lang w:val="fr-FR"/>
        </w:rPr>
        <w:t xml:space="preserve"> et</w:t>
      </w:r>
      <w:r w:rsidR="0095048C" w:rsidRPr="002A2EA6">
        <w:rPr>
          <w:lang w:val="fr-FR"/>
        </w:rPr>
        <w:t> </w:t>
      </w:r>
      <w:r w:rsidRPr="002A2EA6">
        <w:rPr>
          <w:lang w:val="fr-FR"/>
        </w:rPr>
        <w:t>l</w:t>
      </w:r>
      <w:r w:rsidR="00CA4DAC">
        <w:rPr>
          <w:lang w:val="fr-FR"/>
        </w:rPr>
        <w:t>’</w:t>
      </w:r>
      <w:r w:rsidRPr="002A2EA6">
        <w:rPr>
          <w:lang w:val="fr-FR"/>
        </w:rPr>
        <w:t xml:space="preserve">importance des centres régionaux des </w:t>
      </w:r>
      <w:r w:rsidR="002C0D58" w:rsidRPr="002A2EA6">
        <w:rPr>
          <w:lang w:val="fr-FR"/>
        </w:rPr>
        <w:t>c</w:t>
      </w:r>
      <w:r w:rsidRPr="002A2EA6">
        <w:rPr>
          <w:lang w:val="fr-FR"/>
        </w:rPr>
        <w:t>onventions</w:t>
      </w:r>
      <w:r w:rsidR="15E329CB" w:rsidRPr="002A2EA6">
        <w:rPr>
          <w:lang w:val="fr-FR"/>
        </w:rPr>
        <w:t xml:space="preserve"> de Bâle et de Stockholm</w:t>
      </w:r>
      <w:r w:rsidRPr="002A2EA6">
        <w:rPr>
          <w:lang w:val="fr-FR"/>
        </w:rPr>
        <w:t>, en</w:t>
      </w:r>
      <w:r w:rsidR="0092082A" w:rsidRPr="002A2EA6">
        <w:rPr>
          <w:lang w:val="fr-FR"/>
        </w:rPr>
        <w:t> </w:t>
      </w:r>
      <w:r w:rsidRPr="002A2EA6">
        <w:rPr>
          <w:lang w:val="fr-FR"/>
        </w:rPr>
        <w:t>particulier leur appui et leur</w:t>
      </w:r>
      <w:r w:rsidR="00243F77" w:rsidRPr="002A2EA6">
        <w:rPr>
          <w:lang w:val="fr-FR"/>
        </w:rPr>
        <w:t> </w:t>
      </w:r>
      <w:r w:rsidRPr="002A2EA6">
        <w:rPr>
          <w:lang w:val="fr-FR"/>
        </w:rPr>
        <w:t>expertise en matière de renforcement des capacités et de transfert de technologies. Elle a remercié les donateurs du Programme international spécifique, a invité instamment d</w:t>
      </w:r>
      <w:r w:rsidR="00CA4DAC">
        <w:rPr>
          <w:lang w:val="fr-FR"/>
        </w:rPr>
        <w:t>’</w:t>
      </w:r>
      <w:r w:rsidRPr="002A2EA6">
        <w:rPr>
          <w:lang w:val="fr-FR"/>
        </w:rPr>
        <w:t>autres intéressés à contribuer et a souligné qu</w:t>
      </w:r>
      <w:r w:rsidR="00CA4DAC">
        <w:rPr>
          <w:lang w:val="fr-FR"/>
        </w:rPr>
        <w:t>’</w:t>
      </w:r>
      <w:r w:rsidRPr="002A2EA6">
        <w:rPr>
          <w:lang w:val="fr-FR"/>
        </w:rPr>
        <w:t>il fallait renforcer le programme. L</w:t>
      </w:r>
      <w:r w:rsidR="00CA4DAC">
        <w:rPr>
          <w:lang w:val="fr-FR"/>
        </w:rPr>
        <w:t>’</w:t>
      </w:r>
      <w:r w:rsidRPr="002A2EA6">
        <w:rPr>
          <w:lang w:val="fr-FR"/>
        </w:rPr>
        <w:t xml:space="preserve">exploitation artisanale et à petite </w:t>
      </w:r>
      <w:r w:rsidR="006A743A" w:rsidRPr="002A2EA6">
        <w:rPr>
          <w:lang w:val="fr-FR"/>
        </w:rPr>
        <w:t>échelle d</w:t>
      </w:r>
      <w:r w:rsidR="00CA4DAC">
        <w:rPr>
          <w:lang w:val="fr-FR"/>
        </w:rPr>
        <w:t>’</w:t>
      </w:r>
      <w:r w:rsidR="006A743A" w:rsidRPr="002A2EA6">
        <w:rPr>
          <w:lang w:val="fr-FR"/>
        </w:rPr>
        <w:t>or</w:t>
      </w:r>
      <w:r w:rsidRPr="002A2EA6">
        <w:rPr>
          <w:lang w:val="fr-FR"/>
        </w:rPr>
        <w:t>, qui devait s</w:t>
      </w:r>
      <w:r w:rsidR="00CA4DAC">
        <w:rPr>
          <w:lang w:val="fr-FR"/>
        </w:rPr>
        <w:t>’</w:t>
      </w:r>
      <w:r w:rsidRPr="002A2EA6">
        <w:rPr>
          <w:lang w:val="fr-FR"/>
        </w:rPr>
        <w:t>inscrire dans une politique publique sur le</w:t>
      </w:r>
      <w:r w:rsidR="0070208A" w:rsidRPr="002A2EA6">
        <w:rPr>
          <w:lang w:val="fr-FR"/>
        </w:rPr>
        <w:t> </w:t>
      </w:r>
      <w:r w:rsidRPr="002A2EA6">
        <w:rPr>
          <w:lang w:val="fr-FR"/>
        </w:rPr>
        <w:t>développement durable, le</w:t>
      </w:r>
      <w:r w:rsidR="00243F77" w:rsidRPr="002A2EA6">
        <w:rPr>
          <w:lang w:val="fr-FR"/>
        </w:rPr>
        <w:t> </w:t>
      </w:r>
      <w:r w:rsidRPr="002A2EA6">
        <w:rPr>
          <w:lang w:val="fr-FR"/>
        </w:rPr>
        <w:t>commerce transfrontalier du mercure et la gestion des sites contaminés étaient des questions présentant un intérêt particulier pour la</w:t>
      </w:r>
      <w:r w:rsidR="0095048C" w:rsidRPr="002A2EA6">
        <w:rPr>
          <w:lang w:val="fr-FR"/>
        </w:rPr>
        <w:t> </w:t>
      </w:r>
      <w:r w:rsidRPr="002A2EA6">
        <w:rPr>
          <w:lang w:val="fr-FR"/>
        </w:rPr>
        <w:t xml:space="preserve">région. Les émissions résultant du </w:t>
      </w:r>
      <w:r w:rsidRPr="002A2EA6">
        <w:rPr>
          <w:lang w:val="fr-FR"/>
        </w:rPr>
        <w:lastRenderedPageBreak/>
        <w:t>brûlage à l</w:t>
      </w:r>
      <w:r w:rsidR="00CA4DAC">
        <w:rPr>
          <w:lang w:val="fr-FR"/>
        </w:rPr>
        <w:t>’</w:t>
      </w:r>
      <w:r w:rsidRPr="002A2EA6">
        <w:rPr>
          <w:lang w:val="fr-FR"/>
        </w:rPr>
        <w:t xml:space="preserve">air libre de déchets contenant du mercure </w:t>
      </w:r>
      <w:r w:rsidR="18CA2761" w:rsidRPr="002A2EA6">
        <w:rPr>
          <w:lang w:val="fr-FR"/>
        </w:rPr>
        <w:t xml:space="preserve">constituaient </w:t>
      </w:r>
      <w:r w:rsidRPr="002A2EA6">
        <w:rPr>
          <w:lang w:val="fr-FR"/>
        </w:rPr>
        <w:t>également u</w:t>
      </w:r>
      <w:r w:rsidR="5D33ACBB" w:rsidRPr="002A2EA6">
        <w:rPr>
          <w:lang w:val="fr-FR"/>
        </w:rPr>
        <w:t>n problème</w:t>
      </w:r>
      <w:r w:rsidRPr="002A2EA6">
        <w:rPr>
          <w:lang w:val="fr-FR"/>
        </w:rPr>
        <w:t xml:space="preserve"> </w:t>
      </w:r>
      <w:r w:rsidR="78030615" w:rsidRPr="002A2EA6">
        <w:rPr>
          <w:lang w:val="fr-FR"/>
        </w:rPr>
        <w:t xml:space="preserve">majeur </w:t>
      </w:r>
      <w:r w:rsidRPr="002A2EA6">
        <w:rPr>
          <w:lang w:val="fr-FR"/>
        </w:rPr>
        <w:t xml:space="preserve">et les Parties devaient donc être invitées à fournir des informations complémentaires à ce sujet. </w:t>
      </w:r>
      <w:r w:rsidR="00672EF3" w:rsidRPr="002A2EA6">
        <w:rPr>
          <w:lang w:val="fr-FR"/>
        </w:rPr>
        <w:t>Pour finir</w:t>
      </w:r>
      <w:r w:rsidRPr="002A2EA6">
        <w:rPr>
          <w:lang w:val="fr-FR"/>
        </w:rPr>
        <w:t>, la</w:t>
      </w:r>
      <w:r w:rsidR="0092082A" w:rsidRPr="002A2EA6">
        <w:rPr>
          <w:lang w:val="fr-FR"/>
        </w:rPr>
        <w:t> </w:t>
      </w:r>
      <w:r w:rsidRPr="002A2EA6">
        <w:rPr>
          <w:lang w:val="fr-FR"/>
        </w:rPr>
        <w:t xml:space="preserve">représentante a </w:t>
      </w:r>
      <w:r w:rsidR="00A43DF2" w:rsidRPr="002A2EA6">
        <w:rPr>
          <w:lang w:val="fr-FR"/>
        </w:rPr>
        <w:t xml:space="preserve">appelé </w:t>
      </w:r>
      <w:r w:rsidR="00672EF3" w:rsidRPr="002A2EA6">
        <w:rPr>
          <w:lang w:val="fr-FR"/>
        </w:rPr>
        <w:t>l</w:t>
      </w:r>
      <w:r w:rsidR="00CA4DAC">
        <w:rPr>
          <w:lang w:val="fr-FR"/>
        </w:rPr>
        <w:t>’</w:t>
      </w:r>
      <w:r w:rsidR="00672EF3" w:rsidRPr="002A2EA6">
        <w:rPr>
          <w:lang w:val="fr-FR"/>
        </w:rPr>
        <w:t xml:space="preserve">attention </w:t>
      </w:r>
      <w:r w:rsidR="009C14A7" w:rsidRPr="002A2EA6">
        <w:rPr>
          <w:lang w:val="fr-FR"/>
        </w:rPr>
        <w:t xml:space="preserve">des participants </w:t>
      </w:r>
      <w:r w:rsidR="00672EF3" w:rsidRPr="002A2EA6">
        <w:rPr>
          <w:lang w:val="fr-FR"/>
        </w:rPr>
        <w:t xml:space="preserve">sur </w:t>
      </w:r>
      <w:r w:rsidRPr="002A2EA6">
        <w:rPr>
          <w:lang w:val="fr-FR"/>
        </w:rPr>
        <w:t>l</w:t>
      </w:r>
      <w:r w:rsidR="00CA4DAC">
        <w:rPr>
          <w:lang w:val="fr-FR"/>
        </w:rPr>
        <w:t>’</w:t>
      </w:r>
      <w:r w:rsidRPr="002A2EA6">
        <w:rPr>
          <w:lang w:val="fr-FR"/>
        </w:rPr>
        <w:t>offre faite par un pays de sa région d</w:t>
      </w:r>
      <w:r w:rsidR="00CA4DAC">
        <w:rPr>
          <w:lang w:val="fr-FR"/>
        </w:rPr>
        <w:t>’</w:t>
      </w:r>
      <w:r w:rsidRPr="002A2EA6">
        <w:rPr>
          <w:lang w:val="fr-FR"/>
        </w:rPr>
        <w:t>accueillir la quatrième</w:t>
      </w:r>
      <w:r w:rsidR="00E17408" w:rsidRPr="002A2EA6">
        <w:rPr>
          <w:lang w:val="fr-FR"/>
        </w:rPr>
        <w:t> </w:t>
      </w:r>
      <w:r w:rsidRPr="002A2EA6">
        <w:rPr>
          <w:lang w:val="fr-FR"/>
        </w:rPr>
        <w:t>réunion de la Conférence des Parties.</w:t>
      </w:r>
    </w:p>
    <w:p w14:paraId="17B29160" w14:textId="27723770" w:rsidR="00FE4C00" w:rsidRPr="002A2EA6" w:rsidRDefault="004B3236" w:rsidP="00A056A2">
      <w:pPr>
        <w:pStyle w:val="Normalnumber"/>
        <w:numPr>
          <w:ilvl w:val="0"/>
          <w:numId w:val="42"/>
        </w:numPr>
        <w:tabs>
          <w:tab w:val="clear" w:pos="1814"/>
          <w:tab w:val="left" w:pos="1843"/>
          <w:tab w:val="left" w:pos="1985"/>
        </w:tabs>
        <w:ind w:left="1288" w:hanging="28"/>
        <w:rPr>
          <w:lang w:val="fr-FR"/>
        </w:rPr>
      </w:pPr>
      <w:r w:rsidRPr="002A2EA6">
        <w:rPr>
          <w:lang w:val="fr-FR"/>
        </w:rPr>
        <w:t>Remerciant la Secrétaire exécutive de l</w:t>
      </w:r>
      <w:r w:rsidR="00CA4DAC">
        <w:rPr>
          <w:lang w:val="fr-FR"/>
        </w:rPr>
        <w:t>’</w:t>
      </w:r>
      <w:r w:rsidRPr="002A2EA6">
        <w:rPr>
          <w:lang w:val="fr-FR"/>
        </w:rPr>
        <w:t>excellent travail accompli, l</w:t>
      </w:r>
      <w:r w:rsidR="00FE4C00" w:rsidRPr="002A2EA6">
        <w:rPr>
          <w:lang w:val="fr-FR"/>
        </w:rPr>
        <w:t>a représentante s</w:t>
      </w:r>
      <w:r w:rsidR="00CA4DAC">
        <w:rPr>
          <w:lang w:val="fr-FR"/>
        </w:rPr>
        <w:t>’</w:t>
      </w:r>
      <w:r w:rsidR="00FE4C00" w:rsidRPr="002A2EA6">
        <w:rPr>
          <w:lang w:val="fr-FR"/>
        </w:rPr>
        <w:t>exprimant au nom de l</w:t>
      </w:r>
      <w:r w:rsidR="00CA4DAC">
        <w:rPr>
          <w:lang w:val="fr-FR"/>
        </w:rPr>
        <w:t>’</w:t>
      </w:r>
      <w:r w:rsidR="00FE4C00" w:rsidRPr="002A2EA6">
        <w:rPr>
          <w:lang w:val="fr-FR"/>
        </w:rPr>
        <w:t>Union européenne et de ses États membres</w:t>
      </w:r>
      <w:r w:rsidRPr="002A2EA6">
        <w:rPr>
          <w:lang w:val="fr-FR"/>
        </w:rPr>
        <w:t xml:space="preserve"> </w:t>
      </w:r>
      <w:r w:rsidR="00FE4C00" w:rsidRPr="002A2EA6">
        <w:rPr>
          <w:lang w:val="fr-FR"/>
        </w:rPr>
        <w:t>a estimé que la Convention de Minamata constituait un cadre juridique solide qui facilitait les efforts visant à atteindre les objectifs de développement durable. Notant que les deux</w:t>
      </w:r>
      <w:r w:rsidR="00A51737" w:rsidRPr="002A2EA6">
        <w:rPr>
          <w:lang w:val="fr-FR"/>
        </w:rPr>
        <w:t> </w:t>
      </w:r>
      <w:r w:rsidR="00FE4C00" w:rsidRPr="002A2EA6">
        <w:rPr>
          <w:lang w:val="fr-FR"/>
        </w:rPr>
        <w:t>premières réunions de la</w:t>
      </w:r>
      <w:r w:rsidR="0095048C" w:rsidRPr="002A2EA6">
        <w:rPr>
          <w:lang w:val="fr-FR"/>
        </w:rPr>
        <w:t> </w:t>
      </w:r>
      <w:r w:rsidR="00FE4C00" w:rsidRPr="002A2EA6">
        <w:rPr>
          <w:lang w:val="fr-FR"/>
        </w:rPr>
        <w:t>Conférence des Parties avaient été fructueuses, elle a conseillé aux Parties de ne pas relâcher leurs</w:t>
      </w:r>
      <w:r w:rsidR="0095048C" w:rsidRPr="002A2EA6">
        <w:rPr>
          <w:lang w:val="fr-FR"/>
        </w:rPr>
        <w:t> </w:t>
      </w:r>
      <w:r w:rsidR="00FE4C00" w:rsidRPr="002A2EA6">
        <w:rPr>
          <w:lang w:val="fr-FR"/>
        </w:rPr>
        <w:t>efforts. Les pays de sa</w:t>
      </w:r>
      <w:r w:rsidR="00243F77" w:rsidRPr="002A2EA6">
        <w:rPr>
          <w:lang w:val="fr-FR"/>
        </w:rPr>
        <w:t> </w:t>
      </w:r>
      <w:r w:rsidR="00FE4C00" w:rsidRPr="002A2EA6">
        <w:rPr>
          <w:lang w:val="fr-FR"/>
        </w:rPr>
        <w:t xml:space="preserve">région </w:t>
      </w:r>
      <w:r w:rsidR="007D7657" w:rsidRPr="002A2EA6">
        <w:rPr>
          <w:lang w:val="fr-FR"/>
        </w:rPr>
        <w:t>demeuraient</w:t>
      </w:r>
      <w:r w:rsidR="00FE4C00" w:rsidRPr="002A2EA6">
        <w:rPr>
          <w:lang w:val="fr-FR"/>
        </w:rPr>
        <w:t xml:space="preserve"> résolus à travailler avec d</w:t>
      </w:r>
      <w:r w:rsidR="00CA4DAC">
        <w:rPr>
          <w:lang w:val="fr-FR"/>
        </w:rPr>
        <w:t>’</w:t>
      </w:r>
      <w:r w:rsidR="00FE4C00" w:rsidRPr="002A2EA6">
        <w:rPr>
          <w:lang w:val="fr-FR"/>
        </w:rPr>
        <w:t>autres Parties et parties prenantes pour veiller à ce</w:t>
      </w:r>
      <w:r w:rsidR="00243F77" w:rsidRPr="002A2EA6">
        <w:rPr>
          <w:lang w:val="fr-FR"/>
        </w:rPr>
        <w:t> </w:t>
      </w:r>
      <w:r w:rsidR="00FE4C00" w:rsidRPr="002A2EA6">
        <w:rPr>
          <w:lang w:val="fr-FR"/>
        </w:rPr>
        <w:t>que la</w:t>
      </w:r>
      <w:r w:rsidR="00A51737" w:rsidRPr="002A2EA6">
        <w:rPr>
          <w:lang w:val="fr-FR"/>
        </w:rPr>
        <w:t> </w:t>
      </w:r>
      <w:r w:rsidR="00FE4C00" w:rsidRPr="002A2EA6">
        <w:rPr>
          <w:lang w:val="fr-FR"/>
        </w:rPr>
        <w:t xml:space="preserve">Convention soit pleinement mise en </w:t>
      </w:r>
      <w:r w:rsidR="00936850" w:rsidRPr="002A2EA6">
        <w:rPr>
          <w:lang w:val="fr-FR"/>
        </w:rPr>
        <w:t>œuvre</w:t>
      </w:r>
      <w:r w:rsidR="00FE4C00" w:rsidRPr="002A2EA6">
        <w:rPr>
          <w:lang w:val="fr-FR"/>
        </w:rPr>
        <w:t>. La représentante a souligné qu</w:t>
      </w:r>
      <w:r w:rsidR="00CA4DAC">
        <w:rPr>
          <w:lang w:val="fr-FR"/>
        </w:rPr>
        <w:t>’</w:t>
      </w:r>
      <w:r w:rsidR="00FE4C00" w:rsidRPr="002A2EA6">
        <w:rPr>
          <w:lang w:val="fr-FR"/>
        </w:rPr>
        <w:t>il importait de s</w:t>
      </w:r>
      <w:r w:rsidR="00CA4DAC">
        <w:rPr>
          <w:lang w:val="fr-FR"/>
        </w:rPr>
        <w:t>’</w:t>
      </w:r>
      <w:r w:rsidR="00FE4C00" w:rsidRPr="002A2EA6">
        <w:rPr>
          <w:lang w:val="fr-FR"/>
        </w:rPr>
        <w:t>entendre sur les directives concernant les sites contaminés</w:t>
      </w:r>
      <w:r w:rsidR="00423459" w:rsidRPr="002A2EA6">
        <w:rPr>
          <w:lang w:val="fr-FR"/>
        </w:rPr>
        <w:t> </w:t>
      </w:r>
      <w:r w:rsidR="631BDA25" w:rsidRPr="002A2EA6">
        <w:rPr>
          <w:lang w:val="fr-FR"/>
        </w:rPr>
        <w:t>;</w:t>
      </w:r>
      <w:r w:rsidR="00FE4C00" w:rsidRPr="002A2EA6">
        <w:rPr>
          <w:lang w:val="fr-FR"/>
        </w:rPr>
        <w:t xml:space="preserve"> les seuils applicables aux déchets de mercure</w:t>
      </w:r>
      <w:r w:rsidR="00423459" w:rsidRPr="002A2EA6">
        <w:rPr>
          <w:lang w:val="fr-FR"/>
        </w:rPr>
        <w:t> </w:t>
      </w:r>
      <w:r w:rsidR="631BDA25" w:rsidRPr="002A2EA6">
        <w:rPr>
          <w:lang w:val="fr-FR"/>
        </w:rPr>
        <w:t>;</w:t>
      </w:r>
      <w:r w:rsidR="00FE4C00" w:rsidRPr="002A2EA6">
        <w:rPr>
          <w:lang w:val="fr-FR"/>
        </w:rPr>
        <w:t xml:space="preserve"> un</w:t>
      </w:r>
      <w:r w:rsidR="00A51737" w:rsidRPr="002A2EA6">
        <w:rPr>
          <w:lang w:val="fr-FR"/>
        </w:rPr>
        <w:t> </w:t>
      </w:r>
      <w:r w:rsidR="00FE4C00" w:rsidRPr="002A2EA6">
        <w:rPr>
          <w:lang w:val="fr-FR"/>
        </w:rPr>
        <w:t>processus d</w:t>
      </w:r>
      <w:r w:rsidR="00CA4DAC">
        <w:rPr>
          <w:lang w:val="fr-FR"/>
        </w:rPr>
        <w:t>’</w:t>
      </w:r>
      <w:r w:rsidR="00FE4C00" w:rsidRPr="002A2EA6">
        <w:rPr>
          <w:lang w:val="fr-FR"/>
        </w:rPr>
        <w:t xml:space="preserve">examen des </w:t>
      </w:r>
      <w:r w:rsidR="00CE6254" w:rsidRPr="002A2EA6">
        <w:rPr>
          <w:lang w:val="fr-FR"/>
        </w:rPr>
        <w:t>A</w:t>
      </w:r>
      <w:r w:rsidR="00FE4C00" w:rsidRPr="002A2EA6">
        <w:rPr>
          <w:lang w:val="fr-FR"/>
        </w:rPr>
        <w:t>nnexes</w:t>
      </w:r>
      <w:r w:rsidR="00423459" w:rsidRPr="002A2EA6">
        <w:rPr>
          <w:lang w:val="fr-FR"/>
        </w:rPr>
        <w:t> </w:t>
      </w:r>
      <w:r w:rsidR="00FE4C00" w:rsidRPr="002A2EA6">
        <w:rPr>
          <w:lang w:val="fr-FR"/>
        </w:rPr>
        <w:t>A et</w:t>
      </w:r>
      <w:r w:rsidR="009E425C" w:rsidRPr="002A2EA6">
        <w:rPr>
          <w:lang w:val="fr-FR"/>
        </w:rPr>
        <w:t> </w:t>
      </w:r>
      <w:r w:rsidR="00FE4C00" w:rsidRPr="002A2EA6">
        <w:rPr>
          <w:lang w:val="fr-FR"/>
        </w:rPr>
        <w:t>B</w:t>
      </w:r>
      <w:r w:rsidR="00423459" w:rsidRPr="002A2EA6">
        <w:rPr>
          <w:lang w:val="fr-FR"/>
        </w:rPr>
        <w:t> </w:t>
      </w:r>
      <w:r w:rsidR="631BDA25" w:rsidRPr="002A2EA6">
        <w:rPr>
          <w:lang w:val="fr-FR"/>
        </w:rPr>
        <w:t>;</w:t>
      </w:r>
      <w:r w:rsidR="00FE4C00" w:rsidRPr="002A2EA6">
        <w:rPr>
          <w:lang w:val="fr-FR"/>
        </w:rPr>
        <w:t xml:space="preserve"> et un cadre fonctionnel d</w:t>
      </w:r>
      <w:r w:rsidR="00CA4DAC">
        <w:rPr>
          <w:lang w:val="fr-FR"/>
        </w:rPr>
        <w:t>’</w:t>
      </w:r>
      <w:r w:rsidR="00FE4C00" w:rsidRPr="002A2EA6">
        <w:rPr>
          <w:lang w:val="fr-FR"/>
        </w:rPr>
        <w:t>évaluation de l</w:t>
      </w:r>
      <w:r w:rsidR="00CA4DAC">
        <w:rPr>
          <w:lang w:val="fr-FR"/>
        </w:rPr>
        <w:t>’</w:t>
      </w:r>
      <w:r w:rsidR="00FE4C00" w:rsidRPr="002A2EA6">
        <w:rPr>
          <w:lang w:val="fr-FR"/>
        </w:rPr>
        <w:t>efficacité de</w:t>
      </w:r>
      <w:r w:rsidR="00A51737" w:rsidRPr="002A2EA6">
        <w:rPr>
          <w:lang w:val="fr-FR"/>
        </w:rPr>
        <w:t> </w:t>
      </w:r>
      <w:r w:rsidR="00FE4C00" w:rsidRPr="002A2EA6">
        <w:rPr>
          <w:lang w:val="fr-FR"/>
        </w:rPr>
        <w:t>la</w:t>
      </w:r>
      <w:r w:rsidR="00A51737" w:rsidRPr="002A2EA6">
        <w:rPr>
          <w:lang w:val="fr-FR"/>
        </w:rPr>
        <w:t> </w:t>
      </w:r>
      <w:r w:rsidR="00FE4C00" w:rsidRPr="002A2EA6">
        <w:rPr>
          <w:lang w:val="fr-FR"/>
        </w:rPr>
        <w:t>Convention. Les pays de la région se sont également réjouis à la perspective d</w:t>
      </w:r>
      <w:r w:rsidR="00CA4DAC">
        <w:rPr>
          <w:lang w:val="fr-FR"/>
        </w:rPr>
        <w:t>’</w:t>
      </w:r>
      <w:r w:rsidR="00936850" w:rsidRPr="002A2EA6">
        <w:rPr>
          <w:lang w:val="fr-FR"/>
        </w:rPr>
        <w:t>œuvrer</w:t>
      </w:r>
      <w:r w:rsidR="00FE4C00" w:rsidRPr="002A2EA6">
        <w:rPr>
          <w:lang w:val="fr-FR"/>
        </w:rPr>
        <w:t xml:space="preserve"> avec d</w:t>
      </w:r>
      <w:r w:rsidR="00CA4DAC">
        <w:rPr>
          <w:lang w:val="fr-FR"/>
        </w:rPr>
        <w:t>’</w:t>
      </w:r>
      <w:r w:rsidR="00FE4C00" w:rsidRPr="002A2EA6">
        <w:rPr>
          <w:lang w:val="fr-FR"/>
        </w:rPr>
        <w:t>autres Parties à la définition d</w:t>
      </w:r>
      <w:r w:rsidR="00CA4DAC">
        <w:rPr>
          <w:lang w:val="fr-FR"/>
        </w:rPr>
        <w:t>’</w:t>
      </w:r>
      <w:r w:rsidR="00FE4C00" w:rsidRPr="002A2EA6">
        <w:rPr>
          <w:lang w:val="fr-FR"/>
        </w:rPr>
        <w:t>un cadre stable et durable destiné à renforcer la</w:t>
      </w:r>
      <w:r w:rsidR="000C7703">
        <w:rPr>
          <w:lang w:val="fr-FR"/>
        </w:rPr>
        <w:t> </w:t>
      </w:r>
      <w:r w:rsidR="00FE4C00" w:rsidRPr="002A2EA6">
        <w:rPr>
          <w:lang w:val="fr-FR"/>
        </w:rPr>
        <w:t>coopération entre la</w:t>
      </w:r>
      <w:r w:rsidR="00A51737" w:rsidRPr="002A2EA6">
        <w:rPr>
          <w:lang w:val="fr-FR"/>
        </w:rPr>
        <w:t> </w:t>
      </w:r>
      <w:r w:rsidR="00FE4C00" w:rsidRPr="002A2EA6">
        <w:rPr>
          <w:lang w:val="fr-FR"/>
        </w:rPr>
        <w:t>Convention de Minamata et la Convention de Bâle sur le</w:t>
      </w:r>
      <w:r w:rsidR="0095048C" w:rsidRPr="002A2EA6">
        <w:rPr>
          <w:lang w:val="fr-FR"/>
        </w:rPr>
        <w:t> </w:t>
      </w:r>
      <w:r w:rsidR="00FE4C00" w:rsidRPr="002A2EA6">
        <w:rPr>
          <w:lang w:val="fr-FR"/>
        </w:rPr>
        <w:t>contrôle des mouvements transfrontières de déchets dangereux et de leur élimination</w:t>
      </w:r>
      <w:r w:rsidR="009816A8" w:rsidRPr="002A2EA6">
        <w:rPr>
          <w:lang w:val="fr-FR"/>
        </w:rPr>
        <w:t xml:space="preserve"> (la « Convention de Bâle »)</w:t>
      </w:r>
      <w:r w:rsidR="00FE4C00" w:rsidRPr="002A2EA6">
        <w:rPr>
          <w:lang w:val="fr-FR"/>
        </w:rPr>
        <w:t>, la Convention de Rotterdam sur la</w:t>
      </w:r>
      <w:r w:rsidR="00243F77" w:rsidRPr="002A2EA6">
        <w:rPr>
          <w:lang w:val="fr-FR"/>
        </w:rPr>
        <w:t> </w:t>
      </w:r>
      <w:r w:rsidR="00FE4C00" w:rsidRPr="002A2EA6">
        <w:rPr>
          <w:lang w:val="fr-FR"/>
        </w:rPr>
        <w:t>procédure de consentement préalable en connaissance de cause applicable à certains produits chimiques et pesticides dangereux qui font l</w:t>
      </w:r>
      <w:r w:rsidR="00CA4DAC">
        <w:rPr>
          <w:lang w:val="fr-FR"/>
        </w:rPr>
        <w:t>’</w:t>
      </w:r>
      <w:r w:rsidR="00FE4C00" w:rsidRPr="002A2EA6">
        <w:rPr>
          <w:lang w:val="fr-FR"/>
        </w:rPr>
        <w:t>objet d</w:t>
      </w:r>
      <w:r w:rsidR="00CA4DAC">
        <w:rPr>
          <w:lang w:val="fr-FR"/>
        </w:rPr>
        <w:t>’</w:t>
      </w:r>
      <w:r w:rsidR="00FE4C00" w:rsidRPr="002A2EA6">
        <w:rPr>
          <w:lang w:val="fr-FR"/>
        </w:rPr>
        <w:t>un commerce international</w:t>
      </w:r>
      <w:r w:rsidR="0018644A" w:rsidRPr="002A2EA6">
        <w:rPr>
          <w:lang w:val="fr-FR"/>
        </w:rPr>
        <w:t xml:space="preserve"> (la « Convention de Rotterdam »)</w:t>
      </w:r>
      <w:r w:rsidR="00FE4C00" w:rsidRPr="002A2EA6">
        <w:rPr>
          <w:lang w:val="fr-FR"/>
        </w:rPr>
        <w:t xml:space="preserve"> et la</w:t>
      </w:r>
      <w:r w:rsidR="0095048C" w:rsidRPr="002A2EA6">
        <w:rPr>
          <w:lang w:val="fr-FR"/>
        </w:rPr>
        <w:t> </w:t>
      </w:r>
      <w:r w:rsidR="00FE4C00" w:rsidRPr="002A2EA6">
        <w:rPr>
          <w:lang w:val="fr-FR"/>
        </w:rPr>
        <w:t xml:space="preserve">Convention de Stockholm sur les polluants organiques persistants </w:t>
      </w:r>
      <w:r w:rsidR="005F4DED" w:rsidRPr="002A2EA6">
        <w:rPr>
          <w:lang w:val="fr-FR"/>
        </w:rPr>
        <w:t xml:space="preserve">(la « Convention de Stockholm ») </w:t>
      </w:r>
      <w:r w:rsidR="00FE4C00" w:rsidRPr="002A2EA6">
        <w:rPr>
          <w:lang w:val="fr-FR"/>
        </w:rPr>
        <w:t>et entre leurs secrétariats. Se</w:t>
      </w:r>
      <w:r w:rsidR="0095048C" w:rsidRPr="002A2EA6">
        <w:rPr>
          <w:lang w:val="fr-FR"/>
        </w:rPr>
        <w:t> </w:t>
      </w:r>
      <w:r w:rsidR="00FE4C00" w:rsidRPr="002A2EA6">
        <w:rPr>
          <w:lang w:val="fr-FR"/>
        </w:rPr>
        <w:t>félicitant des</w:t>
      </w:r>
      <w:r w:rsidR="000C7703">
        <w:rPr>
          <w:lang w:val="fr-FR"/>
        </w:rPr>
        <w:t> </w:t>
      </w:r>
      <w:r w:rsidR="00FE4C00" w:rsidRPr="002A2EA6">
        <w:rPr>
          <w:lang w:val="fr-FR"/>
        </w:rPr>
        <w:t>offres reçues par deux pays concernant l</w:t>
      </w:r>
      <w:r w:rsidR="00CA4DAC">
        <w:rPr>
          <w:lang w:val="fr-FR"/>
        </w:rPr>
        <w:t>’</w:t>
      </w:r>
      <w:r w:rsidR="00FE4C00" w:rsidRPr="002A2EA6">
        <w:rPr>
          <w:lang w:val="fr-FR"/>
        </w:rPr>
        <w:t>organisation de la quatrième réunion de la</w:t>
      </w:r>
      <w:r w:rsidR="0095048C" w:rsidRPr="002A2EA6">
        <w:rPr>
          <w:lang w:val="fr-FR"/>
        </w:rPr>
        <w:t> </w:t>
      </w:r>
      <w:r w:rsidR="00FE4C00" w:rsidRPr="002A2EA6">
        <w:rPr>
          <w:lang w:val="fr-FR"/>
        </w:rPr>
        <w:t xml:space="preserve">Conférence des Parties, la représentante </w:t>
      </w:r>
      <w:r w:rsidR="097D875E" w:rsidRPr="002A2EA6">
        <w:rPr>
          <w:lang w:val="fr-FR"/>
        </w:rPr>
        <w:t xml:space="preserve">les </w:t>
      </w:r>
      <w:r w:rsidR="00FE4C00" w:rsidRPr="002A2EA6">
        <w:rPr>
          <w:lang w:val="fr-FR"/>
        </w:rPr>
        <w:t>a engagé</w:t>
      </w:r>
      <w:r w:rsidR="13A29F4D" w:rsidRPr="002A2EA6">
        <w:rPr>
          <w:lang w:val="fr-FR"/>
        </w:rPr>
        <w:t>s</w:t>
      </w:r>
      <w:r w:rsidR="00FE4C00" w:rsidRPr="002A2EA6">
        <w:rPr>
          <w:lang w:val="fr-FR"/>
        </w:rPr>
        <w:t xml:space="preserve"> à se</w:t>
      </w:r>
      <w:r w:rsidR="00A51737" w:rsidRPr="002A2EA6">
        <w:rPr>
          <w:lang w:val="fr-FR"/>
        </w:rPr>
        <w:t> </w:t>
      </w:r>
      <w:r w:rsidR="00FE4C00" w:rsidRPr="002A2EA6">
        <w:rPr>
          <w:lang w:val="fr-FR"/>
        </w:rPr>
        <w:t>concerter et à proposer une solution.</w:t>
      </w:r>
    </w:p>
    <w:p w14:paraId="387FC53A" w14:textId="518752E1" w:rsidR="00FE4C00"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Prenant la parole au nom des victimes de la maladie de Minamata, </w:t>
      </w:r>
      <w:r w:rsidR="787AEE0C" w:rsidRPr="002A2EA6">
        <w:rPr>
          <w:lang w:val="fr-FR"/>
        </w:rPr>
        <w:t>M.</w:t>
      </w:r>
      <w:r w:rsidR="00423459" w:rsidRPr="002A2EA6">
        <w:rPr>
          <w:lang w:val="fr-FR"/>
        </w:rPr>
        <w:t> </w:t>
      </w:r>
      <w:r w:rsidRPr="002A2EA6">
        <w:rPr>
          <w:lang w:val="fr-FR"/>
        </w:rPr>
        <w:t>Koichiro Matsunaga</w:t>
      </w:r>
      <w:r w:rsidR="64109123" w:rsidRPr="002A2EA6">
        <w:rPr>
          <w:lang w:val="fr-FR"/>
        </w:rPr>
        <w:t xml:space="preserve">, représentant le </w:t>
      </w:r>
      <w:r w:rsidR="2CB37EF8" w:rsidRPr="002A2EA6">
        <w:rPr>
          <w:lang w:val="fr-FR"/>
        </w:rPr>
        <w:t>Centre de collaboration pour les victimes de la maladie de Minamata,</w:t>
      </w:r>
      <w:r w:rsidRPr="002A2EA6">
        <w:rPr>
          <w:lang w:val="fr-FR"/>
        </w:rPr>
        <w:t xml:space="preserve"> a raconté son</w:t>
      </w:r>
      <w:r w:rsidR="0070208A" w:rsidRPr="002A2EA6">
        <w:rPr>
          <w:lang w:val="fr-FR"/>
        </w:rPr>
        <w:t> </w:t>
      </w:r>
      <w:r w:rsidRPr="002A2EA6">
        <w:rPr>
          <w:lang w:val="fr-FR"/>
        </w:rPr>
        <w:t>histoire personnelle. Exposé au mercure dans le ventre de sa mère qui était en contact avec les</w:t>
      </w:r>
      <w:r w:rsidR="0070208A" w:rsidRPr="002A2EA6">
        <w:rPr>
          <w:lang w:val="fr-FR"/>
        </w:rPr>
        <w:t> </w:t>
      </w:r>
      <w:r w:rsidRPr="002A2EA6">
        <w:rPr>
          <w:lang w:val="fr-FR"/>
        </w:rPr>
        <w:t>eaux usées d</w:t>
      </w:r>
      <w:r w:rsidR="00CA4DAC">
        <w:rPr>
          <w:lang w:val="fr-FR"/>
        </w:rPr>
        <w:t>’</w:t>
      </w:r>
      <w:r w:rsidRPr="002A2EA6">
        <w:rPr>
          <w:lang w:val="fr-FR"/>
        </w:rPr>
        <w:t xml:space="preserve">une usine et cloué dans un fauteuil roulant, il a expliqué que ses capacités motrices et langagières étaient en fait bien meilleures que celles de nombre de ses </w:t>
      </w:r>
      <w:r w:rsidR="00DB1DBD" w:rsidRPr="002A2EA6">
        <w:rPr>
          <w:lang w:val="fr-FR"/>
        </w:rPr>
        <w:t>homologues</w:t>
      </w:r>
      <w:r w:rsidRPr="002A2EA6">
        <w:rPr>
          <w:lang w:val="fr-FR"/>
        </w:rPr>
        <w:t xml:space="preserve">. </w:t>
      </w:r>
      <w:r w:rsidR="000C2C62" w:rsidRPr="002A2EA6">
        <w:rPr>
          <w:lang w:val="fr-FR"/>
        </w:rPr>
        <w:t xml:space="preserve">Lamentant </w:t>
      </w:r>
      <w:r w:rsidRPr="002A2EA6">
        <w:rPr>
          <w:lang w:val="fr-FR"/>
        </w:rPr>
        <w:t>l</w:t>
      </w:r>
      <w:r w:rsidR="00CA4DAC">
        <w:rPr>
          <w:lang w:val="fr-FR"/>
        </w:rPr>
        <w:t>’</w:t>
      </w:r>
      <w:r w:rsidRPr="002A2EA6">
        <w:rPr>
          <w:lang w:val="fr-FR"/>
        </w:rPr>
        <w:t>inaction qui avait scellé son sort, il a exhorté les Parties à ne pas répéter les erreurs de Minamata et</w:t>
      </w:r>
      <w:r w:rsidR="00E46060" w:rsidRPr="002A2EA6">
        <w:rPr>
          <w:lang w:val="fr-FR"/>
        </w:rPr>
        <w:t> </w:t>
      </w:r>
      <w:r w:rsidRPr="002A2EA6">
        <w:rPr>
          <w:lang w:val="fr-FR"/>
        </w:rPr>
        <w:t>à</w:t>
      </w:r>
      <w:r w:rsidR="00E46060" w:rsidRPr="002A2EA6">
        <w:rPr>
          <w:lang w:val="fr-FR"/>
        </w:rPr>
        <w:t> </w:t>
      </w:r>
      <w:r w:rsidRPr="002A2EA6">
        <w:rPr>
          <w:lang w:val="fr-FR"/>
        </w:rPr>
        <w:t>faire en sorte qu</w:t>
      </w:r>
      <w:r w:rsidR="00CA4DAC">
        <w:rPr>
          <w:lang w:val="fr-FR"/>
        </w:rPr>
        <w:t>’</w:t>
      </w:r>
      <w:r w:rsidRPr="002A2EA6">
        <w:rPr>
          <w:lang w:val="fr-FR"/>
        </w:rPr>
        <w:t>à l</w:t>
      </w:r>
      <w:r w:rsidR="00CA4DAC">
        <w:rPr>
          <w:lang w:val="fr-FR"/>
        </w:rPr>
        <w:t>’</w:t>
      </w:r>
      <w:r w:rsidRPr="002A2EA6">
        <w:rPr>
          <w:lang w:val="fr-FR"/>
        </w:rPr>
        <w:t>avenir les enfants ne souffrent plus comme lui.</w:t>
      </w:r>
    </w:p>
    <w:p w14:paraId="18BE0223" w14:textId="7E150628" w:rsidR="00FE4C00" w:rsidRPr="002A2EA6" w:rsidRDefault="00FE4C00" w:rsidP="00FE4C00">
      <w:pPr>
        <w:pStyle w:val="CH1"/>
        <w:rPr>
          <w:lang w:val="fr-FR"/>
        </w:rPr>
      </w:pPr>
      <w:r w:rsidRPr="002A2EA6">
        <w:rPr>
          <w:lang w:val="fr-FR"/>
        </w:rPr>
        <w:tab/>
        <w:t>II.</w:t>
      </w:r>
      <w:r w:rsidRPr="002A2EA6">
        <w:rPr>
          <w:lang w:val="fr-FR"/>
        </w:rPr>
        <w:tab/>
        <w:t>Questions d</w:t>
      </w:r>
      <w:r w:rsidR="00CA4DAC">
        <w:rPr>
          <w:lang w:val="fr-FR"/>
        </w:rPr>
        <w:t>’</w:t>
      </w:r>
      <w:r w:rsidRPr="002A2EA6">
        <w:rPr>
          <w:lang w:val="fr-FR"/>
        </w:rPr>
        <w:t>organisation</w:t>
      </w:r>
      <w:bookmarkStart w:id="8" w:name="_Toc7079403"/>
      <w:bookmarkEnd w:id="8"/>
    </w:p>
    <w:p w14:paraId="0C43D76B" w14:textId="69D9899D" w:rsidR="003D0299" w:rsidRPr="002A2EA6" w:rsidDel="000B174B" w:rsidRDefault="00FE4C00" w:rsidP="00FE4C00">
      <w:pPr>
        <w:pStyle w:val="CH2"/>
        <w:rPr>
          <w:lang w:val="fr-FR"/>
        </w:rPr>
      </w:pPr>
      <w:r w:rsidRPr="002A2EA6">
        <w:rPr>
          <w:lang w:val="fr-FR"/>
        </w:rPr>
        <w:tab/>
      </w:r>
      <w:bookmarkStart w:id="9" w:name="_Toc39063331"/>
      <w:r w:rsidRPr="002A2EA6">
        <w:rPr>
          <w:lang w:val="fr-FR"/>
        </w:rPr>
        <w:t>A.</w:t>
      </w:r>
      <w:r w:rsidRPr="002A2EA6">
        <w:rPr>
          <w:lang w:val="fr-FR"/>
        </w:rPr>
        <w:tab/>
        <w:t>Bureau</w:t>
      </w:r>
      <w:bookmarkEnd w:id="9"/>
    </w:p>
    <w:p w14:paraId="56679706" w14:textId="4159B28B" w:rsidR="003D0299"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À sa deuxième</w:t>
      </w:r>
      <w:r w:rsidR="00423459" w:rsidRPr="002A2EA6">
        <w:rPr>
          <w:lang w:val="fr-FR"/>
        </w:rPr>
        <w:t> </w:t>
      </w:r>
      <w:r w:rsidRPr="002A2EA6">
        <w:rPr>
          <w:lang w:val="fr-FR"/>
        </w:rPr>
        <w:t>réunion, la Conférence des Parties avait élu les membres du Bureau ci-après pour siéger à sa troisième</w:t>
      </w:r>
      <w:r w:rsidR="00E46060" w:rsidRPr="002A2EA6">
        <w:rPr>
          <w:lang w:val="fr-FR"/>
        </w:rPr>
        <w:t> </w:t>
      </w:r>
      <w:r w:rsidRPr="002A2EA6">
        <w:rPr>
          <w:lang w:val="fr-FR"/>
        </w:rPr>
        <w:t>réunion ainsi que pendant l</w:t>
      </w:r>
      <w:r w:rsidR="00CA4DAC">
        <w:rPr>
          <w:lang w:val="fr-FR"/>
        </w:rPr>
        <w:t>’</w:t>
      </w:r>
      <w:r w:rsidRPr="002A2EA6">
        <w:rPr>
          <w:lang w:val="fr-FR"/>
        </w:rPr>
        <w:t>intersession</w:t>
      </w:r>
      <w:r w:rsidR="00423459" w:rsidRPr="002A2EA6">
        <w:rPr>
          <w:lang w:val="fr-FR"/>
        </w:rPr>
        <w:t> </w:t>
      </w:r>
      <w:r w:rsidR="7A7F35F0" w:rsidRPr="002A2EA6">
        <w:rPr>
          <w:lang w:val="fr-FR"/>
        </w:rPr>
        <w:t>:</w:t>
      </w:r>
    </w:p>
    <w:p w14:paraId="56310966" w14:textId="64097971" w:rsidR="00FE4C00" w:rsidRPr="002A2EA6" w:rsidRDefault="00207368" w:rsidP="00B508C7">
      <w:pPr>
        <w:pStyle w:val="NormalNonumber"/>
      </w:pPr>
      <w:r>
        <w:tab/>
      </w:r>
      <w:r w:rsidR="00FE4C00" w:rsidRPr="002A2EA6">
        <w:t>Président</w:t>
      </w:r>
      <w:r w:rsidR="00423459" w:rsidRPr="002A2EA6">
        <w:t> </w:t>
      </w:r>
      <w:r w:rsidR="7A7F35F0" w:rsidRPr="002A2EA6">
        <w:t>:</w:t>
      </w:r>
      <w:r w:rsidR="00FE4C00" w:rsidRPr="002A2EA6">
        <w:t xml:space="preserve"> </w:t>
      </w:r>
      <w:r w:rsidR="00FE4C00" w:rsidRPr="002A2EA6">
        <w:tab/>
      </w:r>
      <w:r w:rsidR="00FE4C00" w:rsidRPr="002A2EA6">
        <w:tab/>
      </w:r>
      <w:r w:rsidR="00B508C7">
        <w:tab/>
      </w:r>
      <w:r w:rsidR="00FE4C00" w:rsidRPr="002A2EA6">
        <w:t>David Kapindula (Zambie)</w:t>
      </w:r>
    </w:p>
    <w:p w14:paraId="32426FFD" w14:textId="5A84D365" w:rsidR="00FE4C00" w:rsidRPr="002A2EA6" w:rsidRDefault="00207368" w:rsidP="00207368">
      <w:pPr>
        <w:pStyle w:val="NormalNonumber"/>
        <w:rPr>
          <w:lang w:val="fr-FR"/>
        </w:rPr>
      </w:pPr>
      <w:r>
        <w:rPr>
          <w:lang w:val="fr-FR"/>
        </w:rPr>
        <w:tab/>
      </w:r>
      <w:r w:rsidR="00FE4C00" w:rsidRPr="002A2EA6">
        <w:rPr>
          <w:lang w:val="fr-FR"/>
        </w:rPr>
        <w:t>Vice-Président</w:t>
      </w:r>
      <w:r w:rsidR="0028707B" w:rsidRPr="002A2EA6">
        <w:rPr>
          <w:lang w:val="fr-FR"/>
        </w:rPr>
        <w:t>(e)</w:t>
      </w:r>
      <w:r w:rsidR="00FE4C00" w:rsidRPr="002A2EA6">
        <w:rPr>
          <w:lang w:val="fr-FR"/>
        </w:rPr>
        <w:t>s</w:t>
      </w:r>
      <w:r w:rsidR="00423459" w:rsidRPr="002A2EA6">
        <w:rPr>
          <w:lang w:val="fr-FR"/>
        </w:rPr>
        <w:t> </w:t>
      </w:r>
      <w:r w:rsidR="7A7F35F0" w:rsidRPr="002A2EA6">
        <w:rPr>
          <w:lang w:val="fr-FR"/>
        </w:rPr>
        <w:t>:</w:t>
      </w:r>
      <w:r w:rsidR="00FE4C00" w:rsidRPr="002A2EA6">
        <w:rPr>
          <w:lang w:val="fr-FR"/>
        </w:rPr>
        <w:tab/>
      </w:r>
      <w:r w:rsidR="00B508C7">
        <w:rPr>
          <w:lang w:val="fr-FR"/>
        </w:rPr>
        <w:tab/>
      </w:r>
      <w:r w:rsidR="00FE4C00" w:rsidRPr="002A2EA6">
        <w:rPr>
          <w:lang w:val="fr-FR"/>
        </w:rPr>
        <w:t>Alison Dickson (Canada)</w:t>
      </w:r>
    </w:p>
    <w:p w14:paraId="39CEFFE6" w14:textId="34AEA062" w:rsidR="00FE4C00" w:rsidRPr="002A2EA6" w:rsidRDefault="00207368" w:rsidP="00207368">
      <w:pPr>
        <w:pStyle w:val="NormalNonumber"/>
        <w:rPr>
          <w:lang w:val="es-ES"/>
        </w:rPr>
      </w:pPr>
      <w:r w:rsidRPr="00FD3336">
        <w:rPr>
          <w:lang w:val="fr-FR"/>
        </w:rPr>
        <w:tab/>
      </w:r>
      <w:r w:rsidRPr="00FD3336">
        <w:rPr>
          <w:lang w:val="fr-FR"/>
        </w:rPr>
        <w:tab/>
      </w:r>
      <w:r w:rsidRPr="00FD3336">
        <w:rPr>
          <w:lang w:val="fr-FR"/>
        </w:rPr>
        <w:tab/>
      </w:r>
      <w:r w:rsidRPr="00FD3336">
        <w:rPr>
          <w:lang w:val="fr-FR"/>
        </w:rPr>
        <w:tab/>
      </w:r>
      <w:r w:rsidR="00B508C7">
        <w:rPr>
          <w:lang w:val="fr-FR"/>
        </w:rPr>
        <w:tab/>
      </w:r>
      <w:r w:rsidR="00FE4C00" w:rsidRPr="002A2EA6">
        <w:rPr>
          <w:lang w:val="es-ES"/>
        </w:rPr>
        <w:t>María del Mar Solano Trejos (Costa Rica)</w:t>
      </w:r>
    </w:p>
    <w:p w14:paraId="2EBB32D9" w14:textId="31856EFF" w:rsidR="003D0299" w:rsidRPr="00FD3336" w:rsidRDefault="00207368" w:rsidP="00207368">
      <w:pPr>
        <w:pStyle w:val="NormalNonumber"/>
        <w:rPr>
          <w:lang w:val="en-US"/>
        </w:rPr>
      </w:pPr>
      <w:r>
        <w:rPr>
          <w:lang w:val="es-ES"/>
        </w:rPr>
        <w:tab/>
      </w:r>
      <w:r>
        <w:rPr>
          <w:lang w:val="es-ES"/>
        </w:rPr>
        <w:tab/>
      </w:r>
      <w:r>
        <w:rPr>
          <w:lang w:val="es-ES"/>
        </w:rPr>
        <w:tab/>
      </w:r>
      <w:r>
        <w:rPr>
          <w:lang w:val="es-ES"/>
        </w:rPr>
        <w:tab/>
      </w:r>
      <w:r w:rsidR="00B508C7">
        <w:rPr>
          <w:lang w:val="es-ES"/>
        </w:rPr>
        <w:tab/>
      </w:r>
      <w:r w:rsidR="00FE4C00" w:rsidRPr="00FD3336">
        <w:rPr>
          <w:lang w:val="en-US"/>
        </w:rPr>
        <w:t>Serge Molly Allo</w:t>
      </w:r>
      <w:r w:rsidR="00CA4DAC">
        <w:rPr>
          <w:lang w:val="en-US"/>
        </w:rPr>
        <w:t>’</w:t>
      </w:r>
      <w:r w:rsidR="00FE4C00" w:rsidRPr="00FD3336">
        <w:rPr>
          <w:lang w:val="en-US"/>
        </w:rPr>
        <w:t>o Allo</w:t>
      </w:r>
      <w:r w:rsidR="00CA4DAC">
        <w:rPr>
          <w:lang w:val="en-US"/>
        </w:rPr>
        <w:t>’</w:t>
      </w:r>
      <w:r w:rsidR="00FE4C00" w:rsidRPr="00FD3336">
        <w:rPr>
          <w:lang w:val="en-US"/>
        </w:rPr>
        <w:t>o (Gabon)</w:t>
      </w:r>
    </w:p>
    <w:p w14:paraId="13531F82" w14:textId="3498FB40" w:rsidR="00FE4C00" w:rsidRPr="00FD3336" w:rsidRDefault="00207368" w:rsidP="00207368">
      <w:pPr>
        <w:pStyle w:val="NormalNonumber"/>
        <w:rPr>
          <w:lang w:val="es-ES"/>
        </w:rPr>
      </w:pPr>
      <w:r w:rsidRPr="00FD3336">
        <w:rPr>
          <w:lang w:val="en-US"/>
        </w:rPr>
        <w:tab/>
      </w:r>
      <w:r w:rsidRPr="00FD3336">
        <w:rPr>
          <w:lang w:val="en-US"/>
        </w:rPr>
        <w:tab/>
      </w:r>
      <w:r w:rsidRPr="00FD3336">
        <w:rPr>
          <w:lang w:val="en-US"/>
        </w:rPr>
        <w:tab/>
      </w:r>
      <w:r w:rsidRPr="00FD3336">
        <w:rPr>
          <w:lang w:val="en-US"/>
        </w:rPr>
        <w:tab/>
      </w:r>
      <w:r w:rsidR="00B508C7">
        <w:rPr>
          <w:lang w:val="en-US"/>
        </w:rPr>
        <w:tab/>
      </w:r>
      <w:r w:rsidR="00FE4C00" w:rsidRPr="00FD3336">
        <w:rPr>
          <w:lang w:val="es-ES"/>
        </w:rPr>
        <w:t>Mariscia Charles (Guyana)</w:t>
      </w:r>
    </w:p>
    <w:p w14:paraId="6B762E29" w14:textId="6BEB84BD" w:rsidR="00FE4C00" w:rsidRPr="00FD3336" w:rsidRDefault="00207368" w:rsidP="00207368">
      <w:pPr>
        <w:pStyle w:val="NormalNonumber"/>
        <w:rPr>
          <w:lang w:val="es-ES"/>
        </w:rPr>
      </w:pPr>
      <w:r>
        <w:rPr>
          <w:lang w:val="es-ES"/>
        </w:rPr>
        <w:tab/>
      </w:r>
      <w:r>
        <w:rPr>
          <w:lang w:val="es-ES"/>
        </w:rPr>
        <w:tab/>
      </w:r>
      <w:r>
        <w:rPr>
          <w:lang w:val="es-ES"/>
        </w:rPr>
        <w:tab/>
      </w:r>
      <w:r>
        <w:rPr>
          <w:lang w:val="es-ES"/>
        </w:rPr>
        <w:tab/>
      </w:r>
      <w:r w:rsidR="00B508C7">
        <w:rPr>
          <w:lang w:val="es-ES"/>
        </w:rPr>
        <w:tab/>
      </w:r>
      <w:r w:rsidR="00FE4C00" w:rsidRPr="00FD3336">
        <w:rPr>
          <w:lang w:val="es-ES"/>
        </w:rPr>
        <w:t>Mohammed Khashashneh (Jordanie)</w:t>
      </w:r>
    </w:p>
    <w:p w14:paraId="2FD5BBEE" w14:textId="4550333B" w:rsidR="00FE4C00" w:rsidRPr="00FD3336" w:rsidRDefault="00207368" w:rsidP="00207368">
      <w:pPr>
        <w:pStyle w:val="NormalNonumber"/>
        <w:rPr>
          <w:lang w:val="es-ES"/>
        </w:rPr>
      </w:pPr>
      <w:r>
        <w:rPr>
          <w:lang w:val="es-ES"/>
        </w:rPr>
        <w:tab/>
      </w:r>
      <w:r>
        <w:rPr>
          <w:lang w:val="es-ES"/>
        </w:rPr>
        <w:tab/>
      </w:r>
      <w:r>
        <w:rPr>
          <w:lang w:val="es-ES"/>
        </w:rPr>
        <w:tab/>
      </w:r>
      <w:r>
        <w:rPr>
          <w:lang w:val="es-ES"/>
        </w:rPr>
        <w:tab/>
      </w:r>
      <w:r w:rsidR="00B508C7">
        <w:rPr>
          <w:lang w:val="es-ES"/>
        </w:rPr>
        <w:tab/>
      </w:r>
      <w:r w:rsidR="00FE4C00" w:rsidRPr="00FD3336">
        <w:rPr>
          <w:lang w:val="es-ES"/>
        </w:rPr>
        <w:t>Svetlana Bolocan (République de Moldova)</w:t>
      </w:r>
    </w:p>
    <w:p w14:paraId="56764C71" w14:textId="0408AA66" w:rsidR="00207368" w:rsidRPr="00207368" w:rsidRDefault="00207368" w:rsidP="00207368">
      <w:pPr>
        <w:pStyle w:val="NormalNonumber"/>
      </w:pPr>
      <w:r>
        <w:rPr>
          <w:lang w:val="es-ES"/>
        </w:rPr>
        <w:tab/>
      </w:r>
      <w:r>
        <w:rPr>
          <w:lang w:val="es-ES"/>
        </w:rPr>
        <w:tab/>
      </w:r>
      <w:r>
        <w:rPr>
          <w:lang w:val="es-ES"/>
        </w:rPr>
        <w:tab/>
      </w:r>
      <w:r>
        <w:rPr>
          <w:lang w:val="es-ES"/>
        </w:rPr>
        <w:tab/>
      </w:r>
      <w:r w:rsidR="00B508C7">
        <w:rPr>
          <w:lang w:val="es-ES"/>
        </w:rPr>
        <w:tab/>
      </w:r>
      <w:r w:rsidRPr="00207368">
        <w:t>Adel Jahankhah (République islamique d</w:t>
      </w:r>
      <w:r w:rsidR="00CA4DAC">
        <w:t>’</w:t>
      </w:r>
      <w:r w:rsidRPr="00207368">
        <w:t>Iran)</w:t>
      </w:r>
    </w:p>
    <w:p w14:paraId="4AC79242" w14:textId="5A02D9E9" w:rsidR="003D0299" w:rsidRDefault="00207368" w:rsidP="00207368">
      <w:pPr>
        <w:pStyle w:val="NormalNonumber"/>
      </w:pPr>
      <w:r w:rsidRPr="00FD3336">
        <w:rPr>
          <w:lang w:val="fr-FR"/>
        </w:rPr>
        <w:tab/>
      </w:r>
      <w:r w:rsidRPr="00FD3336">
        <w:rPr>
          <w:lang w:val="fr-FR"/>
        </w:rPr>
        <w:tab/>
      </w:r>
      <w:r w:rsidRPr="00FD3336">
        <w:rPr>
          <w:lang w:val="fr-FR"/>
        </w:rPr>
        <w:tab/>
      </w:r>
      <w:r w:rsidRPr="00FD3336">
        <w:rPr>
          <w:lang w:val="fr-FR"/>
        </w:rPr>
        <w:tab/>
      </w:r>
      <w:r w:rsidR="00B508C7">
        <w:rPr>
          <w:lang w:val="fr-FR"/>
        </w:rPr>
        <w:tab/>
      </w:r>
      <w:r w:rsidR="00FE4C00" w:rsidRPr="00207368">
        <w:t>Nina Cromnier (Suède)</w:t>
      </w:r>
    </w:p>
    <w:p w14:paraId="2AEC84CE" w14:textId="3A6E9AAF" w:rsidR="00207368" w:rsidRPr="00207368" w:rsidRDefault="00207368" w:rsidP="00207368">
      <w:pPr>
        <w:pStyle w:val="NormalNonumber"/>
      </w:pPr>
      <w:r>
        <w:rPr>
          <w:lang w:val="es-ES"/>
        </w:rPr>
        <w:tab/>
      </w:r>
      <w:r>
        <w:rPr>
          <w:lang w:val="es-ES"/>
        </w:rPr>
        <w:tab/>
      </w:r>
      <w:r>
        <w:rPr>
          <w:lang w:val="es-ES"/>
        </w:rPr>
        <w:tab/>
      </w:r>
      <w:r>
        <w:rPr>
          <w:lang w:val="es-ES"/>
        </w:rPr>
        <w:tab/>
      </w:r>
      <w:r w:rsidR="00B508C7">
        <w:rPr>
          <w:lang w:val="es-ES"/>
        </w:rPr>
        <w:tab/>
      </w:r>
      <w:r w:rsidRPr="00207368">
        <w:t>Karel Bláha (Tchéquie)</w:t>
      </w:r>
    </w:p>
    <w:p w14:paraId="09BCD5DC" w14:textId="75CAD08C" w:rsidR="00FE4C00"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M.</w:t>
      </w:r>
      <w:r w:rsidR="00423459" w:rsidRPr="002A2EA6">
        <w:rPr>
          <w:lang w:val="fr-FR"/>
        </w:rPr>
        <w:t> </w:t>
      </w:r>
      <w:r w:rsidRPr="002A2EA6">
        <w:rPr>
          <w:lang w:val="fr-FR"/>
        </w:rPr>
        <w:t>Karel Bláha (Tchéquie) avait été élu Rapporteur.</w:t>
      </w:r>
    </w:p>
    <w:p w14:paraId="2C6520A1" w14:textId="05ED17C3" w:rsidR="00FE4C00" w:rsidRPr="002A2EA6" w:rsidRDefault="00FE4C00" w:rsidP="00A056A2">
      <w:pPr>
        <w:pStyle w:val="Normalnumber"/>
        <w:numPr>
          <w:ilvl w:val="0"/>
          <w:numId w:val="42"/>
        </w:numPr>
        <w:tabs>
          <w:tab w:val="clear" w:pos="1814"/>
          <w:tab w:val="left" w:pos="1843"/>
          <w:tab w:val="left" w:pos="1985"/>
        </w:tabs>
        <w:ind w:left="1288" w:hanging="28"/>
        <w:rPr>
          <w:lang w:val="fr-FR"/>
        </w:rPr>
      </w:pPr>
      <w:r w:rsidRPr="002A2EA6">
        <w:rPr>
          <w:lang w:val="fr-FR"/>
        </w:rPr>
        <w:t>Pendant l</w:t>
      </w:r>
      <w:r w:rsidR="00CA4DAC">
        <w:rPr>
          <w:lang w:val="fr-FR"/>
        </w:rPr>
        <w:t>’</w:t>
      </w:r>
      <w:r w:rsidRPr="002A2EA6">
        <w:rPr>
          <w:lang w:val="fr-FR"/>
        </w:rPr>
        <w:t>intersession, M.</w:t>
      </w:r>
      <w:r w:rsidR="00423459" w:rsidRPr="002A2EA6">
        <w:rPr>
          <w:lang w:val="fr-FR"/>
        </w:rPr>
        <w:t> </w:t>
      </w:r>
      <w:r w:rsidRPr="002A2EA6">
        <w:rPr>
          <w:lang w:val="fr-FR"/>
        </w:rPr>
        <w:t>Mohsen Naziri Asl (République islamique d</w:t>
      </w:r>
      <w:r w:rsidR="00CA4DAC">
        <w:rPr>
          <w:lang w:val="fr-FR"/>
        </w:rPr>
        <w:t>’</w:t>
      </w:r>
      <w:r w:rsidRPr="002A2EA6">
        <w:rPr>
          <w:lang w:val="fr-FR"/>
        </w:rPr>
        <w:t>Iran) a remplacé M. Adel Jahankhah, qui n</w:t>
      </w:r>
      <w:r w:rsidR="00CA4DAC">
        <w:rPr>
          <w:lang w:val="fr-FR"/>
        </w:rPr>
        <w:t>’</w:t>
      </w:r>
      <w:r w:rsidRPr="002A2EA6">
        <w:rPr>
          <w:lang w:val="fr-FR"/>
        </w:rPr>
        <w:t>avait pu achever son mandat.</w:t>
      </w:r>
    </w:p>
    <w:p w14:paraId="6BF2F8FE" w14:textId="3473EF52" w:rsidR="00FE4C00" w:rsidRPr="002A2EA6" w:rsidRDefault="00585329" w:rsidP="00585329">
      <w:pPr>
        <w:pStyle w:val="CH2"/>
        <w:rPr>
          <w:lang w:val="fr-FR"/>
        </w:rPr>
      </w:pPr>
      <w:r w:rsidRPr="002A2EA6">
        <w:rPr>
          <w:lang w:val="fr-FR"/>
        </w:rPr>
        <w:lastRenderedPageBreak/>
        <w:tab/>
      </w:r>
      <w:bookmarkStart w:id="10" w:name="_Toc39063332"/>
      <w:r w:rsidRPr="002A2EA6">
        <w:rPr>
          <w:lang w:val="fr-FR"/>
        </w:rPr>
        <w:t>B.</w:t>
      </w:r>
      <w:r w:rsidRPr="002A2EA6">
        <w:rPr>
          <w:lang w:val="fr-FR"/>
        </w:rPr>
        <w:tab/>
        <w:t>Élection du Bureau de la période intersessions et de la quatrième réunion de</w:t>
      </w:r>
      <w:r w:rsidR="0095048C" w:rsidRPr="002A2EA6">
        <w:rPr>
          <w:lang w:val="fr-FR"/>
        </w:rPr>
        <w:t> </w:t>
      </w:r>
      <w:r w:rsidRPr="002A2EA6">
        <w:rPr>
          <w:lang w:val="fr-FR"/>
        </w:rPr>
        <w:t>la Conférence des Parties</w:t>
      </w:r>
      <w:bookmarkEnd w:id="10"/>
    </w:p>
    <w:p w14:paraId="1E8F2444" w14:textId="01EF9721" w:rsidR="1C7E07A5" w:rsidRPr="002A2EA6" w:rsidRDefault="1C7E07A5" w:rsidP="00207368">
      <w:pPr>
        <w:pStyle w:val="Normalnumber"/>
        <w:keepLines/>
        <w:numPr>
          <w:ilvl w:val="0"/>
          <w:numId w:val="42"/>
        </w:numPr>
        <w:tabs>
          <w:tab w:val="clear" w:pos="1814"/>
          <w:tab w:val="left" w:pos="1843"/>
          <w:tab w:val="left" w:pos="1985"/>
        </w:tabs>
        <w:ind w:left="1287" w:hanging="28"/>
        <w:rPr>
          <w:sz w:val="22"/>
          <w:szCs w:val="22"/>
          <w:lang w:val="fr-FR"/>
        </w:rPr>
      </w:pPr>
      <w:r w:rsidRPr="002A2EA6">
        <w:rPr>
          <w:lang w:val="fr-FR"/>
        </w:rPr>
        <w:t>Présentant ce point, le Président a rappelé que la Conférence des Parties serait appelée, conformément au règlement intérieur, à élire parmi les représentant</w:t>
      </w:r>
      <w:r w:rsidR="00DC3538" w:rsidRPr="002A2EA6">
        <w:rPr>
          <w:lang w:val="fr-FR"/>
        </w:rPr>
        <w:t>(e)</w:t>
      </w:r>
      <w:r w:rsidRPr="002A2EA6">
        <w:rPr>
          <w:lang w:val="fr-FR"/>
        </w:rPr>
        <w:t>s des Parties présentes à la réunion un(e) président(e) et neuf</w:t>
      </w:r>
      <w:r w:rsidR="00E46060" w:rsidRPr="002A2EA6">
        <w:rPr>
          <w:lang w:val="fr-FR"/>
        </w:rPr>
        <w:t> </w:t>
      </w:r>
      <w:r w:rsidRPr="002A2EA6">
        <w:rPr>
          <w:lang w:val="fr-FR"/>
        </w:rPr>
        <w:t>vice-président(e)s, dont l</w:t>
      </w:r>
      <w:r w:rsidR="00CA4DAC">
        <w:rPr>
          <w:lang w:val="fr-FR"/>
        </w:rPr>
        <w:t>’</w:t>
      </w:r>
      <w:r w:rsidRPr="002A2EA6">
        <w:rPr>
          <w:lang w:val="fr-FR"/>
        </w:rPr>
        <w:t>un(e) ferait office de rapporteur(</w:t>
      </w:r>
      <w:r w:rsidR="009519B4" w:rsidRPr="002A2EA6">
        <w:rPr>
          <w:lang w:val="fr-FR"/>
        </w:rPr>
        <w:t>s</w:t>
      </w:r>
      <w:r w:rsidRPr="002A2EA6">
        <w:rPr>
          <w:lang w:val="fr-FR"/>
        </w:rPr>
        <w:t>e), qui</w:t>
      </w:r>
      <w:r w:rsidR="00E46060" w:rsidRPr="002A2EA6">
        <w:rPr>
          <w:lang w:val="fr-FR"/>
        </w:rPr>
        <w:t> </w:t>
      </w:r>
      <w:r w:rsidRPr="002A2EA6">
        <w:rPr>
          <w:lang w:val="fr-FR"/>
        </w:rPr>
        <w:t>siègeraient de la clôture de la réunion jusqu</w:t>
      </w:r>
      <w:r w:rsidR="00CA4DAC">
        <w:rPr>
          <w:lang w:val="fr-FR"/>
        </w:rPr>
        <w:t>’</w:t>
      </w:r>
      <w:r w:rsidRPr="002A2EA6">
        <w:rPr>
          <w:lang w:val="fr-FR"/>
        </w:rPr>
        <w:t>à la clôture de la quatrième</w:t>
      </w:r>
      <w:r w:rsidR="00E46060" w:rsidRPr="002A2EA6">
        <w:rPr>
          <w:lang w:val="fr-FR"/>
        </w:rPr>
        <w:t> </w:t>
      </w:r>
      <w:r w:rsidRPr="002A2EA6">
        <w:rPr>
          <w:lang w:val="fr-FR"/>
        </w:rPr>
        <w:t>réunion, y compris pendant l</w:t>
      </w:r>
      <w:r w:rsidR="00CA4DAC">
        <w:rPr>
          <w:lang w:val="fr-FR"/>
        </w:rPr>
        <w:t>’</w:t>
      </w:r>
      <w:r w:rsidRPr="002A2EA6">
        <w:rPr>
          <w:lang w:val="fr-FR"/>
        </w:rPr>
        <w:t>intersession.</w:t>
      </w:r>
    </w:p>
    <w:p w14:paraId="776FD2D4" w14:textId="644A02FE" w:rsidR="1C7E07A5" w:rsidRPr="002A2EA6" w:rsidRDefault="1C7E07A5"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La Conférence des Parties a par </w:t>
      </w:r>
      <w:r w:rsidR="002A3F34" w:rsidRPr="002A2EA6">
        <w:rPr>
          <w:lang w:val="fr-FR"/>
        </w:rPr>
        <w:t xml:space="preserve">la </w:t>
      </w:r>
      <w:r w:rsidRPr="002A2EA6">
        <w:rPr>
          <w:lang w:val="fr-FR"/>
        </w:rPr>
        <w:t>suite élu les représentant</w:t>
      </w:r>
      <w:r w:rsidR="00223C42" w:rsidRPr="002A2EA6">
        <w:rPr>
          <w:lang w:val="fr-FR"/>
        </w:rPr>
        <w:t>(e)</w:t>
      </w:r>
      <w:r w:rsidRPr="002A2EA6">
        <w:rPr>
          <w:lang w:val="fr-FR"/>
        </w:rPr>
        <w:t>s ci-après pour siéger au Bureau de sa quatrième réunion</w:t>
      </w:r>
      <w:r w:rsidR="00423459" w:rsidRPr="002A2EA6">
        <w:rPr>
          <w:lang w:val="fr-FR"/>
        </w:rPr>
        <w:t> </w:t>
      </w:r>
      <w:r w:rsidR="7A7F35F0" w:rsidRPr="002A2EA6">
        <w:rPr>
          <w:lang w:val="fr-FR"/>
        </w:rPr>
        <w:t>:</w:t>
      </w:r>
    </w:p>
    <w:p w14:paraId="2777F6DF" w14:textId="4030F9A6" w:rsidR="4292C384" w:rsidRPr="002A2EA6" w:rsidRDefault="00207368" w:rsidP="00207368">
      <w:pPr>
        <w:pStyle w:val="NormalNonumber"/>
      </w:pPr>
      <w:r>
        <w:tab/>
      </w:r>
      <w:r w:rsidR="4292C384" w:rsidRPr="002A2EA6">
        <w:t>Présidente</w:t>
      </w:r>
      <w:r w:rsidR="00423459" w:rsidRPr="002A2EA6">
        <w:t> </w:t>
      </w:r>
      <w:r w:rsidR="7A7F35F0" w:rsidRPr="002A2EA6">
        <w:t>:</w:t>
      </w:r>
      <w:r w:rsidR="00423459" w:rsidRPr="002A2EA6">
        <w:tab/>
      </w:r>
      <w:r w:rsidR="00423459" w:rsidRPr="002A2EA6">
        <w:tab/>
      </w:r>
      <w:r w:rsidR="00B508C7">
        <w:tab/>
      </w:r>
      <w:r w:rsidR="4292C384" w:rsidRPr="002A2EA6">
        <w:t xml:space="preserve">Rosa Vivien Ratnawati (Indonésie) </w:t>
      </w:r>
    </w:p>
    <w:p w14:paraId="044C055E" w14:textId="31E6397C" w:rsidR="008F7C2F" w:rsidRDefault="00207368" w:rsidP="00207368">
      <w:pPr>
        <w:pStyle w:val="NormalNonumber"/>
      </w:pPr>
      <w:r>
        <w:tab/>
      </w:r>
      <w:r w:rsidR="4292C384" w:rsidRPr="002A2EA6">
        <w:t>Vice-Président</w:t>
      </w:r>
      <w:r w:rsidR="00223C42" w:rsidRPr="002A2EA6">
        <w:t>(e)</w:t>
      </w:r>
      <w:r w:rsidR="4292C384" w:rsidRPr="002A2EA6">
        <w:t>s</w:t>
      </w:r>
      <w:r w:rsidR="00423459" w:rsidRPr="002A2EA6">
        <w:t> </w:t>
      </w:r>
      <w:r w:rsidR="7A7F35F0" w:rsidRPr="002A2EA6">
        <w:t>:</w:t>
      </w:r>
      <w:r w:rsidR="00423459" w:rsidRPr="002A2EA6">
        <w:tab/>
      </w:r>
      <w:r w:rsidR="00B508C7">
        <w:tab/>
      </w:r>
      <w:r w:rsidR="008F7C2F" w:rsidRPr="002A2EA6">
        <w:t xml:space="preserve">Anahit Aleksandryan (Arménie) </w:t>
      </w:r>
    </w:p>
    <w:p w14:paraId="5A63C43B" w14:textId="68381E44" w:rsidR="4292C384" w:rsidRPr="00FD3336" w:rsidRDefault="00423459" w:rsidP="00207368">
      <w:pPr>
        <w:pStyle w:val="NormalNonumber"/>
        <w:rPr>
          <w:lang w:val="es-ES"/>
        </w:rPr>
      </w:pPr>
      <w:r w:rsidRPr="002A2EA6">
        <w:tab/>
      </w:r>
      <w:r w:rsidRPr="002A2EA6">
        <w:tab/>
      </w:r>
      <w:r w:rsidRPr="002A2EA6">
        <w:tab/>
      </w:r>
      <w:r w:rsidR="00207368">
        <w:tab/>
      </w:r>
      <w:r w:rsidR="00B508C7">
        <w:tab/>
      </w:r>
      <w:r w:rsidR="4292C384" w:rsidRPr="00FD3336">
        <w:rPr>
          <w:lang w:val="es-ES"/>
        </w:rPr>
        <w:t xml:space="preserve">Oarabile Serumola (Botswana) </w:t>
      </w:r>
    </w:p>
    <w:p w14:paraId="731C4AF4" w14:textId="4BEDF6D6" w:rsidR="4292C384" w:rsidRPr="00FD3336" w:rsidRDefault="00207368" w:rsidP="00207368">
      <w:pPr>
        <w:pStyle w:val="NormalNonumber"/>
        <w:rPr>
          <w:lang w:val="es-ES"/>
        </w:rPr>
      </w:pPr>
      <w:r w:rsidRPr="00FD3336">
        <w:rPr>
          <w:lang w:val="es-ES"/>
        </w:rPr>
        <w:tab/>
      </w:r>
      <w:r w:rsidRPr="00FD3336">
        <w:rPr>
          <w:lang w:val="es-ES"/>
        </w:rPr>
        <w:tab/>
      </w:r>
      <w:r w:rsidRPr="00FD3336">
        <w:rPr>
          <w:lang w:val="es-ES"/>
        </w:rPr>
        <w:tab/>
      </w:r>
      <w:r w:rsidRPr="00FD3336">
        <w:rPr>
          <w:lang w:val="es-ES"/>
        </w:rPr>
        <w:tab/>
      </w:r>
      <w:r w:rsidR="00B508C7">
        <w:rPr>
          <w:lang w:val="es-ES"/>
        </w:rPr>
        <w:tab/>
      </w:r>
      <w:r w:rsidR="4292C384" w:rsidRPr="00FD3336">
        <w:rPr>
          <w:lang w:val="es-ES"/>
        </w:rPr>
        <w:t xml:space="preserve">Roger Baro (Burkina Faso) </w:t>
      </w:r>
    </w:p>
    <w:p w14:paraId="32709580" w14:textId="03234B4F" w:rsidR="008F7C2F" w:rsidRPr="00FD3336" w:rsidRDefault="008F7C2F" w:rsidP="008F7C2F">
      <w:pPr>
        <w:pStyle w:val="NormalNonumber"/>
        <w:rPr>
          <w:lang w:val="es-ES"/>
        </w:rPr>
      </w:pPr>
      <w:r w:rsidRPr="00FD3336">
        <w:rPr>
          <w:lang w:val="es-ES"/>
        </w:rPr>
        <w:tab/>
      </w:r>
      <w:r w:rsidRPr="00FD3336">
        <w:rPr>
          <w:lang w:val="es-ES"/>
        </w:rPr>
        <w:tab/>
      </w:r>
      <w:r w:rsidRPr="00FD3336">
        <w:rPr>
          <w:lang w:val="es-ES"/>
        </w:rPr>
        <w:tab/>
      </w:r>
      <w:r w:rsidRPr="00FD3336">
        <w:rPr>
          <w:lang w:val="es-ES"/>
        </w:rPr>
        <w:tab/>
      </w:r>
      <w:r w:rsidR="00B508C7">
        <w:rPr>
          <w:lang w:val="es-ES"/>
        </w:rPr>
        <w:tab/>
      </w:r>
      <w:r w:rsidRPr="00FD3336">
        <w:rPr>
          <w:lang w:val="es-ES"/>
        </w:rPr>
        <w:t>Alison Dickson (Canada)</w:t>
      </w:r>
    </w:p>
    <w:p w14:paraId="579981C1" w14:textId="06C1F099" w:rsidR="4292C384" w:rsidRPr="00FD3336" w:rsidRDefault="00207368" w:rsidP="00207368">
      <w:pPr>
        <w:pStyle w:val="NormalNonumber"/>
        <w:rPr>
          <w:lang w:val="es-ES"/>
        </w:rPr>
      </w:pPr>
      <w:r w:rsidRPr="00FD3336">
        <w:rPr>
          <w:lang w:val="es-ES"/>
        </w:rPr>
        <w:tab/>
      </w:r>
      <w:r w:rsidRPr="00FD3336">
        <w:rPr>
          <w:lang w:val="es-ES"/>
        </w:rPr>
        <w:tab/>
      </w:r>
      <w:r w:rsidRPr="00FD3336">
        <w:rPr>
          <w:lang w:val="es-ES"/>
        </w:rPr>
        <w:tab/>
      </w:r>
      <w:r w:rsidRPr="00FD3336">
        <w:rPr>
          <w:lang w:val="es-ES"/>
        </w:rPr>
        <w:tab/>
      </w:r>
      <w:r w:rsidR="00B508C7">
        <w:rPr>
          <w:lang w:val="es-ES"/>
        </w:rPr>
        <w:tab/>
      </w:r>
      <w:r w:rsidR="00CE5FB3">
        <w:rPr>
          <w:lang w:val="es-ES"/>
        </w:rPr>
        <w:t>A</w:t>
      </w:r>
      <w:r w:rsidR="007D10FF" w:rsidRPr="00FD3336">
        <w:rPr>
          <w:lang w:val="es-ES"/>
        </w:rPr>
        <w:t xml:space="preserve">ngela </w:t>
      </w:r>
      <w:r w:rsidR="4292C384" w:rsidRPr="00FD3336">
        <w:rPr>
          <w:lang w:val="es-ES"/>
        </w:rPr>
        <w:t xml:space="preserve">Rivera (Colombie) </w:t>
      </w:r>
    </w:p>
    <w:p w14:paraId="2CA28B23" w14:textId="115AD75A" w:rsidR="4292C384" w:rsidRDefault="00207368" w:rsidP="00207368">
      <w:pPr>
        <w:pStyle w:val="NormalNonumber"/>
      </w:pPr>
      <w:r w:rsidRPr="00FD3336">
        <w:rPr>
          <w:lang w:val="es-ES"/>
        </w:rPr>
        <w:tab/>
      </w:r>
      <w:r w:rsidRPr="00FD3336">
        <w:rPr>
          <w:lang w:val="es-ES"/>
        </w:rPr>
        <w:tab/>
      </w:r>
      <w:r w:rsidRPr="00FD3336">
        <w:rPr>
          <w:lang w:val="es-ES"/>
        </w:rPr>
        <w:tab/>
      </w:r>
      <w:r w:rsidRPr="00FD3336">
        <w:rPr>
          <w:lang w:val="es-ES"/>
        </w:rPr>
        <w:tab/>
      </w:r>
      <w:r w:rsidR="00B508C7">
        <w:rPr>
          <w:lang w:val="es-ES"/>
        </w:rPr>
        <w:tab/>
      </w:r>
      <w:r w:rsidR="4292C384" w:rsidRPr="002A2EA6">
        <w:t xml:space="preserve">Marie-Claire Lhenry (France) </w:t>
      </w:r>
    </w:p>
    <w:p w14:paraId="7383814F" w14:textId="44CF8399" w:rsidR="008F7C2F" w:rsidRPr="002A2EA6" w:rsidRDefault="008F7C2F" w:rsidP="008F7C2F">
      <w:pPr>
        <w:pStyle w:val="NormalNonumber"/>
      </w:pPr>
      <w:r>
        <w:tab/>
      </w:r>
      <w:r>
        <w:tab/>
      </w:r>
      <w:r>
        <w:tab/>
      </w:r>
      <w:r>
        <w:tab/>
      </w:r>
      <w:r w:rsidR="00BD2467">
        <w:tab/>
      </w:r>
      <w:r w:rsidRPr="002A2EA6">
        <w:t xml:space="preserve">Bethune Morgan (Jamaïque) </w:t>
      </w:r>
    </w:p>
    <w:p w14:paraId="0B9D1563" w14:textId="67F854E7" w:rsidR="008F7C2F" w:rsidRPr="002A2EA6" w:rsidRDefault="008F7C2F" w:rsidP="008F7C2F">
      <w:pPr>
        <w:pStyle w:val="NormalNonumber"/>
      </w:pPr>
      <w:r>
        <w:tab/>
      </w:r>
      <w:r>
        <w:tab/>
      </w:r>
      <w:r>
        <w:tab/>
      </w:r>
      <w:r>
        <w:tab/>
      </w:r>
      <w:r w:rsidR="00BD2467">
        <w:tab/>
      </w:r>
      <w:r w:rsidRPr="002A2EA6">
        <w:t xml:space="preserve">Karmen Krajnc (Slovénie) </w:t>
      </w:r>
    </w:p>
    <w:p w14:paraId="1A5F4C84" w14:textId="3CDE1755" w:rsidR="008F7C2F" w:rsidRPr="002A2EA6" w:rsidRDefault="005320A2" w:rsidP="008F7C2F">
      <w:pPr>
        <w:pStyle w:val="NormalNonumber"/>
      </w:pPr>
      <w:r>
        <w:tab/>
      </w:r>
      <w:r>
        <w:tab/>
      </w:r>
      <w:r>
        <w:tab/>
      </w:r>
      <w:r>
        <w:tab/>
      </w:r>
      <w:r w:rsidR="00BD2467">
        <w:tab/>
      </w:r>
      <w:r w:rsidR="008F7C2F" w:rsidRPr="002A2EA6">
        <w:t xml:space="preserve">W.T. B Dissanayake (Sri Lanka) </w:t>
      </w:r>
    </w:p>
    <w:p w14:paraId="11E79404" w14:textId="1D7BFF7B" w:rsidR="4292C384" w:rsidRPr="002A2EA6" w:rsidRDefault="4292C384" w:rsidP="00A056A2">
      <w:pPr>
        <w:pStyle w:val="Normalnumber"/>
        <w:numPr>
          <w:ilvl w:val="0"/>
          <w:numId w:val="42"/>
        </w:numPr>
        <w:tabs>
          <w:tab w:val="clear" w:pos="1814"/>
          <w:tab w:val="left" w:pos="1843"/>
          <w:tab w:val="left" w:pos="1985"/>
        </w:tabs>
        <w:ind w:left="1288" w:hanging="28"/>
        <w:rPr>
          <w:lang w:val="fr-FR"/>
        </w:rPr>
      </w:pPr>
      <w:r w:rsidRPr="002A2EA6">
        <w:rPr>
          <w:lang w:val="fr-FR"/>
        </w:rPr>
        <w:t>Il a été convenu que le Bureau désignerait le (la) Rapporteur(</w:t>
      </w:r>
      <w:r w:rsidR="001D425B" w:rsidRPr="002A2EA6">
        <w:rPr>
          <w:lang w:val="fr-FR"/>
        </w:rPr>
        <w:t>s</w:t>
      </w:r>
      <w:r w:rsidRPr="002A2EA6">
        <w:rPr>
          <w:lang w:val="fr-FR"/>
        </w:rPr>
        <w:t>e) de la troisième</w:t>
      </w:r>
      <w:r w:rsidR="00C203F3" w:rsidRPr="002A2EA6">
        <w:rPr>
          <w:lang w:val="fr-FR"/>
        </w:rPr>
        <w:t> </w:t>
      </w:r>
      <w:r w:rsidRPr="002A2EA6">
        <w:rPr>
          <w:lang w:val="fr-FR"/>
        </w:rPr>
        <w:t>réunion de la</w:t>
      </w:r>
      <w:r w:rsidR="0070208A" w:rsidRPr="002A2EA6">
        <w:rPr>
          <w:lang w:val="fr-FR"/>
        </w:rPr>
        <w:t> </w:t>
      </w:r>
      <w:r w:rsidRPr="002A2EA6">
        <w:rPr>
          <w:lang w:val="fr-FR"/>
        </w:rPr>
        <w:t xml:space="preserve">Conférence des Parties au cours de </w:t>
      </w:r>
      <w:r w:rsidR="00FF1472" w:rsidRPr="002A2EA6">
        <w:rPr>
          <w:lang w:val="fr-FR"/>
        </w:rPr>
        <w:t>l</w:t>
      </w:r>
      <w:r w:rsidR="00CA4DAC">
        <w:rPr>
          <w:lang w:val="fr-FR"/>
        </w:rPr>
        <w:t>’</w:t>
      </w:r>
      <w:r w:rsidRPr="002A2EA6">
        <w:rPr>
          <w:lang w:val="fr-FR"/>
        </w:rPr>
        <w:t>intersession.</w:t>
      </w:r>
    </w:p>
    <w:p w14:paraId="3F0AA256" w14:textId="0709A7B3" w:rsidR="00585329" w:rsidRPr="002A2EA6" w:rsidRDefault="0095048C" w:rsidP="0095048C">
      <w:pPr>
        <w:pStyle w:val="CH2"/>
        <w:rPr>
          <w:lang w:val="fr-FR"/>
        </w:rPr>
      </w:pPr>
      <w:r w:rsidRPr="002A2EA6">
        <w:rPr>
          <w:lang w:val="fr-FR"/>
        </w:rPr>
        <w:tab/>
      </w:r>
      <w:bookmarkStart w:id="11" w:name="_Toc39063333"/>
      <w:r w:rsidRPr="002A2EA6">
        <w:rPr>
          <w:lang w:val="fr-FR"/>
        </w:rPr>
        <w:t>C.</w:t>
      </w:r>
      <w:r w:rsidRPr="002A2EA6">
        <w:rPr>
          <w:lang w:val="fr-FR"/>
        </w:rPr>
        <w:tab/>
      </w:r>
      <w:r w:rsidR="00585329" w:rsidRPr="002A2EA6">
        <w:rPr>
          <w:lang w:val="fr-FR"/>
        </w:rPr>
        <w:t>Adoption de l</w:t>
      </w:r>
      <w:r w:rsidR="00CA4DAC">
        <w:rPr>
          <w:lang w:val="fr-FR"/>
        </w:rPr>
        <w:t>’</w:t>
      </w:r>
      <w:r w:rsidR="00585329" w:rsidRPr="002A2EA6">
        <w:rPr>
          <w:lang w:val="fr-FR"/>
        </w:rPr>
        <w:t>ordre du jour</w:t>
      </w:r>
      <w:bookmarkEnd w:id="11"/>
    </w:p>
    <w:p w14:paraId="18C92357" w14:textId="4A08550E" w:rsidR="00585329" w:rsidRPr="002A2EA6" w:rsidRDefault="00585329"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adopté l</w:t>
      </w:r>
      <w:r w:rsidR="00CA4DAC">
        <w:rPr>
          <w:lang w:val="fr-FR"/>
        </w:rPr>
        <w:t>’</w:t>
      </w:r>
      <w:r w:rsidRPr="002A2EA6">
        <w:rPr>
          <w:lang w:val="fr-FR"/>
        </w:rPr>
        <w:t>ordre du jour ci-après sur la base de l</w:t>
      </w:r>
      <w:r w:rsidR="00CA4DAC">
        <w:rPr>
          <w:lang w:val="fr-FR"/>
        </w:rPr>
        <w:t>’</w:t>
      </w:r>
      <w:r w:rsidRPr="002A2EA6">
        <w:rPr>
          <w:lang w:val="fr-FR"/>
        </w:rPr>
        <w:t>ordre du jour provisoire (UNEP/MC/COP.3/1)</w:t>
      </w:r>
      <w:r w:rsidR="009348A1" w:rsidRPr="002A2EA6">
        <w:rPr>
          <w:lang w:val="fr-FR"/>
        </w:rPr>
        <w:t> </w:t>
      </w:r>
      <w:r w:rsidR="7A7F35F0" w:rsidRPr="002A2EA6">
        <w:rPr>
          <w:lang w:val="fr-FR"/>
        </w:rPr>
        <w:t>:</w:t>
      </w:r>
    </w:p>
    <w:p w14:paraId="70E475FD" w14:textId="1C1D36A0" w:rsidR="00585329" w:rsidRPr="002A2EA6" w:rsidRDefault="002E5929" w:rsidP="002E5929">
      <w:pPr>
        <w:pStyle w:val="NormalNonumber"/>
        <w:rPr>
          <w:lang w:val="fr-FR"/>
        </w:rPr>
      </w:pPr>
      <w:r w:rsidRPr="002A2EA6">
        <w:rPr>
          <w:lang w:val="fr-FR"/>
        </w:rPr>
        <w:tab/>
        <w:t>1.</w:t>
      </w:r>
      <w:r w:rsidRPr="002A2EA6">
        <w:rPr>
          <w:lang w:val="fr-FR"/>
        </w:rPr>
        <w:tab/>
      </w:r>
      <w:r w:rsidR="00585329" w:rsidRPr="002A2EA6">
        <w:rPr>
          <w:lang w:val="fr-FR"/>
        </w:rPr>
        <w:t>Ouverture de la réunion.</w:t>
      </w:r>
    </w:p>
    <w:p w14:paraId="078F6D5D" w14:textId="5A9C53D8" w:rsidR="00585329" w:rsidRPr="002A2EA6" w:rsidRDefault="002E5929" w:rsidP="002E5929">
      <w:pPr>
        <w:pStyle w:val="NormalNonumber"/>
        <w:rPr>
          <w:lang w:val="fr-FR"/>
        </w:rPr>
      </w:pPr>
      <w:r w:rsidRPr="002A2EA6">
        <w:rPr>
          <w:lang w:val="fr-FR"/>
        </w:rPr>
        <w:tab/>
        <w:t>2.</w:t>
      </w:r>
      <w:r w:rsidRPr="002A2EA6">
        <w:rPr>
          <w:lang w:val="fr-FR"/>
        </w:rPr>
        <w:tab/>
      </w:r>
      <w:r w:rsidR="00585329" w:rsidRPr="002A2EA6">
        <w:rPr>
          <w:lang w:val="fr-FR"/>
        </w:rPr>
        <w:t>Questions d</w:t>
      </w:r>
      <w:r w:rsidR="00CA4DAC">
        <w:rPr>
          <w:lang w:val="fr-FR"/>
        </w:rPr>
        <w:t>’</w:t>
      </w:r>
      <w:r w:rsidR="00585329" w:rsidRPr="002A2EA6">
        <w:rPr>
          <w:lang w:val="fr-FR"/>
        </w:rPr>
        <w:t>organisation</w:t>
      </w:r>
      <w:r w:rsidR="009348A1" w:rsidRPr="002A2EA6">
        <w:rPr>
          <w:lang w:val="fr-FR"/>
        </w:rPr>
        <w:t> </w:t>
      </w:r>
      <w:r w:rsidR="7A7F35F0" w:rsidRPr="002A2EA6">
        <w:rPr>
          <w:lang w:val="fr-FR"/>
        </w:rPr>
        <w:t>:</w:t>
      </w:r>
    </w:p>
    <w:p w14:paraId="24634567" w14:textId="0267BE58"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a)</w:t>
      </w:r>
      <w:r w:rsidRPr="002A2EA6">
        <w:rPr>
          <w:lang w:val="fr-FR"/>
        </w:rPr>
        <w:tab/>
      </w:r>
      <w:r w:rsidR="00585329" w:rsidRPr="002A2EA6">
        <w:rPr>
          <w:lang w:val="fr-FR"/>
        </w:rPr>
        <w:t>Élection du Bureau de la période intersessions et de la quatrième réunion de la</w:t>
      </w:r>
      <w:r w:rsidRPr="002A2EA6">
        <w:rPr>
          <w:lang w:val="fr-FR"/>
        </w:rPr>
        <w:t> </w:t>
      </w:r>
      <w:r w:rsidR="00585329" w:rsidRPr="002A2EA6">
        <w:rPr>
          <w:lang w:val="fr-FR"/>
        </w:rPr>
        <w:t>Conférence des Parties</w:t>
      </w:r>
      <w:r w:rsidR="009348A1" w:rsidRPr="002A2EA6">
        <w:rPr>
          <w:lang w:val="fr-FR"/>
        </w:rPr>
        <w:t> </w:t>
      </w:r>
      <w:r w:rsidR="631BDA25" w:rsidRPr="002A2EA6">
        <w:rPr>
          <w:lang w:val="fr-FR"/>
        </w:rPr>
        <w:t>;</w:t>
      </w:r>
    </w:p>
    <w:p w14:paraId="0F6A583D" w14:textId="2F2A2539"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b)</w:t>
      </w:r>
      <w:r w:rsidRPr="002A2EA6">
        <w:rPr>
          <w:lang w:val="fr-FR"/>
        </w:rPr>
        <w:tab/>
      </w:r>
      <w:r w:rsidR="00585329" w:rsidRPr="002A2EA6">
        <w:rPr>
          <w:lang w:val="fr-FR"/>
        </w:rPr>
        <w:t>Adoption de l</w:t>
      </w:r>
      <w:r w:rsidR="00CA4DAC">
        <w:rPr>
          <w:lang w:val="fr-FR"/>
        </w:rPr>
        <w:t>’</w:t>
      </w:r>
      <w:r w:rsidR="00585329" w:rsidRPr="002A2EA6">
        <w:rPr>
          <w:lang w:val="fr-FR"/>
        </w:rPr>
        <w:t>ordre du jour</w:t>
      </w:r>
      <w:r w:rsidR="009348A1" w:rsidRPr="002A2EA6">
        <w:rPr>
          <w:lang w:val="fr-FR"/>
        </w:rPr>
        <w:t> </w:t>
      </w:r>
      <w:r w:rsidR="631BDA25" w:rsidRPr="002A2EA6">
        <w:rPr>
          <w:lang w:val="fr-FR"/>
        </w:rPr>
        <w:t>;</w:t>
      </w:r>
    </w:p>
    <w:p w14:paraId="7DC7CB23" w14:textId="5887A408"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c)</w:t>
      </w:r>
      <w:r w:rsidRPr="002A2EA6">
        <w:rPr>
          <w:lang w:val="fr-FR"/>
        </w:rPr>
        <w:tab/>
      </w:r>
      <w:r w:rsidR="00585329" w:rsidRPr="002A2EA6">
        <w:rPr>
          <w:lang w:val="fr-FR"/>
        </w:rPr>
        <w:t>Organisation des travaux.</w:t>
      </w:r>
    </w:p>
    <w:p w14:paraId="74C8F9A5" w14:textId="5B1F3BF5" w:rsidR="00585329" w:rsidRPr="002A2EA6" w:rsidRDefault="002E5929" w:rsidP="002E5929">
      <w:pPr>
        <w:pStyle w:val="NormalNonumber"/>
        <w:ind w:left="2948" w:hanging="1701"/>
        <w:rPr>
          <w:lang w:val="fr-FR"/>
        </w:rPr>
      </w:pPr>
      <w:r w:rsidRPr="002A2EA6">
        <w:rPr>
          <w:lang w:val="fr-FR"/>
        </w:rPr>
        <w:tab/>
      </w:r>
      <w:r w:rsidRPr="002A2EA6">
        <w:rPr>
          <w:lang w:val="fr-FR"/>
        </w:rPr>
        <w:tab/>
        <w:t>3.</w:t>
      </w:r>
      <w:r w:rsidRPr="002A2EA6">
        <w:rPr>
          <w:lang w:val="fr-FR"/>
        </w:rPr>
        <w:tab/>
      </w:r>
      <w:r w:rsidR="00585329" w:rsidRPr="002A2EA6">
        <w:rPr>
          <w:lang w:val="fr-FR"/>
        </w:rPr>
        <w:t>Règlement intérieur de la Conférence des Parties</w:t>
      </w:r>
      <w:r w:rsidR="009348A1" w:rsidRPr="002A2EA6">
        <w:rPr>
          <w:lang w:val="fr-FR"/>
        </w:rPr>
        <w:t> </w:t>
      </w:r>
      <w:r w:rsidR="7A7F35F0" w:rsidRPr="002A2EA6">
        <w:rPr>
          <w:lang w:val="fr-FR"/>
        </w:rPr>
        <w:t>:</w:t>
      </w:r>
      <w:r w:rsidR="00585329" w:rsidRPr="002A2EA6">
        <w:rPr>
          <w:lang w:val="fr-FR"/>
        </w:rPr>
        <w:t xml:space="preserve"> examen de l</w:t>
      </w:r>
      <w:r w:rsidR="00CA4DAC">
        <w:rPr>
          <w:lang w:val="fr-FR"/>
        </w:rPr>
        <w:t>’</w:t>
      </w:r>
      <w:r w:rsidR="00585329" w:rsidRPr="002A2EA6">
        <w:rPr>
          <w:lang w:val="fr-FR"/>
        </w:rPr>
        <w:t>article 45.</w:t>
      </w:r>
    </w:p>
    <w:p w14:paraId="5D1E1990" w14:textId="7A102D5A" w:rsidR="00585329" w:rsidRPr="002A2EA6" w:rsidRDefault="002E5929" w:rsidP="002E5929">
      <w:pPr>
        <w:pStyle w:val="NormalNonumber"/>
        <w:ind w:left="2381" w:hanging="1134"/>
        <w:rPr>
          <w:lang w:val="fr-FR"/>
        </w:rPr>
      </w:pPr>
      <w:r w:rsidRPr="002A2EA6">
        <w:rPr>
          <w:lang w:val="fr-FR"/>
        </w:rPr>
        <w:tab/>
        <w:t>4.</w:t>
      </w:r>
      <w:r w:rsidRPr="002A2EA6">
        <w:rPr>
          <w:lang w:val="fr-FR"/>
        </w:rPr>
        <w:tab/>
      </w:r>
      <w:r w:rsidR="00585329" w:rsidRPr="002A2EA6">
        <w:rPr>
          <w:lang w:val="fr-FR"/>
        </w:rPr>
        <w:t>Rapport sur la vérification des pouvoirs des représentants à la troisième réunion de la</w:t>
      </w:r>
      <w:r w:rsidRPr="002A2EA6">
        <w:rPr>
          <w:lang w:val="fr-FR"/>
        </w:rPr>
        <w:t> </w:t>
      </w:r>
      <w:r w:rsidR="00585329" w:rsidRPr="002A2EA6">
        <w:rPr>
          <w:lang w:val="fr-FR"/>
        </w:rPr>
        <w:t>Conférence des Parties.</w:t>
      </w:r>
    </w:p>
    <w:p w14:paraId="1CB53470" w14:textId="50817398" w:rsidR="003D0299" w:rsidRPr="002A2EA6" w:rsidRDefault="002E5929" w:rsidP="002E5929">
      <w:pPr>
        <w:pStyle w:val="NormalNonumber"/>
        <w:ind w:left="2381" w:hanging="1134"/>
        <w:rPr>
          <w:lang w:val="fr-FR"/>
        </w:rPr>
      </w:pPr>
      <w:r w:rsidRPr="002A2EA6">
        <w:rPr>
          <w:lang w:val="fr-FR"/>
        </w:rPr>
        <w:tab/>
        <w:t>5.</w:t>
      </w:r>
      <w:r w:rsidRPr="002A2EA6">
        <w:rPr>
          <w:lang w:val="fr-FR"/>
        </w:rPr>
        <w:tab/>
      </w:r>
      <w:r w:rsidR="00585329" w:rsidRPr="002A2EA6">
        <w:rPr>
          <w:lang w:val="fr-FR"/>
        </w:rPr>
        <w:t>Questions soumises à la Conférence des Parties pour examen ou décision</w:t>
      </w:r>
      <w:r w:rsidR="005320A2">
        <w:rPr>
          <w:lang w:val="fr-FR"/>
        </w:rPr>
        <w:t> </w:t>
      </w:r>
      <w:r w:rsidR="7A7F35F0" w:rsidRPr="002A2EA6">
        <w:rPr>
          <w:lang w:val="fr-FR"/>
        </w:rPr>
        <w:t>:</w:t>
      </w:r>
    </w:p>
    <w:p w14:paraId="11BCA14A" w14:textId="18C0600C"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a)</w:t>
      </w:r>
      <w:r w:rsidRPr="002A2EA6">
        <w:rPr>
          <w:lang w:val="fr-FR"/>
        </w:rPr>
        <w:tab/>
      </w:r>
      <w:r w:rsidR="00585329" w:rsidRPr="002A2EA6">
        <w:rPr>
          <w:lang w:val="fr-FR"/>
        </w:rPr>
        <w:t>Produits contenant du mercure ajouté et procédés de fabrication utilisant du mercure ou des composés du mercure</w:t>
      </w:r>
      <w:r w:rsidR="009348A1" w:rsidRPr="002A2EA6">
        <w:rPr>
          <w:lang w:val="fr-FR"/>
        </w:rPr>
        <w:t> </w:t>
      </w:r>
      <w:r w:rsidR="631BDA25" w:rsidRPr="002A2EA6">
        <w:rPr>
          <w:lang w:val="fr-FR"/>
        </w:rPr>
        <w:t>;</w:t>
      </w:r>
    </w:p>
    <w:p w14:paraId="0C843ED2" w14:textId="4315F6D6" w:rsidR="00585329" w:rsidRPr="002A2EA6" w:rsidRDefault="007C6CA1" w:rsidP="007C6CA1">
      <w:pPr>
        <w:pStyle w:val="NormalNonumber"/>
        <w:ind w:left="2948" w:hanging="1701"/>
        <w:rPr>
          <w:lang w:val="fr-FR"/>
        </w:rPr>
      </w:pPr>
      <w:bookmarkStart w:id="12" w:name="_Hlk2905442"/>
      <w:r w:rsidRPr="002A2EA6">
        <w:rPr>
          <w:lang w:val="fr-FR"/>
        </w:rPr>
        <w:tab/>
      </w:r>
      <w:r w:rsidRPr="002A2EA6">
        <w:rPr>
          <w:lang w:val="fr-FR"/>
        </w:rPr>
        <w:tab/>
      </w:r>
      <w:r w:rsidRPr="002A2EA6">
        <w:rPr>
          <w:lang w:val="fr-FR"/>
        </w:rPr>
        <w:tab/>
      </w:r>
      <w:r w:rsidRPr="002A2EA6">
        <w:rPr>
          <w:lang w:val="fr-FR"/>
        </w:rPr>
        <w:tab/>
        <w:t>i)</w:t>
      </w:r>
      <w:r w:rsidRPr="002A2EA6">
        <w:rPr>
          <w:lang w:val="fr-FR"/>
        </w:rPr>
        <w:tab/>
      </w:r>
      <w:r w:rsidR="00585329" w:rsidRPr="002A2EA6">
        <w:rPr>
          <w:lang w:val="fr-FR"/>
        </w:rPr>
        <w:t>Examen des Annexes A et</w:t>
      </w:r>
      <w:r w:rsidR="00F77DD2" w:rsidRPr="002A2EA6">
        <w:rPr>
          <w:lang w:val="fr-FR"/>
        </w:rPr>
        <w:t> </w:t>
      </w:r>
      <w:r w:rsidR="00585329" w:rsidRPr="002A2EA6">
        <w:rPr>
          <w:lang w:val="fr-FR"/>
        </w:rPr>
        <w:t>B</w:t>
      </w:r>
      <w:r w:rsidR="009348A1" w:rsidRPr="002A2EA6">
        <w:rPr>
          <w:lang w:val="fr-FR"/>
        </w:rPr>
        <w:t> </w:t>
      </w:r>
      <w:r w:rsidR="631BDA25" w:rsidRPr="002A2EA6">
        <w:rPr>
          <w:lang w:val="fr-FR"/>
        </w:rPr>
        <w:t>;</w:t>
      </w:r>
    </w:p>
    <w:p w14:paraId="486AB4D6" w14:textId="173AF47B" w:rsidR="00585329" w:rsidRPr="002A2EA6" w:rsidRDefault="007C6CA1" w:rsidP="007C6CA1">
      <w:pPr>
        <w:pStyle w:val="NormalNonumber"/>
        <w:ind w:left="2948" w:hanging="1701"/>
        <w:rPr>
          <w:lang w:val="fr-FR"/>
        </w:rPr>
      </w:pPr>
      <w:r w:rsidRPr="002A2EA6">
        <w:rPr>
          <w:lang w:val="fr-FR"/>
        </w:rPr>
        <w:tab/>
      </w:r>
      <w:r w:rsidRPr="002A2EA6">
        <w:rPr>
          <w:lang w:val="fr-FR"/>
        </w:rPr>
        <w:tab/>
      </w:r>
      <w:r w:rsidRPr="002A2EA6">
        <w:rPr>
          <w:lang w:val="fr-FR"/>
        </w:rPr>
        <w:tab/>
      </w:r>
      <w:r w:rsidRPr="002A2EA6">
        <w:rPr>
          <w:lang w:val="fr-FR"/>
        </w:rPr>
        <w:tab/>
        <w:t>ii)</w:t>
      </w:r>
      <w:r w:rsidRPr="002A2EA6">
        <w:rPr>
          <w:lang w:val="fr-FR"/>
        </w:rPr>
        <w:tab/>
      </w:r>
      <w:r w:rsidR="00585329" w:rsidRPr="002A2EA6">
        <w:rPr>
          <w:lang w:val="fr-FR"/>
        </w:rPr>
        <w:t>Proposition d</w:t>
      </w:r>
      <w:r w:rsidR="00CA4DAC">
        <w:rPr>
          <w:lang w:val="fr-FR"/>
        </w:rPr>
        <w:t>’</w:t>
      </w:r>
      <w:r w:rsidR="00585329" w:rsidRPr="002A2EA6">
        <w:rPr>
          <w:lang w:val="fr-FR"/>
        </w:rPr>
        <w:t>amendement de l</w:t>
      </w:r>
      <w:r w:rsidR="00CA4DAC">
        <w:rPr>
          <w:lang w:val="fr-FR"/>
        </w:rPr>
        <w:t>’</w:t>
      </w:r>
      <w:r w:rsidR="00585329" w:rsidRPr="002A2EA6">
        <w:rPr>
          <w:lang w:val="fr-FR"/>
        </w:rPr>
        <w:t>Annexe A</w:t>
      </w:r>
      <w:r w:rsidR="009348A1" w:rsidRPr="002A2EA6">
        <w:rPr>
          <w:lang w:val="fr-FR"/>
        </w:rPr>
        <w:t> </w:t>
      </w:r>
      <w:r w:rsidR="631BDA25" w:rsidRPr="002A2EA6">
        <w:rPr>
          <w:lang w:val="fr-FR"/>
        </w:rPr>
        <w:t>;</w:t>
      </w:r>
    </w:p>
    <w:bookmarkEnd w:id="12"/>
    <w:p w14:paraId="40A85893" w14:textId="1AB09624" w:rsidR="00585329" w:rsidRPr="002A2EA6" w:rsidRDefault="007C6CA1" w:rsidP="007C6CA1">
      <w:pPr>
        <w:pStyle w:val="NormalNonumber"/>
        <w:ind w:left="2948" w:hanging="1701"/>
        <w:rPr>
          <w:lang w:val="fr-FR"/>
        </w:rPr>
      </w:pPr>
      <w:r w:rsidRPr="002A2EA6">
        <w:rPr>
          <w:lang w:val="fr-FR"/>
        </w:rPr>
        <w:tab/>
      </w:r>
      <w:r w:rsidRPr="002A2EA6">
        <w:rPr>
          <w:lang w:val="fr-FR"/>
        </w:rPr>
        <w:tab/>
      </w:r>
      <w:r w:rsidRPr="002A2EA6">
        <w:rPr>
          <w:lang w:val="fr-FR"/>
        </w:rPr>
        <w:tab/>
      </w:r>
      <w:r w:rsidRPr="002A2EA6">
        <w:rPr>
          <w:lang w:val="fr-FR"/>
        </w:rPr>
        <w:tab/>
        <w:t>iii)</w:t>
      </w:r>
      <w:r w:rsidRPr="002A2EA6">
        <w:rPr>
          <w:lang w:val="fr-FR"/>
        </w:rPr>
        <w:tab/>
      </w:r>
      <w:r w:rsidR="00585329" w:rsidRPr="002A2EA6">
        <w:rPr>
          <w:lang w:val="fr-FR"/>
        </w:rPr>
        <w:t>Codes du Système harmonisé</w:t>
      </w:r>
      <w:r w:rsidR="009348A1" w:rsidRPr="002A2EA6">
        <w:rPr>
          <w:lang w:val="fr-FR"/>
        </w:rPr>
        <w:t> </w:t>
      </w:r>
      <w:r w:rsidR="631BDA25" w:rsidRPr="002A2EA6">
        <w:rPr>
          <w:lang w:val="fr-FR"/>
        </w:rPr>
        <w:t>;</w:t>
      </w:r>
    </w:p>
    <w:p w14:paraId="155AC949" w14:textId="602F5A28"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b)</w:t>
      </w:r>
      <w:r w:rsidRPr="002A2EA6">
        <w:rPr>
          <w:lang w:val="fr-FR"/>
        </w:rPr>
        <w:tab/>
      </w:r>
      <w:r w:rsidR="00585329" w:rsidRPr="002A2EA6">
        <w:rPr>
          <w:lang w:val="fr-FR"/>
        </w:rPr>
        <w:t>Rejets de mercure</w:t>
      </w:r>
      <w:r w:rsidR="009348A1" w:rsidRPr="002A2EA6">
        <w:rPr>
          <w:lang w:val="fr-FR"/>
        </w:rPr>
        <w:t> </w:t>
      </w:r>
      <w:r w:rsidR="631BDA25" w:rsidRPr="002A2EA6">
        <w:rPr>
          <w:lang w:val="fr-FR"/>
        </w:rPr>
        <w:t>;</w:t>
      </w:r>
    </w:p>
    <w:p w14:paraId="56E8ACBE" w14:textId="625799FF"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c)</w:t>
      </w:r>
      <w:r w:rsidRPr="002A2EA6">
        <w:rPr>
          <w:lang w:val="fr-FR"/>
        </w:rPr>
        <w:tab/>
      </w:r>
      <w:r w:rsidR="00585329" w:rsidRPr="002A2EA6">
        <w:rPr>
          <w:lang w:val="fr-FR"/>
        </w:rPr>
        <w:t>Déchets de mercure, en particulier examen des seuils pertinents</w:t>
      </w:r>
      <w:r w:rsidR="009348A1" w:rsidRPr="002A2EA6">
        <w:rPr>
          <w:lang w:val="fr-FR"/>
        </w:rPr>
        <w:t> </w:t>
      </w:r>
      <w:r w:rsidR="631BDA25" w:rsidRPr="002A2EA6">
        <w:rPr>
          <w:lang w:val="fr-FR"/>
        </w:rPr>
        <w:t>;</w:t>
      </w:r>
    </w:p>
    <w:p w14:paraId="3737C9D8" w14:textId="1AA86C6B"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d)</w:t>
      </w:r>
      <w:r w:rsidRPr="002A2EA6">
        <w:rPr>
          <w:lang w:val="fr-FR"/>
        </w:rPr>
        <w:tab/>
      </w:r>
      <w:r w:rsidR="00585329" w:rsidRPr="002A2EA6">
        <w:rPr>
          <w:lang w:val="fr-FR"/>
        </w:rPr>
        <w:t>Orientations sur la gestion des sites contaminés</w:t>
      </w:r>
      <w:r w:rsidR="009348A1" w:rsidRPr="002A2EA6">
        <w:rPr>
          <w:lang w:val="fr-FR"/>
        </w:rPr>
        <w:t> </w:t>
      </w:r>
      <w:r w:rsidR="631BDA25" w:rsidRPr="002A2EA6">
        <w:rPr>
          <w:lang w:val="fr-FR"/>
        </w:rPr>
        <w:t>;</w:t>
      </w:r>
    </w:p>
    <w:p w14:paraId="72472E9E" w14:textId="136554C1"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e)</w:t>
      </w:r>
      <w:r w:rsidRPr="002A2EA6">
        <w:rPr>
          <w:lang w:val="fr-FR"/>
        </w:rPr>
        <w:tab/>
      </w:r>
      <w:r w:rsidR="00585329" w:rsidRPr="002A2EA6">
        <w:rPr>
          <w:lang w:val="fr-FR"/>
        </w:rPr>
        <w:t>Mécanisme de financement</w:t>
      </w:r>
      <w:r w:rsidR="009348A1" w:rsidRPr="002A2EA6">
        <w:rPr>
          <w:lang w:val="fr-FR"/>
        </w:rPr>
        <w:t> </w:t>
      </w:r>
      <w:r w:rsidR="7A7F35F0" w:rsidRPr="002A2EA6">
        <w:rPr>
          <w:lang w:val="fr-FR"/>
        </w:rPr>
        <w:t>:</w:t>
      </w:r>
    </w:p>
    <w:p w14:paraId="2FD46AB8" w14:textId="6823134B" w:rsidR="00585329" w:rsidRPr="002A2EA6" w:rsidRDefault="007C6CA1" w:rsidP="007C6CA1">
      <w:pPr>
        <w:pStyle w:val="NormalNonumber"/>
        <w:ind w:left="2948" w:hanging="1701"/>
        <w:rPr>
          <w:lang w:val="fr-FR"/>
        </w:rPr>
      </w:pPr>
      <w:r w:rsidRPr="002A2EA6">
        <w:rPr>
          <w:lang w:val="fr-FR"/>
        </w:rPr>
        <w:tab/>
      </w:r>
      <w:r w:rsidRPr="002A2EA6">
        <w:rPr>
          <w:lang w:val="fr-FR"/>
        </w:rPr>
        <w:tab/>
      </w:r>
      <w:r w:rsidRPr="002A2EA6">
        <w:rPr>
          <w:lang w:val="fr-FR"/>
        </w:rPr>
        <w:tab/>
      </w:r>
      <w:r w:rsidRPr="002A2EA6">
        <w:rPr>
          <w:lang w:val="fr-FR"/>
        </w:rPr>
        <w:tab/>
        <w:t>i)</w:t>
      </w:r>
      <w:r w:rsidRPr="002A2EA6">
        <w:rPr>
          <w:lang w:val="fr-FR"/>
        </w:rPr>
        <w:tab/>
      </w:r>
      <w:r w:rsidR="00585329" w:rsidRPr="002A2EA6">
        <w:rPr>
          <w:lang w:val="fr-FR"/>
        </w:rPr>
        <w:t>Fonds pour l</w:t>
      </w:r>
      <w:r w:rsidR="00CA4DAC">
        <w:rPr>
          <w:lang w:val="fr-FR"/>
        </w:rPr>
        <w:t>’</w:t>
      </w:r>
      <w:r w:rsidR="00585329" w:rsidRPr="002A2EA6">
        <w:rPr>
          <w:lang w:val="fr-FR"/>
        </w:rPr>
        <w:t>environnement mondial</w:t>
      </w:r>
      <w:r w:rsidR="009348A1" w:rsidRPr="002A2EA6">
        <w:rPr>
          <w:lang w:val="fr-FR"/>
        </w:rPr>
        <w:t> </w:t>
      </w:r>
      <w:r w:rsidR="631BDA25" w:rsidRPr="002A2EA6">
        <w:rPr>
          <w:lang w:val="fr-FR"/>
        </w:rPr>
        <w:t>;</w:t>
      </w:r>
    </w:p>
    <w:p w14:paraId="030EF07C" w14:textId="5C247FA7" w:rsidR="00585329" w:rsidRPr="002A2EA6" w:rsidRDefault="007C6CA1" w:rsidP="007C6CA1">
      <w:pPr>
        <w:pStyle w:val="NormalNonumber"/>
        <w:ind w:left="3515" w:hanging="2268"/>
        <w:rPr>
          <w:lang w:val="fr-FR"/>
        </w:rPr>
      </w:pPr>
      <w:r w:rsidRPr="002A2EA6">
        <w:rPr>
          <w:lang w:val="fr-FR"/>
        </w:rPr>
        <w:lastRenderedPageBreak/>
        <w:tab/>
      </w:r>
      <w:r w:rsidRPr="002A2EA6">
        <w:rPr>
          <w:lang w:val="fr-FR"/>
        </w:rPr>
        <w:tab/>
      </w:r>
      <w:r w:rsidRPr="002A2EA6">
        <w:rPr>
          <w:lang w:val="fr-FR"/>
        </w:rPr>
        <w:tab/>
        <w:t>ii)</w:t>
      </w:r>
      <w:r w:rsidRPr="002A2EA6">
        <w:rPr>
          <w:lang w:val="fr-FR"/>
        </w:rPr>
        <w:tab/>
      </w:r>
      <w:r w:rsidR="00585329" w:rsidRPr="002A2EA6">
        <w:rPr>
          <w:lang w:val="fr-FR"/>
        </w:rPr>
        <w:t>Programme international spécifique visant à soutenir le renforcement des</w:t>
      </w:r>
      <w:r w:rsidR="002E5929" w:rsidRPr="002A2EA6">
        <w:rPr>
          <w:lang w:val="fr-FR"/>
        </w:rPr>
        <w:t> </w:t>
      </w:r>
      <w:r w:rsidR="00585329" w:rsidRPr="002A2EA6">
        <w:rPr>
          <w:lang w:val="fr-FR"/>
        </w:rPr>
        <w:t>capacités et l</w:t>
      </w:r>
      <w:r w:rsidR="00CA4DAC">
        <w:rPr>
          <w:lang w:val="fr-FR"/>
        </w:rPr>
        <w:t>’</w:t>
      </w:r>
      <w:r w:rsidR="00585329" w:rsidRPr="002A2EA6">
        <w:rPr>
          <w:lang w:val="fr-FR"/>
        </w:rPr>
        <w:t>assistance technique</w:t>
      </w:r>
      <w:r w:rsidR="009348A1" w:rsidRPr="002A2EA6">
        <w:rPr>
          <w:lang w:val="fr-FR"/>
        </w:rPr>
        <w:t> </w:t>
      </w:r>
      <w:r w:rsidR="631BDA25" w:rsidRPr="002A2EA6">
        <w:rPr>
          <w:lang w:val="fr-FR"/>
        </w:rPr>
        <w:t>;</w:t>
      </w:r>
    </w:p>
    <w:p w14:paraId="6F2C7E24" w14:textId="4C4AC804" w:rsidR="00585329" w:rsidRPr="002A2EA6" w:rsidRDefault="007C6CA1" w:rsidP="007C6CA1">
      <w:pPr>
        <w:pStyle w:val="NormalNonumber"/>
        <w:ind w:left="2948" w:hanging="1701"/>
        <w:rPr>
          <w:lang w:val="fr-FR"/>
        </w:rPr>
      </w:pPr>
      <w:r w:rsidRPr="002A2EA6">
        <w:rPr>
          <w:lang w:val="fr-FR"/>
        </w:rPr>
        <w:tab/>
      </w:r>
      <w:r w:rsidRPr="002A2EA6">
        <w:rPr>
          <w:lang w:val="fr-FR"/>
        </w:rPr>
        <w:tab/>
      </w:r>
      <w:r w:rsidRPr="002A2EA6">
        <w:rPr>
          <w:lang w:val="fr-FR"/>
        </w:rPr>
        <w:tab/>
      </w:r>
      <w:r w:rsidRPr="002A2EA6">
        <w:rPr>
          <w:lang w:val="fr-FR"/>
        </w:rPr>
        <w:tab/>
        <w:t>iii)</w:t>
      </w:r>
      <w:r w:rsidRPr="002A2EA6">
        <w:rPr>
          <w:lang w:val="fr-FR"/>
        </w:rPr>
        <w:tab/>
      </w:r>
      <w:r w:rsidR="00585329" w:rsidRPr="002A2EA6">
        <w:rPr>
          <w:lang w:val="fr-FR"/>
        </w:rPr>
        <w:t>Examen du mécanisme de financement</w:t>
      </w:r>
      <w:r w:rsidR="009348A1" w:rsidRPr="002A2EA6">
        <w:rPr>
          <w:lang w:val="fr-FR"/>
        </w:rPr>
        <w:t> </w:t>
      </w:r>
      <w:r w:rsidR="631BDA25" w:rsidRPr="002A2EA6">
        <w:rPr>
          <w:lang w:val="fr-FR"/>
        </w:rPr>
        <w:t>;</w:t>
      </w:r>
    </w:p>
    <w:p w14:paraId="18F014A8" w14:textId="43DBCD5D"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f)</w:t>
      </w:r>
      <w:r w:rsidRPr="002A2EA6">
        <w:rPr>
          <w:lang w:val="fr-FR"/>
        </w:rPr>
        <w:tab/>
      </w:r>
      <w:r w:rsidR="00585329" w:rsidRPr="002A2EA6">
        <w:rPr>
          <w:lang w:val="fr-FR"/>
        </w:rPr>
        <w:t>Renforcement des capacités, assistance technique et transfert de technologies</w:t>
      </w:r>
      <w:r w:rsidR="009348A1" w:rsidRPr="002A2EA6">
        <w:rPr>
          <w:lang w:val="fr-FR"/>
        </w:rPr>
        <w:t> </w:t>
      </w:r>
      <w:r w:rsidR="631BDA25" w:rsidRPr="002A2EA6">
        <w:rPr>
          <w:lang w:val="fr-FR"/>
        </w:rPr>
        <w:t>;</w:t>
      </w:r>
    </w:p>
    <w:p w14:paraId="4D5538E3" w14:textId="700735C2"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g)</w:t>
      </w:r>
      <w:r w:rsidRPr="002A2EA6">
        <w:rPr>
          <w:lang w:val="fr-FR"/>
        </w:rPr>
        <w:tab/>
      </w:r>
      <w:r w:rsidR="00585329" w:rsidRPr="002A2EA6">
        <w:rPr>
          <w:lang w:val="fr-FR"/>
        </w:rPr>
        <w:t>Comité de mise en œuvre et du respect des obligations</w:t>
      </w:r>
      <w:r w:rsidR="009348A1" w:rsidRPr="002A2EA6">
        <w:rPr>
          <w:lang w:val="fr-FR"/>
        </w:rPr>
        <w:t> </w:t>
      </w:r>
      <w:r w:rsidR="631BDA25" w:rsidRPr="002A2EA6">
        <w:rPr>
          <w:lang w:val="fr-FR"/>
        </w:rPr>
        <w:t>;</w:t>
      </w:r>
    </w:p>
    <w:p w14:paraId="59743DB8" w14:textId="26561851"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h)</w:t>
      </w:r>
      <w:r w:rsidRPr="002A2EA6">
        <w:rPr>
          <w:lang w:val="fr-FR"/>
        </w:rPr>
        <w:tab/>
      </w:r>
      <w:r w:rsidR="00585329" w:rsidRPr="002A2EA6">
        <w:rPr>
          <w:lang w:val="fr-FR"/>
        </w:rPr>
        <w:t>Évaluation de l</w:t>
      </w:r>
      <w:r w:rsidR="00CA4DAC">
        <w:rPr>
          <w:lang w:val="fr-FR"/>
        </w:rPr>
        <w:t>’</w:t>
      </w:r>
      <w:r w:rsidR="00585329" w:rsidRPr="002A2EA6">
        <w:rPr>
          <w:lang w:val="fr-FR"/>
        </w:rPr>
        <w:t>efficacité</w:t>
      </w:r>
      <w:r w:rsidR="009348A1" w:rsidRPr="002A2EA6">
        <w:rPr>
          <w:lang w:val="fr-FR"/>
        </w:rPr>
        <w:t> </w:t>
      </w:r>
      <w:r w:rsidR="631BDA25" w:rsidRPr="002A2EA6">
        <w:rPr>
          <w:lang w:val="fr-FR"/>
        </w:rPr>
        <w:t>;</w:t>
      </w:r>
    </w:p>
    <w:p w14:paraId="5B70B334" w14:textId="03CFF56C"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i)</w:t>
      </w:r>
      <w:r w:rsidRPr="002A2EA6">
        <w:rPr>
          <w:lang w:val="fr-FR"/>
        </w:rPr>
        <w:tab/>
      </w:r>
      <w:r w:rsidR="00585329" w:rsidRPr="002A2EA6">
        <w:rPr>
          <w:lang w:val="fr-FR"/>
        </w:rPr>
        <w:t>Règles de gestion financière</w:t>
      </w:r>
      <w:r w:rsidR="009348A1" w:rsidRPr="002A2EA6">
        <w:rPr>
          <w:lang w:val="fr-FR"/>
        </w:rPr>
        <w:t> </w:t>
      </w:r>
      <w:r w:rsidR="631BDA25" w:rsidRPr="002A2EA6">
        <w:rPr>
          <w:lang w:val="fr-FR"/>
        </w:rPr>
        <w:t>;</w:t>
      </w:r>
    </w:p>
    <w:p w14:paraId="0D97B94C" w14:textId="10C79E5E"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j)</w:t>
      </w:r>
      <w:r w:rsidRPr="002A2EA6">
        <w:rPr>
          <w:lang w:val="fr-FR"/>
        </w:rPr>
        <w:tab/>
      </w:r>
      <w:r w:rsidR="00585329" w:rsidRPr="002A2EA6">
        <w:rPr>
          <w:lang w:val="fr-FR"/>
        </w:rPr>
        <w:t>Secrétariat</w:t>
      </w:r>
      <w:r w:rsidR="009348A1" w:rsidRPr="002A2EA6">
        <w:rPr>
          <w:lang w:val="fr-FR"/>
        </w:rPr>
        <w:t> </w:t>
      </w:r>
      <w:r w:rsidR="631BDA25" w:rsidRPr="002A2EA6">
        <w:rPr>
          <w:lang w:val="fr-FR"/>
        </w:rPr>
        <w:t>;</w:t>
      </w:r>
    </w:p>
    <w:p w14:paraId="10AC3F33" w14:textId="38D35158" w:rsidR="00585329" w:rsidRPr="002A2EA6" w:rsidRDefault="002E5929" w:rsidP="002E5929">
      <w:pPr>
        <w:pStyle w:val="NormalNonumber"/>
        <w:ind w:left="2948" w:hanging="1701"/>
        <w:rPr>
          <w:lang w:val="fr-FR"/>
        </w:rPr>
      </w:pPr>
      <w:r w:rsidRPr="002A2EA6">
        <w:rPr>
          <w:lang w:val="fr-FR"/>
        </w:rPr>
        <w:tab/>
      </w:r>
      <w:r w:rsidRPr="002A2EA6">
        <w:rPr>
          <w:lang w:val="fr-FR"/>
        </w:rPr>
        <w:tab/>
      </w:r>
      <w:r w:rsidRPr="002A2EA6">
        <w:rPr>
          <w:lang w:val="fr-FR"/>
        </w:rPr>
        <w:tab/>
        <w:t>k)</w:t>
      </w:r>
      <w:r w:rsidRPr="002A2EA6">
        <w:rPr>
          <w:lang w:val="fr-FR"/>
        </w:rPr>
        <w:tab/>
      </w:r>
      <w:r w:rsidR="00585329" w:rsidRPr="002A2EA6">
        <w:rPr>
          <w:lang w:val="fr-FR"/>
        </w:rPr>
        <w:t>Émissions de mercure provenant du brûlage de déchets à l</w:t>
      </w:r>
      <w:r w:rsidR="00CA4DAC">
        <w:rPr>
          <w:lang w:val="fr-FR"/>
        </w:rPr>
        <w:t>’</w:t>
      </w:r>
      <w:r w:rsidR="00585329" w:rsidRPr="002A2EA6">
        <w:rPr>
          <w:lang w:val="fr-FR"/>
        </w:rPr>
        <w:t>air libre.</w:t>
      </w:r>
    </w:p>
    <w:p w14:paraId="625DB9BA" w14:textId="5E13A7E8" w:rsidR="003D0299" w:rsidRPr="002A2EA6" w:rsidRDefault="007C6CA1" w:rsidP="007C6CA1">
      <w:pPr>
        <w:pStyle w:val="NormalNonumber"/>
        <w:ind w:left="2948" w:hanging="1701"/>
        <w:rPr>
          <w:lang w:val="fr-FR"/>
        </w:rPr>
      </w:pPr>
      <w:r w:rsidRPr="002A2EA6">
        <w:rPr>
          <w:lang w:val="fr-FR"/>
        </w:rPr>
        <w:tab/>
      </w:r>
      <w:r w:rsidRPr="002A2EA6">
        <w:rPr>
          <w:lang w:val="fr-FR"/>
        </w:rPr>
        <w:tab/>
        <w:t>6.</w:t>
      </w:r>
      <w:r w:rsidRPr="002A2EA6">
        <w:rPr>
          <w:lang w:val="fr-FR"/>
        </w:rPr>
        <w:tab/>
      </w:r>
      <w:r w:rsidR="00585329" w:rsidRPr="002A2EA6">
        <w:rPr>
          <w:lang w:val="fr-FR"/>
        </w:rPr>
        <w:t>Coopération et coordination au niveau international</w:t>
      </w:r>
      <w:r w:rsidR="009348A1" w:rsidRPr="002A2EA6">
        <w:rPr>
          <w:lang w:val="fr-FR"/>
        </w:rPr>
        <w:t> </w:t>
      </w:r>
      <w:r w:rsidR="7A7F35F0" w:rsidRPr="002A2EA6">
        <w:rPr>
          <w:lang w:val="fr-FR"/>
        </w:rPr>
        <w:t>:</w:t>
      </w:r>
    </w:p>
    <w:p w14:paraId="3C6362F4" w14:textId="448CCE92" w:rsidR="00585329" w:rsidRPr="002A2EA6" w:rsidRDefault="007C6CA1" w:rsidP="007C6CA1">
      <w:pPr>
        <w:pStyle w:val="NormalNonumber"/>
        <w:ind w:left="2948" w:hanging="1701"/>
        <w:rPr>
          <w:lang w:val="fr-FR"/>
        </w:rPr>
      </w:pPr>
      <w:r w:rsidRPr="002A2EA6">
        <w:rPr>
          <w:lang w:val="fr-FR"/>
        </w:rPr>
        <w:tab/>
      </w:r>
      <w:r w:rsidRPr="002A2EA6">
        <w:rPr>
          <w:lang w:val="fr-FR"/>
        </w:rPr>
        <w:tab/>
      </w:r>
      <w:r w:rsidRPr="002A2EA6">
        <w:rPr>
          <w:lang w:val="fr-FR"/>
        </w:rPr>
        <w:tab/>
        <w:t>a)</w:t>
      </w:r>
      <w:r w:rsidRPr="002A2EA6">
        <w:rPr>
          <w:lang w:val="fr-FR"/>
        </w:rPr>
        <w:tab/>
      </w:r>
      <w:r w:rsidR="00585329" w:rsidRPr="002A2EA6">
        <w:rPr>
          <w:lang w:val="fr-FR"/>
        </w:rPr>
        <w:t>Organisation mondiale de la Santé</w:t>
      </w:r>
      <w:r w:rsidR="009348A1" w:rsidRPr="002A2EA6">
        <w:rPr>
          <w:lang w:val="fr-FR"/>
        </w:rPr>
        <w:t> </w:t>
      </w:r>
      <w:r w:rsidR="631BDA25" w:rsidRPr="002A2EA6">
        <w:rPr>
          <w:lang w:val="fr-FR"/>
        </w:rPr>
        <w:t>;</w:t>
      </w:r>
      <w:r w:rsidR="00585329" w:rsidRPr="002A2EA6">
        <w:rPr>
          <w:lang w:val="fr-FR"/>
        </w:rPr>
        <w:t xml:space="preserve"> Organisation internationale du Travail</w:t>
      </w:r>
      <w:r w:rsidR="009348A1" w:rsidRPr="002A2EA6">
        <w:rPr>
          <w:lang w:val="fr-FR"/>
        </w:rPr>
        <w:t> </w:t>
      </w:r>
      <w:r w:rsidR="631BDA25" w:rsidRPr="002A2EA6">
        <w:rPr>
          <w:lang w:val="fr-FR"/>
        </w:rPr>
        <w:t>;</w:t>
      </w:r>
    </w:p>
    <w:p w14:paraId="4BD80527" w14:textId="1DA17110" w:rsidR="00585329" w:rsidRPr="002A2EA6" w:rsidRDefault="007C6CA1" w:rsidP="007C6CA1">
      <w:pPr>
        <w:pStyle w:val="NormalNonumber"/>
        <w:ind w:left="2948" w:hanging="1701"/>
        <w:rPr>
          <w:lang w:val="fr-FR"/>
        </w:rPr>
      </w:pPr>
      <w:r w:rsidRPr="002A2EA6">
        <w:rPr>
          <w:lang w:val="fr-FR"/>
        </w:rPr>
        <w:tab/>
      </w:r>
      <w:r w:rsidRPr="002A2EA6">
        <w:rPr>
          <w:lang w:val="fr-FR"/>
        </w:rPr>
        <w:tab/>
      </w:r>
      <w:r w:rsidRPr="002A2EA6">
        <w:rPr>
          <w:lang w:val="fr-FR"/>
        </w:rPr>
        <w:tab/>
        <w:t>b)</w:t>
      </w:r>
      <w:r w:rsidRPr="002A2EA6">
        <w:rPr>
          <w:lang w:val="fr-FR"/>
        </w:rPr>
        <w:tab/>
      </w:r>
      <w:r w:rsidR="00585329" w:rsidRPr="002A2EA6">
        <w:rPr>
          <w:lang w:val="fr-FR"/>
        </w:rPr>
        <w:t>Autres organisations et organismes internationaux.</w:t>
      </w:r>
    </w:p>
    <w:p w14:paraId="394A9331" w14:textId="116C8961" w:rsidR="00585329" w:rsidRPr="002A2EA6" w:rsidRDefault="007C6CA1" w:rsidP="007C6CA1">
      <w:pPr>
        <w:pStyle w:val="NormalNonumber"/>
        <w:ind w:left="2948" w:hanging="1701"/>
        <w:rPr>
          <w:lang w:val="fr-FR"/>
        </w:rPr>
      </w:pPr>
      <w:r w:rsidRPr="002A2EA6">
        <w:rPr>
          <w:lang w:val="fr-FR"/>
        </w:rPr>
        <w:tab/>
      </w:r>
      <w:r w:rsidRPr="002A2EA6">
        <w:rPr>
          <w:lang w:val="fr-FR"/>
        </w:rPr>
        <w:tab/>
        <w:t>7.</w:t>
      </w:r>
      <w:r w:rsidRPr="002A2EA6">
        <w:rPr>
          <w:lang w:val="fr-FR"/>
        </w:rPr>
        <w:tab/>
      </w:r>
      <w:r w:rsidR="00585329" w:rsidRPr="002A2EA6">
        <w:rPr>
          <w:lang w:val="fr-FR"/>
        </w:rPr>
        <w:t>Programme de travail et budget.</w:t>
      </w:r>
    </w:p>
    <w:p w14:paraId="7CFD9976" w14:textId="0AAED81A" w:rsidR="00585329" w:rsidRPr="002A2EA6" w:rsidRDefault="007C6CA1" w:rsidP="007C6CA1">
      <w:pPr>
        <w:pStyle w:val="NormalNonumber"/>
        <w:ind w:left="2948" w:hanging="1701"/>
        <w:rPr>
          <w:lang w:val="fr-FR"/>
        </w:rPr>
      </w:pPr>
      <w:r w:rsidRPr="002A2EA6">
        <w:rPr>
          <w:lang w:val="fr-FR"/>
        </w:rPr>
        <w:tab/>
      </w:r>
      <w:r w:rsidRPr="002A2EA6">
        <w:rPr>
          <w:lang w:val="fr-FR"/>
        </w:rPr>
        <w:tab/>
        <w:t>8.</w:t>
      </w:r>
      <w:r w:rsidRPr="002A2EA6">
        <w:rPr>
          <w:lang w:val="fr-FR"/>
        </w:rPr>
        <w:tab/>
      </w:r>
      <w:r w:rsidR="00585329" w:rsidRPr="002A2EA6">
        <w:rPr>
          <w:lang w:val="fr-FR"/>
        </w:rPr>
        <w:t>Date et lieu de la quatrième</w:t>
      </w:r>
      <w:r w:rsidR="00704BEB" w:rsidRPr="002A2EA6">
        <w:rPr>
          <w:lang w:val="fr-FR"/>
        </w:rPr>
        <w:t> </w:t>
      </w:r>
      <w:r w:rsidR="00585329" w:rsidRPr="002A2EA6">
        <w:rPr>
          <w:lang w:val="fr-FR"/>
        </w:rPr>
        <w:t>réunion de la Conférence des Parties.</w:t>
      </w:r>
    </w:p>
    <w:p w14:paraId="27F53BD4" w14:textId="29F7070E" w:rsidR="00585329" w:rsidRPr="002A2EA6" w:rsidRDefault="007C6CA1" w:rsidP="007C6CA1">
      <w:pPr>
        <w:pStyle w:val="NormalNonumber"/>
        <w:ind w:left="2948" w:hanging="1701"/>
        <w:rPr>
          <w:lang w:val="fr-FR"/>
        </w:rPr>
      </w:pPr>
      <w:r w:rsidRPr="002A2EA6">
        <w:rPr>
          <w:lang w:val="fr-FR"/>
        </w:rPr>
        <w:tab/>
      </w:r>
      <w:r w:rsidRPr="002A2EA6">
        <w:rPr>
          <w:lang w:val="fr-FR"/>
        </w:rPr>
        <w:tab/>
        <w:t>9.</w:t>
      </w:r>
      <w:r w:rsidRPr="002A2EA6">
        <w:rPr>
          <w:lang w:val="fr-FR"/>
        </w:rPr>
        <w:tab/>
      </w:r>
      <w:r w:rsidR="00585329" w:rsidRPr="002A2EA6">
        <w:rPr>
          <w:lang w:val="fr-FR"/>
        </w:rPr>
        <w:t>Questions diverses.</w:t>
      </w:r>
    </w:p>
    <w:p w14:paraId="06050684" w14:textId="350781B6" w:rsidR="00585329" w:rsidRPr="002A2EA6" w:rsidRDefault="007C6CA1" w:rsidP="007C6CA1">
      <w:pPr>
        <w:pStyle w:val="NormalNonumber"/>
        <w:ind w:left="2948" w:hanging="1701"/>
        <w:rPr>
          <w:lang w:val="fr-FR"/>
        </w:rPr>
      </w:pPr>
      <w:r w:rsidRPr="002A2EA6">
        <w:rPr>
          <w:lang w:val="fr-FR"/>
        </w:rPr>
        <w:tab/>
      </w:r>
      <w:r w:rsidRPr="002A2EA6">
        <w:rPr>
          <w:lang w:val="fr-FR"/>
        </w:rPr>
        <w:tab/>
        <w:t>10.</w:t>
      </w:r>
      <w:r w:rsidRPr="002A2EA6">
        <w:rPr>
          <w:lang w:val="fr-FR"/>
        </w:rPr>
        <w:tab/>
      </w:r>
      <w:r w:rsidR="00585329" w:rsidRPr="002A2EA6">
        <w:rPr>
          <w:lang w:val="fr-FR"/>
        </w:rPr>
        <w:t>Adoption du rapport.</w:t>
      </w:r>
    </w:p>
    <w:p w14:paraId="09D7A8E8" w14:textId="6288C5CE" w:rsidR="00585329" w:rsidRPr="002A2EA6" w:rsidRDefault="007C6CA1" w:rsidP="007C6CA1">
      <w:pPr>
        <w:pStyle w:val="NormalNonumber"/>
        <w:ind w:left="2948" w:hanging="1701"/>
        <w:rPr>
          <w:lang w:val="fr-FR"/>
        </w:rPr>
      </w:pPr>
      <w:r w:rsidRPr="002A2EA6">
        <w:rPr>
          <w:lang w:val="fr-FR"/>
        </w:rPr>
        <w:tab/>
      </w:r>
      <w:r w:rsidRPr="002A2EA6">
        <w:rPr>
          <w:lang w:val="fr-FR"/>
        </w:rPr>
        <w:tab/>
        <w:t>11.</w:t>
      </w:r>
      <w:r w:rsidRPr="002A2EA6">
        <w:rPr>
          <w:lang w:val="fr-FR"/>
        </w:rPr>
        <w:tab/>
      </w:r>
      <w:r w:rsidR="00585329" w:rsidRPr="002A2EA6">
        <w:rPr>
          <w:lang w:val="fr-FR"/>
        </w:rPr>
        <w:t>Clôture de la réunion.</w:t>
      </w:r>
    </w:p>
    <w:p w14:paraId="3177938A" w14:textId="09C70177" w:rsidR="00585329" w:rsidRPr="002A2EA6" w:rsidRDefault="0095048C" w:rsidP="0095048C">
      <w:pPr>
        <w:pStyle w:val="CH2"/>
        <w:rPr>
          <w:lang w:val="fr-FR"/>
        </w:rPr>
      </w:pPr>
      <w:r w:rsidRPr="002A2EA6">
        <w:rPr>
          <w:lang w:val="fr-FR"/>
        </w:rPr>
        <w:tab/>
      </w:r>
      <w:bookmarkStart w:id="13" w:name="_Toc39063334"/>
      <w:r w:rsidRPr="002A2EA6">
        <w:rPr>
          <w:lang w:val="fr-FR"/>
        </w:rPr>
        <w:t>D.</w:t>
      </w:r>
      <w:r w:rsidRPr="002A2EA6">
        <w:rPr>
          <w:lang w:val="fr-FR"/>
        </w:rPr>
        <w:tab/>
      </w:r>
      <w:r w:rsidR="004A33F9" w:rsidRPr="002A2EA6">
        <w:rPr>
          <w:lang w:val="fr-FR"/>
        </w:rPr>
        <w:t>Organisation des travaux</w:t>
      </w:r>
      <w:bookmarkEnd w:id="13"/>
    </w:p>
    <w:p w14:paraId="0FFFDC72" w14:textId="5E531007" w:rsidR="0085343C"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La Conférence des Parties a décidé, conformément aux propositions </w:t>
      </w:r>
      <w:r w:rsidR="70D10A1C" w:rsidRPr="002A2EA6">
        <w:rPr>
          <w:lang w:val="fr-FR"/>
        </w:rPr>
        <w:t>définies</w:t>
      </w:r>
      <w:r w:rsidRPr="002A2EA6">
        <w:rPr>
          <w:lang w:val="fr-FR"/>
        </w:rPr>
        <w:t xml:space="preserve"> dans une note établie par le Président concernant le déroulement de la réunion (UNEP/MC/COP.3/2), qu</w:t>
      </w:r>
      <w:r w:rsidR="00CA4DAC">
        <w:rPr>
          <w:lang w:val="fr-FR"/>
        </w:rPr>
        <w:t>’</w:t>
      </w:r>
      <w:r w:rsidRPr="002A2EA6">
        <w:rPr>
          <w:lang w:val="fr-FR"/>
        </w:rPr>
        <w:t>elle</w:t>
      </w:r>
      <w:r w:rsidR="002E5929" w:rsidRPr="002A2EA6">
        <w:rPr>
          <w:lang w:val="fr-FR"/>
        </w:rPr>
        <w:t> </w:t>
      </w:r>
      <w:r w:rsidRPr="002A2EA6">
        <w:rPr>
          <w:lang w:val="fr-FR"/>
        </w:rPr>
        <w:t>se</w:t>
      </w:r>
      <w:r w:rsidR="0095048C" w:rsidRPr="002A2EA6">
        <w:rPr>
          <w:lang w:val="fr-FR"/>
        </w:rPr>
        <w:t> </w:t>
      </w:r>
      <w:r w:rsidRPr="002A2EA6">
        <w:rPr>
          <w:lang w:val="fr-FR"/>
        </w:rPr>
        <w:t>réunirait tous les jours de 10</w:t>
      </w:r>
      <w:r w:rsidR="00CC47AB" w:rsidRPr="002A2EA6">
        <w:rPr>
          <w:lang w:val="fr-FR"/>
        </w:rPr>
        <w:t> </w:t>
      </w:r>
      <w:r w:rsidRPr="002A2EA6">
        <w:rPr>
          <w:lang w:val="fr-FR"/>
        </w:rPr>
        <w:t>à 13</w:t>
      </w:r>
      <w:r w:rsidR="00CC47AB" w:rsidRPr="002A2EA6">
        <w:rPr>
          <w:lang w:val="fr-FR"/>
        </w:rPr>
        <w:t> </w:t>
      </w:r>
      <w:r w:rsidRPr="002A2EA6">
        <w:rPr>
          <w:lang w:val="fr-FR"/>
        </w:rPr>
        <w:t>heures et de 15</w:t>
      </w:r>
      <w:r w:rsidR="00CC47AB" w:rsidRPr="002A2EA6">
        <w:rPr>
          <w:lang w:val="fr-FR"/>
        </w:rPr>
        <w:t> </w:t>
      </w:r>
      <w:r w:rsidRPr="002A2EA6">
        <w:rPr>
          <w:lang w:val="fr-FR"/>
        </w:rPr>
        <w:t>à 18</w:t>
      </w:r>
      <w:r w:rsidR="00CC47AB" w:rsidRPr="002A2EA6">
        <w:rPr>
          <w:lang w:val="fr-FR"/>
        </w:rPr>
        <w:t> </w:t>
      </w:r>
      <w:r w:rsidRPr="002A2EA6">
        <w:rPr>
          <w:lang w:val="fr-FR"/>
        </w:rPr>
        <w:t>heures, et que des groupes plus restreints seraient constitués au besoin.</w:t>
      </w:r>
    </w:p>
    <w:p w14:paraId="4BE697FA" w14:textId="3369B8C4" w:rsidR="004A33F9" w:rsidRPr="002A2EA6" w:rsidRDefault="002E5929" w:rsidP="0095048C">
      <w:pPr>
        <w:pStyle w:val="CH2"/>
        <w:rPr>
          <w:lang w:val="fr-FR"/>
        </w:rPr>
      </w:pPr>
      <w:r w:rsidRPr="002A2EA6">
        <w:rPr>
          <w:lang w:val="fr-FR"/>
        </w:rPr>
        <w:tab/>
      </w:r>
      <w:bookmarkStart w:id="14" w:name="_Toc39063335"/>
      <w:r w:rsidR="0095048C" w:rsidRPr="002A2EA6">
        <w:rPr>
          <w:lang w:val="fr-FR"/>
        </w:rPr>
        <w:t>E.</w:t>
      </w:r>
      <w:r w:rsidR="0095048C" w:rsidRPr="002A2EA6">
        <w:rPr>
          <w:lang w:val="fr-FR"/>
        </w:rPr>
        <w:tab/>
      </w:r>
      <w:r w:rsidR="004A33F9" w:rsidRPr="002A2EA6">
        <w:rPr>
          <w:lang w:val="fr-FR"/>
        </w:rPr>
        <w:t>Participation</w:t>
      </w:r>
      <w:bookmarkEnd w:id="14"/>
    </w:p>
    <w:p w14:paraId="15305085" w14:textId="49FBF389" w:rsidR="0085343C"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Des représentants des </w:t>
      </w:r>
      <w:r w:rsidR="126DE5BC" w:rsidRPr="002A2EA6">
        <w:rPr>
          <w:lang w:val="fr-FR"/>
        </w:rPr>
        <w:t>104</w:t>
      </w:r>
      <w:r w:rsidR="00CC47AB" w:rsidRPr="002A2EA6">
        <w:rPr>
          <w:lang w:val="fr-FR"/>
        </w:rPr>
        <w:t> </w:t>
      </w:r>
      <w:r w:rsidRPr="002A2EA6">
        <w:rPr>
          <w:lang w:val="fr-FR"/>
        </w:rPr>
        <w:t>Parties ci-après ont participé à la réunion</w:t>
      </w:r>
      <w:r w:rsidR="00CC47AB" w:rsidRPr="002A2EA6">
        <w:rPr>
          <w:lang w:val="fr-FR"/>
        </w:rPr>
        <w:t> </w:t>
      </w:r>
      <w:r w:rsidR="7A7F35F0" w:rsidRPr="002A2EA6">
        <w:rPr>
          <w:lang w:val="fr-FR"/>
        </w:rPr>
        <w:t>:</w:t>
      </w:r>
      <w:r w:rsidRPr="002A2EA6">
        <w:rPr>
          <w:lang w:val="fr-FR"/>
        </w:rPr>
        <w:t xml:space="preserve"> </w:t>
      </w:r>
      <w:r w:rsidR="3677874E" w:rsidRPr="002A2EA6">
        <w:rPr>
          <w:lang w:val="fr-FR"/>
        </w:rPr>
        <w:t>Afghanistan, Afrique du Sud, Allemagne,</w:t>
      </w:r>
      <w:r w:rsidR="00BC189A" w:rsidRPr="002A2EA6">
        <w:rPr>
          <w:lang w:val="fr-FR"/>
        </w:rPr>
        <w:t xml:space="preserve"> </w:t>
      </w:r>
      <w:r w:rsidR="3677874E" w:rsidRPr="002A2EA6">
        <w:rPr>
          <w:lang w:val="fr-FR"/>
        </w:rPr>
        <w:t>Antigua-et-Barbuda,</w:t>
      </w:r>
      <w:r w:rsidR="00BC189A" w:rsidRPr="002A2EA6">
        <w:rPr>
          <w:lang w:val="fr-FR"/>
        </w:rPr>
        <w:t xml:space="preserve"> </w:t>
      </w:r>
      <w:r w:rsidR="3677874E" w:rsidRPr="002A2EA6">
        <w:rPr>
          <w:lang w:val="fr-FR"/>
        </w:rPr>
        <w:t>Arabie saoudite, Argentine,</w:t>
      </w:r>
      <w:r w:rsidR="00BC189A" w:rsidRPr="002A2EA6">
        <w:rPr>
          <w:lang w:val="fr-FR"/>
        </w:rPr>
        <w:t xml:space="preserve"> </w:t>
      </w:r>
      <w:r w:rsidR="3677874E" w:rsidRPr="002A2EA6">
        <w:rPr>
          <w:lang w:val="fr-FR"/>
        </w:rPr>
        <w:t>Arménie, Autriche, Belgique, Bénin, Bolivie (État plurinational de),</w:t>
      </w:r>
      <w:r w:rsidR="00BC189A" w:rsidRPr="002A2EA6">
        <w:rPr>
          <w:lang w:val="fr-FR"/>
        </w:rPr>
        <w:t xml:space="preserve"> </w:t>
      </w:r>
      <w:r w:rsidR="3677874E" w:rsidRPr="002A2EA6">
        <w:rPr>
          <w:lang w:val="fr-FR"/>
        </w:rPr>
        <w:t>Botswana,</w:t>
      </w:r>
      <w:r w:rsidR="00BC189A" w:rsidRPr="002A2EA6">
        <w:rPr>
          <w:lang w:val="fr-FR"/>
        </w:rPr>
        <w:t xml:space="preserve"> </w:t>
      </w:r>
      <w:r w:rsidR="3677874E" w:rsidRPr="002A2EA6">
        <w:rPr>
          <w:lang w:val="fr-FR"/>
        </w:rPr>
        <w:t>Brésil,</w:t>
      </w:r>
      <w:r w:rsidR="00BC189A" w:rsidRPr="002A2EA6">
        <w:rPr>
          <w:lang w:val="fr-FR"/>
        </w:rPr>
        <w:t xml:space="preserve"> </w:t>
      </w:r>
      <w:r w:rsidR="3677874E" w:rsidRPr="002A2EA6">
        <w:rPr>
          <w:lang w:val="fr-FR"/>
        </w:rPr>
        <w:t>Bulgarie,</w:t>
      </w:r>
      <w:r w:rsidR="00BC189A" w:rsidRPr="002A2EA6">
        <w:rPr>
          <w:lang w:val="fr-FR"/>
        </w:rPr>
        <w:t xml:space="preserve"> </w:t>
      </w:r>
      <w:r w:rsidR="3677874E" w:rsidRPr="002A2EA6">
        <w:rPr>
          <w:lang w:val="fr-FR"/>
        </w:rPr>
        <w:t>Burkina Faso,</w:t>
      </w:r>
      <w:r w:rsidR="00BC189A" w:rsidRPr="002A2EA6">
        <w:rPr>
          <w:lang w:val="fr-FR"/>
        </w:rPr>
        <w:t xml:space="preserve"> </w:t>
      </w:r>
      <w:r w:rsidR="3677874E" w:rsidRPr="002A2EA6">
        <w:rPr>
          <w:lang w:val="fr-FR"/>
        </w:rPr>
        <w:t>Canada, Chili, Chine, Colombie, Costa Rica, Croatie, Cuba, Danemark, Djibouti, El Salvador, Émirats arabes unis, État de Palestine,</w:t>
      </w:r>
      <w:r w:rsidR="000B6EF4" w:rsidRPr="002A2EA6">
        <w:rPr>
          <w:lang w:val="fr-FR"/>
        </w:rPr>
        <w:t xml:space="preserve"> </w:t>
      </w:r>
      <w:r w:rsidR="3677874E" w:rsidRPr="002A2EA6">
        <w:rPr>
          <w:lang w:val="fr-FR"/>
        </w:rPr>
        <w:t>Équateur, Estonie, Eswatini, États-Unis d</w:t>
      </w:r>
      <w:r w:rsidR="00CA4DAC">
        <w:rPr>
          <w:lang w:val="fr-FR"/>
        </w:rPr>
        <w:t>’</w:t>
      </w:r>
      <w:r w:rsidR="3677874E" w:rsidRPr="002A2EA6">
        <w:rPr>
          <w:lang w:val="fr-FR"/>
        </w:rPr>
        <w:t>Amérique, Finlande, France, Gabon, Gambie, Ghana, Guinée, Guinée-Bissau, Guyana, Honduras, Hongrie, Indonésie,</w:t>
      </w:r>
      <w:r w:rsidR="00C96454" w:rsidRPr="002A2EA6">
        <w:rPr>
          <w:lang w:val="fr-FR"/>
        </w:rPr>
        <w:t xml:space="preserve"> </w:t>
      </w:r>
      <w:r w:rsidR="3677874E" w:rsidRPr="002A2EA6">
        <w:rPr>
          <w:lang w:val="fr-FR"/>
        </w:rPr>
        <w:t>Iran (République islamique d</w:t>
      </w:r>
      <w:r w:rsidR="00CA4DAC">
        <w:rPr>
          <w:lang w:val="fr-FR"/>
        </w:rPr>
        <w:t>’</w:t>
      </w:r>
      <w:r w:rsidR="3677874E" w:rsidRPr="002A2EA6">
        <w:rPr>
          <w:lang w:val="fr-FR"/>
        </w:rPr>
        <w:t>),</w:t>
      </w:r>
      <w:r w:rsidR="00C96454" w:rsidRPr="002A2EA6">
        <w:rPr>
          <w:lang w:val="fr-FR"/>
        </w:rPr>
        <w:t xml:space="preserve"> </w:t>
      </w:r>
      <w:r w:rsidR="3677874E" w:rsidRPr="002A2EA6">
        <w:rPr>
          <w:lang w:val="fr-FR"/>
        </w:rPr>
        <w:t>Irlande, Islande, Jamaïque,</w:t>
      </w:r>
      <w:r w:rsidR="00C96454" w:rsidRPr="002A2EA6">
        <w:rPr>
          <w:lang w:val="fr-FR"/>
        </w:rPr>
        <w:t xml:space="preserve"> </w:t>
      </w:r>
      <w:r w:rsidR="3677874E" w:rsidRPr="002A2EA6">
        <w:rPr>
          <w:lang w:val="fr-FR"/>
        </w:rPr>
        <w:t>Japon,</w:t>
      </w:r>
      <w:r w:rsidR="006A5297" w:rsidRPr="002A2EA6">
        <w:rPr>
          <w:lang w:val="fr-FR"/>
        </w:rPr>
        <w:t xml:space="preserve"> </w:t>
      </w:r>
      <w:r w:rsidR="3677874E" w:rsidRPr="002A2EA6">
        <w:rPr>
          <w:lang w:val="fr-FR"/>
        </w:rPr>
        <w:t>Jordanie,</w:t>
      </w:r>
      <w:r w:rsidR="006A5297" w:rsidRPr="002A2EA6">
        <w:rPr>
          <w:lang w:val="fr-FR"/>
        </w:rPr>
        <w:t xml:space="preserve"> </w:t>
      </w:r>
      <w:r w:rsidR="3677874E" w:rsidRPr="002A2EA6">
        <w:rPr>
          <w:lang w:val="fr-FR"/>
        </w:rPr>
        <w:t>Kiribati,</w:t>
      </w:r>
      <w:r w:rsidR="006A5297" w:rsidRPr="002A2EA6">
        <w:rPr>
          <w:lang w:val="fr-FR"/>
        </w:rPr>
        <w:t xml:space="preserve"> </w:t>
      </w:r>
      <w:r w:rsidR="3677874E" w:rsidRPr="002A2EA6">
        <w:rPr>
          <w:lang w:val="fr-FR"/>
        </w:rPr>
        <w:t>Koweït,</w:t>
      </w:r>
      <w:r w:rsidR="006A5297" w:rsidRPr="002A2EA6">
        <w:rPr>
          <w:lang w:val="fr-FR"/>
        </w:rPr>
        <w:t xml:space="preserve"> </w:t>
      </w:r>
      <w:r w:rsidR="3677874E" w:rsidRPr="002A2EA6">
        <w:rPr>
          <w:lang w:val="fr-FR"/>
        </w:rPr>
        <w:t>Lesotho,</w:t>
      </w:r>
      <w:r w:rsidR="006A5297" w:rsidRPr="002A2EA6">
        <w:rPr>
          <w:lang w:val="fr-FR"/>
        </w:rPr>
        <w:t xml:space="preserve"> </w:t>
      </w:r>
      <w:r w:rsidR="3677874E" w:rsidRPr="002A2EA6">
        <w:rPr>
          <w:lang w:val="fr-FR"/>
        </w:rPr>
        <w:t>Lettonie,</w:t>
      </w:r>
      <w:r w:rsidR="006A5297" w:rsidRPr="002A2EA6">
        <w:rPr>
          <w:lang w:val="fr-FR"/>
        </w:rPr>
        <w:t xml:space="preserve"> </w:t>
      </w:r>
      <w:r w:rsidR="3677874E" w:rsidRPr="002A2EA6">
        <w:rPr>
          <w:lang w:val="fr-FR"/>
        </w:rPr>
        <w:t>Liban,</w:t>
      </w:r>
      <w:r w:rsidR="006A5297" w:rsidRPr="002A2EA6">
        <w:rPr>
          <w:lang w:val="fr-FR"/>
        </w:rPr>
        <w:t xml:space="preserve"> </w:t>
      </w:r>
      <w:r w:rsidR="3677874E" w:rsidRPr="002A2EA6">
        <w:rPr>
          <w:lang w:val="fr-FR"/>
        </w:rPr>
        <w:t>Lituanie, Luxembourg, Madagascar,</w:t>
      </w:r>
      <w:r w:rsidR="006A5297" w:rsidRPr="002A2EA6">
        <w:rPr>
          <w:lang w:val="fr-FR"/>
        </w:rPr>
        <w:t xml:space="preserve"> </w:t>
      </w:r>
      <w:r w:rsidR="3677874E" w:rsidRPr="002A2EA6">
        <w:rPr>
          <w:lang w:val="fr-FR"/>
        </w:rPr>
        <w:t>Mali, Maurice,</w:t>
      </w:r>
      <w:r w:rsidR="00E720B5" w:rsidRPr="002A2EA6">
        <w:rPr>
          <w:lang w:val="fr-FR"/>
        </w:rPr>
        <w:t xml:space="preserve"> </w:t>
      </w:r>
      <w:r w:rsidR="3677874E" w:rsidRPr="002A2EA6">
        <w:rPr>
          <w:lang w:val="fr-FR"/>
        </w:rPr>
        <w:t>Mauritanie, Mexique, Monaco, Mongolie, Monténégro,</w:t>
      </w:r>
      <w:r w:rsidR="003F0326" w:rsidRPr="002A2EA6">
        <w:rPr>
          <w:lang w:val="fr-FR"/>
        </w:rPr>
        <w:t xml:space="preserve"> </w:t>
      </w:r>
      <w:r w:rsidR="3677874E" w:rsidRPr="002A2EA6">
        <w:rPr>
          <w:lang w:val="fr-FR"/>
        </w:rPr>
        <w:t>Namibie, Nicaragua, Niger, Nigéria, Norvège,</w:t>
      </w:r>
      <w:r w:rsidR="003F0326" w:rsidRPr="002A2EA6">
        <w:rPr>
          <w:lang w:val="fr-FR"/>
        </w:rPr>
        <w:t xml:space="preserve"> </w:t>
      </w:r>
      <w:r w:rsidR="3677874E" w:rsidRPr="002A2EA6">
        <w:rPr>
          <w:lang w:val="fr-FR"/>
        </w:rPr>
        <w:t>Ouganda,</w:t>
      </w:r>
      <w:r w:rsidR="003F0326" w:rsidRPr="002A2EA6">
        <w:rPr>
          <w:lang w:val="fr-FR"/>
        </w:rPr>
        <w:t xml:space="preserve"> </w:t>
      </w:r>
      <w:r w:rsidR="3677874E" w:rsidRPr="002A2EA6">
        <w:rPr>
          <w:lang w:val="fr-FR"/>
        </w:rPr>
        <w:t>Palaos,</w:t>
      </w:r>
      <w:r w:rsidR="003F0326" w:rsidRPr="002A2EA6">
        <w:rPr>
          <w:lang w:val="fr-FR"/>
        </w:rPr>
        <w:t xml:space="preserve"> </w:t>
      </w:r>
      <w:r w:rsidR="3677874E" w:rsidRPr="002A2EA6">
        <w:rPr>
          <w:lang w:val="fr-FR"/>
        </w:rPr>
        <w:t>Panama, Paraguay,</w:t>
      </w:r>
      <w:r w:rsidR="0098788E">
        <w:rPr>
          <w:lang w:val="fr-FR"/>
        </w:rPr>
        <w:t xml:space="preserve"> Pays</w:t>
      </w:r>
      <w:r w:rsidR="00613DF2">
        <w:rPr>
          <w:lang w:val="fr-FR"/>
        </w:rPr>
        <w:t>-Bas,</w:t>
      </w:r>
      <w:r w:rsidR="3677874E" w:rsidRPr="002A2EA6">
        <w:rPr>
          <w:lang w:val="fr-FR"/>
        </w:rPr>
        <w:t xml:space="preserve"> Pérou, Portugal, République arabe syrienne, République de Moldova,</w:t>
      </w:r>
      <w:r w:rsidR="000B6EF4" w:rsidRPr="002A2EA6">
        <w:rPr>
          <w:lang w:val="fr-FR"/>
        </w:rPr>
        <w:t xml:space="preserve"> </w:t>
      </w:r>
      <w:r w:rsidR="3677874E" w:rsidRPr="002A2EA6">
        <w:rPr>
          <w:lang w:val="fr-FR"/>
        </w:rPr>
        <w:t>République démocratique populaire lao, République dominicaine, République du Congo,</w:t>
      </w:r>
      <w:r w:rsidR="000B6EF4" w:rsidRPr="002A2EA6">
        <w:rPr>
          <w:lang w:val="fr-FR"/>
        </w:rPr>
        <w:t xml:space="preserve"> </w:t>
      </w:r>
      <w:r w:rsidR="3677874E" w:rsidRPr="002A2EA6">
        <w:rPr>
          <w:lang w:val="fr-FR"/>
        </w:rPr>
        <w:t>Royaume-Uni de Grande-Bretagne et d</w:t>
      </w:r>
      <w:r w:rsidR="00CA4DAC">
        <w:rPr>
          <w:lang w:val="fr-FR"/>
        </w:rPr>
        <w:t>’</w:t>
      </w:r>
      <w:r w:rsidR="3677874E" w:rsidRPr="002A2EA6">
        <w:rPr>
          <w:lang w:val="fr-FR"/>
        </w:rPr>
        <w:t>Irlande du Nord, Roumanie, Saint-Kitts-et-Nevis, Samoa, Sénégal, Sierra Leone, Singapour, Slovaquie,</w:t>
      </w:r>
      <w:r w:rsidR="00320A65" w:rsidRPr="002A2EA6">
        <w:rPr>
          <w:lang w:val="fr-FR"/>
        </w:rPr>
        <w:t xml:space="preserve"> </w:t>
      </w:r>
      <w:r w:rsidR="3677874E" w:rsidRPr="002A2EA6">
        <w:rPr>
          <w:lang w:val="fr-FR"/>
        </w:rPr>
        <w:t>Slovénie, Sri Lanka, Suède, Suisse, Suriname, Tchad, Tchéquie, Thaïlande, Togo, Tonga, Tuvalu, Union européenne, Uruguay, Vanuatu, Viet Na</w:t>
      </w:r>
      <w:r w:rsidR="007B22B5" w:rsidRPr="002A2EA6">
        <w:rPr>
          <w:lang w:val="fr-FR"/>
        </w:rPr>
        <w:t>m et</w:t>
      </w:r>
      <w:r w:rsidR="3677874E" w:rsidRPr="002A2EA6">
        <w:rPr>
          <w:lang w:val="fr-FR"/>
        </w:rPr>
        <w:t xml:space="preserve"> Zambie</w:t>
      </w:r>
      <w:r w:rsidRPr="002A2EA6">
        <w:rPr>
          <w:lang w:val="fr-FR"/>
        </w:rPr>
        <w:t>.</w:t>
      </w:r>
    </w:p>
    <w:p w14:paraId="113ADB64" w14:textId="501443A8" w:rsidR="00F3012B" w:rsidRPr="002A2EA6" w:rsidRDefault="0085343C" w:rsidP="00A056A2">
      <w:pPr>
        <w:pStyle w:val="Normalnumber"/>
        <w:numPr>
          <w:ilvl w:val="0"/>
          <w:numId w:val="42"/>
        </w:numPr>
        <w:tabs>
          <w:tab w:val="clear" w:pos="1814"/>
          <w:tab w:val="left" w:pos="1843"/>
          <w:tab w:val="left" w:pos="1985"/>
        </w:tabs>
        <w:ind w:left="1288" w:hanging="28"/>
      </w:pPr>
      <w:r w:rsidRPr="002A2EA6">
        <w:rPr>
          <w:lang w:val="fr-FR"/>
        </w:rPr>
        <w:t>Des représentants des États observateurs ci-après y ont également assisté</w:t>
      </w:r>
      <w:r w:rsidR="00CC47AB" w:rsidRPr="002A2EA6">
        <w:rPr>
          <w:lang w:val="fr-FR"/>
        </w:rPr>
        <w:t> </w:t>
      </w:r>
      <w:r w:rsidR="7A7F35F0" w:rsidRPr="002A2EA6">
        <w:rPr>
          <w:lang w:val="fr-FR"/>
        </w:rPr>
        <w:t>:</w:t>
      </w:r>
      <w:r w:rsidRPr="002A2EA6">
        <w:rPr>
          <w:lang w:val="fr-FR"/>
        </w:rPr>
        <w:t xml:space="preserve"> </w:t>
      </w:r>
      <w:r w:rsidR="00F3012B" w:rsidRPr="002A2EA6">
        <w:rPr>
          <w:lang w:val="fr-FR"/>
        </w:rPr>
        <w:t>Algérie, Angola, Australie, Bahamas, Bangladesh, Bélarus, Cameroun, Côte d</w:t>
      </w:r>
      <w:r w:rsidR="00CA4DAC">
        <w:rPr>
          <w:lang w:val="fr-FR"/>
        </w:rPr>
        <w:t>’</w:t>
      </w:r>
      <w:r w:rsidR="00F3012B" w:rsidRPr="002A2EA6">
        <w:rPr>
          <w:lang w:val="fr-FR"/>
        </w:rPr>
        <w:t>Ivoire, Espagne, Éthiopie, Fédération de Russie, Géorgie, Iraq, Italie, Kenya,</w:t>
      </w:r>
      <w:r w:rsidR="00F3012B" w:rsidRPr="002A2EA6">
        <w:t xml:space="preserve"> </w:t>
      </w:r>
      <w:r w:rsidR="00F3012B" w:rsidRPr="002A2EA6">
        <w:rPr>
          <w:lang w:val="fr-FR"/>
        </w:rPr>
        <w:t>Macédoine du Nord, Maldives, Maroc, Myanmar, Népal, Philippines, Pologne, République de Corée,</w:t>
      </w:r>
      <w:r w:rsidR="00F3012B" w:rsidRPr="002A2EA6">
        <w:t xml:space="preserve"> </w:t>
      </w:r>
      <w:r w:rsidR="00F3012B" w:rsidRPr="002A2EA6">
        <w:rPr>
          <w:lang w:val="fr-FR"/>
        </w:rPr>
        <w:t>République populaire démocratique de Corée, Soudan, Tunisie, Turquie, Venezuela (République bolivarienne du) et Yémen.</w:t>
      </w:r>
    </w:p>
    <w:p w14:paraId="5F52A2DB" w14:textId="54A1FA29" w:rsidR="002D3596" w:rsidRDefault="0085343C" w:rsidP="00CA4DAC">
      <w:pPr>
        <w:pStyle w:val="Normalnumber"/>
        <w:numPr>
          <w:ilvl w:val="0"/>
          <w:numId w:val="42"/>
        </w:numPr>
        <w:tabs>
          <w:tab w:val="clear" w:pos="1814"/>
          <w:tab w:val="left" w:pos="1843"/>
          <w:tab w:val="left" w:pos="1985"/>
        </w:tabs>
        <w:ind w:left="1288" w:hanging="28"/>
      </w:pPr>
      <w:r w:rsidRPr="00CA4DAC">
        <w:rPr>
          <w:lang w:val="fr-FR"/>
        </w:rPr>
        <w:t>Les organismes et institutions spécialisées des Nations Unies ci-après étaient représentés en</w:t>
      </w:r>
      <w:r w:rsidR="00DB42A8" w:rsidRPr="00CA4DAC">
        <w:rPr>
          <w:lang w:val="fr-FR"/>
        </w:rPr>
        <w:t> </w:t>
      </w:r>
      <w:r w:rsidRPr="00CA4DAC">
        <w:rPr>
          <w:lang w:val="fr-FR"/>
        </w:rPr>
        <w:t>qualité d</w:t>
      </w:r>
      <w:r w:rsidR="00CA4DAC">
        <w:rPr>
          <w:lang w:val="fr-FR"/>
        </w:rPr>
        <w:t>’</w:t>
      </w:r>
      <w:r w:rsidR="00860A8A" w:rsidRPr="00CA4DAC">
        <w:rPr>
          <w:lang w:val="fr-FR"/>
        </w:rPr>
        <w:t>observateurs</w:t>
      </w:r>
      <w:r w:rsidR="00CC47AB" w:rsidRPr="00CA4DAC">
        <w:rPr>
          <w:lang w:val="fr-FR"/>
        </w:rPr>
        <w:t> </w:t>
      </w:r>
      <w:r w:rsidR="7A7F35F0" w:rsidRPr="00CA4DAC">
        <w:rPr>
          <w:lang w:val="fr-FR"/>
        </w:rPr>
        <w:t>:</w:t>
      </w:r>
      <w:r w:rsidR="00860A8A" w:rsidRPr="00CA4DAC">
        <w:rPr>
          <w:lang w:val="fr-FR"/>
        </w:rPr>
        <w:t xml:space="preserve"> </w:t>
      </w:r>
      <w:r w:rsidR="002D3596" w:rsidRPr="002A2EA6">
        <w:t>Agence internationale de l</w:t>
      </w:r>
      <w:r w:rsidR="00CA4DAC">
        <w:t>’</w:t>
      </w:r>
      <w:r w:rsidR="002D3596" w:rsidRPr="002A2EA6">
        <w:t xml:space="preserve">énergie atomique ; Banque mondiale ; </w:t>
      </w:r>
      <w:r w:rsidR="002D3596">
        <w:t>Fonds pour l</w:t>
      </w:r>
      <w:r w:rsidR="00CA4DAC">
        <w:t>’</w:t>
      </w:r>
      <w:r w:rsidR="002D3596">
        <w:t>environnement mondial </w:t>
      </w:r>
      <w:r w:rsidR="002D3596" w:rsidRPr="002A2EA6">
        <w:t>; Organisation des Nations Unies pour le développement industriel</w:t>
      </w:r>
      <w:r w:rsidR="002D3596">
        <w:t> </w:t>
      </w:r>
      <w:r w:rsidR="002D3596" w:rsidRPr="002A2EA6">
        <w:t>; Institut des Nations Unies pour la formation et la recherche</w:t>
      </w:r>
      <w:r w:rsidR="002D3596">
        <w:t> </w:t>
      </w:r>
      <w:r w:rsidR="002D3596" w:rsidRPr="002A2EA6">
        <w:t>; Organisation internationale du Travail ; Organisation météorologique mondiale ; Organisation mondiale de la Santé</w:t>
      </w:r>
      <w:r w:rsidR="002D3596">
        <w:t> </w:t>
      </w:r>
      <w:r w:rsidR="002D3596" w:rsidRPr="002A2EA6">
        <w:t>; Organisation mondiale du commerce</w:t>
      </w:r>
      <w:r w:rsidR="00342F09">
        <w:t xml:space="preserve"> ; </w:t>
      </w:r>
      <w:r w:rsidR="002D3596" w:rsidRPr="002A2EA6">
        <w:t xml:space="preserve">Programme des Nations Unies pour </w:t>
      </w:r>
      <w:r w:rsidR="002D3596">
        <w:t>l</w:t>
      </w:r>
      <w:r w:rsidR="00CA4DAC">
        <w:t>’</w:t>
      </w:r>
      <w:r w:rsidR="002D3596">
        <w:t xml:space="preserve">environnement ; </w:t>
      </w:r>
      <w:r w:rsidR="002D3596" w:rsidRPr="002A2EA6">
        <w:t>Programme des Nations</w:t>
      </w:r>
      <w:r w:rsidR="00CA4DAC">
        <w:t> </w:t>
      </w:r>
      <w:r w:rsidR="002D3596" w:rsidRPr="002A2EA6">
        <w:t>Unies pour le développement</w:t>
      </w:r>
      <w:r w:rsidR="002D3596">
        <w:t> </w:t>
      </w:r>
      <w:r w:rsidR="002D3596" w:rsidRPr="002A2EA6">
        <w:t>; Secrétariat de la Convention de Bâle</w:t>
      </w:r>
      <w:r w:rsidR="002D3596">
        <w:t xml:space="preserve"> sur le contrôle des mouvements transfrontières de déchets dangereux et de leur élimination</w:t>
      </w:r>
      <w:r w:rsidR="002D3596" w:rsidRPr="002A2EA6">
        <w:t xml:space="preserve">, de la Convention de Rotterdam </w:t>
      </w:r>
      <w:r w:rsidR="002D3596" w:rsidRPr="00806C57">
        <w:t>sur la</w:t>
      </w:r>
      <w:r w:rsidR="00CA4DAC">
        <w:t> </w:t>
      </w:r>
      <w:r w:rsidR="002D3596" w:rsidRPr="00806C57">
        <w:t xml:space="preserve">procédure de consentement préalable en connaissance de cause applicable dans le cas de certains </w:t>
      </w:r>
      <w:r w:rsidR="002D3596" w:rsidRPr="00806C57">
        <w:lastRenderedPageBreak/>
        <w:t>produits chimiques et pesticides dangereux qui font l</w:t>
      </w:r>
      <w:r w:rsidR="00CA4DAC">
        <w:t>’</w:t>
      </w:r>
      <w:r w:rsidR="002D3596" w:rsidRPr="00806C57">
        <w:t xml:space="preserve">objet du commerce international </w:t>
      </w:r>
      <w:r w:rsidR="002D3596" w:rsidRPr="002A2EA6">
        <w:t>et de la Convention de Stockholm</w:t>
      </w:r>
      <w:r w:rsidR="002D3596">
        <w:t xml:space="preserve"> sur les polluants organiques persistants</w:t>
      </w:r>
      <w:r w:rsidR="00CA4DAC">
        <w:t xml:space="preserve"> ; </w:t>
      </w:r>
      <w:r w:rsidR="002D3596">
        <w:t xml:space="preserve">secrétariat de la </w:t>
      </w:r>
      <w:r w:rsidR="002D3596" w:rsidRPr="002A2EA6">
        <w:t>Convention relative aux zones humides d</w:t>
      </w:r>
      <w:r w:rsidR="00CA4DAC">
        <w:t>’</w:t>
      </w:r>
      <w:r w:rsidR="002D3596" w:rsidRPr="002A2EA6">
        <w:t>importance internationale particulièrement comme habitats des oiseaux d</w:t>
      </w:r>
      <w:r w:rsidR="00CA4DAC">
        <w:t>’</w:t>
      </w:r>
      <w:r w:rsidR="002D3596" w:rsidRPr="002A2EA6">
        <w:t xml:space="preserve">eau (Convention de Ramsar) ; </w:t>
      </w:r>
    </w:p>
    <w:p w14:paraId="3E7E4279" w14:textId="41577BE5" w:rsidR="0085343C"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Les organisations intergouvernementales ci-après étaient représent</w:t>
      </w:r>
      <w:r w:rsidR="00860A8A" w:rsidRPr="002A2EA6">
        <w:rPr>
          <w:lang w:val="fr-FR"/>
        </w:rPr>
        <w:t>ées en tant qu</w:t>
      </w:r>
      <w:r w:rsidR="00CA4DAC">
        <w:rPr>
          <w:lang w:val="fr-FR"/>
        </w:rPr>
        <w:t>’</w:t>
      </w:r>
      <w:r w:rsidR="00860A8A" w:rsidRPr="002A2EA6">
        <w:rPr>
          <w:lang w:val="fr-FR"/>
        </w:rPr>
        <w:t>observateurs</w:t>
      </w:r>
      <w:r w:rsidR="00CA4DAC">
        <w:rPr>
          <w:lang w:val="fr-FR"/>
        </w:rPr>
        <w:t> </w:t>
      </w:r>
      <w:r w:rsidR="7A7F35F0" w:rsidRPr="002A2EA6">
        <w:rPr>
          <w:lang w:val="fr-FR"/>
        </w:rPr>
        <w:t>:</w:t>
      </w:r>
      <w:r w:rsidR="00860A8A" w:rsidRPr="002A2EA6">
        <w:rPr>
          <w:lang w:val="fr-FR"/>
        </w:rPr>
        <w:t xml:space="preserve"> </w:t>
      </w:r>
      <w:r w:rsidR="5CD48C4E" w:rsidRPr="002A2EA6">
        <w:rPr>
          <w:lang w:val="fr-FR"/>
        </w:rPr>
        <w:t>Communauté économique des États de l</w:t>
      </w:r>
      <w:r w:rsidR="00CA4DAC">
        <w:rPr>
          <w:lang w:val="fr-FR"/>
        </w:rPr>
        <w:t>’</w:t>
      </w:r>
      <w:r w:rsidR="5CD48C4E" w:rsidRPr="002A2EA6">
        <w:rPr>
          <w:lang w:val="fr-FR"/>
        </w:rPr>
        <w:t>Afrique de l</w:t>
      </w:r>
      <w:r w:rsidR="00CA4DAC">
        <w:rPr>
          <w:lang w:val="fr-FR"/>
        </w:rPr>
        <w:t>’</w:t>
      </w:r>
      <w:r w:rsidR="5CD48C4E" w:rsidRPr="002A2EA6">
        <w:rPr>
          <w:lang w:val="fr-FR"/>
        </w:rPr>
        <w:t>Ouest</w:t>
      </w:r>
      <w:r w:rsidR="00C33BA2" w:rsidRPr="002A2EA6">
        <w:rPr>
          <w:lang w:val="fr-FR"/>
        </w:rPr>
        <w:t> ;</w:t>
      </w:r>
      <w:r w:rsidR="5CD48C4E" w:rsidRPr="002A2EA6">
        <w:rPr>
          <w:lang w:val="fr-FR"/>
        </w:rPr>
        <w:t xml:space="preserve"> Groupe sur l</w:t>
      </w:r>
      <w:r w:rsidR="00CA4DAC">
        <w:rPr>
          <w:lang w:val="fr-FR"/>
        </w:rPr>
        <w:t>’</w:t>
      </w:r>
      <w:r w:rsidR="5CD48C4E" w:rsidRPr="002A2EA6">
        <w:rPr>
          <w:lang w:val="fr-FR"/>
        </w:rPr>
        <w:t>observation de la terre</w:t>
      </w:r>
      <w:r w:rsidR="00C33BA2" w:rsidRPr="002A2EA6">
        <w:rPr>
          <w:lang w:val="fr-FR"/>
        </w:rPr>
        <w:t> ;</w:t>
      </w:r>
      <w:r w:rsidR="5CD48C4E" w:rsidRPr="002A2EA6">
        <w:rPr>
          <w:lang w:val="fr-FR"/>
        </w:rPr>
        <w:t xml:space="preserve"> Groupe d</w:t>
      </w:r>
      <w:r w:rsidR="00CA4DAC">
        <w:rPr>
          <w:lang w:val="fr-FR"/>
        </w:rPr>
        <w:t>’</w:t>
      </w:r>
      <w:r w:rsidR="5CD48C4E" w:rsidRPr="002A2EA6">
        <w:rPr>
          <w:lang w:val="fr-FR"/>
        </w:rPr>
        <w:t>étude international du plomb et du zinc</w:t>
      </w:r>
      <w:r w:rsidR="00C33BA2" w:rsidRPr="002A2EA6">
        <w:rPr>
          <w:lang w:val="fr-FR"/>
        </w:rPr>
        <w:t> ;</w:t>
      </w:r>
      <w:r w:rsidR="5CD48C4E" w:rsidRPr="002A2EA6">
        <w:rPr>
          <w:lang w:val="fr-FR"/>
        </w:rPr>
        <w:t xml:space="preserve"> Organisation régionale pour la conservation de l</w:t>
      </w:r>
      <w:r w:rsidR="00CA4DAC">
        <w:rPr>
          <w:lang w:val="fr-FR"/>
        </w:rPr>
        <w:t>’</w:t>
      </w:r>
      <w:r w:rsidR="5CD48C4E" w:rsidRPr="002A2EA6">
        <w:rPr>
          <w:lang w:val="fr-FR"/>
        </w:rPr>
        <w:t>environnement de la mer Rouge et du golfe d</w:t>
      </w:r>
      <w:r w:rsidR="00CA4DAC">
        <w:rPr>
          <w:lang w:val="fr-FR"/>
        </w:rPr>
        <w:t>’</w:t>
      </w:r>
      <w:r w:rsidR="5CD48C4E" w:rsidRPr="002A2EA6">
        <w:rPr>
          <w:lang w:val="fr-FR"/>
        </w:rPr>
        <w:t>Aden</w:t>
      </w:r>
      <w:r w:rsidR="00C33BA2" w:rsidRPr="002A2EA6">
        <w:rPr>
          <w:lang w:val="fr-FR"/>
        </w:rPr>
        <w:t> ;</w:t>
      </w:r>
      <w:r w:rsidR="5CD48C4E" w:rsidRPr="002A2EA6">
        <w:rPr>
          <w:lang w:val="fr-FR"/>
        </w:rPr>
        <w:t xml:space="preserve"> secrétariat du Programme régional océanien de l</w:t>
      </w:r>
      <w:r w:rsidR="00CA4DAC">
        <w:rPr>
          <w:lang w:val="fr-FR"/>
        </w:rPr>
        <w:t>’</w:t>
      </w:r>
      <w:r w:rsidR="5CD48C4E" w:rsidRPr="002A2EA6">
        <w:rPr>
          <w:lang w:val="fr-FR"/>
        </w:rPr>
        <w:t>environnement.</w:t>
      </w:r>
    </w:p>
    <w:p w14:paraId="0CC8F6A0" w14:textId="394024C0" w:rsidR="0085343C"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Un certain nombre d</w:t>
      </w:r>
      <w:r w:rsidR="00CA4DAC">
        <w:rPr>
          <w:lang w:val="fr-FR"/>
        </w:rPr>
        <w:t>’</w:t>
      </w:r>
      <w:r w:rsidRPr="002A2EA6">
        <w:rPr>
          <w:lang w:val="fr-FR"/>
        </w:rPr>
        <w:t>organes et organismes gouvernementaux, de centres régionaux et sous</w:t>
      </w:r>
      <w:r w:rsidR="003342FE" w:rsidRPr="002A2EA6">
        <w:rPr>
          <w:lang w:val="fr-FR"/>
        </w:rPr>
        <w:noBreakHyphen/>
      </w:r>
      <w:r w:rsidRPr="002A2EA6">
        <w:rPr>
          <w:lang w:val="fr-FR"/>
        </w:rPr>
        <w:t>régionaux, d</w:t>
      </w:r>
      <w:r w:rsidR="00CA4DAC">
        <w:rPr>
          <w:lang w:val="fr-FR"/>
        </w:rPr>
        <w:t>’</w:t>
      </w:r>
      <w:r w:rsidRPr="002A2EA6">
        <w:rPr>
          <w:lang w:val="fr-FR"/>
        </w:rPr>
        <w:t>organisations non gouvernementales, d</w:t>
      </w:r>
      <w:r w:rsidR="00CA4DAC">
        <w:rPr>
          <w:lang w:val="fr-FR"/>
        </w:rPr>
        <w:t>’</w:t>
      </w:r>
      <w:r w:rsidRPr="002A2EA6">
        <w:rPr>
          <w:lang w:val="fr-FR"/>
        </w:rPr>
        <w:t>entités du secteur privé et d</w:t>
      </w:r>
      <w:r w:rsidR="00CA4DAC">
        <w:rPr>
          <w:lang w:val="fr-FR"/>
        </w:rPr>
        <w:t>’</w:t>
      </w:r>
      <w:r w:rsidRPr="002A2EA6">
        <w:rPr>
          <w:lang w:val="fr-FR"/>
        </w:rPr>
        <w:t>établissements universitaires étaient représentés en tant qu</w:t>
      </w:r>
      <w:r w:rsidR="00CA4DAC">
        <w:rPr>
          <w:lang w:val="fr-FR"/>
        </w:rPr>
        <w:t>’</w:t>
      </w:r>
      <w:r w:rsidRPr="002A2EA6">
        <w:rPr>
          <w:lang w:val="fr-FR"/>
        </w:rPr>
        <w:t>observateurs. Le nom de ces organisations figure dans la</w:t>
      </w:r>
      <w:r w:rsidR="0095048C" w:rsidRPr="002A2EA6">
        <w:rPr>
          <w:lang w:val="fr-FR"/>
        </w:rPr>
        <w:t> </w:t>
      </w:r>
      <w:r w:rsidRPr="002A2EA6">
        <w:rPr>
          <w:lang w:val="fr-FR"/>
        </w:rPr>
        <w:t>liste des participants (UNEP/MC/COP.3/INF/</w:t>
      </w:r>
      <w:r w:rsidR="4FF72126" w:rsidRPr="002A2EA6">
        <w:rPr>
          <w:lang w:val="fr-FR"/>
        </w:rPr>
        <w:t>28</w:t>
      </w:r>
      <w:r w:rsidRPr="002A2EA6">
        <w:rPr>
          <w:lang w:val="fr-FR"/>
        </w:rPr>
        <w:t>).</w:t>
      </w:r>
    </w:p>
    <w:p w14:paraId="36881148" w14:textId="50E3787E" w:rsidR="003D6C28" w:rsidRPr="002A2EA6" w:rsidRDefault="003D6C28" w:rsidP="003D6C28">
      <w:pPr>
        <w:pStyle w:val="CH1"/>
        <w:rPr>
          <w:lang w:val="fr-FR"/>
        </w:rPr>
      </w:pPr>
      <w:r w:rsidRPr="002A2EA6">
        <w:rPr>
          <w:lang w:val="fr-FR"/>
        </w:rPr>
        <w:tab/>
        <w:t>III.</w:t>
      </w:r>
      <w:r w:rsidRPr="002A2EA6">
        <w:rPr>
          <w:lang w:val="fr-FR"/>
        </w:rPr>
        <w:tab/>
        <w:t>Règlement intérieur de la Conférence des Parties</w:t>
      </w:r>
      <w:r w:rsidR="00CC47AB" w:rsidRPr="002A2EA6">
        <w:rPr>
          <w:lang w:val="fr-FR"/>
        </w:rPr>
        <w:t> </w:t>
      </w:r>
      <w:r w:rsidR="7A7F35F0" w:rsidRPr="002A2EA6">
        <w:rPr>
          <w:lang w:val="fr-FR"/>
        </w:rPr>
        <w:t>:</w:t>
      </w:r>
      <w:r w:rsidRPr="002A2EA6">
        <w:rPr>
          <w:lang w:val="fr-FR"/>
        </w:rPr>
        <w:t xml:space="preserve"> examen</w:t>
      </w:r>
      <w:r w:rsidR="002E5929" w:rsidRPr="002A2EA6">
        <w:rPr>
          <w:lang w:val="fr-FR"/>
        </w:rPr>
        <w:t> </w:t>
      </w:r>
      <w:r w:rsidRPr="002A2EA6">
        <w:rPr>
          <w:lang w:val="fr-FR"/>
        </w:rPr>
        <w:t>de</w:t>
      </w:r>
      <w:r w:rsidR="001E4A91" w:rsidRPr="002A2EA6">
        <w:rPr>
          <w:lang w:val="fr-FR"/>
        </w:rPr>
        <w:t> </w:t>
      </w:r>
      <w:r w:rsidRPr="002A2EA6">
        <w:rPr>
          <w:lang w:val="fr-FR"/>
        </w:rPr>
        <w:t>l</w:t>
      </w:r>
      <w:r w:rsidR="00CA4DAC">
        <w:rPr>
          <w:lang w:val="fr-FR"/>
        </w:rPr>
        <w:t>’</w:t>
      </w:r>
      <w:r w:rsidRPr="002A2EA6">
        <w:rPr>
          <w:lang w:val="fr-FR"/>
        </w:rPr>
        <w:t>article 45</w:t>
      </w:r>
    </w:p>
    <w:p w14:paraId="00BD5948" w14:textId="4B5E1A8E" w:rsidR="003D0299"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point, le représentant du secrétariat a rappelé que, par sa décision</w:t>
      </w:r>
      <w:r w:rsidR="00CC47AB" w:rsidRPr="002A2EA6">
        <w:rPr>
          <w:lang w:val="fr-FR"/>
        </w:rPr>
        <w:t> </w:t>
      </w:r>
      <w:r w:rsidRPr="002A2EA6">
        <w:rPr>
          <w:lang w:val="fr-FR"/>
        </w:rPr>
        <w:t>MC-1/1, la</w:t>
      </w:r>
      <w:r w:rsidR="0095048C" w:rsidRPr="002A2EA6">
        <w:rPr>
          <w:lang w:val="fr-FR"/>
        </w:rPr>
        <w:t> </w:t>
      </w:r>
      <w:r w:rsidRPr="002A2EA6">
        <w:rPr>
          <w:lang w:val="fr-FR"/>
        </w:rPr>
        <w:t>Conférence des Parties avait adopté son règlement intérieur, à l</w:t>
      </w:r>
      <w:r w:rsidR="00CA4DAC">
        <w:rPr>
          <w:lang w:val="fr-FR"/>
        </w:rPr>
        <w:t>’</w:t>
      </w:r>
      <w:r w:rsidRPr="002A2EA6">
        <w:rPr>
          <w:lang w:val="fr-FR"/>
        </w:rPr>
        <w:t>exception de la deuxième phrase du</w:t>
      </w:r>
      <w:r w:rsidR="0095048C" w:rsidRPr="002A2EA6">
        <w:rPr>
          <w:lang w:val="fr-FR"/>
        </w:rPr>
        <w:t> </w:t>
      </w:r>
      <w:r w:rsidRPr="002A2EA6">
        <w:rPr>
          <w:lang w:val="fr-FR"/>
        </w:rPr>
        <w:t>paragraphe</w:t>
      </w:r>
      <w:r w:rsidR="00CC47AB" w:rsidRPr="002A2EA6">
        <w:rPr>
          <w:lang w:val="fr-FR"/>
        </w:rPr>
        <w:t> </w:t>
      </w:r>
      <w:r w:rsidRPr="002A2EA6">
        <w:rPr>
          <w:lang w:val="fr-FR"/>
        </w:rPr>
        <w:t>1 de l</w:t>
      </w:r>
      <w:r w:rsidR="00CA4DAC">
        <w:rPr>
          <w:lang w:val="fr-FR"/>
        </w:rPr>
        <w:t>’</w:t>
      </w:r>
      <w:r w:rsidRPr="002A2EA6">
        <w:rPr>
          <w:lang w:val="fr-FR"/>
        </w:rPr>
        <w:t>article</w:t>
      </w:r>
      <w:r w:rsidR="00CC47AB" w:rsidRPr="002A2EA6">
        <w:rPr>
          <w:lang w:val="fr-FR"/>
        </w:rPr>
        <w:t> </w:t>
      </w:r>
      <w:r w:rsidRPr="002A2EA6">
        <w:rPr>
          <w:lang w:val="fr-FR"/>
        </w:rPr>
        <w:t>45, concernant la possibilité de procéder à un vote pour trancher des</w:t>
      </w:r>
      <w:r w:rsidR="0095048C" w:rsidRPr="002A2EA6">
        <w:rPr>
          <w:lang w:val="fr-FR"/>
        </w:rPr>
        <w:t> </w:t>
      </w:r>
      <w:r w:rsidRPr="002A2EA6">
        <w:rPr>
          <w:lang w:val="fr-FR"/>
        </w:rPr>
        <w:t>questions de fond lorsque tous les efforts faits pour dégager un consensus étaient demeurés vains, et du paragraphe</w:t>
      </w:r>
      <w:r w:rsidR="00CC47AB" w:rsidRPr="002A2EA6">
        <w:rPr>
          <w:lang w:val="fr-FR"/>
        </w:rPr>
        <w:t> </w:t>
      </w:r>
      <w:r w:rsidRPr="002A2EA6">
        <w:rPr>
          <w:lang w:val="fr-FR"/>
        </w:rPr>
        <w:t xml:space="preserve">3 de cet article, concernant le mécanisme </w:t>
      </w:r>
      <w:r w:rsidR="001A77DE" w:rsidRPr="002A2EA6">
        <w:rPr>
          <w:lang w:val="fr-FR"/>
        </w:rPr>
        <w:t xml:space="preserve">permettant de </w:t>
      </w:r>
      <w:r w:rsidRPr="002A2EA6">
        <w:rPr>
          <w:lang w:val="fr-FR"/>
        </w:rPr>
        <w:t>déterminer si une question dont était saisie la Conférence des Parties devait être considérée comme une question de fond ou une</w:t>
      </w:r>
      <w:r w:rsidR="0070208A" w:rsidRPr="002A2EA6">
        <w:rPr>
          <w:lang w:val="fr-FR"/>
        </w:rPr>
        <w:t> </w:t>
      </w:r>
      <w:r w:rsidRPr="002A2EA6">
        <w:rPr>
          <w:lang w:val="fr-FR"/>
        </w:rPr>
        <w:t>question de procédure. Comme elle n</w:t>
      </w:r>
      <w:r w:rsidR="00CA4DAC">
        <w:rPr>
          <w:lang w:val="fr-FR"/>
        </w:rPr>
        <w:t>’</w:t>
      </w:r>
      <w:r w:rsidRPr="002A2EA6">
        <w:rPr>
          <w:lang w:val="fr-FR"/>
        </w:rPr>
        <w:t>était pas parvenue à s</w:t>
      </w:r>
      <w:r w:rsidR="00CA4DAC">
        <w:rPr>
          <w:lang w:val="fr-FR"/>
        </w:rPr>
        <w:t>’</w:t>
      </w:r>
      <w:r w:rsidRPr="002A2EA6">
        <w:rPr>
          <w:lang w:val="fr-FR"/>
        </w:rPr>
        <w:t>accorder sur ces éléments à sa</w:t>
      </w:r>
      <w:r w:rsidR="0070208A" w:rsidRPr="002A2EA6">
        <w:rPr>
          <w:lang w:val="fr-FR"/>
        </w:rPr>
        <w:t> </w:t>
      </w:r>
      <w:r w:rsidRPr="002A2EA6">
        <w:rPr>
          <w:lang w:val="fr-FR"/>
        </w:rPr>
        <w:t>deuxième réunion, la</w:t>
      </w:r>
      <w:r w:rsidR="0095048C" w:rsidRPr="002A2EA6">
        <w:rPr>
          <w:lang w:val="fr-FR"/>
        </w:rPr>
        <w:t> </w:t>
      </w:r>
      <w:r w:rsidRPr="002A2EA6">
        <w:rPr>
          <w:lang w:val="fr-FR"/>
        </w:rPr>
        <w:t xml:space="preserve">Conférence </w:t>
      </w:r>
      <w:r w:rsidR="00043F5D" w:rsidRPr="002A2EA6">
        <w:rPr>
          <w:lang w:val="fr-FR"/>
        </w:rPr>
        <w:t>était appelée à réexaminer</w:t>
      </w:r>
      <w:r w:rsidRPr="002A2EA6">
        <w:rPr>
          <w:lang w:val="fr-FR"/>
        </w:rPr>
        <w:t xml:space="preserve"> à </w:t>
      </w:r>
      <w:r w:rsidR="007B4FCA" w:rsidRPr="002A2EA6">
        <w:rPr>
          <w:lang w:val="fr-FR"/>
        </w:rPr>
        <w:t>la réunion en cours</w:t>
      </w:r>
      <w:r w:rsidRPr="002A2EA6">
        <w:rPr>
          <w:lang w:val="fr-FR"/>
        </w:rPr>
        <w:t xml:space="preserve"> </w:t>
      </w:r>
      <w:r w:rsidR="00043F5D" w:rsidRPr="002A2EA6">
        <w:rPr>
          <w:lang w:val="fr-FR"/>
        </w:rPr>
        <w:t xml:space="preserve">les </w:t>
      </w:r>
      <w:r w:rsidRPr="002A2EA6">
        <w:rPr>
          <w:lang w:val="fr-FR"/>
        </w:rPr>
        <w:t>parties du texte de l</w:t>
      </w:r>
      <w:r w:rsidR="00CA4DAC">
        <w:rPr>
          <w:lang w:val="fr-FR"/>
        </w:rPr>
        <w:t>’</w:t>
      </w:r>
      <w:r w:rsidRPr="002A2EA6">
        <w:rPr>
          <w:lang w:val="fr-FR"/>
        </w:rPr>
        <w:t>article</w:t>
      </w:r>
      <w:r w:rsidR="00CC47AB" w:rsidRPr="002A2EA6">
        <w:rPr>
          <w:lang w:val="fr-FR"/>
        </w:rPr>
        <w:t> </w:t>
      </w:r>
      <w:r w:rsidRPr="002A2EA6">
        <w:rPr>
          <w:lang w:val="fr-FR"/>
        </w:rPr>
        <w:t>45 se trouvant encore entre crochets (UNEP/MC/COP.3/3).</w:t>
      </w:r>
    </w:p>
    <w:p w14:paraId="55CBC7CF" w14:textId="3580DCF1" w:rsidR="0085343C"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Concernant le paragraphe</w:t>
      </w:r>
      <w:r w:rsidR="001C11FD" w:rsidRPr="002A2EA6">
        <w:rPr>
          <w:lang w:val="fr-FR"/>
        </w:rPr>
        <w:t> </w:t>
      </w:r>
      <w:r w:rsidRPr="002A2EA6">
        <w:rPr>
          <w:lang w:val="fr-FR"/>
        </w:rPr>
        <w:t>1, tous les représentants qui ont pris la parole ont souligné l</w:t>
      </w:r>
      <w:r w:rsidR="00CA4DAC">
        <w:rPr>
          <w:lang w:val="fr-FR"/>
        </w:rPr>
        <w:t>’</w:t>
      </w:r>
      <w:r w:rsidRPr="002A2EA6">
        <w:rPr>
          <w:lang w:val="fr-FR"/>
        </w:rPr>
        <w:t>importance du consensus, qui conf</w:t>
      </w:r>
      <w:r w:rsidR="0095048C" w:rsidRPr="002A2EA6">
        <w:rPr>
          <w:lang w:val="fr-FR"/>
        </w:rPr>
        <w:t>é</w:t>
      </w:r>
      <w:r w:rsidRPr="002A2EA6">
        <w:rPr>
          <w:lang w:val="fr-FR"/>
        </w:rPr>
        <w:t>rait la plus grande légitimité aux décisions. Plusieurs d</w:t>
      </w:r>
      <w:r w:rsidR="00CA4DAC">
        <w:rPr>
          <w:lang w:val="fr-FR"/>
        </w:rPr>
        <w:t>’</w:t>
      </w:r>
      <w:r w:rsidRPr="002A2EA6">
        <w:rPr>
          <w:lang w:val="fr-FR"/>
        </w:rPr>
        <w:t>entre eux, dont un s</w:t>
      </w:r>
      <w:r w:rsidR="00CA4DAC">
        <w:rPr>
          <w:lang w:val="fr-FR"/>
        </w:rPr>
        <w:t>’</w:t>
      </w:r>
      <w:r w:rsidRPr="002A2EA6">
        <w:rPr>
          <w:lang w:val="fr-FR"/>
        </w:rPr>
        <w:t>exprimant au nom d</w:t>
      </w:r>
      <w:r w:rsidR="00CA4DAC">
        <w:rPr>
          <w:lang w:val="fr-FR"/>
        </w:rPr>
        <w:t>’</w:t>
      </w:r>
      <w:r w:rsidRPr="002A2EA6">
        <w:rPr>
          <w:lang w:val="fr-FR"/>
        </w:rPr>
        <w:t>un groupe de pays, se sont toutefois prononcés en faveur d</w:t>
      </w:r>
      <w:r w:rsidR="00CA4DAC">
        <w:rPr>
          <w:lang w:val="fr-FR"/>
        </w:rPr>
        <w:t>’</w:t>
      </w:r>
      <w:r w:rsidRPr="002A2EA6">
        <w:rPr>
          <w:lang w:val="fr-FR"/>
        </w:rPr>
        <w:t>une</w:t>
      </w:r>
      <w:r w:rsidR="00CD19FA">
        <w:rPr>
          <w:lang w:val="fr-FR"/>
        </w:rPr>
        <w:t> </w:t>
      </w:r>
      <w:r w:rsidRPr="002A2EA6">
        <w:rPr>
          <w:lang w:val="fr-FR"/>
        </w:rPr>
        <w:t>autre approche si tous les efforts pour parvenir à un consensus demeuraient vains. L</w:t>
      </w:r>
      <w:r w:rsidR="00CA4DAC">
        <w:rPr>
          <w:lang w:val="fr-FR"/>
        </w:rPr>
        <w:t>’</w:t>
      </w:r>
      <w:r w:rsidRPr="002A2EA6">
        <w:rPr>
          <w:lang w:val="fr-FR"/>
        </w:rPr>
        <w:t>un d</w:t>
      </w:r>
      <w:r w:rsidR="00CA4DAC">
        <w:rPr>
          <w:lang w:val="fr-FR"/>
        </w:rPr>
        <w:t>’</w:t>
      </w:r>
      <w:r w:rsidRPr="002A2EA6">
        <w:rPr>
          <w:lang w:val="fr-FR"/>
        </w:rPr>
        <w:t>entre</w:t>
      </w:r>
      <w:r w:rsidR="00CD19FA">
        <w:rPr>
          <w:lang w:val="fr-FR"/>
        </w:rPr>
        <w:t> </w:t>
      </w:r>
      <w:r w:rsidRPr="002A2EA6">
        <w:rPr>
          <w:lang w:val="fr-FR"/>
        </w:rPr>
        <w:t>eux a relevé que la possibilité d</w:t>
      </w:r>
      <w:r w:rsidR="00CA4DAC">
        <w:rPr>
          <w:lang w:val="fr-FR"/>
        </w:rPr>
        <w:t>’</w:t>
      </w:r>
      <w:r w:rsidRPr="002A2EA6">
        <w:rPr>
          <w:lang w:val="fr-FR"/>
        </w:rPr>
        <w:t>un vote contribuait à rendre les accords multilatéraux sur l</w:t>
      </w:r>
      <w:r w:rsidR="00CA4DAC">
        <w:rPr>
          <w:lang w:val="fr-FR"/>
        </w:rPr>
        <w:t>’</w:t>
      </w:r>
      <w:r w:rsidRPr="002A2EA6">
        <w:rPr>
          <w:lang w:val="fr-FR"/>
        </w:rPr>
        <w:t>environnement plus efficaces en évitant l</w:t>
      </w:r>
      <w:r w:rsidR="00CA4DAC">
        <w:rPr>
          <w:lang w:val="fr-FR"/>
        </w:rPr>
        <w:t>’</w:t>
      </w:r>
      <w:r w:rsidRPr="002A2EA6">
        <w:rPr>
          <w:lang w:val="fr-FR"/>
        </w:rPr>
        <w:t>imposition de la volonté d</w:t>
      </w:r>
      <w:r w:rsidR="00CA4DAC">
        <w:rPr>
          <w:lang w:val="fr-FR"/>
        </w:rPr>
        <w:t>’</w:t>
      </w:r>
      <w:r w:rsidRPr="002A2EA6">
        <w:rPr>
          <w:lang w:val="fr-FR"/>
        </w:rPr>
        <w:t>une très petite minorité à la</w:t>
      </w:r>
      <w:r w:rsidR="00CD19FA">
        <w:rPr>
          <w:lang w:val="fr-FR"/>
        </w:rPr>
        <w:t> </w:t>
      </w:r>
      <w:r w:rsidRPr="002A2EA6">
        <w:rPr>
          <w:lang w:val="fr-FR"/>
        </w:rPr>
        <w:t>majorité.</w:t>
      </w:r>
    </w:p>
    <w:p w14:paraId="2741C344" w14:textId="2CBC4E13" w:rsidR="003D0299"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Pr="002A2EA6">
        <w:rPr>
          <w:lang w:val="fr-FR"/>
        </w:rPr>
        <w:t>agissant du texte</w:t>
      </w:r>
      <w:r w:rsidR="005C6E02" w:rsidRPr="002A2EA6">
        <w:rPr>
          <w:lang w:val="fr-FR"/>
        </w:rPr>
        <w:t xml:space="preserve"> placé</w:t>
      </w:r>
      <w:r w:rsidRPr="002A2EA6">
        <w:rPr>
          <w:lang w:val="fr-FR"/>
        </w:rPr>
        <w:t xml:space="preserve"> entre crochets </w:t>
      </w:r>
      <w:r w:rsidR="005C6E02" w:rsidRPr="002A2EA6">
        <w:rPr>
          <w:lang w:val="fr-FR"/>
        </w:rPr>
        <w:t xml:space="preserve">au </w:t>
      </w:r>
      <w:r w:rsidRPr="002A2EA6">
        <w:rPr>
          <w:lang w:val="fr-FR"/>
        </w:rPr>
        <w:t>paragraphe</w:t>
      </w:r>
      <w:r w:rsidR="00CC47AB" w:rsidRPr="002A2EA6">
        <w:rPr>
          <w:lang w:val="fr-FR"/>
        </w:rPr>
        <w:t> </w:t>
      </w:r>
      <w:r w:rsidRPr="002A2EA6">
        <w:rPr>
          <w:lang w:val="fr-FR"/>
        </w:rPr>
        <w:t>3, un représentant s</w:t>
      </w:r>
      <w:r w:rsidR="00CA4DAC">
        <w:rPr>
          <w:lang w:val="fr-FR"/>
        </w:rPr>
        <w:t>’</w:t>
      </w:r>
      <w:r w:rsidRPr="002A2EA6">
        <w:rPr>
          <w:lang w:val="fr-FR"/>
        </w:rPr>
        <w:t>est dit favorable à</w:t>
      </w:r>
      <w:r w:rsidR="001C11FD" w:rsidRPr="002A2EA6">
        <w:rPr>
          <w:lang w:val="fr-FR"/>
        </w:rPr>
        <w:t> </w:t>
      </w:r>
      <w:r w:rsidRPr="002A2EA6">
        <w:rPr>
          <w:lang w:val="fr-FR"/>
        </w:rPr>
        <w:t>la</w:t>
      </w:r>
      <w:r w:rsidR="0095048C" w:rsidRPr="002A2EA6">
        <w:rPr>
          <w:lang w:val="fr-FR"/>
        </w:rPr>
        <w:t> </w:t>
      </w:r>
      <w:r w:rsidRPr="002A2EA6">
        <w:rPr>
          <w:lang w:val="fr-FR"/>
        </w:rPr>
        <w:t xml:space="preserve">proposition selon laquelle, </w:t>
      </w:r>
      <w:r w:rsidR="007963F1" w:rsidRPr="002A2EA6">
        <w:rPr>
          <w:lang w:val="fr-FR"/>
        </w:rPr>
        <w:t>si l</w:t>
      </w:r>
      <w:r w:rsidR="00CA4DAC">
        <w:rPr>
          <w:lang w:val="fr-FR"/>
        </w:rPr>
        <w:t>’</w:t>
      </w:r>
      <w:r w:rsidR="007963F1" w:rsidRPr="002A2EA6">
        <w:rPr>
          <w:lang w:val="fr-FR"/>
        </w:rPr>
        <w:t xml:space="preserve">on se demandait si une question était de nature </w:t>
      </w:r>
      <w:r w:rsidRPr="002A2EA6">
        <w:rPr>
          <w:lang w:val="fr-FR"/>
        </w:rPr>
        <w:t>procédural</w:t>
      </w:r>
      <w:r w:rsidR="00E43C0E" w:rsidRPr="002A2EA6">
        <w:rPr>
          <w:lang w:val="fr-FR"/>
        </w:rPr>
        <w:t>e</w:t>
      </w:r>
      <w:r w:rsidRPr="002A2EA6">
        <w:rPr>
          <w:lang w:val="fr-FR"/>
        </w:rPr>
        <w:t xml:space="preserve"> ou </w:t>
      </w:r>
      <w:r w:rsidR="00E43C0E" w:rsidRPr="002A2EA6">
        <w:rPr>
          <w:lang w:val="fr-FR"/>
        </w:rPr>
        <w:t>de fond</w:t>
      </w:r>
      <w:r w:rsidRPr="002A2EA6">
        <w:rPr>
          <w:lang w:val="fr-FR"/>
        </w:rPr>
        <w:t xml:space="preserve">, celle-ci devrait être automatiquement considérée comme portant sur le fond, </w:t>
      </w:r>
      <w:r w:rsidR="00970E37" w:rsidRPr="002A2EA6">
        <w:rPr>
          <w:lang w:val="fr-FR"/>
        </w:rPr>
        <w:t>tandis que d</w:t>
      </w:r>
      <w:r w:rsidR="00CA4DAC">
        <w:rPr>
          <w:lang w:val="fr-FR"/>
        </w:rPr>
        <w:t>’</w:t>
      </w:r>
      <w:r w:rsidRPr="002A2EA6">
        <w:rPr>
          <w:lang w:val="fr-FR"/>
        </w:rPr>
        <w:t xml:space="preserve">autres ont fait valoir que les Parties devraient avoir </w:t>
      </w:r>
      <w:r w:rsidR="00546BB5" w:rsidRPr="002A2EA6">
        <w:rPr>
          <w:lang w:val="fr-FR"/>
        </w:rPr>
        <w:t>voix au chapitre et</w:t>
      </w:r>
      <w:r w:rsidRPr="002A2EA6">
        <w:rPr>
          <w:lang w:val="fr-FR"/>
        </w:rPr>
        <w:t xml:space="preserve"> qu</w:t>
      </w:r>
      <w:r w:rsidR="00CA4DAC">
        <w:rPr>
          <w:lang w:val="fr-FR"/>
        </w:rPr>
        <w:t>’</w:t>
      </w:r>
      <w:r w:rsidR="00546BB5" w:rsidRPr="002A2EA6">
        <w:rPr>
          <w:lang w:val="fr-FR"/>
        </w:rPr>
        <w:t>il convenait</w:t>
      </w:r>
      <w:r w:rsidRPr="002A2EA6">
        <w:rPr>
          <w:lang w:val="fr-FR"/>
        </w:rPr>
        <w:t xml:space="preserve"> donc </w:t>
      </w:r>
      <w:r w:rsidR="00546BB5" w:rsidRPr="002A2EA6">
        <w:rPr>
          <w:lang w:val="fr-FR"/>
        </w:rPr>
        <w:t xml:space="preserve">de </w:t>
      </w:r>
      <w:r w:rsidRPr="002A2EA6">
        <w:rPr>
          <w:lang w:val="fr-FR"/>
        </w:rPr>
        <w:t>soum</w:t>
      </w:r>
      <w:r w:rsidR="00546BB5" w:rsidRPr="002A2EA6">
        <w:rPr>
          <w:lang w:val="fr-FR"/>
        </w:rPr>
        <w:t>ettre</w:t>
      </w:r>
      <w:r w:rsidRPr="002A2EA6">
        <w:rPr>
          <w:lang w:val="fr-FR"/>
        </w:rPr>
        <w:t xml:space="preserve"> </w:t>
      </w:r>
      <w:r w:rsidR="00546BB5" w:rsidRPr="002A2EA6">
        <w:rPr>
          <w:lang w:val="fr-FR"/>
        </w:rPr>
        <w:t>ce</w:t>
      </w:r>
      <w:r w:rsidR="00D540E6" w:rsidRPr="002A2EA6">
        <w:rPr>
          <w:lang w:val="fr-FR"/>
        </w:rPr>
        <w:t xml:space="preserve"> point </w:t>
      </w:r>
      <w:r w:rsidR="00800869" w:rsidRPr="002A2EA6">
        <w:rPr>
          <w:lang w:val="fr-FR"/>
        </w:rPr>
        <w:t xml:space="preserve">à un </w:t>
      </w:r>
      <w:r w:rsidRPr="002A2EA6">
        <w:rPr>
          <w:lang w:val="fr-FR"/>
        </w:rPr>
        <w:t>vote. L</w:t>
      </w:r>
      <w:r w:rsidR="00CA4DAC">
        <w:rPr>
          <w:lang w:val="fr-FR"/>
        </w:rPr>
        <w:t>’</w:t>
      </w:r>
      <w:r w:rsidRPr="002A2EA6">
        <w:rPr>
          <w:lang w:val="fr-FR"/>
        </w:rPr>
        <w:t xml:space="preserve">un </w:t>
      </w:r>
      <w:r w:rsidR="0053361B" w:rsidRPr="002A2EA6">
        <w:rPr>
          <w:lang w:val="fr-FR"/>
        </w:rPr>
        <w:t xml:space="preserve">des représentants </w:t>
      </w:r>
      <w:r w:rsidRPr="002A2EA6">
        <w:rPr>
          <w:lang w:val="fr-FR"/>
        </w:rPr>
        <w:t xml:space="preserve">a </w:t>
      </w:r>
      <w:r w:rsidR="00D540E6" w:rsidRPr="002A2EA6">
        <w:rPr>
          <w:lang w:val="fr-FR"/>
        </w:rPr>
        <w:t>relevé</w:t>
      </w:r>
      <w:r w:rsidRPr="002A2EA6">
        <w:rPr>
          <w:lang w:val="fr-FR"/>
        </w:rPr>
        <w:t xml:space="preserve"> que le libellé de la proposition était </w:t>
      </w:r>
      <w:r w:rsidR="00D540E6" w:rsidRPr="002A2EA6">
        <w:rPr>
          <w:lang w:val="fr-FR"/>
        </w:rPr>
        <w:t>repris du</w:t>
      </w:r>
      <w:r w:rsidRPr="002A2EA6">
        <w:rPr>
          <w:lang w:val="fr-FR"/>
        </w:rPr>
        <w:t xml:space="preserve"> </w:t>
      </w:r>
      <w:r w:rsidR="00484A00" w:rsidRPr="002A2EA6">
        <w:rPr>
          <w:lang w:val="fr-FR"/>
        </w:rPr>
        <w:t>R</w:t>
      </w:r>
      <w:r w:rsidRPr="002A2EA6">
        <w:rPr>
          <w:lang w:val="fr-FR"/>
        </w:rPr>
        <w:t>èglement intérieur des conventions de Bâle, de Rotterdam et de Stockholm et d</w:t>
      </w:r>
      <w:r w:rsidR="00CA4DAC">
        <w:rPr>
          <w:lang w:val="fr-FR"/>
        </w:rPr>
        <w:t>’</w:t>
      </w:r>
      <w:r w:rsidRPr="002A2EA6">
        <w:rPr>
          <w:lang w:val="fr-FR"/>
        </w:rPr>
        <w:t>autres conventions et protocoles importants relatifs à l</w:t>
      </w:r>
      <w:r w:rsidR="00CA4DAC">
        <w:rPr>
          <w:lang w:val="fr-FR"/>
        </w:rPr>
        <w:t>’</w:t>
      </w:r>
      <w:r w:rsidRPr="002A2EA6">
        <w:rPr>
          <w:lang w:val="fr-FR"/>
        </w:rPr>
        <w:t xml:space="preserve">environnement. Un autre représentant </w:t>
      </w:r>
      <w:r w:rsidR="00D540E6" w:rsidRPr="002A2EA6">
        <w:rPr>
          <w:lang w:val="fr-FR"/>
        </w:rPr>
        <w:t>s</w:t>
      </w:r>
      <w:r w:rsidR="00CA4DAC">
        <w:rPr>
          <w:lang w:val="fr-FR"/>
        </w:rPr>
        <w:t>’</w:t>
      </w:r>
      <w:r w:rsidR="00D540E6" w:rsidRPr="002A2EA6">
        <w:rPr>
          <w:lang w:val="fr-FR"/>
        </w:rPr>
        <w:t>est</w:t>
      </w:r>
      <w:r w:rsidRPr="002A2EA6">
        <w:rPr>
          <w:lang w:val="fr-FR"/>
        </w:rPr>
        <w:t xml:space="preserve"> toutefois </w:t>
      </w:r>
      <w:r w:rsidR="00D540E6" w:rsidRPr="002A2EA6">
        <w:rPr>
          <w:lang w:val="fr-FR"/>
        </w:rPr>
        <w:t xml:space="preserve">opposé à tout </w:t>
      </w:r>
      <w:r w:rsidRPr="002A2EA6">
        <w:rPr>
          <w:lang w:val="fr-FR"/>
        </w:rPr>
        <w:t>vote quel qu</w:t>
      </w:r>
      <w:r w:rsidR="00CA4DAC">
        <w:rPr>
          <w:lang w:val="fr-FR"/>
        </w:rPr>
        <w:t>’</w:t>
      </w:r>
      <w:r w:rsidRPr="002A2EA6">
        <w:rPr>
          <w:lang w:val="fr-FR"/>
        </w:rPr>
        <w:t>il soit.</w:t>
      </w:r>
    </w:p>
    <w:p w14:paraId="47C2D39F" w14:textId="40BB9DBF" w:rsidR="0085343C" w:rsidRPr="002A2EA6" w:rsidRDefault="0085343C"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en conséquence, décidé de reporter à sa quatrième</w:t>
      </w:r>
      <w:r w:rsidR="00A90914" w:rsidRPr="002A2EA6">
        <w:rPr>
          <w:lang w:val="fr-FR"/>
        </w:rPr>
        <w:t> </w:t>
      </w:r>
      <w:r w:rsidRPr="002A2EA6">
        <w:rPr>
          <w:lang w:val="fr-FR"/>
        </w:rPr>
        <w:t>réunion l</w:t>
      </w:r>
      <w:r w:rsidR="00CA4DAC">
        <w:rPr>
          <w:lang w:val="fr-FR"/>
        </w:rPr>
        <w:t>’</w:t>
      </w:r>
      <w:r w:rsidRPr="002A2EA6">
        <w:rPr>
          <w:lang w:val="fr-FR"/>
        </w:rPr>
        <w:t>examen des parties du texte de l</w:t>
      </w:r>
      <w:r w:rsidR="00CA4DAC">
        <w:rPr>
          <w:lang w:val="fr-FR"/>
        </w:rPr>
        <w:t>’</w:t>
      </w:r>
      <w:r w:rsidRPr="002A2EA6">
        <w:rPr>
          <w:lang w:val="fr-FR"/>
        </w:rPr>
        <w:t>article</w:t>
      </w:r>
      <w:r w:rsidR="00CC47AB" w:rsidRPr="002A2EA6">
        <w:rPr>
          <w:lang w:val="fr-FR"/>
        </w:rPr>
        <w:t> </w:t>
      </w:r>
      <w:r w:rsidRPr="002A2EA6">
        <w:rPr>
          <w:lang w:val="fr-FR"/>
        </w:rPr>
        <w:t>45 se trouvant entre crochets.</w:t>
      </w:r>
    </w:p>
    <w:p w14:paraId="6B5A0D29" w14:textId="0C102771" w:rsidR="003D6C28" w:rsidRPr="002A2EA6" w:rsidRDefault="003D6C28" w:rsidP="002E5929">
      <w:pPr>
        <w:pStyle w:val="CH1"/>
        <w:rPr>
          <w:lang w:val="fr-FR"/>
        </w:rPr>
      </w:pPr>
      <w:r w:rsidRPr="002A2EA6">
        <w:rPr>
          <w:lang w:val="fr-FR"/>
        </w:rPr>
        <w:tab/>
        <w:t>IV.</w:t>
      </w:r>
      <w:r w:rsidRPr="002A2EA6">
        <w:rPr>
          <w:lang w:val="fr-FR"/>
        </w:rPr>
        <w:tab/>
        <w:t>Rapport sur la vérification des pouvoirs des représentants à</w:t>
      </w:r>
      <w:r w:rsidR="00A90914" w:rsidRPr="002A2EA6">
        <w:rPr>
          <w:lang w:val="fr-FR"/>
        </w:rPr>
        <w:t> </w:t>
      </w:r>
      <w:r w:rsidRPr="002A2EA6">
        <w:rPr>
          <w:lang w:val="fr-FR"/>
        </w:rPr>
        <w:t>la</w:t>
      </w:r>
      <w:r w:rsidR="0095048C" w:rsidRPr="002A2EA6">
        <w:rPr>
          <w:lang w:val="fr-FR"/>
        </w:rPr>
        <w:t> </w:t>
      </w:r>
      <w:r w:rsidRPr="002A2EA6">
        <w:rPr>
          <w:lang w:val="fr-FR"/>
        </w:rPr>
        <w:t>troisième réunion de la Conférence des Parties</w:t>
      </w:r>
    </w:p>
    <w:p w14:paraId="4C0E6385" w14:textId="60416F67" w:rsidR="3E696F57" w:rsidRPr="002A2EA6" w:rsidRDefault="3E696F57"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le rapport du Bureau sur les pouvoirs de représentants, M. Niziri Asl a fait savoir que le Bureau avait examiné les pouvoirs présentés par les Parties conformément aux articles 19 et</w:t>
      </w:r>
      <w:r w:rsidR="00A90914" w:rsidRPr="002A2EA6">
        <w:rPr>
          <w:lang w:val="fr-FR"/>
        </w:rPr>
        <w:t> </w:t>
      </w:r>
      <w:r w:rsidRPr="002A2EA6">
        <w:rPr>
          <w:lang w:val="fr-FR"/>
        </w:rPr>
        <w:t>20 du Règlement intérieur et en avait conclu qu</w:t>
      </w:r>
      <w:r w:rsidR="00CA4DAC">
        <w:rPr>
          <w:lang w:val="fr-FR"/>
        </w:rPr>
        <w:t>’</w:t>
      </w:r>
      <w:r w:rsidRPr="002A2EA6">
        <w:rPr>
          <w:lang w:val="fr-FR"/>
        </w:rPr>
        <w:t>au 26 novembre 2019, les représentants de 77 Parties avaient présenté des pouvoirs délivrés soit par un chef d</w:t>
      </w:r>
      <w:r w:rsidR="00CA4DAC">
        <w:rPr>
          <w:lang w:val="fr-FR"/>
        </w:rPr>
        <w:t>’</w:t>
      </w:r>
      <w:r w:rsidRPr="002A2EA6">
        <w:rPr>
          <w:lang w:val="fr-FR"/>
        </w:rPr>
        <w:t>État ou de gouvernement, soit par un ministre des affaires étrangères ou, dans le cas d</w:t>
      </w:r>
      <w:r w:rsidR="00CA4DAC">
        <w:rPr>
          <w:lang w:val="fr-FR"/>
        </w:rPr>
        <w:t>’</w:t>
      </w:r>
      <w:r w:rsidRPr="002A2EA6">
        <w:rPr>
          <w:lang w:val="fr-FR"/>
        </w:rPr>
        <w:t>une organisation d</w:t>
      </w:r>
      <w:r w:rsidR="00CA4DAC">
        <w:rPr>
          <w:lang w:val="fr-FR"/>
        </w:rPr>
        <w:t>’</w:t>
      </w:r>
      <w:r w:rsidRPr="002A2EA6">
        <w:rPr>
          <w:lang w:val="fr-FR"/>
        </w:rPr>
        <w:t>intégration économique régionale, par l</w:t>
      </w:r>
      <w:r w:rsidR="00CA4DAC">
        <w:rPr>
          <w:lang w:val="fr-FR"/>
        </w:rPr>
        <w:t>’</w:t>
      </w:r>
      <w:r w:rsidRPr="002A2EA6">
        <w:rPr>
          <w:lang w:val="fr-FR"/>
        </w:rPr>
        <w:t xml:space="preserve">autorité compétente de </w:t>
      </w:r>
      <w:r w:rsidR="002C396B" w:rsidRPr="002A2EA6">
        <w:rPr>
          <w:lang w:val="fr-FR"/>
        </w:rPr>
        <w:t>l</w:t>
      </w:r>
      <w:r w:rsidR="00CA4DAC">
        <w:rPr>
          <w:lang w:val="fr-FR"/>
        </w:rPr>
        <w:t>’</w:t>
      </w:r>
      <w:r w:rsidRPr="002A2EA6">
        <w:rPr>
          <w:lang w:val="fr-FR"/>
        </w:rPr>
        <w:t>organisation</w:t>
      </w:r>
      <w:r w:rsidR="002C396B" w:rsidRPr="002A2EA6">
        <w:rPr>
          <w:lang w:val="fr-FR"/>
        </w:rPr>
        <w:t xml:space="preserve"> en question</w:t>
      </w:r>
      <w:r w:rsidRPr="002A2EA6">
        <w:rPr>
          <w:lang w:val="fr-FR"/>
        </w:rPr>
        <w:t>. En outre, 28 parties avaient communiqué des pouvoirs ou des informations relatives à la désignation de représentants en envoyant une télécopie ou une photocopie, ou sous la forme de lettres ou de notes verbales rédigées par la mission concernée. Huit</w:t>
      </w:r>
      <w:r w:rsidR="00CC47AB" w:rsidRPr="002A2EA6">
        <w:rPr>
          <w:lang w:val="fr-FR"/>
        </w:rPr>
        <w:t> </w:t>
      </w:r>
      <w:r w:rsidRPr="002A2EA6">
        <w:rPr>
          <w:lang w:val="fr-FR"/>
        </w:rPr>
        <w:t>Parties n</w:t>
      </w:r>
      <w:r w:rsidR="00CA4DAC">
        <w:rPr>
          <w:lang w:val="fr-FR"/>
        </w:rPr>
        <w:t>’</w:t>
      </w:r>
      <w:r w:rsidRPr="002A2EA6">
        <w:rPr>
          <w:lang w:val="fr-FR"/>
        </w:rPr>
        <w:t>avaient communiqué aucune information sur leurs représentants.</w:t>
      </w:r>
    </w:p>
    <w:p w14:paraId="2CA7344F" w14:textId="5B8BF5E1" w:rsidR="292839F1" w:rsidRPr="002A2EA6" w:rsidRDefault="292839F1"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pris note du rapport tel qu</w:t>
      </w:r>
      <w:r w:rsidR="00CA4DAC">
        <w:rPr>
          <w:lang w:val="fr-FR"/>
        </w:rPr>
        <w:t>’</w:t>
      </w:r>
      <w:r w:rsidRPr="002A2EA6">
        <w:rPr>
          <w:lang w:val="fr-FR"/>
        </w:rPr>
        <w:t>approuvé par le Bureau.</w:t>
      </w:r>
    </w:p>
    <w:p w14:paraId="05308B19" w14:textId="689457BD" w:rsidR="003D6C28" w:rsidRPr="002A2EA6" w:rsidRDefault="00C7478E" w:rsidP="00C7478E">
      <w:pPr>
        <w:pStyle w:val="CH1"/>
        <w:rPr>
          <w:lang w:val="fr-FR"/>
        </w:rPr>
      </w:pPr>
      <w:r w:rsidRPr="002A2EA6">
        <w:rPr>
          <w:lang w:val="fr-FR"/>
        </w:rPr>
        <w:lastRenderedPageBreak/>
        <w:tab/>
        <w:t>V.</w:t>
      </w:r>
      <w:r w:rsidRPr="002A2EA6">
        <w:rPr>
          <w:lang w:val="fr-FR"/>
        </w:rPr>
        <w:tab/>
        <w:t>Questions soumises à la Conférence des Parties pour examen ou</w:t>
      </w:r>
      <w:r w:rsidR="0095048C" w:rsidRPr="002A2EA6">
        <w:rPr>
          <w:lang w:val="fr-FR"/>
        </w:rPr>
        <w:t> </w:t>
      </w:r>
      <w:r w:rsidRPr="002A2EA6">
        <w:rPr>
          <w:lang w:val="fr-FR"/>
        </w:rPr>
        <w:t>décision</w:t>
      </w:r>
    </w:p>
    <w:p w14:paraId="081FD846" w14:textId="23275EF2" w:rsidR="001E4A91" w:rsidRPr="002A2EA6" w:rsidRDefault="001E4A91" w:rsidP="001E4A91">
      <w:pPr>
        <w:pStyle w:val="CH2"/>
        <w:rPr>
          <w:lang w:val="fr-FR"/>
        </w:rPr>
      </w:pPr>
      <w:r w:rsidRPr="002A2EA6">
        <w:rPr>
          <w:lang w:val="fr-FR"/>
        </w:rPr>
        <w:tab/>
      </w:r>
      <w:bookmarkStart w:id="15" w:name="_Toc39063336"/>
      <w:r w:rsidRPr="002A2EA6">
        <w:rPr>
          <w:lang w:val="fr-FR"/>
        </w:rPr>
        <w:t>A.</w:t>
      </w:r>
      <w:r w:rsidRPr="002A2EA6">
        <w:rPr>
          <w:lang w:val="fr-FR"/>
        </w:rPr>
        <w:tab/>
      </w:r>
      <w:r w:rsidR="008B687E" w:rsidRPr="002A2EA6">
        <w:rPr>
          <w:lang w:val="fr-FR"/>
        </w:rPr>
        <w:t>Produits contenant du mercure ajouté et procédés de fabrication utilisant du</w:t>
      </w:r>
      <w:r w:rsidR="0095048C" w:rsidRPr="002A2EA6">
        <w:rPr>
          <w:lang w:val="fr-FR"/>
        </w:rPr>
        <w:t> </w:t>
      </w:r>
      <w:r w:rsidR="008B687E" w:rsidRPr="002A2EA6">
        <w:rPr>
          <w:lang w:val="fr-FR"/>
        </w:rPr>
        <w:t>mercure ou des composés du mercure</w:t>
      </w:r>
      <w:bookmarkEnd w:id="15"/>
      <w:r w:rsidR="008B687E" w:rsidRPr="002A2EA6">
        <w:rPr>
          <w:lang w:val="fr-FR"/>
        </w:rPr>
        <w:t> </w:t>
      </w:r>
    </w:p>
    <w:p w14:paraId="359F80E2" w14:textId="4B3F09DA" w:rsidR="003D0299" w:rsidRPr="002A2EA6" w:rsidRDefault="00C7478E" w:rsidP="0095048C">
      <w:pPr>
        <w:pStyle w:val="CH3"/>
        <w:rPr>
          <w:lang w:val="fr-FR"/>
        </w:rPr>
      </w:pPr>
      <w:r w:rsidRPr="002A2EA6">
        <w:rPr>
          <w:lang w:val="fr-FR"/>
        </w:rPr>
        <w:tab/>
        <w:t>1.</w:t>
      </w:r>
      <w:r w:rsidRPr="002A2EA6">
        <w:rPr>
          <w:lang w:val="fr-FR"/>
        </w:rPr>
        <w:tab/>
        <w:t>Examen des Annexes A et</w:t>
      </w:r>
      <w:r w:rsidR="00CC47AB" w:rsidRPr="002A2EA6">
        <w:rPr>
          <w:lang w:val="fr-FR"/>
        </w:rPr>
        <w:t> </w:t>
      </w:r>
      <w:r w:rsidRPr="002A2EA6">
        <w:rPr>
          <w:lang w:val="fr-FR"/>
        </w:rPr>
        <w:t>B</w:t>
      </w:r>
    </w:p>
    <w:p w14:paraId="70C1EF82" w14:textId="2E11D9EC" w:rsidR="003D0299" w:rsidRPr="002A2EA6" w:rsidRDefault="00BA500D"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Présentant ce sous-point, le représentant du </w:t>
      </w:r>
      <w:r w:rsidR="00D540E6" w:rsidRPr="002A2EA6">
        <w:rPr>
          <w:lang w:val="fr-FR"/>
        </w:rPr>
        <w:t xml:space="preserve">secrétariat </w:t>
      </w:r>
      <w:r w:rsidRPr="002A2EA6">
        <w:rPr>
          <w:lang w:val="fr-FR"/>
        </w:rPr>
        <w:t>a rappelé que les articles</w:t>
      </w:r>
      <w:r w:rsidR="00CC47AB" w:rsidRPr="002A2EA6">
        <w:rPr>
          <w:lang w:val="fr-FR"/>
        </w:rPr>
        <w:t> </w:t>
      </w:r>
      <w:r w:rsidRPr="002A2EA6">
        <w:rPr>
          <w:lang w:val="fr-FR"/>
        </w:rPr>
        <w:t>4 et</w:t>
      </w:r>
      <w:r w:rsidR="00CC47AB" w:rsidRPr="002A2EA6">
        <w:rPr>
          <w:lang w:val="fr-FR"/>
        </w:rPr>
        <w:t> </w:t>
      </w:r>
      <w:r w:rsidRPr="002A2EA6">
        <w:rPr>
          <w:lang w:val="fr-FR"/>
        </w:rPr>
        <w:t>5 de la</w:t>
      </w:r>
      <w:r w:rsidR="0095048C" w:rsidRPr="002A2EA6">
        <w:rPr>
          <w:lang w:val="fr-FR"/>
        </w:rPr>
        <w:t> </w:t>
      </w:r>
      <w:r w:rsidRPr="002A2EA6">
        <w:rPr>
          <w:lang w:val="fr-FR"/>
        </w:rPr>
        <w:t>Convention prévoyaient un examen des Annexes</w:t>
      </w:r>
      <w:r w:rsidR="00CC47AB" w:rsidRPr="002A2EA6">
        <w:rPr>
          <w:lang w:val="fr-FR"/>
        </w:rPr>
        <w:t> </w:t>
      </w:r>
      <w:r w:rsidRPr="002A2EA6">
        <w:rPr>
          <w:lang w:val="fr-FR"/>
        </w:rPr>
        <w:t>A et</w:t>
      </w:r>
      <w:r w:rsidR="00CC47AB" w:rsidRPr="002A2EA6">
        <w:rPr>
          <w:lang w:val="fr-FR"/>
        </w:rPr>
        <w:t> </w:t>
      </w:r>
      <w:r w:rsidRPr="002A2EA6">
        <w:rPr>
          <w:lang w:val="fr-FR"/>
        </w:rPr>
        <w:t>B au plus tard cinq ans après la date d</w:t>
      </w:r>
      <w:r w:rsidR="00CA4DAC">
        <w:rPr>
          <w:lang w:val="fr-FR"/>
        </w:rPr>
        <w:t>’</w:t>
      </w:r>
      <w:r w:rsidRPr="002A2EA6">
        <w:rPr>
          <w:lang w:val="fr-FR"/>
        </w:rPr>
        <w:t>entrée en vigueur de la Convention. À sa deuxième</w:t>
      </w:r>
      <w:r w:rsidR="00CC47AB" w:rsidRPr="002A2EA6">
        <w:rPr>
          <w:lang w:val="fr-FR"/>
        </w:rPr>
        <w:t> </w:t>
      </w:r>
      <w:r w:rsidRPr="002A2EA6">
        <w:rPr>
          <w:lang w:val="fr-FR"/>
        </w:rPr>
        <w:t>réunion, la Conférence des Parties avait convenu de reporter l</w:t>
      </w:r>
      <w:r w:rsidR="00CA4DAC">
        <w:rPr>
          <w:lang w:val="fr-FR"/>
        </w:rPr>
        <w:t>’</w:t>
      </w:r>
      <w:r w:rsidRPr="002A2EA6">
        <w:rPr>
          <w:lang w:val="fr-FR"/>
        </w:rPr>
        <w:t>examen de la question à sa troisième</w:t>
      </w:r>
      <w:r w:rsidR="007F36D6" w:rsidRPr="002A2EA6">
        <w:rPr>
          <w:lang w:val="fr-FR"/>
        </w:rPr>
        <w:t> </w:t>
      </w:r>
      <w:r w:rsidRPr="002A2EA6">
        <w:rPr>
          <w:lang w:val="fr-FR"/>
        </w:rPr>
        <w:t xml:space="preserve">réunion et </w:t>
      </w:r>
      <w:r w:rsidR="0038497C" w:rsidRPr="002A2EA6">
        <w:rPr>
          <w:lang w:val="fr-FR"/>
        </w:rPr>
        <w:t xml:space="preserve">prié le </w:t>
      </w:r>
      <w:r w:rsidR="00D540E6" w:rsidRPr="002A2EA6">
        <w:rPr>
          <w:lang w:val="fr-FR"/>
        </w:rPr>
        <w:t>secrétariat</w:t>
      </w:r>
      <w:r w:rsidRPr="002A2EA6">
        <w:rPr>
          <w:lang w:val="fr-FR"/>
        </w:rPr>
        <w:t xml:space="preserve"> </w:t>
      </w:r>
      <w:r w:rsidR="0038497C" w:rsidRPr="002A2EA6">
        <w:rPr>
          <w:lang w:val="fr-FR"/>
        </w:rPr>
        <w:t>d</w:t>
      </w:r>
      <w:r w:rsidR="00CA4DAC">
        <w:rPr>
          <w:lang w:val="fr-FR"/>
        </w:rPr>
        <w:t>’</w:t>
      </w:r>
      <w:r w:rsidR="0038497C" w:rsidRPr="002A2EA6">
        <w:rPr>
          <w:lang w:val="fr-FR"/>
        </w:rPr>
        <w:t xml:space="preserve">établir </w:t>
      </w:r>
      <w:r w:rsidRPr="002A2EA6">
        <w:rPr>
          <w:lang w:val="fr-FR"/>
        </w:rPr>
        <w:t>un document à ce</w:t>
      </w:r>
      <w:r w:rsidR="00F64F88">
        <w:rPr>
          <w:lang w:val="fr-FR"/>
        </w:rPr>
        <w:t> </w:t>
      </w:r>
      <w:r w:rsidRPr="002A2EA6">
        <w:rPr>
          <w:lang w:val="fr-FR"/>
        </w:rPr>
        <w:t>sujet qu</w:t>
      </w:r>
      <w:r w:rsidR="00CA4DAC">
        <w:rPr>
          <w:lang w:val="fr-FR"/>
        </w:rPr>
        <w:t>’</w:t>
      </w:r>
      <w:r w:rsidRPr="002A2EA6">
        <w:rPr>
          <w:lang w:val="fr-FR"/>
        </w:rPr>
        <w:t xml:space="preserve">elle examinerait </w:t>
      </w:r>
      <w:r w:rsidR="00312611" w:rsidRPr="002A2EA6">
        <w:rPr>
          <w:lang w:val="fr-FR"/>
        </w:rPr>
        <w:t>à ce moment-là</w:t>
      </w:r>
      <w:r w:rsidRPr="002A2EA6">
        <w:rPr>
          <w:lang w:val="fr-FR"/>
        </w:rPr>
        <w:t xml:space="preserve">. </w:t>
      </w:r>
      <w:r w:rsidR="007D1D33" w:rsidRPr="002A2EA6">
        <w:rPr>
          <w:lang w:val="fr-FR"/>
        </w:rPr>
        <w:t>En conséquence, l</w:t>
      </w:r>
      <w:r w:rsidRPr="002A2EA6">
        <w:rPr>
          <w:lang w:val="fr-FR"/>
        </w:rPr>
        <w:t>a Conférence des Parties était saisie</w:t>
      </w:r>
      <w:r w:rsidR="007D1D33" w:rsidRPr="002A2EA6">
        <w:rPr>
          <w:lang w:val="fr-FR"/>
        </w:rPr>
        <w:t xml:space="preserve"> </w:t>
      </w:r>
      <w:r w:rsidRPr="002A2EA6">
        <w:rPr>
          <w:lang w:val="fr-FR"/>
        </w:rPr>
        <w:t>d</w:t>
      </w:r>
      <w:r w:rsidR="00CA4DAC">
        <w:rPr>
          <w:lang w:val="fr-FR"/>
        </w:rPr>
        <w:t>’</w:t>
      </w:r>
      <w:r w:rsidRPr="002A2EA6">
        <w:rPr>
          <w:lang w:val="fr-FR"/>
        </w:rPr>
        <w:t>une</w:t>
      </w:r>
      <w:r w:rsidR="0070208A" w:rsidRPr="002A2EA6">
        <w:rPr>
          <w:lang w:val="fr-FR"/>
        </w:rPr>
        <w:t> </w:t>
      </w:r>
      <w:r w:rsidRPr="002A2EA6">
        <w:rPr>
          <w:lang w:val="fr-FR"/>
        </w:rPr>
        <w:t xml:space="preserve">note du </w:t>
      </w:r>
      <w:r w:rsidR="00D540E6" w:rsidRPr="002A2EA6">
        <w:rPr>
          <w:lang w:val="fr-FR"/>
        </w:rPr>
        <w:t>secrétariat</w:t>
      </w:r>
      <w:r w:rsidRPr="002A2EA6">
        <w:rPr>
          <w:lang w:val="fr-FR"/>
        </w:rPr>
        <w:t xml:space="preserve"> portant sur l</w:t>
      </w:r>
      <w:r w:rsidR="00CA4DAC">
        <w:rPr>
          <w:lang w:val="fr-FR"/>
        </w:rPr>
        <w:t>’</w:t>
      </w:r>
      <w:r w:rsidRPr="002A2EA6">
        <w:rPr>
          <w:lang w:val="fr-FR"/>
        </w:rPr>
        <w:t>examen des Annexes</w:t>
      </w:r>
      <w:r w:rsidR="00CC47AB" w:rsidRPr="002A2EA6">
        <w:rPr>
          <w:lang w:val="fr-FR"/>
        </w:rPr>
        <w:t> </w:t>
      </w:r>
      <w:r w:rsidRPr="002A2EA6">
        <w:rPr>
          <w:lang w:val="fr-FR"/>
        </w:rPr>
        <w:t>A et</w:t>
      </w:r>
      <w:r w:rsidR="00CC47AB" w:rsidRPr="002A2EA6">
        <w:rPr>
          <w:lang w:val="fr-FR"/>
        </w:rPr>
        <w:t> </w:t>
      </w:r>
      <w:r w:rsidRPr="002A2EA6">
        <w:rPr>
          <w:lang w:val="fr-FR"/>
        </w:rPr>
        <w:t>B (UNEP/MC/COP.3/4), d</w:t>
      </w:r>
      <w:r w:rsidR="6CA7C884" w:rsidRPr="002A2EA6">
        <w:rPr>
          <w:lang w:val="fr-FR"/>
        </w:rPr>
        <w:t xml:space="preserve">ans </w:t>
      </w:r>
      <w:r w:rsidRPr="002A2EA6">
        <w:rPr>
          <w:lang w:val="fr-FR"/>
        </w:rPr>
        <w:t>l</w:t>
      </w:r>
      <w:r w:rsidR="00CA4DAC">
        <w:rPr>
          <w:lang w:val="fr-FR"/>
        </w:rPr>
        <w:t>’</w:t>
      </w:r>
      <w:r w:rsidRPr="002A2EA6">
        <w:rPr>
          <w:lang w:val="fr-FR"/>
        </w:rPr>
        <w:t xml:space="preserve">annexe </w:t>
      </w:r>
      <w:r w:rsidR="29D401CD" w:rsidRPr="002A2EA6">
        <w:rPr>
          <w:lang w:val="fr-FR"/>
        </w:rPr>
        <w:t xml:space="preserve">de laquelle figurait </w:t>
      </w:r>
      <w:r w:rsidRPr="002A2EA6">
        <w:rPr>
          <w:lang w:val="fr-FR"/>
        </w:rPr>
        <w:t>un projet de décision visant à créer un groupe spécial d</w:t>
      </w:r>
      <w:r w:rsidR="00CA4DAC">
        <w:rPr>
          <w:lang w:val="fr-FR"/>
        </w:rPr>
        <w:t>’</w:t>
      </w:r>
      <w:r w:rsidRPr="002A2EA6">
        <w:rPr>
          <w:lang w:val="fr-FR"/>
        </w:rPr>
        <w:t>experts chargé de revoir les</w:t>
      </w:r>
      <w:r w:rsidR="0095048C" w:rsidRPr="002A2EA6">
        <w:rPr>
          <w:lang w:val="fr-FR"/>
        </w:rPr>
        <w:t> </w:t>
      </w:r>
      <w:r w:rsidRPr="002A2EA6">
        <w:rPr>
          <w:lang w:val="fr-FR"/>
        </w:rPr>
        <w:t>dispositions des Annexes</w:t>
      </w:r>
      <w:r w:rsidR="00CC47AB" w:rsidRPr="002A2EA6">
        <w:rPr>
          <w:lang w:val="fr-FR"/>
        </w:rPr>
        <w:t> </w:t>
      </w:r>
      <w:r w:rsidRPr="002A2EA6">
        <w:rPr>
          <w:lang w:val="fr-FR"/>
        </w:rPr>
        <w:t>A et</w:t>
      </w:r>
      <w:r w:rsidR="00CC47AB" w:rsidRPr="002A2EA6">
        <w:rPr>
          <w:lang w:val="fr-FR"/>
        </w:rPr>
        <w:t> </w:t>
      </w:r>
      <w:r w:rsidRPr="002A2EA6">
        <w:rPr>
          <w:lang w:val="fr-FR"/>
        </w:rPr>
        <w:t>B à la Convention en tenant compte des informations communiquées par les Parties, ainsi que le projet de mandat du groupe.</w:t>
      </w:r>
    </w:p>
    <w:p w14:paraId="1D5F5332" w14:textId="23B9F081" w:rsidR="00BA500D" w:rsidRPr="002A2EA6" w:rsidRDefault="00BA500D"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de nombreux représentants, dont l</w:t>
      </w:r>
      <w:r w:rsidR="00CA4DAC">
        <w:rPr>
          <w:lang w:val="fr-FR"/>
        </w:rPr>
        <w:t>’</w:t>
      </w:r>
      <w:r w:rsidRPr="002A2EA6">
        <w:rPr>
          <w:lang w:val="fr-FR"/>
        </w:rPr>
        <w:t>un s</w:t>
      </w:r>
      <w:r w:rsidR="00CA4DAC">
        <w:rPr>
          <w:lang w:val="fr-FR"/>
        </w:rPr>
        <w:t>’</w:t>
      </w:r>
      <w:r w:rsidRPr="002A2EA6">
        <w:rPr>
          <w:lang w:val="fr-FR"/>
        </w:rPr>
        <w:t>exprimait au nom d</w:t>
      </w:r>
      <w:r w:rsidR="00CA4DAC">
        <w:rPr>
          <w:lang w:val="fr-FR"/>
        </w:rPr>
        <w:t>’</w:t>
      </w:r>
      <w:r w:rsidRPr="002A2EA6">
        <w:rPr>
          <w:lang w:val="fr-FR"/>
        </w:rPr>
        <w:t>un</w:t>
      </w:r>
      <w:r w:rsidR="0095048C" w:rsidRPr="002A2EA6">
        <w:rPr>
          <w:lang w:val="fr-FR"/>
        </w:rPr>
        <w:t> </w:t>
      </w:r>
      <w:r w:rsidRPr="002A2EA6">
        <w:rPr>
          <w:lang w:val="fr-FR"/>
        </w:rPr>
        <w:t>groupe de pays, se sont dits favorables à la création d</w:t>
      </w:r>
      <w:r w:rsidR="00CA4DAC">
        <w:rPr>
          <w:lang w:val="fr-FR"/>
        </w:rPr>
        <w:t>’</w:t>
      </w:r>
      <w:r w:rsidRPr="002A2EA6">
        <w:rPr>
          <w:lang w:val="fr-FR"/>
        </w:rPr>
        <w:t>un groupe d</w:t>
      </w:r>
      <w:r w:rsidR="00CA4DAC">
        <w:rPr>
          <w:lang w:val="fr-FR"/>
        </w:rPr>
        <w:t>’</w:t>
      </w:r>
      <w:r w:rsidRPr="002A2EA6">
        <w:rPr>
          <w:lang w:val="fr-FR"/>
        </w:rPr>
        <w:t>experts qui serait chargé de recueillir les informations techniques pertinentes, y compris sur les solutions de remplacement techniquement et économiquement viables des produits contenant du mercure ajouté et des procédés de fabrication utilisant du mercure, inscrits aux Annexes</w:t>
      </w:r>
      <w:r w:rsidR="00CC47AB" w:rsidRPr="002A2EA6">
        <w:rPr>
          <w:lang w:val="fr-FR"/>
        </w:rPr>
        <w:t> </w:t>
      </w:r>
      <w:r w:rsidRPr="002A2EA6">
        <w:rPr>
          <w:lang w:val="fr-FR"/>
        </w:rPr>
        <w:t>A et</w:t>
      </w:r>
      <w:r w:rsidR="00CC47AB" w:rsidRPr="002A2EA6">
        <w:rPr>
          <w:lang w:val="fr-FR"/>
        </w:rPr>
        <w:t> </w:t>
      </w:r>
      <w:r w:rsidRPr="002A2EA6">
        <w:rPr>
          <w:lang w:val="fr-FR"/>
        </w:rPr>
        <w:t xml:space="preserve">B, afin que les Parties puissent envisager </w:t>
      </w:r>
      <w:r w:rsidR="00FD0975" w:rsidRPr="002A2EA6">
        <w:rPr>
          <w:lang w:val="fr-FR"/>
        </w:rPr>
        <w:t xml:space="preserve">de modifier </w:t>
      </w:r>
      <w:r w:rsidR="00384B35" w:rsidRPr="002A2EA6">
        <w:rPr>
          <w:lang w:val="fr-FR"/>
        </w:rPr>
        <w:t>au besoin</w:t>
      </w:r>
      <w:r w:rsidR="00FD0975" w:rsidRPr="002A2EA6">
        <w:rPr>
          <w:lang w:val="fr-FR"/>
        </w:rPr>
        <w:t xml:space="preserve"> les </w:t>
      </w:r>
      <w:r w:rsidR="00025ECB" w:rsidRPr="002A2EA6">
        <w:rPr>
          <w:lang w:val="fr-FR"/>
        </w:rPr>
        <w:t>a</w:t>
      </w:r>
      <w:r w:rsidRPr="002A2EA6">
        <w:rPr>
          <w:lang w:val="fr-FR"/>
        </w:rPr>
        <w:t xml:space="preserve">nnexes </w:t>
      </w:r>
      <w:r w:rsidR="00025ECB" w:rsidRPr="002A2EA6">
        <w:rPr>
          <w:lang w:val="fr-FR"/>
        </w:rPr>
        <w:t>de</w:t>
      </w:r>
      <w:r w:rsidRPr="002A2EA6">
        <w:rPr>
          <w:lang w:val="fr-FR"/>
        </w:rPr>
        <w:t xml:space="preserve"> la Convention. Deux</w:t>
      </w:r>
      <w:r w:rsidR="00CC47AB" w:rsidRPr="002A2EA6">
        <w:rPr>
          <w:lang w:val="fr-FR"/>
        </w:rPr>
        <w:t> </w:t>
      </w:r>
      <w:r w:rsidRPr="002A2EA6">
        <w:rPr>
          <w:lang w:val="fr-FR"/>
        </w:rPr>
        <w:t>représentants ont souligné que cet examen devait être ouvert, transparent et inclusif. Un représentant a ajouté que le</w:t>
      </w:r>
      <w:r w:rsidR="0095048C" w:rsidRPr="002A2EA6">
        <w:rPr>
          <w:lang w:val="fr-FR"/>
        </w:rPr>
        <w:t> </w:t>
      </w:r>
      <w:r w:rsidRPr="002A2EA6">
        <w:rPr>
          <w:lang w:val="fr-FR"/>
        </w:rPr>
        <w:t>groupe d</w:t>
      </w:r>
      <w:r w:rsidR="00CA4DAC">
        <w:rPr>
          <w:lang w:val="fr-FR"/>
        </w:rPr>
        <w:t>’</w:t>
      </w:r>
      <w:r w:rsidRPr="002A2EA6">
        <w:rPr>
          <w:lang w:val="fr-FR"/>
        </w:rPr>
        <w:t xml:space="preserve">experts devait </w:t>
      </w:r>
      <w:r w:rsidR="00FD67F5" w:rsidRPr="002A2EA6">
        <w:rPr>
          <w:lang w:val="fr-FR"/>
        </w:rPr>
        <w:t xml:space="preserve">compter </w:t>
      </w:r>
      <w:r w:rsidRPr="002A2EA6">
        <w:rPr>
          <w:lang w:val="fr-FR"/>
        </w:rPr>
        <w:t xml:space="preserve">un nombre </w:t>
      </w:r>
      <w:r w:rsidR="00AD3E9A" w:rsidRPr="002A2EA6">
        <w:rPr>
          <w:lang w:val="fr-FR"/>
        </w:rPr>
        <w:t xml:space="preserve">suffisant </w:t>
      </w:r>
      <w:r w:rsidRPr="002A2EA6">
        <w:rPr>
          <w:lang w:val="fr-FR"/>
        </w:rPr>
        <w:t xml:space="preserve">de représentants </w:t>
      </w:r>
      <w:r w:rsidR="00AD3E9A" w:rsidRPr="002A2EA6">
        <w:rPr>
          <w:lang w:val="fr-FR"/>
        </w:rPr>
        <w:t xml:space="preserve">issus </w:t>
      </w:r>
      <w:r w:rsidRPr="002A2EA6">
        <w:rPr>
          <w:lang w:val="fr-FR"/>
        </w:rPr>
        <w:t>de toutes les régions pour pouvoir travailler par consensus et qu</w:t>
      </w:r>
      <w:r w:rsidR="00CA4DAC">
        <w:rPr>
          <w:lang w:val="fr-FR"/>
        </w:rPr>
        <w:t>’</w:t>
      </w:r>
      <w:r w:rsidRPr="002A2EA6">
        <w:rPr>
          <w:lang w:val="fr-FR"/>
        </w:rPr>
        <w:t>il devait être doté d</w:t>
      </w:r>
      <w:r w:rsidR="00CA4DAC">
        <w:rPr>
          <w:lang w:val="fr-FR"/>
        </w:rPr>
        <w:t>’</w:t>
      </w:r>
      <w:r w:rsidRPr="002A2EA6">
        <w:rPr>
          <w:lang w:val="fr-FR"/>
        </w:rPr>
        <w:t xml:space="preserve">un mandat clair axé sur </w:t>
      </w:r>
      <w:r w:rsidR="00E34283" w:rsidRPr="002A2EA6">
        <w:rPr>
          <w:lang w:val="fr-FR"/>
        </w:rPr>
        <w:t xml:space="preserve">le règlement des </w:t>
      </w:r>
      <w:r w:rsidRPr="002A2EA6">
        <w:rPr>
          <w:lang w:val="fr-FR"/>
        </w:rPr>
        <w:t>questions technique</w:t>
      </w:r>
      <w:r w:rsidR="00E34283" w:rsidRPr="002A2EA6">
        <w:rPr>
          <w:lang w:val="fr-FR"/>
        </w:rPr>
        <w:t>s</w:t>
      </w:r>
      <w:r w:rsidRPr="002A2EA6">
        <w:rPr>
          <w:lang w:val="fr-FR"/>
        </w:rPr>
        <w:t xml:space="preserve">, en particulier la question épineuse de la faisabilité technique et économique des </w:t>
      </w:r>
      <w:r w:rsidR="00D540E6" w:rsidRPr="002A2EA6">
        <w:rPr>
          <w:lang w:val="fr-FR"/>
        </w:rPr>
        <w:t>solution</w:t>
      </w:r>
      <w:r w:rsidRPr="002A2EA6">
        <w:rPr>
          <w:lang w:val="fr-FR"/>
        </w:rPr>
        <w:t>s sans mercure pou</w:t>
      </w:r>
      <w:r w:rsidR="00FF0CAF" w:rsidRPr="002A2EA6">
        <w:rPr>
          <w:lang w:val="fr-FR"/>
        </w:rPr>
        <w:t xml:space="preserve">r remplacer les </w:t>
      </w:r>
      <w:r w:rsidRPr="002A2EA6">
        <w:rPr>
          <w:lang w:val="fr-FR"/>
        </w:rPr>
        <w:t xml:space="preserve">produits contenant du mercure ajouté ou </w:t>
      </w:r>
      <w:r w:rsidR="00FF0CAF" w:rsidRPr="002A2EA6">
        <w:rPr>
          <w:lang w:val="fr-FR"/>
        </w:rPr>
        <w:t xml:space="preserve">les </w:t>
      </w:r>
      <w:r w:rsidRPr="002A2EA6">
        <w:rPr>
          <w:lang w:val="fr-FR"/>
        </w:rPr>
        <w:t xml:space="preserve">procédés de fabrication </w:t>
      </w:r>
      <w:r w:rsidR="00D540E6" w:rsidRPr="002A2EA6">
        <w:rPr>
          <w:lang w:val="fr-FR"/>
        </w:rPr>
        <w:t>faisant appel a</w:t>
      </w:r>
      <w:r w:rsidRPr="002A2EA6">
        <w:rPr>
          <w:lang w:val="fr-FR"/>
        </w:rPr>
        <w:t>u mercure. Un autre représentant a fait observer qu</w:t>
      </w:r>
      <w:r w:rsidR="00CA4DAC">
        <w:rPr>
          <w:lang w:val="fr-FR"/>
        </w:rPr>
        <w:t>’</w:t>
      </w:r>
      <w:r w:rsidRPr="002A2EA6">
        <w:rPr>
          <w:lang w:val="fr-FR"/>
        </w:rPr>
        <w:t>avant d</w:t>
      </w:r>
      <w:r w:rsidR="00CA4DAC">
        <w:rPr>
          <w:lang w:val="fr-FR"/>
        </w:rPr>
        <w:t>’</w:t>
      </w:r>
      <w:r w:rsidRPr="002A2EA6">
        <w:rPr>
          <w:lang w:val="fr-FR"/>
        </w:rPr>
        <w:t>inscrire de nouveaux produits ou procédés aux Annexes</w:t>
      </w:r>
      <w:r w:rsidR="00CC47AB" w:rsidRPr="002A2EA6">
        <w:rPr>
          <w:lang w:val="fr-FR"/>
        </w:rPr>
        <w:t> </w:t>
      </w:r>
      <w:r w:rsidRPr="002A2EA6">
        <w:rPr>
          <w:lang w:val="fr-FR"/>
        </w:rPr>
        <w:t>A et</w:t>
      </w:r>
      <w:r w:rsidR="00CC47AB" w:rsidRPr="002A2EA6">
        <w:rPr>
          <w:lang w:val="fr-FR"/>
        </w:rPr>
        <w:t> </w:t>
      </w:r>
      <w:r w:rsidRPr="002A2EA6">
        <w:rPr>
          <w:lang w:val="fr-FR"/>
        </w:rPr>
        <w:t>B de la Convention, il fallait impérativement tenir compte des</w:t>
      </w:r>
      <w:r w:rsidR="00F64F88">
        <w:rPr>
          <w:lang w:val="fr-FR"/>
        </w:rPr>
        <w:t> </w:t>
      </w:r>
      <w:r w:rsidRPr="002A2EA6">
        <w:rPr>
          <w:lang w:val="fr-FR"/>
        </w:rPr>
        <w:t>capacités variables dont disposaient les Parties pour éliminer les</w:t>
      </w:r>
      <w:r w:rsidR="0095048C" w:rsidRPr="002A2EA6">
        <w:rPr>
          <w:lang w:val="fr-FR"/>
        </w:rPr>
        <w:t> </w:t>
      </w:r>
      <w:r w:rsidRPr="002A2EA6">
        <w:rPr>
          <w:lang w:val="fr-FR"/>
        </w:rPr>
        <w:t xml:space="preserve">produits et procédés actuellement inscrits à ces annexes, afin </w:t>
      </w:r>
      <w:r w:rsidR="0007783F" w:rsidRPr="002A2EA6">
        <w:rPr>
          <w:lang w:val="fr-FR"/>
        </w:rPr>
        <w:t>que celles</w:t>
      </w:r>
      <w:r w:rsidR="0007783F" w:rsidRPr="002A2EA6">
        <w:rPr>
          <w:lang w:val="fr-FR"/>
        </w:rPr>
        <w:noBreakHyphen/>
        <w:t xml:space="preserve">ci </w:t>
      </w:r>
      <w:r w:rsidRPr="002A2EA6">
        <w:rPr>
          <w:lang w:val="fr-FR"/>
        </w:rPr>
        <w:t>puissent continuer de s</w:t>
      </w:r>
      <w:r w:rsidR="00CA4DAC">
        <w:rPr>
          <w:lang w:val="fr-FR"/>
        </w:rPr>
        <w:t>’</w:t>
      </w:r>
      <w:r w:rsidRPr="002A2EA6">
        <w:rPr>
          <w:lang w:val="fr-FR"/>
        </w:rPr>
        <w:t>acquitter de</w:t>
      </w:r>
      <w:r w:rsidR="0007783F" w:rsidRPr="002A2EA6">
        <w:rPr>
          <w:lang w:val="fr-FR"/>
        </w:rPr>
        <w:t>s</w:t>
      </w:r>
      <w:r w:rsidRPr="002A2EA6">
        <w:rPr>
          <w:lang w:val="fr-FR"/>
        </w:rPr>
        <w:t xml:space="preserve"> obligations </w:t>
      </w:r>
      <w:r w:rsidR="0007783F" w:rsidRPr="002A2EA6">
        <w:rPr>
          <w:lang w:val="fr-FR"/>
        </w:rPr>
        <w:t xml:space="preserve">imposées par </w:t>
      </w:r>
      <w:r w:rsidRPr="002A2EA6">
        <w:rPr>
          <w:lang w:val="fr-FR"/>
        </w:rPr>
        <w:t>la Convention concernant ces produits et procédés.</w:t>
      </w:r>
    </w:p>
    <w:p w14:paraId="7764A5AC" w14:textId="7A28177E" w:rsidR="003D0299" w:rsidRPr="002A2EA6" w:rsidRDefault="00BA500D" w:rsidP="00A056A2">
      <w:pPr>
        <w:pStyle w:val="Normalnumber"/>
        <w:numPr>
          <w:ilvl w:val="0"/>
          <w:numId w:val="42"/>
        </w:numPr>
        <w:tabs>
          <w:tab w:val="clear" w:pos="1814"/>
          <w:tab w:val="left" w:pos="1843"/>
          <w:tab w:val="left" w:pos="1985"/>
        </w:tabs>
        <w:ind w:left="1288" w:hanging="28"/>
        <w:rPr>
          <w:lang w:val="fr-FR"/>
        </w:rPr>
      </w:pPr>
      <w:r w:rsidRPr="002A2EA6">
        <w:rPr>
          <w:lang w:val="fr-FR"/>
        </w:rPr>
        <w:t>Une représentante a proposé d</w:t>
      </w:r>
      <w:r w:rsidR="00CA4DAC">
        <w:rPr>
          <w:lang w:val="fr-FR"/>
        </w:rPr>
        <w:t>’</w:t>
      </w:r>
      <w:r w:rsidRPr="002A2EA6">
        <w:rPr>
          <w:lang w:val="fr-FR"/>
        </w:rPr>
        <w:t>ajouter à la liste des qualifications exigées des membres du groupe spécial d</w:t>
      </w:r>
      <w:r w:rsidR="00CA4DAC">
        <w:rPr>
          <w:lang w:val="fr-FR"/>
        </w:rPr>
        <w:t>’</w:t>
      </w:r>
      <w:r w:rsidRPr="002A2EA6">
        <w:rPr>
          <w:lang w:val="fr-FR"/>
        </w:rPr>
        <w:t xml:space="preserve">experts dont la création était envisagée des compétences concernant les </w:t>
      </w:r>
      <w:r w:rsidR="00D540E6" w:rsidRPr="002A2EA6">
        <w:rPr>
          <w:lang w:val="fr-FR"/>
        </w:rPr>
        <w:t>solution</w:t>
      </w:r>
      <w:r w:rsidRPr="002A2EA6">
        <w:rPr>
          <w:lang w:val="fr-FR"/>
        </w:rPr>
        <w:t xml:space="preserve">s de remplacement sans mercure </w:t>
      </w:r>
      <w:r w:rsidR="00D540E6" w:rsidRPr="002A2EA6">
        <w:rPr>
          <w:lang w:val="fr-FR"/>
        </w:rPr>
        <w:t>envisageables pour les</w:t>
      </w:r>
      <w:r w:rsidRPr="002A2EA6">
        <w:rPr>
          <w:lang w:val="fr-FR"/>
        </w:rPr>
        <w:t xml:space="preserve"> produits contenant du mercure ajouté ou</w:t>
      </w:r>
      <w:r w:rsidR="00984700" w:rsidRPr="002A2EA6">
        <w:rPr>
          <w:lang w:val="fr-FR"/>
        </w:rPr>
        <w:t xml:space="preserve"> les</w:t>
      </w:r>
      <w:r w:rsidR="00E112B8">
        <w:rPr>
          <w:lang w:val="fr-FR"/>
        </w:rPr>
        <w:t> </w:t>
      </w:r>
      <w:r w:rsidRPr="002A2EA6">
        <w:rPr>
          <w:lang w:val="fr-FR"/>
        </w:rPr>
        <w:t>procédés de fabrication utilisant du mercure. Elle a également souligné qu</w:t>
      </w:r>
      <w:r w:rsidR="00CA4DAC">
        <w:rPr>
          <w:lang w:val="fr-FR"/>
        </w:rPr>
        <w:t>’</w:t>
      </w:r>
      <w:r w:rsidRPr="002A2EA6">
        <w:rPr>
          <w:lang w:val="fr-FR"/>
        </w:rPr>
        <w:t xml:space="preserve">il fallait </w:t>
      </w:r>
      <w:r w:rsidR="00DC2924" w:rsidRPr="002A2EA6">
        <w:rPr>
          <w:lang w:val="fr-FR"/>
        </w:rPr>
        <w:t xml:space="preserve">bien </w:t>
      </w:r>
      <w:r w:rsidRPr="002A2EA6">
        <w:rPr>
          <w:lang w:val="fr-FR"/>
        </w:rPr>
        <w:t>s</w:t>
      </w:r>
      <w:r w:rsidR="00CA4DAC">
        <w:rPr>
          <w:lang w:val="fr-FR"/>
        </w:rPr>
        <w:t>’</w:t>
      </w:r>
      <w:r w:rsidRPr="002A2EA6">
        <w:rPr>
          <w:lang w:val="fr-FR"/>
        </w:rPr>
        <w:t>interroger sur l</w:t>
      </w:r>
      <w:r w:rsidR="00CA4DAC">
        <w:rPr>
          <w:lang w:val="fr-FR"/>
        </w:rPr>
        <w:t>’</w:t>
      </w:r>
      <w:r w:rsidRPr="002A2EA6">
        <w:rPr>
          <w:lang w:val="fr-FR"/>
        </w:rPr>
        <w:t>opportunité d</w:t>
      </w:r>
      <w:r w:rsidR="00CA4DAC">
        <w:rPr>
          <w:lang w:val="fr-FR"/>
        </w:rPr>
        <w:t>’</w:t>
      </w:r>
      <w:r w:rsidRPr="002A2EA6">
        <w:rPr>
          <w:lang w:val="fr-FR"/>
        </w:rPr>
        <w:t>ajouter aux attributions du groupe d</w:t>
      </w:r>
      <w:r w:rsidR="00CA4DAC">
        <w:rPr>
          <w:lang w:val="fr-FR"/>
        </w:rPr>
        <w:t>’</w:t>
      </w:r>
      <w:r w:rsidRPr="002A2EA6">
        <w:rPr>
          <w:lang w:val="fr-FR"/>
        </w:rPr>
        <w:t xml:space="preserve">experts proposé </w:t>
      </w:r>
      <w:r w:rsidR="00E77D5A" w:rsidRPr="002A2EA6">
        <w:rPr>
          <w:lang w:val="fr-FR"/>
        </w:rPr>
        <w:t xml:space="preserve">la question de </w:t>
      </w:r>
      <w:r w:rsidRPr="002A2EA6">
        <w:rPr>
          <w:lang w:val="fr-FR"/>
        </w:rPr>
        <w:t>l</w:t>
      </w:r>
      <w:r w:rsidR="00CA4DAC">
        <w:rPr>
          <w:lang w:val="fr-FR"/>
        </w:rPr>
        <w:t>’</w:t>
      </w:r>
      <w:r w:rsidRPr="002A2EA6">
        <w:rPr>
          <w:lang w:val="fr-FR"/>
        </w:rPr>
        <w:t xml:space="preserve">utilisation et </w:t>
      </w:r>
      <w:r w:rsidR="00E77D5A" w:rsidRPr="002A2EA6">
        <w:rPr>
          <w:lang w:val="fr-FR"/>
        </w:rPr>
        <w:t xml:space="preserve">de </w:t>
      </w:r>
      <w:r w:rsidRPr="002A2EA6">
        <w:rPr>
          <w:lang w:val="fr-FR"/>
        </w:rPr>
        <w:t>l</w:t>
      </w:r>
      <w:r w:rsidR="00CA4DAC">
        <w:rPr>
          <w:lang w:val="fr-FR"/>
        </w:rPr>
        <w:t>’</w:t>
      </w:r>
      <w:r w:rsidRPr="002A2EA6">
        <w:rPr>
          <w:lang w:val="fr-FR"/>
        </w:rPr>
        <w:t xml:space="preserve">harmonisation de codes douaniers pour identifier les produits contenant du mercure ajouté, soulignant que </w:t>
      </w:r>
      <w:r w:rsidR="008F4047" w:rsidRPr="002A2EA6">
        <w:rPr>
          <w:lang w:val="fr-FR"/>
        </w:rPr>
        <w:t xml:space="preserve">le domaine </w:t>
      </w:r>
      <w:r w:rsidRPr="002A2EA6">
        <w:rPr>
          <w:lang w:val="fr-FR"/>
        </w:rPr>
        <w:t xml:space="preserve">des codes douaniers exigeait des compétences très poussées, </w:t>
      </w:r>
      <w:r w:rsidR="008F4047" w:rsidRPr="002A2EA6">
        <w:rPr>
          <w:lang w:val="fr-FR"/>
        </w:rPr>
        <w:t>qu</w:t>
      </w:r>
      <w:r w:rsidR="00CA4DAC">
        <w:rPr>
          <w:lang w:val="fr-FR"/>
        </w:rPr>
        <w:t>’</w:t>
      </w:r>
      <w:r w:rsidR="008F4047" w:rsidRPr="002A2EA6">
        <w:rPr>
          <w:lang w:val="fr-FR"/>
        </w:rPr>
        <w:t xml:space="preserve">il </w:t>
      </w:r>
      <w:r w:rsidRPr="002A2EA6">
        <w:rPr>
          <w:lang w:val="fr-FR"/>
        </w:rPr>
        <w:t>n</w:t>
      </w:r>
      <w:r w:rsidR="00CA4DAC">
        <w:rPr>
          <w:lang w:val="fr-FR"/>
        </w:rPr>
        <w:t>’</w:t>
      </w:r>
      <w:r w:rsidRPr="002A2EA6">
        <w:rPr>
          <w:lang w:val="fr-FR"/>
        </w:rPr>
        <w:t>était pas directement lié à l</w:t>
      </w:r>
      <w:r w:rsidR="00CA4DAC">
        <w:rPr>
          <w:lang w:val="fr-FR"/>
        </w:rPr>
        <w:t>’</w:t>
      </w:r>
      <w:r w:rsidRPr="002A2EA6">
        <w:rPr>
          <w:lang w:val="fr-FR"/>
        </w:rPr>
        <w:t xml:space="preserve">examen des annexes </w:t>
      </w:r>
      <w:r w:rsidR="008F4047" w:rsidRPr="002A2EA6">
        <w:rPr>
          <w:lang w:val="fr-FR"/>
        </w:rPr>
        <w:t>de</w:t>
      </w:r>
      <w:r w:rsidRPr="002A2EA6">
        <w:rPr>
          <w:lang w:val="fr-FR"/>
        </w:rPr>
        <w:t xml:space="preserve"> la Convention et que des travaux sur l</w:t>
      </w:r>
      <w:r w:rsidR="00CA4DAC">
        <w:rPr>
          <w:lang w:val="fr-FR"/>
        </w:rPr>
        <w:t>’</w:t>
      </w:r>
      <w:r w:rsidRPr="002A2EA6">
        <w:rPr>
          <w:lang w:val="fr-FR"/>
        </w:rPr>
        <w:t>harmonisation des codes douaniers étaient déjà en cours dans le cadre de la Convention et qu</w:t>
      </w:r>
      <w:r w:rsidR="00CA4DAC">
        <w:rPr>
          <w:lang w:val="fr-FR"/>
        </w:rPr>
        <w:t>’</w:t>
      </w:r>
      <w:r w:rsidRPr="002A2EA6">
        <w:rPr>
          <w:lang w:val="fr-FR"/>
        </w:rPr>
        <w:t>ils devaient se</w:t>
      </w:r>
      <w:r w:rsidR="00F64F88">
        <w:rPr>
          <w:lang w:val="fr-FR"/>
        </w:rPr>
        <w:t> </w:t>
      </w:r>
      <w:r w:rsidRPr="002A2EA6">
        <w:rPr>
          <w:lang w:val="fr-FR"/>
        </w:rPr>
        <w:t>poursuivre</w:t>
      </w:r>
      <w:r w:rsidR="36439376" w:rsidRPr="002A2EA6">
        <w:rPr>
          <w:lang w:val="fr-FR"/>
        </w:rPr>
        <w:t xml:space="preserve"> séparément</w:t>
      </w:r>
      <w:r w:rsidRPr="002A2EA6">
        <w:rPr>
          <w:lang w:val="fr-FR"/>
        </w:rPr>
        <w:t>.</w:t>
      </w:r>
      <w:r w:rsidR="00E64845" w:rsidRPr="002A2EA6">
        <w:rPr>
          <w:lang w:val="fr-FR"/>
        </w:rPr>
        <w:t xml:space="preserve"> S</w:t>
      </w:r>
      <w:r w:rsidR="00CA4DAC">
        <w:rPr>
          <w:lang w:val="fr-FR"/>
        </w:rPr>
        <w:t>’</w:t>
      </w:r>
      <w:r w:rsidRPr="002A2EA6">
        <w:rPr>
          <w:lang w:val="fr-FR"/>
        </w:rPr>
        <w:t>exprima</w:t>
      </w:r>
      <w:r w:rsidR="00E64845" w:rsidRPr="002A2EA6">
        <w:rPr>
          <w:lang w:val="fr-FR"/>
        </w:rPr>
        <w:t>n</w:t>
      </w:r>
      <w:r w:rsidRPr="002A2EA6">
        <w:rPr>
          <w:lang w:val="fr-FR"/>
        </w:rPr>
        <w:t>t au nom d</w:t>
      </w:r>
      <w:r w:rsidR="00CA4DAC">
        <w:rPr>
          <w:lang w:val="fr-FR"/>
        </w:rPr>
        <w:t>’</w:t>
      </w:r>
      <w:r w:rsidRPr="002A2EA6">
        <w:rPr>
          <w:lang w:val="fr-FR"/>
        </w:rPr>
        <w:t xml:space="preserve">un groupe de pays, </w:t>
      </w:r>
      <w:r w:rsidR="00E64845" w:rsidRPr="002A2EA6">
        <w:rPr>
          <w:lang w:val="fr-FR"/>
        </w:rPr>
        <w:t xml:space="preserve">un représentant </w:t>
      </w:r>
      <w:r w:rsidRPr="002A2EA6">
        <w:rPr>
          <w:lang w:val="fr-FR"/>
        </w:rPr>
        <w:t>a fait valoir que la</w:t>
      </w:r>
      <w:r w:rsidR="00F64F88">
        <w:rPr>
          <w:lang w:val="fr-FR"/>
        </w:rPr>
        <w:t> </w:t>
      </w:r>
      <w:r w:rsidRPr="002A2EA6">
        <w:rPr>
          <w:lang w:val="fr-FR"/>
        </w:rPr>
        <w:t>question des codes douaniers était cruciale pour les pays qui ne fabriquaient pas de produits contenant du mercure ajouté mais qui en importaient, car ils devaient pouvoir identifier ces</w:t>
      </w:r>
      <w:r w:rsidR="00C95D14">
        <w:rPr>
          <w:lang w:val="fr-FR"/>
        </w:rPr>
        <w:t> </w:t>
      </w:r>
      <w:r w:rsidRPr="002A2EA6">
        <w:rPr>
          <w:lang w:val="fr-FR"/>
        </w:rPr>
        <w:t>produits.</w:t>
      </w:r>
    </w:p>
    <w:p w14:paraId="4D6D626C" w14:textId="2EA29660" w:rsidR="00BA500D" w:rsidRPr="002A2EA6" w:rsidRDefault="00BA500D" w:rsidP="00A056A2">
      <w:pPr>
        <w:pStyle w:val="Normalnumber"/>
        <w:numPr>
          <w:ilvl w:val="0"/>
          <w:numId w:val="42"/>
        </w:numPr>
        <w:tabs>
          <w:tab w:val="clear" w:pos="1814"/>
          <w:tab w:val="left" w:pos="1843"/>
          <w:tab w:val="left" w:pos="1985"/>
        </w:tabs>
        <w:ind w:left="1288" w:hanging="28"/>
        <w:rPr>
          <w:lang w:val="fr-FR"/>
        </w:rPr>
      </w:pPr>
      <w:r w:rsidRPr="002A2EA6">
        <w:rPr>
          <w:lang w:val="fr-FR"/>
        </w:rPr>
        <w:t>Une représentante a annoncé que le groupe des pays d</w:t>
      </w:r>
      <w:r w:rsidR="00CA4DAC">
        <w:rPr>
          <w:lang w:val="fr-FR"/>
        </w:rPr>
        <w:t>’</w:t>
      </w:r>
      <w:r w:rsidRPr="002A2EA6">
        <w:rPr>
          <w:lang w:val="fr-FR"/>
        </w:rPr>
        <w:t>Amérique latine et des Caraïbes avait l</w:t>
      </w:r>
      <w:r w:rsidR="00CA4DAC">
        <w:rPr>
          <w:lang w:val="fr-FR"/>
        </w:rPr>
        <w:t>’</w:t>
      </w:r>
      <w:r w:rsidRPr="002A2EA6">
        <w:rPr>
          <w:lang w:val="fr-FR"/>
        </w:rPr>
        <w:t xml:space="preserve">intention de présenter un document de séance </w:t>
      </w:r>
      <w:r w:rsidR="009D6056" w:rsidRPr="002A2EA6">
        <w:rPr>
          <w:lang w:val="fr-FR"/>
        </w:rPr>
        <w:t xml:space="preserve">décrivant </w:t>
      </w:r>
      <w:r w:rsidR="00837647" w:rsidRPr="002A2EA6">
        <w:rPr>
          <w:lang w:val="fr-FR"/>
        </w:rPr>
        <w:t>des modalités d</w:t>
      </w:r>
      <w:r w:rsidR="00CA4DAC">
        <w:rPr>
          <w:lang w:val="fr-FR"/>
        </w:rPr>
        <w:t>’</w:t>
      </w:r>
      <w:r w:rsidRPr="002A2EA6">
        <w:rPr>
          <w:lang w:val="fr-FR"/>
        </w:rPr>
        <w:t>examen des Annexes</w:t>
      </w:r>
      <w:r w:rsidR="00CC47AB" w:rsidRPr="002A2EA6">
        <w:rPr>
          <w:lang w:val="fr-FR"/>
        </w:rPr>
        <w:t> </w:t>
      </w:r>
      <w:r w:rsidRPr="002A2EA6">
        <w:rPr>
          <w:lang w:val="fr-FR"/>
        </w:rPr>
        <w:t>A et</w:t>
      </w:r>
      <w:r w:rsidR="00CC47AB" w:rsidRPr="002A2EA6">
        <w:rPr>
          <w:lang w:val="fr-FR"/>
        </w:rPr>
        <w:t> </w:t>
      </w:r>
      <w:r w:rsidRPr="002A2EA6">
        <w:rPr>
          <w:lang w:val="fr-FR"/>
        </w:rPr>
        <w:t>B pleinement conforme</w:t>
      </w:r>
      <w:r w:rsidR="00837647" w:rsidRPr="002A2EA6">
        <w:rPr>
          <w:lang w:val="fr-FR"/>
        </w:rPr>
        <w:t>s</w:t>
      </w:r>
      <w:r w:rsidRPr="002A2EA6">
        <w:rPr>
          <w:lang w:val="fr-FR"/>
        </w:rPr>
        <w:t xml:space="preserve"> aux articles</w:t>
      </w:r>
      <w:r w:rsidR="00CC47AB" w:rsidRPr="002A2EA6">
        <w:rPr>
          <w:lang w:val="fr-FR"/>
        </w:rPr>
        <w:t> </w:t>
      </w:r>
      <w:r w:rsidRPr="002A2EA6">
        <w:rPr>
          <w:lang w:val="fr-FR"/>
        </w:rPr>
        <w:t>4 et</w:t>
      </w:r>
      <w:r w:rsidR="00CC47AB" w:rsidRPr="002A2EA6">
        <w:rPr>
          <w:lang w:val="fr-FR"/>
        </w:rPr>
        <w:t> </w:t>
      </w:r>
      <w:r w:rsidRPr="002A2EA6">
        <w:rPr>
          <w:lang w:val="fr-FR"/>
        </w:rPr>
        <w:t xml:space="preserve">5 de la Convention. </w:t>
      </w:r>
      <w:r w:rsidR="009E3A33" w:rsidRPr="002A2EA6">
        <w:rPr>
          <w:lang w:val="fr-FR"/>
        </w:rPr>
        <w:t>Elle a estimé qu</w:t>
      </w:r>
      <w:r w:rsidR="00CA4DAC">
        <w:rPr>
          <w:lang w:val="fr-FR"/>
        </w:rPr>
        <w:t>’</w:t>
      </w:r>
      <w:r w:rsidR="009E3A33" w:rsidRPr="002A2EA6">
        <w:rPr>
          <w:lang w:val="fr-FR"/>
        </w:rPr>
        <w:t>il était contre-indiqué</w:t>
      </w:r>
      <w:r w:rsidRPr="002A2EA6">
        <w:rPr>
          <w:lang w:val="fr-FR"/>
        </w:rPr>
        <w:t xml:space="preserve">, </w:t>
      </w:r>
      <w:r w:rsidR="009E3A33" w:rsidRPr="002A2EA6">
        <w:rPr>
          <w:lang w:val="fr-FR"/>
        </w:rPr>
        <w:t xml:space="preserve">selon </w:t>
      </w:r>
      <w:r w:rsidRPr="002A2EA6">
        <w:rPr>
          <w:lang w:val="fr-FR"/>
        </w:rPr>
        <w:t>ces deux articles</w:t>
      </w:r>
      <w:r w:rsidR="009D6056" w:rsidRPr="002A2EA6">
        <w:rPr>
          <w:lang w:val="fr-FR"/>
        </w:rPr>
        <w:t xml:space="preserve"> –</w:t>
      </w:r>
      <w:r w:rsidRPr="002A2EA6">
        <w:rPr>
          <w:lang w:val="fr-FR"/>
        </w:rPr>
        <w:t xml:space="preserve"> qui définissaient les responsabilités des Parties, du </w:t>
      </w:r>
      <w:r w:rsidR="00D540E6" w:rsidRPr="002A2EA6">
        <w:rPr>
          <w:lang w:val="fr-FR"/>
        </w:rPr>
        <w:t>secrétariat</w:t>
      </w:r>
      <w:r w:rsidRPr="002A2EA6">
        <w:rPr>
          <w:lang w:val="fr-FR"/>
        </w:rPr>
        <w:t xml:space="preserve"> et de la</w:t>
      </w:r>
      <w:r w:rsidR="00F64F88">
        <w:rPr>
          <w:lang w:val="fr-FR"/>
        </w:rPr>
        <w:t> </w:t>
      </w:r>
      <w:r w:rsidRPr="002A2EA6">
        <w:rPr>
          <w:lang w:val="fr-FR"/>
        </w:rPr>
        <w:t>Conférence des Parties dans le cadre de cet examen</w:t>
      </w:r>
      <w:r w:rsidR="00A45EA6" w:rsidRPr="002A2EA6">
        <w:rPr>
          <w:lang w:val="fr-FR"/>
        </w:rPr>
        <w:t xml:space="preserve"> –</w:t>
      </w:r>
      <w:r w:rsidRPr="002A2EA6">
        <w:rPr>
          <w:lang w:val="fr-FR"/>
        </w:rPr>
        <w:t xml:space="preserve"> </w:t>
      </w:r>
      <w:r w:rsidR="009E3A33" w:rsidRPr="002A2EA6">
        <w:rPr>
          <w:lang w:val="fr-FR"/>
        </w:rPr>
        <w:t xml:space="preserve">de charger un </w:t>
      </w:r>
      <w:r w:rsidRPr="002A2EA6">
        <w:rPr>
          <w:lang w:val="fr-FR"/>
        </w:rPr>
        <w:t>groupe d</w:t>
      </w:r>
      <w:r w:rsidR="00CA4DAC">
        <w:rPr>
          <w:lang w:val="fr-FR"/>
        </w:rPr>
        <w:t>’</w:t>
      </w:r>
      <w:r w:rsidRPr="002A2EA6">
        <w:rPr>
          <w:lang w:val="fr-FR"/>
        </w:rPr>
        <w:t>experts de compiler et d</w:t>
      </w:r>
      <w:r w:rsidR="00CA4DAC">
        <w:rPr>
          <w:lang w:val="fr-FR"/>
        </w:rPr>
        <w:t>’</w:t>
      </w:r>
      <w:r w:rsidRPr="002A2EA6">
        <w:rPr>
          <w:lang w:val="fr-FR"/>
        </w:rPr>
        <w:t xml:space="preserve">analyser les informations </w:t>
      </w:r>
      <w:r w:rsidR="009E3A33" w:rsidRPr="002A2EA6">
        <w:rPr>
          <w:lang w:val="fr-FR"/>
        </w:rPr>
        <w:t xml:space="preserve">communiquées </w:t>
      </w:r>
      <w:r w:rsidRPr="002A2EA6">
        <w:rPr>
          <w:lang w:val="fr-FR"/>
        </w:rPr>
        <w:t>en application des</w:t>
      </w:r>
      <w:r w:rsidR="00D16FD7" w:rsidRPr="002A2EA6">
        <w:rPr>
          <w:lang w:val="fr-FR"/>
        </w:rPr>
        <w:t>dits</w:t>
      </w:r>
      <w:r w:rsidRPr="002A2EA6">
        <w:rPr>
          <w:lang w:val="fr-FR"/>
        </w:rPr>
        <w:t xml:space="preserve"> articles. Une autre représentante a </w:t>
      </w:r>
      <w:r w:rsidR="00D16FD7" w:rsidRPr="002A2EA6">
        <w:rPr>
          <w:lang w:val="fr-FR"/>
        </w:rPr>
        <w:t>abondé dans le même sens</w:t>
      </w:r>
      <w:r w:rsidRPr="002A2EA6">
        <w:rPr>
          <w:lang w:val="fr-FR"/>
        </w:rPr>
        <w:t>.</w:t>
      </w:r>
    </w:p>
    <w:p w14:paraId="1F81BFAE" w14:textId="7FFAA205" w:rsidR="003D0299" w:rsidRPr="002A2EA6" w:rsidRDefault="00D16FD7" w:rsidP="00A056A2">
      <w:pPr>
        <w:pStyle w:val="Normalnumber"/>
        <w:numPr>
          <w:ilvl w:val="0"/>
          <w:numId w:val="42"/>
        </w:numPr>
        <w:tabs>
          <w:tab w:val="clear" w:pos="1814"/>
          <w:tab w:val="left" w:pos="1843"/>
          <w:tab w:val="left" w:pos="1985"/>
        </w:tabs>
        <w:ind w:left="1288" w:hanging="28"/>
        <w:rPr>
          <w:lang w:val="fr-FR"/>
        </w:rPr>
      </w:pPr>
      <w:r w:rsidRPr="002A2EA6">
        <w:rPr>
          <w:lang w:val="fr-FR"/>
        </w:rPr>
        <w:t>N</w:t>
      </w:r>
      <w:r w:rsidR="00BA500D" w:rsidRPr="002A2EA6">
        <w:rPr>
          <w:lang w:val="fr-FR"/>
        </w:rPr>
        <w:t>otant que l</w:t>
      </w:r>
      <w:r w:rsidR="00CA4DAC">
        <w:rPr>
          <w:lang w:val="fr-FR"/>
        </w:rPr>
        <w:t>’</w:t>
      </w:r>
      <w:r w:rsidR="00BA500D" w:rsidRPr="002A2EA6">
        <w:rPr>
          <w:lang w:val="fr-FR"/>
        </w:rPr>
        <w:t>examen prévu par la Convention n</w:t>
      </w:r>
      <w:r w:rsidR="00CA4DAC">
        <w:rPr>
          <w:lang w:val="fr-FR"/>
        </w:rPr>
        <w:t>’</w:t>
      </w:r>
      <w:r w:rsidR="00BA500D" w:rsidRPr="002A2EA6">
        <w:rPr>
          <w:lang w:val="fr-FR"/>
        </w:rPr>
        <w:t xml:space="preserve">était pas censé prendre du temps </w:t>
      </w:r>
      <w:r w:rsidRPr="002A2EA6">
        <w:rPr>
          <w:lang w:val="fr-FR"/>
        </w:rPr>
        <w:t xml:space="preserve">ni </w:t>
      </w:r>
      <w:r w:rsidR="00BA500D" w:rsidRPr="002A2EA6">
        <w:rPr>
          <w:lang w:val="fr-FR"/>
        </w:rPr>
        <w:t xml:space="preserve">utiliser beaucoup de ressources, </w:t>
      </w:r>
      <w:r w:rsidRPr="002A2EA6">
        <w:rPr>
          <w:lang w:val="fr-FR"/>
        </w:rPr>
        <w:t xml:space="preserve">une représentante </w:t>
      </w:r>
      <w:r w:rsidR="00BA500D" w:rsidRPr="002A2EA6">
        <w:rPr>
          <w:lang w:val="fr-FR"/>
        </w:rPr>
        <w:t>a déclaré que la méthode proposée était inutilement lourde.</w:t>
      </w:r>
    </w:p>
    <w:p w14:paraId="00AC639A" w14:textId="6CBDBE16" w:rsidR="003D0299" w:rsidRPr="002A2EA6" w:rsidRDefault="00BA500D"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d</w:t>
      </w:r>
      <w:r w:rsidR="00CA4DAC">
        <w:rPr>
          <w:lang w:val="fr-FR"/>
        </w:rPr>
        <w:t>’</w:t>
      </w:r>
      <w:r w:rsidRPr="002A2EA6">
        <w:rPr>
          <w:lang w:val="fr-FR"/>
        </w:rPr>
        <w:t>une organisation observatrice a signalé que de nouvelles utilisations du mercure étaient apparues depuis l</w:t>
      </w:r>
      <w:r w:rsidR="00CA4DAC">
        <w:rPr>
          <w:lang w:val="fr-FR"/>
        </w:rPr>
        <w:t>’</w:t>
      </w:r>
      <w:r w:rsidRPr="002A2EA6">
        <w:rPr>
          <w:lang w:val="fr-FR"/>
        </w:rPr>
        <w:t>adoption des Annexes</w:t>
      </w:r>
      <w:r w:rsidR="00CC47AB" w:rsidRPr="002A2EA6">
        <w:rPr>
          <w:lang w:val="fr-FR"/>
        </w:rPr>
        <w:t> </w:t>
      </w:r>
      <w:r w:rsidRPr="002A2EA6">
        <w:rPr>
          <w:lang w:val="fr-FR"/>
        </w:rPr>
        <w:t>A et</w:t>
      </w:r>
      <w:r w:rsidR="00CC47AB" w:rsidRPr="002A2EA6">
        <w:rPr>
          <w:lang w:val="fr-FR"/>
        </w:rPr>
        <w:t> </w:t>
      </w:r>
      <w:r w:rsidRPr="002A2EA6">
        <w:rPr>
          <w:lang w:val="fr-FR"/>
        </w:rPr>
        <w:t xml:space="preserve">B, notamment pour </w:t>
      </w:r>
      <w:r w:rsidR="000A024D" w:rsidRPr="002A2EA6">
        <w:rPr>
          <w:lang w:val="fr-FR"/>
        </w:rPr>
        <w:t>la dorure</w:t>
      </w:r>
      <w:r w:rsidRPr="002A2EA6">
        <w:rPr>
          <w:lang w:val="fr-FR"/>
        </w:rPr>
        <w:t xml:space="preserve"> et </w:t>
      </w:r>
      <w:r w:rsidR="000A024D" w:rsidRPr="002A2EA6">
        <w:rPr>
          <w:lang w:val="fr-FR"/>
        </w:rPr>
        <w:t>dans des</w:t>
      </w:r>
      <w:r w:rsidR="0095048C" w:rsidRPr="002A2EA6">
        <w:rPr>
          <w:lang w:val="fr-FR"/>
        </w:rPr>
        <w:t> </w:t>
      </w:r>
      <w:r w:rsidR="000A024D" w:rsidRPr="002A2EA6">
        <w:rPr>
          <w:lang w:val="fr-FR"/>
        </w:rPr>
        <w:t>propergols pour</w:t>
      </w:r>
      <w:r w:rsidRPr="002A2EA6">
        <w:rPr>
          <w:lang w:val="fr-FR"/>
        </w:rPr>
        <w:t xml:space="preserve"> la propulsion de satellites, rappelant que l</w:t>
      </w:r>
      <w:r w:rsidR="00CA4DAC">
        <w:rPr>
          <w:lang w:val="fr-FR"/>
        </w:rPr>
        <w:t>’</w:t>
      </w:r>
      <w:r w:rsidRPr="002A2EA6">
        <w:rPr>
          <w:lang w:val="fr-FR"/>
        </w:rPr>
        <w:t xml:space="preserve">examen des annexes devait porter sur les informations </w:t>
      </w:r>
      <w:r w:rsidR="008F02CB" w:rsidRPr="002A2EA6">
        <w:rPr>
          <w:lang w:val="fr-FR"/>
        </w:rPr>
        <w:t xml:space="preserve">communiquées </w:t>
      </w:r>
      <w:r w:rsidRPr="002A2EA6">
        <w:rPr>
          <w:lang w:val="fr-FR"/>
        </w:rPr>
        <w:t xml:space="preserve">par les Parties et autres parties prenantes et prévoir une contribution </w:t>
      </w:r>
      <w:r w:rsidR="00E46B6D" w:rsidRPr="002A2EA6">
        <w:rPr>
          <w:lang w:val="fr-FR"/>
        </w:rPr>
        <w:t xml:space="preserve">importante </w:t>
      </w:r>
      <w:r w:rsidRPr="002A2EA6">
        <w:rPr>
          <w:lang w:val="fr-FR"/>
        </w:rPr>
        <w:t>des organisations non gouvernementales.</w:t>
      </w:r>
    </w:p>
    <w:p w14:paraId="06D9BCA6" w14:textId="662449B6" w:rsidR="00BA500D" w:rsidRPr="002A2EA6" w:rsidRDefault="00BA500D" w:rsidP="00A056A2">
      <w:pPr>
        <w:pStyle w:val="Normalnumber"/>
        <w:numPr>
          <w:ilvl w:val="0"/>
          <w:numId w:val="42"/>
        </w:numPr>
        <w:tabs>
          <w:tab w:val="clear" w:pos="1814"/>
          <w:tab w:val="left" w:pos="1843"/>
          <w:tab w:val="left" w:pos="1985"/>
        </w:tabs>
        <w:ind w:left="1288" w:hanging="28"/>
        <w:rPr>
          <w:lang w:val="fr-FR"/>
        </w:rPr>
      </w:pPr>
      <w:r w:rsidRPr="002A2EA6">
        <w:rPr>
          <w:lang w:val="fr-FR"/>
        </w:rPr>
        <w:lastRenderedPageBreak/>
        <w:t>À l</w:t>
      </w:r>
      <w:r w:rsidR="00CA4DAC">
        <w:rPr>
          <w:lang w:val="fr-FR"/>
        </w:rPr>
        <w:t>’</w:t>
      </w:r>
      <w:r w:rsidRPr="002A2EA6">
        <w:rPr>
          <w:lang w:val="fr-FR"/>
        </w:rPr>
        <w:t xml:space="preserve">issue du débat, la Conférence des Parties a </w:t>
      </w:r>
      <w:r w:rsidR="007D7619" w:rsidRPr="002A2EA6">
        <w:rPr>
          <w:lang w:val="fr-FR"/>
        </w:rPr>
        <w:t xml:space="preserve">décidé de créer </w:t>
      </w:r>
      <w:r w:rsidRPr="002A2EA6">
        <w:rPr>
          <w:lang w:val="fr-FR"/>
        </w:rPr>
        <w:t xml:space="preserve">un groupe de </w:t>
      </w:r>
      <w:r w:rsidRPr="002A2EA6">
        <w:rPr>
          <w:rFonts w:eastAsiaTheme="minorEastAsia"/>
          <w:lang w:val="fr-FR"/>
        </w:rPr>
        <w:t>contact sur les</w:t>
      </w:r>
      <w:r w:rsidR="0070208A" w:rsidRPr="002A2EA6">
        <w:rPr>
          <w:rFonts w:eastAsiaTheme="minorEastAsia"/>
          <w:lang w:val="fr-FR"/>
        </w:rPr>
        <w:t> </w:t>
      </w:r>
      <w:r w:rsidRPr="002A2EA6">
        <w:rPr>
          <w:rFonts w:eastAsiaTheme="minorEastAsia"/>
          <w:lang w:val="fr-FR"/>
        </w:rPr>
        <w:t xml:space="preserve">questions techniques, coprésidé par </w:t>
      </w:r>
      <w:r w:rsidR="00A73385" w:rsidRPr="002A2EA6">
        <w:rPr>
          <w:sz w:val="22"/>
          <w:szCs w:val="22"/>
          <w:lang w:val="fr-FR"/>
        </w:rPr>
        <w:t>Mme</w:t>
      </w:r>
      <w:r w:rsidR="00A73385" w:rsidRPr="002A2EA6">
        <w:rPr>
          <w:lang w:val="fr-FR"/>
        </w:rPr>
        <w:t> </w:t>
      </w:r>
      <w:r w:rsidRPr="002A2EA6">
        <w:rPr>
          <w:lang w:val="fr-FR"/>
        </w:rPr>
        <w:t>Silvija Nora Kalnins (Lettonie) et M.</w:t>
      </w:r>
      <w:r w:rsidR="00CC47AB" w:rsidRPr="002A2EA6">
        <w:rPr>
          <w:lang w:val="fr-FR"/>
        </w:rPr>
        <w:t> </w:t>
      </w:r>
      <w:r w:rsidRPr="002A2EA6">
        <w:rPr>
          <w:lang w:val="fr-FR"/>
        </w:rPr>
        <w:t>Sam Adu-Kumi (Ghana)</w:t>
      </w:r>
      <w:r w:rsidR="0060077F" w:rsidRPr="002A2EA6">
        <w:rPr>
          <w:lang w:val="fr-FR"/>
        </w:rPr>
        <w:t xml:space="preserve"> et </w:t>
      </w:r>
      <w:r w:rsidRPr="002A2EA6">
        <w:rPr>
          <w:lang w:val="fr-FR"/>
        </w:rPr>
        <w:t>chargé de rédiger un projet de décision concernant l</w:t>
      </w:r>
      <w:r w:rsidR="00CA4DAC">
        <w:rPr>
          <w:lang w:val="fr-FR"/>
        </w:rPr>
        <w:t>’</w:t>
      </w:r>
      <w:r w:rsidRPr="002A2EA6">
        <w:rPr>
          <w:lang w:val="fr-FR"/>
        </w:rPr>
        <w:t xml:space="preserve">examen des </w:t>
      </w:r>
      <w:r w:rsidRPr="002A2EA6">
        <w:rPr>
          <w:rFonts w:eastAsiaTheme="minorEastAsia"/>
          <w:lang w:val="fr-FR"/>
        </w:rPr>
        <w:t>Annexes</w:t>
      </w:r>
      <w:r w:rsidR="00CC47AB" w:rsidRPr="002A2EA6">
        <w:rPr>
          <w:rFonts w:eastAsiaTheme="minorEastAsia"/>
          <w:lang w:val="fr-FR"/>
        </w:rPr>
        <w:t> </w:t>
      </w:r>
      <w:r w:rsidRPr="002A2EA6">
        <w:rPr>
          <w:rFonts w:eastAsiaTheme="minorEastAsia"/>
          <w:lang w:val="fr-FR"/>
        </w:rPr>
        <w:t>A et</w:t>
      </w:r>
      <w:r w:rsidR="00CC47AB" w:rsidRPr="002A2EA6">
        <w:rPr>
          <w:rFonts w:eastAsiaTheme="minorEastAsia"/>
          <w:lang w:val="fr-FR"/>
        </w:rPr>
        <w:t> </w:t>
      </w:r>
      <w:r w:rsidRPr="002A2EA6">
        <w:rPr>
          <w:rFonts w:eastAsiaTheme="minorEastAsia"/>
          <w:lang w:val="fr-FR"/>
        </w:rPr>
        <w:t>B sur la</w:t>
      </w:r>
      <w:r w:rsidR="0070208A" w:rsidRPr="002A2EA6">
        <w:rPr>
          <w:rFonts w:eastAsiaTheme="minorEastAsia"/>
          <w:lang w:val="fr-FR"/>
        </w:rPr>
        <w:t> </w:t>
      </w:r>
      <w:r w:rsidRPr="002A2EA6">
        <w:rPr>
          <w:rFonts w:eastAsiaTheme="minorEastAsia"/>
          <w:lang w:val="fr-FR"/>
        </w:rPr>
        <w:t xml:space="preserve">base du projet de décision </w:t>
      </w:r>
      <w:r w:rsidR="0013505A" w:rsidRPr="002A2EA6">
        <w:rPr>
          <w:rFonts w:eastAsiaTheme="minorEastAsia"/>
          <w:lang w:val="fr-FR"/>
        </w:rPr>
        <w:t xml:space="preserve">figurant </w:t>
      </w:r>
      <w:r w:rsidRPr="002A2EA6">
        <w:rPr>
          <w:rFonts w:eastAsiaTheme="minorEastAsia"/>
          <w:lang w:val="fr-FR"/>
        </w:rPr>
        <w:t>dans le document</w:t>
      </w:r>
      <w:r w:rsidR="007D2289" w:rsidRPr="002A2EA6">
        <w:rPr>
          <w:rFonts w:eastAsiaTheme="minorEastAsia"/>
          <w:lang w:val="fr-FR"/>
        </w:rPr>
        <w:t> </w:t>
      </w:r>
      <w:r w:rsidRPr="002A2EA6">
        <w:rPr>
          <w:lang w:val="fr-FR"/>
        </w:rPr>
        <w:t>UNEP/MC/COP.3/4, du document de séance annoncé par un groupe de P</w:t>
      </w:r>
      <w:r w:rsidRPr="002A2EA6">
        <w:rPr>
          <w:rFonts w:eastAsiaTheme="minorEastAsia"/>
          <w:lang w:val="fr-FR"/>
        </w:rPr>
        <w:t>arties et des débats en plénière.</w:t>
      </w:r>
    </w:p>
    <w:p w14:paraId="04BFC8B4" w14:textId="633C6018" w:rsidR="57B663B5" w:rsidRPr="002A2EA6" w:rsidRDefault="57B663B5"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CC47AB" w:rsidRPr="002A2EA6">
        <w:rPr>
          <w:lang w:val="fr-FR"/>
        </w:rPr>
        <w:t> </w:t>
      </w:r>
      <w:r w:rsidRPr="002A2EA6">
        <w:rPr>
          <w:lang w:val="fr-FR"/>
        </w:rPr>
        <w:t xml:space="preserve">MC-3/1 </w:t>
      </w:r>
      <w:r w:rsidR="00633198" w:rsidRPr="002A2EA6">
        <w:rPr>
          <w:lang w:val="fr-FR"/>
        </w:rPr>
        <w:t>(E</w:t>
      </w:r>
      <w:r w:rsidRPr="002A2EA6">
        <w:rPr>
          <w:lang w:val="fr-FR"/>
        </w:rPr>
        <w:t>xamen des Annexes</w:t>
      </w:r>
      <w:r w:rsidR="00CC47AB" w:rsidRPr="002A2EA6">
        <w:rPr>
          <w:lang w:val="fr-FR"/>
        </w:rPr>
        <w:t> </w:t>
      </w:r>
      <w:r w:rsidRPr="002A2EA6">
        <w:rPr>
          <w:lang w:val="fr-FR"/>
        </w:rPr>
        <w:t>A et</w:t>
      </w:r>
      <w:r w:rsidR="00CC47AB" w:rsidRPr="002A2EA6">
        <w:rPr>
          <w:lang w:val="fr-FR"/>
        </w:rPr>
        <w:t> </w:t>
      </w:r>
      <w:r w:rsidRPr="002A2EA6">
        <w:rPr>
          <w:lang w:val="fr-FR"/>
        </w:rPr>
        <w:t>B</w:t>
      </w:r>
      <w:r w:rsidR="00633198" w:rsidRPr="002A2EA6">
        <w:rPr>
          <w:lang w:val="fr-FR"/>
        </w:rPr>
        <w:t>)</w:t>
      </w:r>
      <w:r w:rsidRPr="002A2EA6">
        <w:rPr>
          <w:lang w:val="fr-FR"/>
        </w:rPr>
        <w:t>, telle que présentée par le groupe de contact sur les questions techniques, qui figure dans l</w:t>
      </w:r>
      <w:r w:rsidR="00CA4DAC">
        <w:rPr>
          <w:lang w:val="fr-FR"/>
        </w:rPr>
        <w:t>’</w:t>
      </w:r>
      <w:r w:rsidRPr="002A2EA6">
        <w:rPr>
          <w:lang w:val="fr-FR"/>
        </w:rPr>
        <w:t>annexe du présent rapport.</w:t>
      </w:r>
    </w:p>
    <w:p w14:paraId="212A89ED" w14:textId="48A25A25" w:rsidR="00C7478E" w:rsidRPr="002A2EA6" w:rsidRDefault="00C7478E" w:rsidP="0090074E">
      <w:pPr>
        <w:pStyle w:val="CH3"/>
        <w:rPr>
          <w:lang w:val="fr-FR"/>
        </w:rPr>
      </w:pPr>
      <w:r w:rsidRPr="002A2EA6">
        <w:rPr>
          <w:lang w:val="fr-FR"/>
        </w:rPr>
        <w:tab/>
        <w:t>2.</w:t>
      </w:r>
      <w:r w:rsidRPr="002A2EA6">
        <w:rPr>
          <w:lang w:val="fr-FR"/>
        </w:rPr>
        <w:tab/>
        <w:t>Proposition d</w:t>
      </w:r>
      <w:r w:rsidR="00CA4DAC">
        <w:rPr>
          <w:lang w:val="fr-FR"/>
        </w:rPr>
        <w:t>’</w:t>
      </w:r>
      <w:r w:rsidRPr="002A2EA6">
        <w:rPr>
          <w:lang w:val="fr-FR"/>
        </w:rPr>
        <w:t>amendement de l</w:t>
      </w:r>
      <w:r w:rsidR="00CA4DAC">
        <w:rPr>
          <w:lang w:val="fr-FR"/>
        </w:rPr>
        <w:t>’</w:t>
      </w:r>
      <w:r w:rsidRPr="002A2EA6">
        <w:rPr>
          <w:lang w:val="fr-FR"/>
        </w:rPr>
        <w:t>Annexe A </w:t>
      </w:r>
      <w:r w:rsidR="00BA500D" w:rsidRPr="002A2EA6">
        <w:rPr>
          <w:lang w:val="fr-FR"/>
        </w:rPr>
        <w:t>à la Convention</w:t>
      </w:r>
    </w:p>
    <w:p w14:paraId="1CB1A9EF" w14:textId="4774943C" w:rsidR="003D0299" w:rsidRPr="002A2EA6" w:rsidRDefault="00BA500D" w:rsidP="0090074E">
      <w:pPr>
        <w:pStyle w:val="Normalnumber"/>
        <w:keepNext/>
        <w:keepLines/>
        <w:numPr>
          <w:ilvl w:val="0"/>
          <w:numId w:val="42"/>
        </w:numPr>
        <w:tabs>
          <w:tab w:val="clear" w:pos="1814"/>
          <w:tab w:val="left" w:pos="1843"/>
          <w:tab w:val="left" w:pos="1985"/>
        </w:tabs>
        <w:ind w:left="1288" w:hanging="28"/>
        <w:rPr>
          <w:lang w:val="fr-FR"/>
        </w:rPr>
      </w:pPr>
      <w:r w:rsidRPr="002A2EA6">
        <w:rPr>
          <w:lang w:val="fr-FR"/>
        </w:rPr>
        <w:t xml:space="preserve">Présentant ce sous-point, le représentant du </w:t>
      </w:r>
      <w:r w:rsidR="00D540E6" w:rsidRPr="002A2EA6">
        <w:rPr>
          <w:lang w:val="fr-FR"/>
        </w:rPr>
        <w:t>secrétariat</w:t>
      </w:r>
      <w:r w:rsidRPr="002A2EA6">
        <w:rPr>
          <w:lang w:val="fr-FR"/>
        </w:rPr>
        <w:t xml:space="preserve"> a rappelé que la procédure d</w:t>
      </w:r>
      <w:r w:rsidR="00CA4DAC">
        <w:rPr>
          <w:lang w:val="fr-FR"/>
        </w:rPr>
        <w:t>’</w:t>
      </w:r>
      <w:r w:rsidRPr="002A2EA6">
        <w:rPr>
          <w:lang w:val="fr-FR"/>
        </w:rPr>
        <w:t>amendement de la Convention et de ses annexes était indiquée aux articles</w:t>
      </w:r>
      <w:r w:rsidR="00CC47AB" w:rsidRPr="002A2EA6">
        <w:rPr>
          <w:lang w:val="fr-FR"/>
        </w:rPr>
        <w:t> </w:t>
      </w:r>
      <w:r w:rsidRPr="002A2EA6">
        <w:rPr>
          <w:lang w:val="fr-FR"/>
        </w:rPr>
        <w:t>26 et</w:t>
      </w:r>
      <w:r w:rsidR="00CC47AB" w:rsidRPr="002A2EA6">
        <w:rPr>
          <w:lang w:val="fr-FR"/>
        </w:rPr>
        <w:t> </w:t>
      </w:r>
      <w:r w:rsidRPr="002A2EA6">
        <w:rPr>
          <w:lang w:val="fr-FR"/>
        </w:rPr>
        <w:t>27. Une</w:t>
      </w:r>
      <w:r w:rsidR="00F64F88">
        <w:rPr>
          <w:lang w:val="fr-FR"/>
        </w:rPr>
        <w:t> </w:t>
      </w:r>
      <w:r w:rsidRPr="002A2EA6">
        <w:rPr>
          <w:lang w:val="fr-FR"/>
        </w:rPr>
        <w:t>proposition d</w:t>
      </w:r>
      <w:r w:rsidR="00CA4DAC">
        <w:rPr>
          <w:lang w:val="fr-FR"/>
        </w:rPr>
        <w:t>’</w:t>
      </w:r>
      <w:r w:rsidRPr="002A2EA6">
        <w:rPr>
          <w:lang w:val="fr-FR"/>
        </w:rPr>
        <w:t>amendement visant l</w:t>
      </w:r>
      <w:r w:rsidR="00CA4DAC">
        <w:rPr>
          <w:lang w:val="fr-FR"/>
        </w:rPr>
        <w:t>’</w:t>
      </w:r>
      <w:r w:rsidRPr="002A2EA6">
        <w:rPr>
          <w:lang w:val="fr-FR"/>
        </w:rPr>
        <w:t>Annexe</w:t>
      </w:r>
      <w:r w:rsidR="00CC47AB" w:rsidRPr="002A2EA6">
        <w:rPr>
          <w:lang w:val="fr-FR"/>
        </w:rPr>
        <w:t> </w:t>
      </w:r>
      <w:r w:rsidRPr="002A2EA6">
        <w:rPr>
          <w:lang w:val="fr-FR"/>
        </w:rPr>
        <w:t xml:space="preserve">A </w:t>
      </w:r>
      <w:r w:rsidR="00DA7E14" w:rsidRPr="002A2EA6">
        <w:rPr>
          <w:lang w:val="fr-FR"/>
        </w:rPr>
        <w:t>de</w:t>
      </w:r>
      <w:r w:rsidRPr="002A2EA6">
        <w:rPr>
          <w:lang w:val="fr-FR"/>
        </w:rPr>
        <w:t xml:space="preserve"> la Convention de Minamata sur le mercure avait été présentée, conformément à cette procédure, par le Botswana, le Gabon, la Guinée-Bissau, le Niger, le Sénégal et le Tchad. Cette proposition, figurant dans l</w:t>
      </w:r>
      <w:r w:rsidR="00CA4DAC">
        <w:rPr>
          <w:lang w:val="fr-FR"/>
        </w:rPr>
        <w:t>’</w:t>
      </w:r>
      <w:r w:rsidRPr="002A2EA6">
        <w:rPr>
          <w:lang w:val="fr-FR"/>
        </w:rPr>
        <w:t xml:space="preserve">annexe </w:t>
      </w:r>
      <w:r w:rsidR="00066EDD" w:rsidRPr="002A2EA6">
        <w:rPr>
          <w:lang w:val="fr-FR"/>
        </w:rPr>
        <w:t>d</w:t>
      </w:r>
      <w:r w:rsidRPr="002A2EA6">
        <w:rPr>
          <w:lang w:val="fr-FR"/>
        </w:rPr>
        <w:t>u document</w:t>
      </w:r>
      <w:r w:rsidR="001F760E" w:rsidRPr="002A2EA6">
        <w:rPr>
          <w:lang w:val="fr-FR"/>
        </w:rPr>
        <w:t> </w:t>
      </w:r>
      <w:r w:rsidRPr="002A2EA6">
        <w:rPr>
          <w:lang w:val="fr-FR"/>
        </w:rPr>
        <w:t>UNEP/MC/COP.3/21, avait pour but de déplacer les amalgames dentaires de la deuxième partie à la première partie de l</w:t>
      </w:r>
      <w:r w:rsidR="00CA4DAC">
        <w:rPr>
          <w:lang w:val="fr-FR"/>
        </w:rPr>
        <w:t>’</w:t>
      </w:r>
      <w:r w:rsidRPr="002A2EA6">
        <w:rPr>
          <w:lang w:val="fr-FR"/>
        </w:rPr>
        <w:t>Annexe A. Le </w:t>
      </w:r>
      <w:r w:rsidR="00D540E6" w:rsidRPr="002A2EA6">
        <w:rPr>
          <w:lang w:val="fr-FR"/>
        </w:rPr>
        <w:t>secrétariat</w:t>
      </w:r>
      <w:r w:rsidRPr="002A2EA6">
        <w:rPr>
          <w:lang w:val="fr-FR"/>
        </w:rPr>
        <w:t xml:space="preserve"> avait reçu la proposition d</w:t>
      </w:r>
      <w:r w:rsidR="00CA4DAC">
        <w:rPr>
          <w:lang w:val="fr-FR"/>
        </w:rPr>
        <w:t>’</w:t>
      </w:r>
      <w:r w:rsidRPr="002A2EA6">
        <w:rPr>
          <w:lang w:val="fr-FR"/>
        </w:rPr>
        <w:t>amendement de ce groupe de pays le</w:t>
      </w:r>
      <w:r w:rsidR="00F64F88">
        <w:rPr>
          <w:lang w:val="fr-FR"/>
        </w:rPr>
        <w:t> </w:t>
      </w:r>
      <w:r w:rsidRPr="002A2EA6">
        <w:rPr>
          <w:lang w:val="fr-FR"/>
        </w:rPr>
        <w:t>8 mai 2019 et la</w:t>
      </w:r>
      <w:r w:rsidR="0095048C" w:rsidRPr="002A2EA6">
        <w:rPr>
          <w:lang w:val="fr-FR"/>
        </w:rPr>
        <w:t> </w:t>
      </w:r>
      <w:r w:rsidRPr="002A2EA6">
        <w:rPr>
          <w:lang w:val="fr-FR"/>
        </w:rPr>
        <w:t>Secrétaire exécutive l</w:t>
      </w:r>
      <w:r w:rsidR="00CA4DAC">
        <w:rPr>
          <w:lang w:val="fr-FR"/>
        </w:rPr>
        <w:t>’</w:t>
      </w:r>
      <w:r w:rsidRPr="002A2EA6">
        <w:rPr>
          <w:lang w:val="fr-FR"/>
        </w:rPr>
        <w:t>avait communiquée aux Parties à la Convention et à ses</w:t>
      </w:r>
      <w:r w:rsidR="00F64F88">
        <w:rPr>
          <w:lang w:val="fr-FR"/>
        </w:rPr>
        <w:t> </w:t>
      </w:r>
      <w:r w:rsidRPr="002A2EA6">
        <w:rPr>
          <w:lang w:val="fr-FR"/>
        </w:rPr>
        <w:t>signataires dans une</w:t>
      </w:r>
      <w:r w:rsidR="0095048C" w:rsidRPr="002A2EA6">
        <w:rPr>
          <w:lang w:val="fr-FR"/>
        </w:rPr>
        <w:t> </w:t>
      </w:r>
      <w:r w:rsidRPr="002A2EA6">
        <w:rPr>
          <w:lang w:val="fr-FR"/>
        </w:rPr>
        <w:t>lettre datée du 24</w:t>
      </w:r>
      <w:r w:rsidR="00CC47AB" w:rsidRPr="002A2EA6">
        <w:rPr>
          <w:lang w:val="fr-FR"/>
        </w:rPr>
        <w:t> </w:t>
      </w:r>
      <w:r w:rsidRPr="002A2EA6">
        <w:rPr>
          <w:lang w:val="fr-FR"/>
        </w:rPr>
        <w:t>mai 2019, conformément aux dispositions du paragraphe</w:t>
      </w:r>
      <w:r w:rsidR="00CC47AB" w:rsidRPr="002A2EA6">
        <w:rPr>
          <w:lang w:val="fr-FR"/>
        </w:rPr>
        <w:t> </w:t>
      </w:r>
      <w:r w:rsidRPr="002A2EA6">
        <w:rPr>
          <w:lang w:val="fr-FR"/>
        </w:rPr>
        <w:t>2 de l</w:t>
      </w:r>
      <w:r w:rsidR="00CA4DAC">
        <w:rPr>
          <w:lang w:val="fr-FR"/>
        </w:rPr>
        <w:t>’</w:t>
      </w:r>
      <w:r w:rsidRPr="002A2EA6">
        <w:rPr>
          <w:lang w:val="fr-FR"/>
        </w:rPr>
        <w:t>article</w:t>
      </w:r>
      <w:r w:rsidR="00CC47AB" w:rsidRPr="002A2EA6">
        <w:rPr>
          <w:lang w:val="fr-FR"/>
        </w:rPr>
        <w:t xml:space="preserve"> </w:t>
      </w:r>
      <w:r w:rsidRPr="002A2EA6">
        <w:rPr>
          <w:lang w:val="fr-FR"/>
        </w:rPr>
        <w:t>26 de la</w:t>
      </w:r>
      <w:r w:rsidR="0095048C" w:rsidRPr="002A2EA6">
        <w:rPr>
          <w:lang w:val="fr-FR"/>
        </w:rPr>
        <w:t> </w:t>
      </w:r>
      <w:r w:rsidRPr="002A2EA6">
        <w:rPr>
          <w:lang w:val="fr-FR"/>
        </w:rPr>
        <w:t>Convention, selon lesquelles le texte de toute proposition d</w:t>
      </w:r>
      <w:r w:rsidR="00CA4DAC">
        <w:rPr>
          <w:lang w:val="fr-FR"/>
        </w:rPr>
        <w:t>’</w:t>
      </w:r>
      <w:r w:rsidRPr="002A2EA6">
        <w:rPr>
          <w:lang w:val="fr-FR"/>
        </w:rPr>
        <w:t>amendement doit être communiqué aux</w:t>
      </w:r>
      <w:r w:rsidR="0095048C" w:rsidRPr="002A2EA6">
        <w:rPr>
          <w:lang w:val="fr-FR"/>
        </w:rPr>
        <w:t> </w:t>
      </w:r>
      <w:r w:rsidRPr="002A2EA6">
        <w:rPr>
          <w:lang w:val="fr-FR"/>
        </w:rPr>
        <w:t xml:space="preserve">Parties par le </w:t>
      </w:r>
      <w:r w:rsidR="00D540E6" w:rsidRPr="002A2EA6">
        <w:rPr>
          <w:lang w:val="fr-FR"/>
        </w:rPr>
        <w:t>secrétariat</w:t>
      </w:r>
      <w:r w:rsidRPr="002A2EA6">
        <w:rPr>
          <w:lang w:val="fr-FR"/>
        </w:rPr>
        <w:t xml:space="preserve"> six</w:t>
      </w:r>
      <w:r w:rsidR="00CC47AB" w:rsidRPr="002A2EA6">
        <w:rPr>
          <w:lang w:val="fr-FR"/>
        </w:rPr>
        <w:t> </w:t>
      </w:r>
      <w:r w:rsidRPr="002A2EA6">
        <w:rPr>
          <w:lang w:val="fr-FR"/>
        </w:rPr>
        <w:t>mois au moins avant la réunion à laquelle il est présenté pour adoption.</w:t>
      </w:r>
    </w:p>
    <w:p w14:paraId="20D11AC3" w14:textId="65395604"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Pr="002A2EA6">
        <w:rPr>
          <w:lang w:val="fr-FR"/>
        </w:rPr>
        <w:t>exprimant au nom des auteurs de la proposition, le représentant du Gabon a présenté la</w:t>
      </w:r>
      <w:r w:rsidR="0095048C" w:rsidRPr="002A2EA6">
        <w:rPr>
          <w:lang w:val="fr-FR"/>
        </w:rPr>
        <w:t> </w:t>
      </w:r>
      <w:r w:rsidRPr="002A2EA6">
        <w:rPr>
          <w:lang w:val="fr-FR"/>
        </w:rPr>
        <w:t xml:space="preserve">proposition tendant à </w:t>
      </w:r>
      <w:r w:rsidR="000E1495" w:rsidRPr="002A2EA6">
        <w:rPr>
          <w:lang w:val="fr-FR"/>
        </w:rPr>
        <w:t>amender</w:t>
      </w:r>
      <w:r w:rsidRPr="002A2EA6">
        <w:rPr>
          <w:lang w:val="fr-FR"/>
        </w:rPr>
        <w:t xml:space="preserve"> l</w:t>
      </w:r>
      <w:r w:rsidR="00CA4DAC">
        <w:rPr>
          <w:lang w:val="fr-FR"/>
        </w:rPr>
        <w:t>’</w:t>
      </w:r>
      <w:r w:rsidR="001438F7" w:rsidRPr="002A2EA6">
        <w:rPr>
          <w:lang w:val="fr-FR"/>
        </w:rPr>
        <w:t>A</w:t>
      </w:r>
      <w:r w:rsidRPr="002A2EA6">
        <w:rPr>
          <w:lang w:val="fr-FR"/>
        </w:rPr>
        <w:t>nnexe</w:t>
      </w:r>
      <w:r w:rsidR="003F1999" w:rsidRPr="002A2EA6">
        <w:rPr>
          <w:lang w:val="fr-FR"/>
        </w:rPr>
        <w:t> </w:t>
      </w:r>
      <w:r w:rsidRPr="002A2EA6">
        <w:rPr>
          <w:lang w:val="fr-FR"/>
        </w:rPr>
        <w:t>A. Le texte proposait des dates pour l</w:t>
      </w:r>
      <w:r w:rsidR="00CA4DAC">
        <w:rPr>
          <w:lang w:val="fr-FR"/>
        </w:rPr>
        <w:t>’</w:t>
      </w:r>
      <w:r w:rsidRPr="002A2EA6">
        <w:rPr>
          <w:lang w:val="fr-FR"/>
        </w:rPr>
        <w:t>élimination progressive des amalgames dentaires</w:t>
      </w:r>
      <w:r w:rsidR="005B4B15" w:rsidRPr="002A2EA6">
        <w:rPr>
          <w:lang w:val="fr-FR"/>
        </w:rPr>
        <w:t> :</w:t>
      </w:r>
      <w:r w:rsidRPr="002A2EA6">
        <w:rPr>
          <w:lang w:val="fr-FR"/>
        </w:rPr>
        <w:t xml:space="preserve"> 2021 s</w:t>
      </w:r>
      <w:r w:rsidR="00CA4DAC">
        <w:rPr>
          <w:lang w:val="fr-FR"/>
        </w:rPr>
        <w:t>’</w:t>
      </w:r>
      <w:r w:rsidRPr="002A2EA6">
        <w:rPr>
          <w:lang w:val="fr-FR"/>
        </w:rPr>
        <w:t>agissant des groupes vulnérables et 2024 s</w:t>
      </w:r>
      <w:r w:rsidR="00CA4DAC">
        <w:rPr>
          <w:lang w:val="fr-FR"/>
        </w:rPr>
        <w:t>’</w:t>
      </w:r>
      <w:r w:rsidRPr="002A2EA6">
        <w:rPr>
          <w:lang w:val="fr-FR"/>
        </w:rPr>
        <w:t xml:space="preserve">agissant du reste de la population. </w:t>
      </w:r>
    </w:p>
    <w:p w14:paraId="10FC6BCE" w14:textId="172B26A1"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Plusieurs représentants et une observatrice se sont dits en faveur de </w:t>
      </w:r>
      <w:r w:rsidR="0039167C" w:rsidRPr="002A2EA6">
        <w:rPr>
          <w:lang w:val="fr-FR"/>
        </w:rPr>
        <w:t>l</w:t>
      </w:r>
      <w:r w:rsidR="00CA4DAC">
        <w:rPr>
          <w:lang w:val="fr-FR"/>
        </w:rPr>
        <w:t>’</w:t>
      </w:r>
      <w:r w:rsidR="0039167C" w:rsidRPr="002A2EA6">
        <w:rPr>
          <w:lang w:val="fr-FR"/>
        </w:rPr>
        <w:t>amendement</w:t>
      </w:r>
      <w:r w:rsidRPr="002A2EA6">
        <w:rPr>
          <w:lang w:val="fr-FR"/>
        </w:rPr>
        <w:t xml:space="preserve"> proposé. Une représentante s</w:t>
      </w:r>
      <w:r w:rsidR="00CA4DAC">
        <w:rPr>
          <w:lang w:val="fr-FR"/>
        </w:rPr>
        <w:t>’</w:t>
      </w:r>
      <w:r w:rsidRPr="002A2EA6">
        <w:rPr>
          <w:lang w:val="fr-FR"/>
        </w:rPr>
        <w:t>exprimant au nom d</w:t>
      </w:r>
      <w:r w:rsidR="00CA4DAC">
        <w:rPr>
          <w:lang w:val="fr-FR"/>
        </w:rPr>
        <w:t>’</w:t>
      </w:r>
      <w:r w:rsidRPr="002A2EA6">
        <w:rPr>
          <w:lang w:val="fr-FR"/>
        </w:rPr>
        <w:t>un groupe de pays a salué la proposition en soulignant que les pays qu</w:t>
      </w:r>
      <w:r w:rsidR="00CA4DAC">
        <w:rPr>
          <w:lang w:val="fr-FR"/>
        </w:rPr>
        <w:t>’</w:t>
      </w:r>
      <w:r w:rsidRPr="002A2EA6">
        <w:rPr>
          <w:lang w:val="fr-FR"/>
        </w:rPr>
        <w:t>elle représentait avaient, à titre préventif, interdit le recours aux amalgames dentaires pour soigner les dents de lait, les dents d</w:t>
      </w:r>
      <w:r w:rsidR="00CA4DAC">
        <w:rPr>
          <w:lang w:val="fr-FR"/>
        </w:rPr>
        <w:t>’</w:t>
      </w:r>
      <w:r w:rsidRPr="002A2EA6">
        <w:rPr>
          <w:lang w:val="fr-FR"/>
        </w:rPr>
        <w:t>enfants de moins de 15</w:t>
      </w:r>
      <w:r w:rsidR="003F1999" w:rsidRPr="002A2EA6">
        <w:rPr>
          <w:lang w:val="fr-FR"/>
        </w:rPr>
        <w:t> </w:t>
      </w:r>
      <w:r w:rsidRPr="002A2EA6">
        <w:rPr>
          <w:lang w:val="fr-FR"/>
        </w:rPr>
        <w:t>ans et les dents de femmes enceintes et allaitantes, choisissant de réglementer leur utilisation plutôt que leur fabrication, importation et exportation.</w:t>
      </w:r>
    </w:p>
    <w:p w14:paraId="3EC083D2" w14:textId="59067278"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Bien que les autres représentants </w:t>
      </w:r>
      <w:r w:rsidR="00EB4577" w:rsidRPr="002A2EA6">
        <w:rPr>
          <w:lang w:val="fr-FR"/>
        </w:rPr>
        <w:t xml:space="preserve">se soient </w:t>
      </w:r>
      <w:r w:rsidRPr="002A2EA6">
        <w:rPr>
          <w:lang w:val="fr-FR"/>
        </w:rPr>
        <w:t xml:space="preserve">largement </w:t>
      </w:r>
      <w:r w:rsidR="00EB4577" w:rsidRPr="002A2EA6">
        <w:rPr>
          <w:lang w:val="fr-FR"/>
        </w:rPr>
        <w:t xml:space="preserve">déclarés favorables </w:t>
      </w:r>
      <w:r w:rsidRPr="002A2EA6">
        <w:rPr>
          <w:lang w:val="fr-FR"/>
        </w:rPr>
        <w:t>à l</w:t>
      </w:r>
      <w:r w:rsidR="00CA4DAC">
        <w:rPr>
          <w:lang w:val="fr-FR"/>
        </w:rPr>
        <w:t>’</w:t>
      </w:r>
      <w:r w:rsidRPr="002A2EA6">
        <w:rPr>
          <w:lang w:val="fr-FR"/>
        </w:rPr>
        <w:t>idée d</w:t>
      </w:r>
      <w:r w:rsidR="00CA4DAC">
        <w:rPr>
          <w:lang w:val="fr-FR"/>
        </w:rPr>
        <w:t>’</w:t>
      </w:r>
      <w:r w:rsidRPr="002A2EA6">
        <w:rPr>
          <w:lang w:val="fr-FR"/>
        </w:rPr>
        <w:t>éliminer progressivement les amalgames dentaires, nombre d</w:t>
      </w:r>
      <w:r w:rsidR="00CA4DAC">
        <w:rPr>
          <w:lang w:val="fr-FR"/>
        </w:rPr>
        <w:t>’</w:t>
      </w:r>
      <w:r w:rsidRPr="002A2EA6">
        <w:rPr>
          <w:lang w:val="fr-FR"/>
        </w:rPr>
        <w:t>entre eux ont indiqué qu</w:t>
      </w:r>
      <w:r w:rsidR="00CA4DAC">
        <w:rPr>
          <w:lang w:val="fr-FR"/>
        </w:rPr>
        <w:t>’</w:t>
      </w:r>
      <w:r w:rsidRPr="002A2EA6">
        <w:rPr>
          <w:lang w:val="fr-FR"/>
        </w:rPr>
        <w:t>il serait</w:t>
      </w:r>
      <w:r w:rsidR="00EB4577" w:rsidRPr="002A2EA6">
        <w:rPr>
          <w:lang w:val="fr-FR"/>
        </w:rPr>
        <w:t xml:space="preserve"> pour leurs pays</w:t>
      </w:r>
      <w:r w:rsidRPr="002A2EA6">
        <w:rPr>
          <w:lang w:val="fr-FR"/>
        </w:rPr>
        <w:t xml:space="preserve"> très difficile, voire impossible, de se conformer au calendrier d</w:t>
      </w:r>
      <w:r w:rsidR="00CA4DAC">
        <w:rPr>
          <w:lang w:val="fr-FR"/>
        </w:rPr>
        <w:t>’</w:t>
      </w:r>
      <w:r w:rsidRPr="002A2EA6">
        <w:rPr>
          <w:lang w:val="fr-FR"/>
        </w:rPr>
        <w:t>élimination progressive proposé, pour</w:t>
      </w:r>
      <w:r w:rsidR="001F760E" w:rsidRPr="002A2EA6">
        <w:rPr>
          <w:lang w:val="fr-FR"/>
        </w:rPr>
        <w:t> </w:t>
      </w:r>
      <w:r w:rsidRPr="002A2EA6">
        <w:rPr>
          <w:lang w:val="fr-FR"/>
        </w:rPr>
        <w:t>de nombreuses raisons, les principales étant le manque de solutions de remplacement présentant une</w:t>
      </w:r>
      <w:r w:rsidR="0070208A" w:rsidRPr="002A2EA6">
        <w:rPr>
          <w:lang w:val="fr-FR"/>
        </w:rPr>
        <w:t> </w:t>
      </w:r>
      <w:r w:rsidRPr="002A2EA6">
        <w:rPr>
          <w:lang w:val="fr-FR"/>
        </w:rPr>
        <w:t>résistance et une durabilité similaires en vue de leur utilisation en dentisterie restauratrice</w:t>
      </w:r>
      <w:r w:rsidR="0070208A" w:rsidRPr="002A2EA6">
        <w:rPr>
          <w:lang w:val="fr-FR"/>
        </w:rPr>
        <w:t> </w:t>
      </w:r>
      <w:r w:rsidR="631BDA25" w:rsidRPr="002A2EA6">
        <w:rPr>
          <w:lang w:val="fr-FR"/>
        </w:rPr>
        <w:t>;</w:t>
      </w:r>
      <w:r w:rsidRPr="002A2EA6">
        <w:rPr>
          <w:lang w:val="fr-FR"/>
        </w:rPr>
        <w:t xml:space="preserve"> le coût des solutions de remplacement</w:t>
      </w:r>
      <w:r w:rsidR="003F1999" w:rsidRPr="002A2EA6">
        <w:rPr>
          <w:lang w:val="fr-FR"/>
        </w:rPr>
        <w:t> </w:t>
      </w:r>
      <w:r w:rsidR="631BDA25" w:rsidRPr="002A2EA6">
        <w:rPr>
          <w:lang w:val="fr-FR"/>
        </w:rPr>
        <w:t>;</w:t>
      </w:r>
      <w:r w:rsidRPr="002A2EA6">
        <w:rPr>
          <w:lang w:val="fr-FR"/>
        </w:rPr>
        <w:t xml:space="preserve"> le manque de capacités techniques pour effectuer la transition. L</w:t>
      </w:r>
      <w:r w:rsidR="00CA4DAC">
        <w:rPr>
          <w:lang w:val="fr-FR"/>
        </w:rPr>
        <w:t>’</w:t>
      </w:r>
      <w:r w:rsidRPr="002A2EA6">
        <w:rPr>
          <w:lang w:val="fr-FR"/>
        </w:rPr>
        <w:t>ensemble de ces éléments pourrait avoir une incidence sur la qualité des soins prodigués.</w:t>
      </w:r>
    </w:p>
    <w:p w14:paraId="7A8DDBCA" w14:textId="57AE6483"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L</w:t>
      </w:r>
      <w:r w:rsidR="00CA4DAC">
        <w:rPr>
          <w:lang w:val="fr-FR"/>
        </w:rPr>
        <w:t>’</w:t>
      </w:r>
      <w:r w:rsidRPr="002A2EA6">
        <w:rPr>
          <w:lang w:val="fr-FR"/>
        </w:rPr>
        <w:t>inquiétude de ces pays rejoignait celles exprimées dans une enquête menée par le</w:t>
      </w:r>
      <w:r w:rsidR="00F64F88">
        <w:rPr>
          <w:lang w:val="fr-FR"/>
        </w:rPr>
        <w:t> </w:t>
      </w:r>
      <w:r w:rsidRPr="002A2EA6">
        <w:rPr>
          <w:lang w:val="fr-FR"/>
        </w:rPr>
        <w:t>Programme de santé bucco</w:t>
      </w:r>
      <w:r w:rsidR="00DD5208" w:rsidRPr="002A2EA6">
        <w:rPr>
          <w:lang w:val="fr-FR"/>
        </w:rPr>
        <w:noBreakHyphen/>
      </w:r>
      <w:r w:rsidRPr="002A2EA6">
        <w:rPr>
          <w:lang w:val="fr-FR"/>
        </w:rPr>
        <w:t>dentaire de l</w:t>
      </w:r>
      <w:r w:rsidR="00CA4DAC">
        <w:rPr>
          <w:lang w:val="fr-FR"/>
        </w:rPr>
        <w:t>’</w:t>
      </w:r>
      <w:r w:rsidR="00D27B9A" w:rsidRPr="002A2EA6">
        <w:rPr>
          <w:lang w:val="fr-FR"/>
        </w:rPr>
        <w:t xml:space="preserve">Organisation mondiale de la Santé </w:t>
      </w:r>
      <w:r w:rsidR="00D27B9A">
        <w:rPr>
          <w:lang w:val="fr-FR"/>
        </w:rPr>
        <w:t>(</w:t>
      </w:r>
      <w:r w:rsidRPr="002A2EA6">
        <w:rPr>
          <w:lang w:val="fr-FR"/>
        </w:rPr>
        <w:t>OMS</w:t>
      </w:r>
      <w:r w:rsidR="00D27B9A">
        <w:rPr>
          <w:lang w:val="fr-FR"/>
        </w:rPr>
        <w:t>)</w:t>
      </w:r>
      <w:r w:rsidRPr="002A2EA6">
        <w:rPr>
          <w:lang w:val="fr-FR"/>
        </w:rPr>
        <w:t xml:space="preserve"> en octobre 2019 auprès de 79</w:t>
      </w:r>
      <w:r w:rsidR="0095048C" w:rsidRPr="002A2EA6">
        <w:rPr>
          <w:lang w:val="fr-FR"/>
        </w:rPr>
        <w:t> </w:t>
      </w:r>
      <w:r w:rsidRPr="002A2EA6">
        <w:rPr>
          <w:lang w:val="fr-FR"/>
        </w:rPr>
        <w:t>décideurs en matière de santé dentaire publique dans 71</w:t>
      </w:r>
      <w:r w:rsidR="003F1999" w:rsidRPr="002A2EA6">
        <w:rPr>
          <w:lang w:val="fr-FR"/>
        </w:rPr>
        <w:t> </w:t>
      </w:r>
      <w:r w:rsidRPr="002A2EA6">
        <w:rPr>
          <w:lang w:val="fr-FR"/>
        </w:rPr>
        <w:t>pays à différents niveaux de revenu, tous membres d</w:t>
      </w:r>
      <w:r w:rsidR="00CA4DAC">
        <w:rPr>
          <w:lang w:val="fr-FR"/>
        </w:rPr>
        <w:t>’</w:t>
      </w:r>
      <w:r w:rsidRPr="002A2EA6">
        <w:rPr>
          <w:lang w:val="fr-FR"/>
        </w:rPr>
        <w:t>un réseau en ligne de praticiens</w:t>
      </w:r>
      <w:r w:rsidR="0070208A" w:rsidRPr="002A2EA6">
        <w:rPr>
          <w:lang w:val="fr-FR"/>
        </w:rPr>
        <w:t> </w:t>
      </w:r>
      <w:r w:rsidR="008A7A8B" w:rsidRPr="002A2EA6">
        <w:rPr>
          <w:lang w:val="fr-FR"/>
        </w:rPr>
        <w:t xml:space="preserve">encadré </w:t>
      </w:r>
      <w:r w:rsidRPr="002A2EA6">
        <w:rPr>
          <w:lang w:val="fr-FR"/>
        </w:rPr>
        <w:t>par l</w:t>
      </w:r>
      <w:r w:rsidR="00CA4DAC">
        <w:rPr>
          <w:lang w:val="fr-FR"/>
        </w:rPr>
        <w:t>’</w:t>
      </w:r>
      <w:r w:rsidRPr="002A2EA6">
        <w:rPr>
          <w:lang w:val="fr-FR"/>
        </w:rPr>
        <w:t>OMS. Présentant les résultats de l</w:t>
      </w:r>
      <w:r w:rsidR="00CA4DAC">
        <w:rPr>
          <w:lang w:val="fr-FR"/>
        </w:rPr>
        <w:t>’</w:t>
      </w:r>
      <w:r w:rsidRPr="002A2EA6">
        <w:rPr>
          <w:lang w:val="fr-FR"/>
        </w:rPr>
        <w:t>enquête, qui figurent dans le</w:t>
      </w:r>
      <w:r w:rsidR="0070208A" w:rsidRPr="002A2EA6">
        <w:rPr>
          <w:lang w:val="fr-FR"/>
        </w:rPr>
        <w:t> </w:t>
      </w:r>
      <w:r w:rsidRPr="002A2EA6">
        <w:rPr>
          <w:lang w:val="fr-FR"/>
        </w:rPr>
        <w:t>document</w:t>
      </w:r>
      <w:r w:rsidR="0070208A" w:rsidRPr="002A2EA6">
        <w:rPr>
          <w:lang w:val="fr-FR"/>
        </w:rPr>
        <w:t> </w:t>
      </w:r>
      <w:r w:rsidRPr="002A2EA6">
        <w:rPr>
          <w:lang w:val="fr-FR"/>
        </w:rPr>
        <w:t>UNEP/MC/COP.3/</w:t>
      </w:r>
      <w:r w:rsidR="5397560E" w:rsidRPr="002A2EA6">
        <w:rPr>
          <w:lang w:val="fr-FR"/>
        </w:rPr>
        <w:t>INF/</w:t>
      </w:r>
      <w:r w:rsidR="00B03BB4" w:rsidRPr="002A2EA6">
        <w:rPr>
          <w:lang w:val="fr-FR"/>
        </w:rPr>
        <w:t>2</w:t>
      </w:r>
      <w:r w:rsidR="5397560E" w:rsidRPr="002A2EA6">
        <w:rPr>
          <w:lang w:val="fr-FR"/>
        </w:rPr>
        <w:t>5</w:t>
      </w:r>
      <w:r w:rsidRPr="002A2EA6">
        <w:rPr>
          <w:lang w:val="fr-FR"/>
        </w:rPr>
        <w:t>, l</w:t>
      </w:r>
      <w:r w:rsidR="27C1F81F" w:rsidRPr="002A2EA6">
        <w:rPr>
          <w:lang w:val="fr-FR"/>
        </w:rPr>
        <w:t>e</w:t>
      </w:r>
      <w:r w:rsidRPr="002A2EA6">
        <w:rPr>
          <w:lang w:val="fr-FR"/>
        </w:rPr>
        <w:t xml:space="preserve"> représentant de l</w:t>
      </w:r>
      <w:r w:rsidR="00CA4DAC">
        <w:rPr>
          <w:lang w:val="fr-FR"/>
        </w:rPr>
        <w:t>’</w:t>
      </w:r>
      <w:r w:rsidRPr="002A2EA6">
        <w:rPr>
          <w:lang w:val="fr-FR"/>
        </w:rPr>
        <w:t>OMS a expliqué que près des</w:t>
      </w:r>
      <w:r w:rsidR="0095048C" w:rsidRPr="002A2EA6">
        <w:rPr>
          <w:lang w:val="fr-FR"/>
        </w:rPr>
        <w:t> </w:t>
      </w:r>
      <w:r w:rsidRPr="002A2EA6">
        <w:rPr>
          <w:lang w:val="fr-FR"/>
        </w:rPr>
        <w:t>deux tiers des</w:t>
      </w:r>
      <w:r w:rsidR="0070208A" w:rsidRPr="002A2EA6">
        <w:rPr>
          <w:lang w:val="fr-FR"/>
        </w:rPr>
        <w:t> </w:t>
      </w:r>
      <w:r w:rsidRPr="002A2EA6">
        <w:rPr>
          <w:lang w:val="fr-FR"/>
        </w:rPr>
        <w:t xml:space="preserve">participants </w:t>
      </w:r>
      <w:r w:rsidR="00CF1731" w:rsidRPr="002A2EA6">
        <w:rPr>
          <w:lang w:val="fr-FR"/>
        </w:rPr>
        <w:t xml:space="preserve">éprouvaient </w:t>
      </w:r>
      <w:r w:rsidR="13E4EB90" w:rsidRPr="002A2EA6">
        <w:rPr>
          <w:lang w:val="fr-FR"/>
        </w:rPr>
        <w:t>d</w:t>
      </w:r>
      <w:r w:rsidRPr="002A2EA6">
        <w:rPr>
          <w:lang w:val="fr-FR"/>
        </w:rPr>
        <w:t xml:space="preserve">es inquiétudes </w:t>
      </w:r>
      <w:r w:rsidR="47F6F9B1" w:rsidRPr="002A2EA6">
        <w:rPr>
          <w:lang w:val="fr-FR"/>
        </w:rPr>
        <w:t>concernant l</w:t>
      </w:r>
      <w:r w:rsidR="00CA4DAC">
        <w:rPr>
          <w:lang w:val="fr-FR"/>
        </w:rPr>
        <w:t>’</w:t>
      </w:r>
      <w:r w:rsidR="47F6F9B1" w:rsidRPr="002A2EA6">
        <w:rPr>
          <w:lang w:val="fr-FR"/>
        </w:rPr>
        <w:t xml:space="preserve">élimination </w:t>
      </w:r>
      <w:r w:rsidR="03B880FC" w:rsidRPr="002A2EA6">
        <w:rPr>
          <w:lang w:val="fr-FR"/>
        </w:rPr>
        <w:t xml:space="preserve">progressive </w:t>
      </w:r>
      <w:r w:rsidR="47F6F9B1" w:rsidRPr="002A2EA6">
        <w:rPr>
          <w:lang w:val="fr-FR"/>
        </w:rPr>
        <w:t>des amalgames dentaires</w:t>
      </w:r>
      <w:r w:rsidRPr="002A2EA6">
        <w:rPr>
          <w:lang w:val="fr-FR"/>
        </w:rPr>
        <w:t>, qu</w:t>
      </w:r>
      <w:r w:rsidR="00CA4DAC">
        <w:rPr>
          <w:lang w:val="fr-FR"/>
        </w:rPr>
        <w:t>’</w:t>
      </w:r>
      <w:r w:rsidRPr="002A2EA6">
        <w:rPr>
          <w:lang w:val="fr-FR"/>
        </w:rPr>
        <w:t>ils soient ou non en faveur de la proposition d</w:t>
      </w:r>
      <w:r w:rsidR="00CA4DAC">
        <w:rPr>
          <w:lang w:val="fr-FR"/>
        </w:rPr>
        <w:t>’</w:t>
      </w:r>
      <w:r w:rsidR="00F409A3" w:rsidRPr="002A2EA6">
        <w:rPr>
          <w:lang w:val="fr-FR"/>
        </w:rPr>
        <w:t>amendement</w:t>
      </w:r>
      <w:r w:rsidRPr="002A2EA6">
        <w:rPr>
          <w:lang w:val="fr-FR"/>
        </w:rPr>
        <w:t xml:space="preserve">. </w:t>
      </w:r>
      <w:r w:rsidR="0DC56765" w:rsidRPr="002A2EA6">
        <w:rPr>
          <w:lang w:val="fr-FR"/>
        </w:rPr>
        <w:t xml:space="preserve">Il </w:t>
      </w:r>
      <w:r w:rsidRPr="002A2EA6">
        <w:rPr>
          <w:lang w:val="fr-FR"/>
        </w:rPr>
        <w:t>a déclaré que l</w:t>
      </w:r>
      <w:r w:rsidR="00CA4DAC">
        <w:rPr>
          <w:lang w:val="fr-FR"/>
        </w:rPr>
        <w:t>’</w:t>
      </w:r>
      <w:r w:rsidRPr="002A2EA6">
        <w:rPr>
          <w:lang w:val="fr-FR"/>
        </w:rPr>
        <w:t xml:space="preserve">OMS </w:t>
      </w:r>
      <w:r w:rsidR="00C22CCB" w:rsidRPr="002A2EA6">
        <w:rPr>
          <w:lang w:val="fr-FR"/>
        </w:rPr>
        <w:t>se</w:t>
      </w:r>
      <w:r w:rsidR="00F64F88">
        <w:rPr>
          <w:lang w:val="fr-FR"/>
        </w:rPr>
        <w:t> </w:t>
      </w:r>
      <w:r w:rsidR="00C22CCB" w:rsidRPr="002A2EA6">
        <w:rPr>
          <w:lang w:val="fr-FR"/>
        </w:rPr>
        <w:t xml:space="preserve">félicitait de </w:t>
      </w:r>
      <w:r w:rsidRPr="002A2EA6">
        <w:rPr>
          <w:lang w:val="fr-FR"/>
        </w:rPr>
        <w:t>l</w:t>
      </w:r>
      <w:r w:rsidR="00CA4DAC">
        <w:rPr>
          <w:lang w:val="fr-FR"/>
        </w:rPr>
        <w:t>’</w:t>
      </w:r>
      <w:r w:rsidRPr="002A2EA6">
        <w:rPr>
          <w:lang w:val="fr-FR"/>
        </w:rPr>
        <w:t>accent mis sur l</w:t>
      </w:r>
      <w:r w:rsidR="00CA4DAC">
        <w:rPr>
          <w:lang w:val="fr-FR"/>
        </w:rPr>
        <w:t>’</w:t>
      </w:r>
      <w:r w:rsidRPr="002A2EA6">
        <w:rPr>
          <w:lang w:val="fr-FR"/>
        </w:rPr>
        <w:t>accélération de la réduction progressive de l</w:t>
      </w:r>
      <w:r w:rsidR="00CA4DAC">
        <w:rPr>
          <w:lang w:val="fr-FR"/>
        </w:rPr>
        <w:t>’</w:t>
      </w:r>
      <w:r w:rsidRPr="002A2EA6">
        <w:rPr>
          <w:lang w:val="fr-FR"/>
        </w:rPr>
        <w:t xml:space="preserve">utilisation des amalgames dentaires </w:t>
      </w:r>
      <w:r w:rsidR="00253EC0" w:rsidRPr="002A2EA6">
        <w:rPr>
          <w:lang w:val="fr-FR"/>
        </w:rPr>
        <w:t xml:space="preserve">dans le cadre </w:t>
      </w:r>
      <w:r w:rsidRPr="002A2EA6">
        <w:rPr>
          <w:lang w:val="fr-FR"/>
        </w:rPr>
        <w:t>d</w:t>
      </w:r>
      <w:r w:rsidR="00CA4DAC">
        <w:rPr>
          <w:lang w:val="fr-FR"/>
        </w:rPr>
        <w:t>’</w:t>
      </w:r>
      <w:r w:rsidRPr="002A2EA6">
        <w:rPr>
          <w:lang w:val="fr-FR"/>
        </w:rPr>
        <w:t xml:space="preserve">un processus complet, </w:t>
      </w:r>
      <w:r w:rsidR="00063C0B" w:rsidRPr="002A2EA6">
        <w:rPr>
          <w:lang w:val="fr-FR"/>
        </w:rPr>
        <w:t>graduel</w:t>
      </w:r>
      <w:r w:rsidRPr="002A2EA6">
        <w:rPr>
          <w:lang w:val="fr-FR"/>
        </w:rPr>
        <w:t xml:space="preserve"> et inclusif, suivant un calendrier de mise en œuvre qui respecte </w:t>
      </w:r>
      <w:r w:rsidR="00253EC0" w:rsidRPr="002A2EA6">
        <w:rPr>
          <w:lang w:val="fr-FR"/>
        </w:rPr>
        <w:t xml:space="preserve">les différentes </w:t>
      </w:r>
      <w:r w:rsidRPr="002A2EA6">
        <w:rPr>
          <w:lang w:val="fr-FR"/>
        </w:rPr>
        <w:t xml:space="preserve">situations nationales. Par ailleurs, il </w:t>
      </w:r>
      <w:r w:rsidR="00253EC0" w:rsidRPr="002A2EA6">
        <w:rPr>
          <w:lang w:val="fr-FR"/>
        </w:rPr>
        <w:t>fallait d</w:t>
      </w:r>
      <w:r w:rsidR="00CA4DAC">
        <w:rPr>
          <w:lang w:val="fr-FR"/>
        </w:rPr>
        <w:t>’</w:t>
      </w:r>
      <w:r w:rsidR="00253EC0" w:rsidRPr="002A2EA6">
        <w:rPr>
          <w:lang w:val="fr-FR"/>
        </w:rPr>
        <w:t xml:space="preserve">urgence </w:t>
      </w:r>
      <w:r w:rsidRPr="002A2EA6">
        <w:rPr>
          <w:lang w:val="fr-FR"/>
        </w:rPr>
        <w:t>mettre en place ou renforcer la collaboration entre les ministres de la santé et les ministres de l</w:t>
      </w:r>
      <w:r w:rsidR="00CA4DAC">
        <w:rPr>
          <w:lang w:val="fr-FR"/>
        </w:rPr>
        <w:t>’</w:t>
      </w:r>
      <w:r w:rsidRPr="002A2EA6">
        <w:rPr>
          <w:lang w:val="fr-FR"/>
        </w:rPr>
        <w:t>environnement</w:t>
      </w:r>
      <w:r w:rsidR="00F73F97" w:rsidRPr="002A2EA6">
        <w:rPr>
          <w:lang w:val="fr-FR"/>
        </w:rPr>
        <w:t xml:space="preserve"> et </w:t>
      </w:r>
      <w:r w:rsidRPr="002A2EA6">
        <w:rPr>
          <w:lang w:val="fr-FR"/>
        </w:rPr>
        <w:t xml:space="preserve">poursuivre les activités privées et publiques de recherche de solutions de remplacement écologiquement rationnelles. </w:t>
      </w:r>
    </w:p>
    <w:p w14:paraId="2F35BFAE" w14:textId="4C51281C"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Un observateur </w:t>
      </w:r>
      <w:r w:rsidR="00F73F97" w:rsidRPr="002A2EA6">
        <w:rPr>
          <w:lang w:val="fr-FR"/>
        </w:rPr>
        <w:t xml:space="preserve">a relevé </w:t>
      </w:r>
      <w:r w:rsidRPr="002A2EA6">
        <w:rPr>
          <w:lang w:val="fr-FR"/>
        </w:rPr>
        <w:t>qu</w:t>
      </w:r>
      <w:r w:rsidR="00CA4DAC">
        <w:rPr>
          <w:lang w:val="fr-FR"/>
        </w:rPr>
        <w:t>’</w:t>
      </w:r>
      <w:r w:rsidRPr="002A2EA6">
        <w:rPr>
          <w:lang w:val="fr-FR"/>
        </w:rPr>
        <w:t>il fallait continuer d</w:t>
      </w:r>
      <w:r w:rsidR="00CA4DAC">
        <w:rPr>
          <w:lang w:val="fr-FR"/>
        </w:rPr>
        <w:t>’</w:t>
      </w:r>
      <w:r w:rsidRPr="002A2EA6">
        <w:rPr>
          <w:lang w:val="fr-FR"/>
        </w:rPr>
        <w:t>investir dans les activités de recherche afin d</w:t>
      </w:r>
      <w:r w:rsidR="00CA4DAC">
        <w:rPr>
          <w:lang w:val="fr-FR"/>
        </w:rPr>
        <w:t>’</w:t>
      </w:r>
      <w:r w:rsidRPr="002A2EA6">
        <w:rPr>
          <w:lang w:val="fr-FR"/>
        </w:rPr>
        <w:t>accélérer l</w:t>
      </w:r>
      <w:r w:rsidR="00C67A35" w:rsidRPr="002A2EA6">
        <w:rPr>
          <w:lang w:val="fr-FR"/>
        </w:rPr>
        <w:t>a mise au point</w:t>
      </w:r>
      <w:r w:rsidRPr="002A2EA6">
        <w:rPr>
          <w:lang w:val="fr-FR"/>
        </w:rPr>
        <w:t xml:space="preserve"> de solutions de remplacement et de </w:t>
      </w:r>
      <w:r w:rsidR="00125E68" w:rsidRPr="002A2EA6">
        <w:rPr>
          <w:lang w:val="fr-FR"/>
        </w:rPr>
        <w:t>les rendre plus abordables</w:t>
      </w:r>
      <w:r w:rsidRPr="002A2EA6">
        <w:rPr>
          <w:lang w:val="fr-FR"/>
        </w:rPr>
        <w:t>. Un autre observateur a suggéré que l</w:t>
      </w:r>
      <w:r w:rsidR="00CA4DAC">
        <w:rPr>
          <w:lang w:val="fr-FR"/>
        </w:rPr>
        <w:t>’</w:t>
      </w:r>
      <w:r w:rsidRPr="002A2EA6">
        <w:rPr>
          <w:lang w:val="fr-FR"/>
        </w:rPr>
        <w:t xml:space="preserve">OMS mette à jour son rapport de 2009 intitulé </w:t>
      </w:r>
      <w:r w:rsidRPr="002A2EA6">
        <w:rPr>
          <w:i/>
          <w:iCs/>
          <w:lang w:val="fr-FR"/>
        </w:rPr>
        <w:t>Future Use of Materials for Dental Restoration</w:t>
      </w:r>
      <w:r w:rsidRPr="002A2EA6">
        <w:rPr>
          <w:lang w:val="fr-FR"/>
        </w:rPr>
        <w:t xml:space="preserve"> (</w:t>
      </w:r>
      <w:r w:rsidR="00125E68" w:rsidRPr="002A2EA6">
        <w:rPr>
          <w:lang w:val="fr-FR"/>
        </w:rPr>
        <w:t>F</w:t>
      </w:r>
      <w:r w:rsidRPr="002A2EA6">
        <w:rPr>
          <w:lang w:val="fr-FR"/>
        </w:rPr>
        <w:t>uturs matériaux de dentisterie restauratrice) à la lumière des dernières données scientifiques sur les matériaux de remplacement en matière de dentisterie restauratrice, avant que toute décision ne soit prise concernant la proposition d</w:t>
      </w:r>
      <w:r w:rsidR="00CA4DAC">
        <w:rPr>
          <w:lang w:val="fr-FR"/>
        </w:rPr>
        <w:t>’</w:t>
      </w:r>
      <w:r w:rsidR="001B6FBF" w:rsidRPr="002A2EA6">
        <w:rPr>
          <w:lang w:val="fr-FR"/>
        </w:rPr>
        <w:t>amendement</w:t>
      </w:r>
      <w:r w:rsidRPr="002A2EA6">
        <w:rPr>
          <w:lang w:val="fr-FR"/>
        </w:rPr>
        <w:t xml:space="preserve">. Un troisième observateur a </w:t>
      </w:r>
      <w:r w:rsidRPr="002A2EA6">
        <w:rPr>
          <w:lang w:val="fr-FR"/>
        </w:rPr>
        <w:lastRenderedPageBreak/>
        <w:t>fait remarquer que l</w:t>
      </w:r>
      <w:r w:rsidR="00CA4DAC">
        <w:rPr>
          <w:lang w:val="fr-FR"/>
        </w:rPr>
        <w:t>’</w:t>
      </w:r>
      <w:r w:rsidRPr="002A2EA6">
        <w:rPr>
          <w:lang w:val="fr-FR"/>
        </w:rPr>
        <w:t>élimination progressive des amalgames dentaires</w:t>
      </w:r>
      <w:r w:rsidR="00187F0C" w:rsidRPr="002A2EA6">
        <w:rPr>
          <w:lang w:val="fr-FR"/>
        </w:rPr>
        <w:t xml:space="preserve"> permettrait </w:t>
      </w:r>
      <w:r w:rsidR="00825412" w:rsidRPr="002A2EA6">
        <w:rPr>
          <w:lang w:val="fr-FR"/>
        </w:rPr>
        <w:t>d</w:t>
      </w:r>
      <w:r w:rsidR="00CA4DAC">
        <w:rPr>
          <w:lang w:val="fr-FR"/>
        </w:rPr>
        <w:t>’</w:t>
      </w:r>
      <w:r w:rsidR="00825412" w:rsidRPr="002A2EA6">
        <w:rPr>
          <w:lang w:val="fr-FR"/>
        </w:rPr>
        <w:t xml:space="preserve">éliminer </w:t>
      </w:r>
      <w:r w:rsidR="00187F0C" w:rsidRPr="002A2EA6">
        <w:rPr>
          <w:lang w:val="fr-FR"/>
        </w:rPr>
        <w:t>une</w:t>
      </w:r>
      <w:r w:rsidR="00314010" w:rsidRPr="002A2EA6">
        <w:rPr>
          <w:lang w:val="fr-FR"/>
        </w:rPr>
        <w:t> </w:t>
      </w:r>
      <w:r w:rsidR="00187F0C" w:rsidRPr="002A2EA6">
        <w:rPr>
          <w:lang w:val="fr-FR"/>
        </w:rPr>
        <w:t>importante source de mercure, l</w:t>
      </w:r>
      <w:r w:rsidR="00CA4DAC">
        <w:rPr>
          <w:lang w:val="fr-FR"/>
        </w:rPr>
        <w:t>’</w:t>
      </w:r>
      <w:r w:rsidR="00187F0C" w:rsidRPr="002A2EA6">
        <w:rPr>
          <w:lang w:val="fr-FR"/>
        </w:rPr>
        <w:t>extraction minière d</w:t>
      </w:r>
      <w:r w:rsidR="00CA4DAC">
        <w:rPr>
          <w:lang w:val="fr-FR"/>
        </w:rPr>
        <w:t>’</w:t>
      </w:r>
      <w:r w:rsidR="00187F0C" w:rsidRPr="002A2EA6">
        <w:rPr>
          <w:lang w:val="fr-FR"/>
        </w:rPr>
        <w:t>or constituant une autre source.</w:t>
      </w:r>
      <w:r w:rsidRPr="002A2EA6">
        <w:rPr>
          <w:lang w:val="fr-FR"/>
        </w:rPr>
        <w:t xml:space="preserve"> </w:t>
      </w:r>
    </w:p>
    <w:p w14:paraId="3C07543F" w14:textId="18EA63C4"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Bien que plusieurs représentants et observateurs aient souligné qu</w:t>
      </w:r>
      <w:r w:rsidR="00CA4DAC">
        <w:rPr>
          <w:lang w:val="fr-FR"/>
        </w:rPr>
        <w:t>’</w:t>
      </w:r>
      <w:r w:rsidRPr="002A2EA6">
        <w:rPr>
          <w:lang w:val="fr-FR"/>
        </w:rPr>
        <w:t>il importait de</w:t>
      </w:r>
      <w:r w:rsidR="0095048C" w:rsidRPr="002A2EA6">
        <w:rPr>
          <w:lang w:val="fr-FR"/>
        </w:rPr>
        <w:t> </w:t>
      </w:r>
      <w:r w:rsidRPr="002A2EA6">
        <w:rPr>
          <w:lang w:val="fr-FR"/>
        </w:rPr>
        <w:t>réduire progressivement l</w:t>
      </w:r>
      <w:r w:rsidR="00CA4DAC">
        <w:rPr>
          <w:lang w:val="fr-FR"/>
        </w:rPr>
        <w:t>’</w:t>
      </w:r>
      <w:r w:rsidRPr="002A2EA6">
        <w:rPr>
          <w:lang w:val="fr-FR"/>
        </w:rPr>
        <w:t>utilisation des amalgames dentaires en raison de la menace qu</w:t>
      </w:r>
      <w:r w:rsidR="00CA4DAC">
        <w:rPr>
          <w:lang w:val="fr-FR"/>
        </w:rPr>
        <w:t>’</w:t>
      </w:r>
      <w:r w:rsidRPr="002A2EA6">
        <w:rPr>
          <w:lang w:val="fr-FR"/>
        </w:rPr>
        <w:t>ils</w:t>
      </w:r>
      <w:r w:rsidR="0095048C" w:rsidRPr="002A2EA6">
        <w:rPr>
          <w:lang w:val="fr-FR"/>
        </w:rPr>
        <w:t> </w:t>
      </w:r>
      <w:r w:rsidRPr="002A2EA6">
        <w:rPr>
          <w:lang w:val="fr-FR"/>
        </w:rPr>
        <w:t>représentent pour</w:t>
      </w:r>
      <w:r w:rsidR="002771A8" w:rsidRPr="002A2EA6">
        <w:rPr>
          <w:lang w:val="fr-FR"/>
        </w:rPr>
        <w:t> </w:t>
      </w:r>
      <w:r w:rsidRPr="002A2EA6">
        <w:rPr>
          <w:lang w:val="fr-FR"/>
        </w:rPr>
        <w:t>la santé humaine, un observateur a rappelé que, s</w:t>
      </w:r>
      <w:r w:rsidR="00CA4DAC">
        <w:rPr>
          <w:lang w:val="fr-FR"/>
        </w:rPr>
        <w:t>’</w:t>
      </w:r>
      <w:r w:rsidRPr="002A2EA6">
        <w:rPr>
          <w:lang w:val="fr-FR"/>
        </w:rPr>
        <w:t>appuyant sur les meilleures données existantes, son</w:t>
      </w:r>
      <w:r w:rsidR="00314010" w:rsidRPr="002A2EA6">
        <w:rPr>
          <w:lang w:val="fr-FR"/>
        </w:rPr>
        <w:t> </w:t>
      </w:r>
      <w:r w:rsidRPr="002A2EA6">
        <w:rPr>
          <w:lang w:val="fr-FR"/>
        </w:rPr>
        <w:t xml:space="preserve">organisation affirmait que les amalgames dentaires ne posaient aucun risque pour les </w:t>
      </w:r>
      <w:r w:rsidR="00A65EFB" w:rsidRPr="002A2EA6">
        <w:rPr>
          <w:lang w:val="fr-FR"/>
        </w:rPr>
        <w:t xml:space="preserve">personnes </w:t>
      </w:r>
      <w:r w:rsidRPr="002A2EA6">
        <w:rPr>
          <w:lang w:val="fr-FR"/>
        </w:rPr>
        <w:t>ne présentant pas d</w:t>
      </w:r>
      <w:r w:rsidR="00CA4DAC">
        <w:rPr>
          <w:lang w:val="fr-FR"/>
        </w:rPr>
        <w:t>’</w:t>
      </w:r>
      <w:r w:rsidRPr="002A2EA6">
        <w:rPr>
          <w:lang w:val="fr-FR"/>
        </w:rPr>
        <w:t>allergies aux composants des</w:t>
      </w:r>
      <w:r w:rsidR="0095048C" w:rsidRPr="002A2EA6">
        <w:rPr>
          <w:lang w:val="fr-FR"/>
        </w:rPr>
        <w:t> </w:t>
      </w:r>
      <w:r w:rsidRPr="002A2EA6">
        <w:rPr>
          <w:lang w:val="fr-FR"/>
        </w:rPr>
        <w:t>amalgames ni de pathologie hépatique grave.</w:t>
      </w:r>
    </w:p>
    <w:p w14:paraId="0037CD28" w14:textId="64C90B72"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Deux</w:t>
      </w:r>
      <w:r w:rsidR="002771A8" w:rsidRPr="002A2EA6">
        <w:rPr>
          <w:lang w:val="fr-FR"/>
        </w:rPr>
        <w:t> </w:t>
      </w:r>
      <w:r w:rsidRPr="002A2EA6">
        <w:rPr>
          <w:lang w:val="fr-FR"/>
        </w:rPr>
        <w:t>représentants ont souligné qu</w:t>
      </w:r>
      <w:r w:rsidR="00CA4DAC">
        <w:rPr>
          <w:lang w:val="fr-FR"/>
        </w:rPr>
        <w:t>’</w:t>
      </w:r>
      <w:r w:rsidRPr="002A2EA6">
        <w:rPr>
          <w:lang w:val="fr-FR"/>
        </w:rPr>
        <w:t>il importait, dans le cadre de l</w:t>
      </w:r>
      <w:r w:rsidR="00CA4DAC">
        <w:rPr>
          <w:lang w:val="fr-FR"/>
        </w:rPr>
        <w:t>’</w:t>
      </w:r>
      <w:r w:rsidRPr="002A2EA6">
        <w:rPr>
          <w:lang w:val="fr-FR"/>
        </w:rPr>
        <w:t>élimination progressive des</w:t>
      </w:r>
      <w:r w:rsidR="0095048C" w:rsidRPr="002A2EA6">
        <w:rPr>
          <w:lang w:val="fr-FR"/>
        </w:rPr>
        <w:t> </w:t>
      </w:r>
      <w:r w:rsidRPr="002A2EA6">
        <w:rPr>
          <w:lang w:val="fr-FR"/>
        </w:rPr>
        <w:t>amalgames dentaires, que les pays disposent de capacités techniques leur permettant de gérer les</w:t>
      </w:r>
      <w:r w:rsidR="0095048C" w:rsidRPr="002A2EA6">
        <w:rPr>
          <w:lang w:val="fr-FR"/>
        </w:rPr>
        <w:t> </w:t>
      </w:r>
      <w:r w:rsidRPr="002A2EA6">
        <w:rPr>
          <w:lang w:val="fr-FR"/>
        </w:rPr>
        <w:t>déchets issus des amalgames et de limiter les rejets de mercure dans l</w:t>
      </w:r>
      <w:r w:rsidR="00CA4DAC">
        <w:rPr>
          <w:lang w:val="fr-FR"/>
        </w:rPr>
        <w:t>’</w:t>
      </w:r>
      <w:r w:rsidRPr="002A2EA6">
        <w:rPr>
          <w:lang w:val="fr-FR"/>
        </w:rPr>
        <w:t xml:space="preserve">environnement. </w:t>
      </w:r>
    </w:p>
    <w:p w14:paraId="77C629F4" w14:textId="1E0CDB97"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Un représentant a indiqué que son pays entreprenait des études concernant la santé dentaire de sa population et de ses populations autochtones. Les résultats étant attendus en 2023, le représentant a</w:t>
      </w:r>
      <w:r w:rsidR="0095048C" w:rsidRPr="002A2EA6">
        <w:rPr>
          <w:lang w:val="fr-FR"/>
        </w:rPr>
        <w:t> </w:t>
      </w:r>
      <w:r w:rsidRPr="002A2EA6">
        <w:rPr>
          <w:lang w:val="fr-FR"/>
        </w:rPr>
        <w:t>déclaré que son pays ne serait pas en mesure de participer au débat sur la proposition d</w:t>
      </w:r>
      <w:r w:rsidR="00CA4DAC">
        <w:rPr>
          <w:lang w:val="fr-FR"/>
        </w:rPr>
        <w:t>’</w:t>
      </w:r>
      <w:r w:rsidR="005D7CBA" w:rsidRPr="002A2EA6">
        <w:rPr>
          <w:lang w:val="fr-FR"/>
        </w:rPr>
        <w:t>amendement</w:t>
      </w:r>
      <w:r w:rsidRPr="002A2EA6">
        <w:rPr>
          <w:lang w:val="fr-FR"/>
        </w:rPr>
        <w:t xml:space="preserve"> avant d</w:t>
      </w:r>
      <w:r w:rsidR="00CA4DAC">
        <w:rPr>
          <w:lang w:val="fr-FR"/>
        </w:rPr>
        <w:t>’</w:t>
      </w:r>
      <w:r w:rsidRPr="002A2EA6">
        <w:rPr>
          <w:lang w:val="fr-FR"/>
        </w:rPr>
        <w:t>avoir examiné les informations à jour tirées des études relatives à l</w:t>
      </w:r>
      <w:r w:rsidR="00CA4DAC">
        <w:rPr>
          <w:lang w:val="fr-FR"/>
        </w:rPr>
        <w:t>’</w:t>
      </w:r>
      <w:r w:rsidRPr="002A2EA6">
        <w:rPr>
          <w:lang w:val="fr-FR"/>
        </w:rPr>
        <w:t>utilisation des</w:t>
      </w:r>
      <w:r w:rsidR="0095048C" w:rsidRPr="002A2EA6">
        <w:rPr>
          <w:lang w:val="fr-FR"/>
        </w:rPr>
        <w:t> </w:t>
      </w:r>
      <w:r w:rsidRPr="002A2EA6">
        <w:rPr>
          <w:lang w:val="fr-FR"/>
        </w:rPr>
        <w:t>amalgames dentaires, à leur efficacité et à leurs solutions de remplacement réellement envisageables</w:t>
      </w:r>
      <w:r w:rsidR="266CB9EE" w:rsidRPr="002A2EA6">
        <w:rPr>
          <w:lang w:val="fr-FR"/>
        </w:rPr>
        <w:t xml:space="preserve">, afin de garantir </w:t>
      </w:r>
      <w:r w:rsidR="007E22FF" w:rsidRPr="002A2EA6">
        <w:rPr>
          <w:lang w:val="fr-FR"/>
        </w:rPr>
        <w:t xml:space="preserve">aux groupes vulnérables </w:t>
      </w:r>
      <w:r w:rsidR="266CB9EE" w:rsidRPr="002A2EA6">
        <w:rPr>
          <w:lang w:val="fr-FR"/>
        </w:rPr>
        <w:t>le droit d</w:t>
      </w:r>
      <w:r w:rsidR="00CA4DAC">
        <w:rPr>
          <w:lang w:val="fr-FR"/>
        </w:rPr>
        <w:t>’</w:t>
      </w:r>
      <w:r w:rsidR="266CB9EE" w:rsidRPr="002A2EA6">
        <w:rPr>
          <w:lang w:val="fr-FR"/>
        </w:rPr>
        <w:t xml:space="preserve">accès </w:t>
      </w:r>
      <w:r w:rsidR="007E22FF" w:rsidRPr="002A2EA6">
        <w:rPr>
          <w:lang w:val="fr-FR"/>
        </w:rPr>
        <w:t xml:space="preserve">aux </w:t>
      </w:r>
      <w:r w:rsidR="266CB9EE" w:rsidRPr="002A2EA6">
        <w:rPr>
          <w:lang w:val="fr-FR"/>
        </w:rPr>
        <w:t>soins de santé</w:t>
      </w:r>
      <w:r w:rsidRPr="002A2EA6">
        <w:rPr>
          <w:lang w:val="fr-FR"/>
        </w:rPr>
        <w:t>. Cependant, plusieurs représentants, dont l</w:t>
      </w:r>
      <w:r w:rsidR="00CA4DAC">
        <w:rPr>
          <w:lang w:val="fr-FR"/>
        </w:rPr>
        <w:t>’</w:t>
      </w:r>
      <w:r w:rsidRPr="002A2EA6">
        <w:rPr>
          <w:lang w:val="fr-FR"/>
        </w:rPr>
        <w:t>un s</w:t>
      </w:r>
      <w:r w:rsidR="00CA4DAC">
        <w:rPr>
          <w:lang w:val="fr-FR"/>
        </w:rPr>
        <w:t>’</w:t>
      </w:r>
      <w:r w:rsidRPr="002A2EA6">
        <w:rPr>
          <w:lang w:val="fr-FR"/>
        </w:rPr>
        <w:t>exprimait au nom des auteurs de la</w:t>
      </w:r>
      <w:r w:rsidR="00314010" w:rsidRPr="002A2EA6">
        <w:rPr>
          <w:lang w:val="fr-FR"/>
        </w:rPr>
        <w:t> </w:t>
      </w:r>
      <w:r w:rsidRPr="002A2EA6">
        <w:rPr>
          <w:lang w:val="fr-FR"/>
        </w:rPr>
        <w:t xml:space="preserve">proposition, </w:t>
      </w:r>
      <w:r w:rsidR="008B7D87" w:rsidRPr="002A2EA6">
        <w:rPr>
          <w:lang w:val="fr-FR"/>
        </w:rPr>
        <w:t>ont dit qu</w:t>
      </w:r>
      <w:r w:rsidR="00CA4DAC">
        <w:rPr>
          <w:lang w:val="fr-FR"/>
        </w:rPr>
        <w:t>’</w:t>
      </w:r>
      <w:r w:rsidR="008B7D87" w:rsidRPr="002A2EA6">
        <w:rPr>
          <w:lang w:val="fr-FR"/>
        </w:rPr>
        <w:t xml:space="preserve">on ne saurait </w:t>
      </w:r>
      <w:r w:rsidR="00F3151F" w:rsidRPr="002A2EA6">
        <w:rPr>
          <w:lang w:val="fr-FR"/>
        </w:rPr>
        <w:t xml:space="preserve">différer </w:t>
      </w:r>
      <w:r w:rsidR="008B7D87" w:rsidRPr="002A2EA6">
        <w:rPr>
          <w:lang w:val="fr-FR"/>
        </w:rPr>
        <w:t>l</w:t>
      </w:r>
      <w:r w:rsidR="00CA4DAC">
        <w:rPr>
          <w:lang w:val="fr-FR"/>
        </w:rPr>
        <w:t>’</w:t>
      </w:r>
      <w:r w:rsidR="008B7D87" w:rsidRPr="002A2EA6">
        <w:rPr>
          <w:lang w:val="fr-FR"/>
        </w:rPr>
        <w:t xml:space="preserve">examen de la question </w:t>
      </w:r>
      <w:r w:rsidRPr="002A2EA6">
        <w:rPr>
          <w:lang w:val="fr-FR"/>
        </w:rPr>
        <w:t>et qu</w:t>
      </w:r>
      <w:r w:rsidR="00CA4DAC">
        <w:rPr>
          <w:lang w:val="fr-FR"/>
        </w:rPr>
        <w:t>’</w:t>
      </w:r>
      <w:r w:rsidRPr="002A2EA6">
        <w:rPr>
          <w:lang w:val="fr-FR"/>
        </w:rPr>
        <w:t>une décision devait être prise à la réunion</w:t>
      </w:r>
      <w:r w:rsidR="00311E96" w:rsidRPr="002A2EA6">
        <w:rPr>
          <w:lang w:val="fr-FR"/>
        </w:rPr>
        <w:t xml:space="preserve"> en cours.</w:t>
      </w:r>
    </w:p>
    <w:p w14:paraId="08447F37" w14:textId="370655B3"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 xml:space="preserve">issue du débat, la Conférence des Parties </w:t>
      </w:r>
      <w:r w:rsidR="001908E4" w:rsidRPr="002A2EA6">
        <w:rPr>
          <w:lang w:val="fr-FR"/>
        </w:rPr>
        <w:t xml:space="preserve">a décidé </w:t>
      </w:r>
      <w:r w:rsidRPr="002A2EA6">
        <w:rPr>
          <w:lang w:val="fr-FR"/>
        </w:rPr>
        <w:t>de renvoyer la question au groupe de contact sur les questions techniques</w:t>
      </w:r>
      <w:r w:rsidR="00F3151F" w:rsidRPr="002A2EA6">
        <w:rPr>
          <w:lang w:val="fr-FR"/>
        </w:rPr>
        <w:t xml:space="preserve"> et a prié ce dernier </w:t>
      </w:r>
      <w:r w:rsidRPr="002A2EA6">
        <w:rPr>
          <w:lang w:val="fr-FR"/>
        </w:rPr>
        <w:t>d</w:t>
      </w:r>
      <w:r w:rsidR="00CA4DAC">
        <w:rPr>
          <w:lang w:val="fr-FR"/>
        </w:rPr>
        <w:t>’</w:t>
      </w:r>
      <w:r w:rsidRPr="002A2EA6">
        <w:rPr>
          <w:lang w:val="fr-FR"/>
        </w:rPr>
        <w:t>élaborer une proposition tenant compte du</w:t>
      </w:r>
      <w:r w:rsidR="002771A8" w:rsidRPr="002A2EA6">
        <w:rPr>
          <w:lang w:val="fr-FR"/>
        </w:rPr>
        <w:t> </w:t>
      </w:r>
      <w:r w:rsidRPr="002A2EA6">
        <w:rPr>
          <w:lang w:val="fr-FR"/>
        </w:rPr>
        <w:t>débat tenu et des vues exprimées.</w:t>
      </w:r>
    </w:p>
    <w:p w14:paraId="4B1DAAA3" w14:textId="25FC3BCB" w:rsidR="2D26155F" w:rsidRPr="002A2EA6" w:rsidRDefault="2D26155F"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3F1999" w:rsidRPr="002A2EA6">
        <w:rPr>
          <w:lang w:val="fr-FR"/>
        </w:rPr>
        <w:t> </w:t>
      </w:r>
      <w:r w:rsidRPr="002A2EA6">
        <w:rPr>
          <w:lang w:val="fr-FR"/>
        </w:rPr>
        <w:t xml:space="preserve">MC-3/2 </w:t>
      </w:r>
      <w:r w:rsidR="006158B5" w:rsidRPr="002A2EA6">
        <w:rPr>
          <w:lang w:val="fr-FR"/>
        </w:rPr>
        <w:t>(A</w:t>
      </w:r>
      <w:r w:rsidRPr="002A2EA6">
        <w:rPr>
          <w:lang w:val="fr-FR"/>
        </w:rPr>
        <w:t>malgames dentaires</w:t>
      </w:r>
      <w:r w:rsidR="006158B5" w:rsidRPr="002A2EA6">
        <w:rPr>
          <w:lang w:val="fr-FR"/>
        </w:rPr>
        <w:t>)</w:t>
      </w:r>
      <w:r w:rsidRPr="002A2EA6">
        <w:rPr>
          <w:lang w:val="fr-FR"/>
        </w:rPr>
        <w:t>, telle que présentée par le groupe de contact sur les questions techniques et amendée oralement, qui figure dans l</w:t>
      </w:r>
      <w:r w:rsidR="00CA4DAC">
        <w:rPr>
          <w:lang w:val="fr-FR"/>
        </w:rPr>
        <w:t>’</w:t>
      </w:r>
      <w:r w:rsidRPr="002A2EA6">
        <w:rPr>
          <w:lang w:val="fr-FR"/>
        </w:rPr>
        <w:t>annexe du présent rapport.</w:t>
      </w:r>
    </w:p>
    <w:p w14:paraId="26C51085" w14:textId="31316046" w:rsidR="001177F2" w:rsidRPr="002A2EA6" w:rsidRDefault="001177F2" w:rsidP="0095048C">
      <w:pPr>
        <w:pStyle w:val="CH3"/>
        <w:rPr>
          <w:lang w:val="fr-FR"/>
        </w:rPr>
      </w:pPr>
      <w:bookmarkStart w:id="16" w:name="_DV_M141"/>
      <w:bookmarkStart w:id="17" w:name="_DV_M142"/>
      <w:bookmarkEnd w:id="16"/>
      <w:bookmarkEnd w:id="17"/>
      <w:r w:rsidRPr="002A2EA6">
        <w:rPr>
          <w:lang w:val="fr-FR"/>
        </w:rPr>
        <w:tab/>
      </w:r>
      <w:bookmarkStart w:id="18" w:name="_DV_M143"/>
      <w:bookmarkStart w:id="19" w:name="_Hlk25753765"/>
      <w:bookmarkEnd w:id="18"/>
      <w:r w:rsidRPr="002A2EA6">
        <w:rPr>
          <w:lang w:val="fr-FR"/>
        </w:rPr>
        <w:t>3.</w:t>
      </w:r>
      <w:r w:rsidRPr="002A2EA6">
        <w:rPr>
          <w:lang w:val="fr-FR"/>
        </w:rPr>
        <w:tab/>
      </w:r>
      <w:bookmarkStart w:id="20" w:name="_DV_C63"/>
      <w:r w:rsidRPr="002A2EA6">
        <w:rPr>
          <w:lang w:val="fr-FR"/>
        </w:rPr>
        <w:t>Codes du Système harmonisé</w:t>
      </w:r>
    </w:p>
    <w:p w14:paraId="3632E8D0" w14:textId="2DB66A03" w:rsidR="003F0A3F" w:rsidRPr="002A2EA6" w:rsidRDefault="003F0A3F" w:rsidP="00A056A2">
      <w:pPr>
        <w:pStyle w:val="Normalnumber"/>
        <w:numPr>
          <w:ilvl w:val="0"/>
          <w:numId w:val="42"/>
        </w:numPr>
        <w:tabs>
          <w:tab w:val="clear" w:pos="1814"/>
          <w:tab w:val="left" w:pos="1843"/>
          <w:tab w:val="left" w:pos="1985"/>
        </w:tabs>
        <w:ind w:left="1288" w:hanging="28"/>
        <w:rPr>
          <w:lang w:val="fr-FR"/>
        </w:rPr>
      </w:pPr>
      <w:bookmarkStart w:id="21" w:name="_DV_C79"/>
      <w:bookmarkEnd w:id="20"/>
      <w:r w:rsidRPr="002A2EA6">
        <w:rPr>
          <w:lang w:val="fr-FR"/>
        </w:rPr>
        <w:t>Présentant ce sous-point, le représentant du secrétariat a examiné l</w:t>
      </w:r>
      <w:r w:rsidR="001908E4" w:rsidRPr="002A2EA6">
        <w:rPr>
          <w:lang w:val="fr-FR"/>
        </w:rPr>
        <w:t>a procédure d</w:t>
      </w:r>
      <w:r w:rsidR="00CA4DAC">
        <w:rPr>
          <w:lang w:val="fr-FR"/>
        </w:rPr>
        <w:t>’</w:t>
      </w:r>
      <w:r w:rsidR="001908E4" w:rsidRPr="002A2EA6">
        <w:rPr>
          <w:lang w:val="fr-FR"/>
        </w:rPr>
        <w:t xml:space="preserve">élaboration de </w:t>
      </w:r>
      <w:r w:rsidRPr="002A2EA6">
        <w:rPr>
          <w:lang w:val="fr-FR"/>
        </w:rPr>
        <w:t>solutions visant à distinguer</w:t>
      </w:r>
      <w:r w:rsidR="00931E0D" w:rsidRPr="002A2EA6">
        <w:rPr>
          <w:lang w:val="fr-FR"/>
        </w:rPr>
        <w:t>,</w:t>
      </w:r>
      <w:r w:rsidRPr="002A2EA6">
        <w:rPr>
          <w:lang w:val="fr-FR"/>
        </w:rPr>
        <w:t xml:space="preserve"> </w:t>
      </w:r>
      <w:r w:rsidR="00931E0D" w:rsidRPr="002A2EA6">
        <w:rPr>
          <w:lang w:val="fr-FR"/>
        </w:rPr>
        <w:t xml:space="preserve">par </w:t>
      </w:r>
      <w:r w:rsidRPr="002A2EA6">
        <w:rPr>
          <w:lang w:val="fr-FR"/>
        </w:rPr>
        <w:t>des codes douaniers</w:t>
      </w:r>
      <w:r w:rsidR="00931E0D" w:rsidRPr="002A2EA6">
        <w:rPr>
          <w:lang w:val="fr-FR"/>
        </w:rPr>
        <w:t>,</w:t>
      </w:r>
      <w:r w:rsidRPr="002A2EA6">
        <w:rPr>
          <w:lang w:val="fr-FR"/>
        </w:rPr>
        <w:t xml:space="preserve"> les produits sans mercure ajouté et ceux en contenant qui figurent dans l</w:t>
      </w:r>
      <w:r w:rsidR="00CA4DAC">
        <w:rPr>
          <w:lang w:val="fr-FR"/>
        </w:rPr>
        <w:t>’</w:t>
      </w:r>
      <w:r w:rsidRPr="002A2EA6">
        <w:rPr>
          <w:lang w:val="fr-FR"/>
        </w:rPr>
        <w:t>Annexe</w:t>
      </w:r>
      <w:r w:rsidR="003F1999" w:rsidRPr="002A2EA6">
        <w:rPr>
          <w:lang w:val="fr-FR"/>
        </w:rPr>
        <w:t> </w:t>
      </w:r>
      <w:r w:rsidRPr="002A2EA6">
        <w:rPr>
          <w:lang w:val="fr-FR"/>
        </w:rPr>
        <w:t>A, avec la collaboration du Partenariat mondial sur le mercure du PNUE au titre du domaine de partenariat relatif aux produits contenant du mercure et en consultation avec les organisations intéressées</w:t>
      </w:r>
      <w:r w:rsidR="00830FDA" w:rsidRPr="002A2EA6">
        <w:rPr>
          <w:lang w:val="fr-FR"/>
        </w:rPr>
        <w:t xml:space="preserve">, à la suite de quoi il a </w:t>
      </w:r>
      <w:r w:rsidRPr="002A2EA6">
        <w:rPr>
          <w:lang w:val="fr-FR"/>
        </w:rPr>
        <w:t xml:space="preserve">passé en revue les observations reçues des Parties et des autres parties prenantes. </w:t>
      </w:r>
      <w:r w:rsidR="005F6C3F" w:rsidRPr="002A2EA6">
        <w:rPr>
          <w:lang w:val="fr-FR"/>
        </w:rPr>
        <w:t xml:space="preserve">Le représentant du secrétariat </w:t>
      </w:r>
      <w:r w:rsidRPr="002A2EA6">
        <w:rPr>
          <w:lang w:val="fr-FR"/>
        </w:rPr>
        <w:t xml:space="preserve">a </w:t>
      </w:r>
      <w:r w:rsidR="005F6C3F" w:rsidRPr="002A2EA6">
        <w:rPr>
          <w:lang w:val="fr-FR"/>
        </w:rPr>
        <w:t xml:space="preserve">décrit </w:t>
      </w:r>
      <w:r w:rsidRPr="002A2EA6">
        <w:rPr>
          <w:lang w:val="fr-FR"/>
        </w:rPr>
        <w:t>les</w:t>
      </w:r>
      <w:r w:rsidR="00BF0C05">
        <w:rPr>
          <w:lang w:val="fr-FR"/>
        </w:rPr>
        <w:t> </w:t>
      </w:r>
      <w:r w:rsidRPr="002A2EA6">
        <w:rPr>
          <w:lang w:val="fr-FR"/>
        </w:rPr>
        <w:t>quatre</w:t>
      </w:r>
      <w:r w:rsidR="00BF0C05">
        <w:rPr>
          <w:lang w:val="fr-FR"/>
        </w:rPr>
        <w:t> </w:t>
      </w:r>
      <w:r w:rsidRPr="002A2EA6">
        <w:rPr>
          <w:lang w:val="fr-FR"/>
        </w:rPr>
        <w:t>solutions soumises à l</w:t>
      </w:r>
      <w:r w:rsidR="00CA4DAC">
        <w:rPr>
          <w:lang w:val="fr-FR"/>
        </w:rPr>
        <w:t>’</w:t>
      </w:r>
      <w:r w:rsidRPr="002A2EA6">
        <w:rPr>
          <w:lang w:val="fr-FR"/>
        </w:rPr>
        <w:t>examen de la Conférence des Parties</w:t>
      </w:r>
      <w:r w:rsidR="003F1999" w:rsidRPr="002A2EA6">
        <w:rPr>
          <w:lang w:val="fr-FR"/>
        </w:rPr>
        <w:t> </w:t>
      </w:r>
      <w:r w:rsidR="7A7F35F0" w:rsidRPr="002A2EA6">
        <w:rPr>
          <w:lang w:val="fr-FR"/>
        </w:rPr>
        <w:t>:</w:t>
      </w:r>
      <w:r w:rsidRPr="002A2EA6">
        <w:rPr>
          <w:lang w:val="fr-FR"/>
        </w:rPr>
        <w:t xml:space="preserve"> l</w:t>
      </w:r>
      <w:r w:rsidR="00CA4DAC">
        <w:rPr>
          <w:lang w:val="fr-FR"/>
        </w:rPr>
        <w:t>’</w:t>
      </w:r>
      <w:r w:rsidRPr="002A2EA6">
        <w:rPr>
          <w:lang w:val="fr-FR"/>
        </w:rPr>
        <w:t>élaboration de codes à six</w:t>
      </w:r>
      <w:r w:rsidR="00ED3E82">
        <w:rPr>
          <w:lang w:val="fr-FR"/>
        </w:rPr>
        <w:t> </w:t>
      </w:r>
      <w:r w:rsidRPr="002A2EA6">
        <w:rPr>
          <w:lang w:val="fr-FR"/>
        </w:rPr>
        <w:t>chiffres harmonisés à l</w:t>
      </w:r>
      <w:r w:rsidR="00CA4DAC">
        <w:rPr>
          <w:lang w:val="fr-FR"/>
        </w:rPr>
        <w:t>’</w:t>
      </w:r>
      <w:r w:rsidRPr="002A2EA6">
        <w:rPr>
          <w:lang w:val="fr-FR"/>
        </w:rPr>
        <w:t>échelle internationale selon la procédure en vigueur à l</w:t>
      </w:r>
      <w:r w:rsidR="00CA4DAC">
        <w:rPr>
          <w:lang w:val="fr-FR"/>
        </w:rPr>
        <w:t>’</w:t>
      </w:r>
      <w:r w:rsidRPr="002A2EA6">
        <w:rPr>
          <w:lang w:val="fr-FR"/>
        </w:rPr>
        <w:t>Organisation mondiale des</w:t>
      </w:r>
      <w:r w:rsidR="00ED3E82">
        <w:rPr>
          <w:lang w:val="fr-FR"/>
        </w:rPr>
        <w:t> </w:t>
      </w:r>
      <w:r w:rsidRPr="002A2EA6">
        <w:rPr>
          <w:lang w:val="fr-FR"/>
        </w:rPr>
        <w:t>douanes (OMD)</w:t>
      </w:r>
      <w:r w:rsidR="003F1999" w:rsidRPr="002A2EA6">
        <w:rPr>
          <w:lang w:val="fr-FR"/>
        </w:rPr>
        <w:t> </w:t>
      </w:r>
      <w:r w:rsidR="631BDA25" w:rsidRPr="002A2EA6">
        <w:rPr>
          <w:lang w:val="fr-FR"/>
        </w:rPr>
        <w:t>;</w:t>
      </w:r>
      <w:r w:rsidRPr="002A2EA6">
        <w:rPr>
          <w:lang w:val="fr-FR"/>
        </w:rPr>
        <w:t xml:space="preserve"> l</w:t>
      </w:r>
      <w:r w:rsidR="00CA4DAC">
        <w:rPr>
          <w:lang w:val="fr-FR"/>
        </w:rPr>
        <w:t>’</w:t>
      </w:r>
      <w:r w:rsidRPr="002A2EA6">
        <w:rPr>
          <w:lang w:val="fr-FR"/>
        </w:rPr>
        <w:t>élaboration de codes statistiques de plus de six chiffres</w:t>
      </w:r>
      <w:r w:rsidR="003F1999" w:rsidRPr="002A2EA6">
        <w:rPr>
          <w:lang w:val="fr-FR"/>
        </w:rPr>
        <w:t> </w:t>
      </w:r>
      <w:r w:rsidR="631BDA25" w:rsidRPr="002A2EA6">
        <w:rPr>
          <w:lang w:val="fr-FR"/>
        </w:rPr>
        <w:t>;</w:t>
      </w:r>
      <w:r w:rsidRPr="002A2EA6">
        <w:rPr>
          <w:lang w:val="fr-FR"/>
        </w:rPr>
        <w:t xml:space="preserve"> la</w:t>
      </w:r>
      <w:r w:rsidR="00BF0C05">
        <w:rPr>
          <w:lang w:val="fr-FR"/>
        </w:rPr>
        <w:t> </w:t>
      </w:r>
      <w:r w:rsidRPr="002A2EA6">
        <w:rPr>
          <w:lang w:val="fr-FR"/>
        </w:rPr>
        <w:t>combinaison des</w:t>
      </w:r>
      <w:r w:rsidR="00ED3E82">
        <w:rPr>
          <w:lang w:val="fr-FR"/>
        </w:rPr>
        <w:t> </w:t>
      </w:r>
      <w:r w:rsidRPr="002A2EA6">
        <w:rPr>
          <w:lang w:val="fr-FR"/>
        </w:rPr>
        <w:t>deux</w:t>
      </w:r>
      <w:r w:rsidR="002771A8" w:rsidRPr="002A2EA6">
        <w:rPr>
          <w:lang w:val="fr-FR"/>
        </w:rPr>
        <w:t> </w:t>
      </w:r>
      <w:r w:rsidRPr="002A2EA6">
        <w:rPr>
          <w:lang w:val="fr-FR"/>
        </w:rPr>
        <w:t>solutions précédentes en élaborant à court terme des codes de plus de six</w:t>
      </w:r>
      <w:r w:rsidR="00BF0C05">
        <w:rPr>
          <w:lang w:val="fr-FR"/>
        </w:rPr>
        <w:t> </w:t>
      </w:r>
      <w:r w:rsidRPr="002A2EA6">
        <w:rPr>
          <w:lang w:val="fr-FR"/>
        </w:rPr>
        <w:t>chiffres, dont certains ou tous seraient à terme remplacés par des codes à six</w:t>
      </w:r>
      <w:r w:rsidR="003F1999" w:rsidRPr="002A2EA6">
        <w:rPr>
          <w:lang w:val="fr-FR"/>
        </w:rPr>
        <w:t> </w:t>
      </w:r>
      <w:r w:rsidRPr="002A2EA6">
        <w:rPr>
          <w:lang w:val="fr-FR"/>
        </w:rPr>
        <w:t>chiffres du Système harmonisé</w:t>
      </w:r>
      <w:r w:rsidR="003F1999" w:rsidRPr="002A2EA6">
        <w:rPr>
          <w:lang w:val="fr-FR"/>
        </w:rPr>
        <w:t> </w:t>
      </w:r>
      <w:r w:rsidR="631BDA25" w:rsidRPr="002A2EA6">
        <w:rPr>
          <w:lang w:val="fr-FR"/>
        </w:rPr>
        <w:t>;</w:t>
      </w:r>
      <w:r w:rsidRPr="002A2EA6">
        <w:rPr>
          <w:lang w:val="fr-FR"/>
        </w:rPr>
        <w:t xml:space="preserve"> le</w:t>
      </w:r>
      <w:r w:rsidR="00ED3E82">
        <w:rPr>
          <w:lang w:val="fr-FR"/>
        </w:rPr>
        <w:t> </w:t>
      </w:r>
      <w:r w:rsidRPr="002A2EA6">
        <w:rPr>
          <w:lang w:val="fr-FR"/>
        </w:rPr>
        <w:t>renoncement à la création de nouveaux codes douaniers dans le cadre de la Convention. Le</w:t>
      </w:r>
      <w:r w:rsidR="00ED3E82">
        <w:rPr>
          <w:lang w:val="fr-FR"/>
        </w:rPr>
        <w:t> </w:t>
      </w:r>
      <w:r w:rsidRPr="002A2EA6">
        <w:rPr>
          <w:lang w:val="fr-FR"/>
        </w:rPr>
        <w:t xml:space="preserve">représentant a </w:t>
      </w:r>
      <w:r w:rsidR="00A403AB" w:rsidRPr="002A2EA6">
        <w:rPr>
          <w:lang w:val="fr-FR"/>
        </w:rPr>
        <w:t xml:space="preserve">appelé </w:t>
      </w:r>
      <w:r w:rsidRPr="002A2EA6">
        <w:rPr>
          <w:lang w:val="fr-FR"/>
        </w:rPr>
        <w:t>l</w:t>
      </w:r>
      <w:r w:rsidR="00CA4DAC">
        <w:rPr>
          <w:lang w:val="fr-FR"/>
        </w:rPr>
        <w:t>’</w:t>
      </w:r>
      <w:r w:rsidRPr="002A2EA6">
        <w:rPr>
          <w:lang w:val="fr-FR"/>
        </w:rPr>
        <w:t>attention des</w:t>
      </w:r>
      <w:r w:rsidR="0095048C" w:rsidRPr="002A2EA6">
        <w:rPr>
          <w:lang w:val="fr-FR"/>
        </w:rPr>
        <w:t> </w:t>
      </w:r>
      <w:r w:rsidRPr="002A2EA6">
        <w:rPr>
          <w:lang w:val="fr-FR"/>
        </w:rPr>
        <w:t>participants sur une note du secrétariat sur le sujet (UNEP/MC/COP.3/5), qui résum</w:t>
      </w:r>
      <w:r w:rsidR="00B20286" w:rsidRPr="002A2EA6">
        <w:rPr>
          <w:lang w:val="fr-FR"/>
        </w:rPr>
        <w:t>ait</w:t>
      </w:r>
      <w:r w:rsidRPr="002A2EA6">
        <w:rPr>
          <w:lang w:val="fr-FR"/>
        </w:rPr>
        <w:t xml:space="preserve"> le rapport relatif aux solutions envisagées, ainsi que sur le rapport complet en question, qui figur</w:t>
      </w:r>
      <w:r w:rsidR="00B20286" w:rsidRPr="002A2EA6">
        <w:rPr>
          <w:lang w:val="fr-FR"/>
        </w:rPr>
        <w:t>ait</w:t>
      </w:r>
      <w:r w:rsidRPr="002A2EA6">
        <w:rPr>
          <w:lang w:val="fr-FR"/>
        </w:rPr>
        <w:t xml:space="preserve"> dans le</w:t>
      </w:r>
      <w:r w:rsidR="0095048C" w:rsidRPr="002A2EA6">
        <w:rPr>
          <w:lang w:val="fr-FR"/>
        </w:rPr>
        <w:t> </w:t>
      </w:r>
      <w:r w:rsidRPr="002A2EA6">
        <w:rPr>
          <w:lang w:val="fr-FR"/>
        </w:rPr>
        <w:t>document d</w:t>
      </w:r>
      <w:r w:rsidR="00CA4DAC">
        <w:rPr>
          <w:lang w:val="fr-FR"/>
        </w:rPr>
        <w:t>’</w:t>
      </w:r>
      <w:r w:rsidRPr="002A2EA6">
        <w:rPr>
          <w:lang w:val="fr-FR"/>
        </w:rPr>
        <w:t>information connexe (UNEP/MC/COP.3/INF/12).</w:t>
      </w:r>
    </w:p>
    <w:p w14:paraId="5A1A4C5A" w14:textId="09D78B0A"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du Partenariat mondial sur le mercure du PNUE au titre du domaine de partenariat relatif aux produits contenant du mercure a donné de plus amples informations sur l</w:t>
      </w:r>
      <w:r w:rsidR="00CA4DAC">
        <w:rPr>
          <w:lang w:val="fr-FR"/>
        </w:rPr>
        <w:t>’</w:t>
      </w:r>
      <w:r w:rsidRPr="002A2EA6">
        <w:rPr>
          <w:lang w:val="fr-FR"/>
        </w:rPr>
        <w:t xml:space="preserve">élaboration du rapport, à laquelle le Partenariat avait participé. </w:t>
      </w:r>
    </w:p>
    <w:p w14:paraId="3DEFFBE7" w14:textId="675D9DFC"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les participants se sont généralement dits favorables aux</w:t>
      </w:r>
      <w:r w:rsidR="00314010" w:rsidRPr="002A2EA6">
        <w:rPr>
          <w:lang w:val="fr-FR"/>
        </w:rPr>
        <w:t> </w:t>
      </w:r>
      <w:r w:rsidRPr="002A2EA6">
        <w:rPr>
          <w:lang w:val="fr-FR"/>
        </w:rPr>
        <w:t>dispositions visant à harmoniser les codes douaniers des produits figurant dans l</w:t>
      </w:r>
      <w:r w:rsidR="00CA4DAC">
        <w:rPr>
          <w:lang w:val="fr-FR"/>
        </w:rPr>
        <w:t>’</w:t>
      </w:r>
      <w:r w:rsidR="00314010" w:rsidRPr="002A2EA6">
        <w:rPr>
          <w:lang w:val="fr-FR"/>
        </w:rPr>
        <w:t>A</w:t>
      </w:r>
      <w:r w:rsidRPr="002A2EA6">
        <w:rPr>
          <w:lang w:val="fr-FR"/>
        </w:rPr>
        <w:t>nnexe</w:t>
      </w:r>
      <w:r w:rsidR="003F1999" w:rsidRPr="002A2EA6">
        <w:rPr>
          <w:lang w:val="fr-FR"/>
        </w:rPr>
        <w:t> </w:t>
      </w:r>
      <w:r w:rsidRPr="002A2EA6">
        <w:rPr>
          <w:lang w:val="fr-FR"/>
        </w:rPr>
        <w:t>A et à une</w:t>
      </w:r>
      <w:r w:rsidR="00314010" w:rsidRPr="002A2EA6">
        <w:rPr>
          <w:lang w:val="fr-FR"/>
        </w:rPr>
        <w:t> </w:t>
      </w:r>
      <w:r w:rsidRPr="002A2EA6">
        <w:rPr>
          <w:lang w:val="fr-FR"/>
        </w:rPr>
        <w:t>collaboration internationale pour lutter contre le commerce des produits contenant du mercure. Un</w:t>
      </w:r>
      <w:r w:rsidR="0095048C" w:rsidRPr="002A2EA6">
        <w:rPr>
          <w:lang w:val="fr-FR"/>
        </w:rPr>
        <w:t> </w:t>
      </w:r>
      <w:r w:rsidRPr="002A2EA6">
        <w:rPr>
          <w:lang w:val="fr-FR"/>
        </w:rPr>
        <w:t xml:space="preserve">certain nombre de représentants </w:t>
      </w:r>
      <w:r w:rsidR="00541489" w:rsidRPr="002A2EA6">
        <w:rPr>
          <w:lang w:val="fr-FR"/>
        </w:rPr>
        <w:t>ont</w:t>
      </w:r>
      <w:r w:rsidRPr="002A2EA6">
        <w:rPr>
          <w:lang w:val="fr-FR"/>
        </w:rPr>
        <w:t xml:space="preserve"> salué les propositions sur le sujet élaboré</w:t>
      </w:r>
      <w:r w:rsidR="00243F77" w:rsidRPr="002A2EA6">
        <w:rPr>
          <w:lang w:val="fr-FR"/>
        </w:rPr>
        <w:t>e</w:t>
      </w:r>
      <w:r w:rsidRPr="002A2EA6">
        <w:rPr>
          <w:lang w:val="fr-FR"/>
        </w:rPr>
        <w:t>s par l</w:t>
      </w:r>
      <w:r w:rsidR="00CA4DAC">
        <w:rPr>
          <w:lang w:val="fr-FR"/>
        </w:rPr>
        <w:t>’</w:t>
      </w:r>
      <w:r w:rsidRPr="002A2EA6">
        <w:rPr>
          <w:lang w:val="fr-FR"/>
        </w:rPr>
        <w:t>Union</w:t>
      </w:r>
      <w:r w:rsidR="00243F77" w:rsidRPr="002A2EA6">
        <w:rPr>
          <w:lang w:val="fr-FR"/>
        </w:rPr>
        <w:t> </w:t>
      </w:r>
      <w:r w:rsidRPr="002A2EA6">
        <w:rPr>
          <w:lang w:val="fr-FR"/>
        </w:rPr>
        <w:t>européenne et divers États d</w:t>
      </w:r>
      <w:r w:rsidR="00CA4DAC">
        <w:rPr>
          <w:lang w:val="fr-FR"/>
        </w:rPr>
        <w:t>’</w:t>
      </w:r>
      <w:r w:rsidRPr="002A2EA6">
        <w:rPr>
          <w:lang w:val="fr-FR"/>
        </w:rPr>
        <w:t>Amérique latine et des</w:t>
      </w:r>
      <w:r w:rsidR="0095048C" w:rsidRPr="002A2EA6">
        <w:rPr>
          <w:lang w:val="fr-FR"/>
        </w:rPr>
        <w:t> </w:t>
      </w:r>
      <w:r w:rsidRPr="002A2EA6">
        <w:rPr>
          <w:lang w:val="fr-FR"/>
        </w:rPr>
        <w:t>Caraïbes</w:t>
      </w:r>
      <w:r w:rsidR="00243F77" w:rsidRPr="002A2EA6">
        <w:rPr>
          <w:lang w:val="fr-FR"/>
        </w:rPr>
        <w:t xml:space="preserve"> et figurant dans les documents de séance présentés sur les codes douaniers et les codes du Système harmonisé, respectivement</w:t>
      </w:r>
      <w:r w:rsidRPr="002A2EA6">
        <w:rPr>
          <w:lang w:val="fr-FR"/>
        </w:rPr>
        <w:t>. Le</w:t>
      </w:r>
      <w:r w:rsidR="00243F77" w:rsidRPr="002A2EA6">
        <w:rPr>
          <w:lang w:val="fr-FR"/>
        </w:rPr>
        <w:t> </w:t>
      </w:r>
      <w:r w:rsidRPr="002A2EA6">
        <w:rPr>
          <w:lang w:val="fr-FR"/>
        </w:rPr>
        <w:t>représentant de l</w:t>
      </w:r>
      <w:r w:rsidR="00CA4DAC">
        <w:rPr>
          <w:lang w:val="fr-FR"/>
        </w:rPr>
        <w:t>’</w:t>
      </w:r>
      <w:r w:rsidRPr="002A2EA6">
        <w:rPr>
          <w:lang w:val="fr-FR"/>
        </w:rPr>
        <w:t>Union européenne a fait observer qu</w:t>
      </w:r>
      <w:r w:rsidR="00CA4DAC">
        <w:rPr>
          <w:lang w:val="fr-FR"/>
        </w:rPr>
        <w:t>’</w:t>
      </w:r>
      <w:r w:rsidRPr="002A2EA6">
        <w:rPr>
          <w:lang w:val="fr-FR"/>
        </w:rPr>
        <w:t xml:space="preserve">il existait des </w:t>
      </w:r>
      <w:r w:rsidR="00966C00" w:rsidRPr="002A2EA6">
        <w:rPr>
          <w:lang w:val="fr-FR"/>
        </w:rPr>
        <w:t xml:space="preserve">points </w:t>
      </w:r>
      <w:r w:rsidRPr="002A2EA6">
        <w:rPr>
          <w:lang w:val="fr-FR"/>
        </w:rPr>
        <w:t>de convergence et de</w:t>
      </w:r>
      <w:r w:rsidR="00243F77" w:rsidRPr="002A2EA6">
        <w:rPr>
          <w:lang w:val="fr-FR"/>
        </w:rPr>
        <w:t> </w:t>
      </w:r>
      <w:r w:rsidRPr="002A2EA6">
        <w:rPr>
          <w:lang w:val="fr-FR"/>
        </w:rPr>
        <w:t xml:space="preserve">divergence entre sa proposition et celle présentée par </w:t>
      </w:r>
      <w:r w:rsidR="00EC19B4">
        <w:rPr>
          <w:lang w:val="fr-FR"/>
        </w:rPr>
        <w:t>l</w:t>
      </w:r>
      <w:r w:rsidRPr="002A2EA6">
        <w:rPr>
          <w:lang w:val="fr-FR"/>
        </w:rPr>
        <w:t>es États d</w:t>
      </w:r>
      <w:r w:rsidR="00CA4DAC">
        <w:rPr>
          <w:lang w:val="fr-FR"/>
        </w:rPr>
        <w:t>’</w:t>
      </w:r>
      <w:r w:rsidRPr="002A2EA6">
        <w:rPr>
          <w:lang w:val="fr-FR"/>
        </w:rPr>
        <w:t xml:space="preserve">Amérique latine et des Caraïbes </w:t>
      </w:r>
      <w:r w:rsidR="00EC19B4">
        <w:rPr>
          <w:lang w:val="fr-FR"/>
        </w:rPr>
        <w:t xml:space="preserve">concernés </w:t>
      </w:r>
      <w:r w:rsidRPr="002A2EA6">
        <w:rPr>
          <w:lang w:val="fr-FR"/>
        </w:rPr>
        <w:t>et</w:t>
      </w:r>
      <w:r w:rsidR="00243F77" w:rsidRPr="002A2EA6">
        <w:rPr>
          <w:lang w:val="fr-FR"/>
        </w:rPr>
        <w:t> </w:t>
      </w:r>
      <w:r w:rsidRPr="002A2EA6">
        <w:rPr>
          <w:lang w:val="fr-FR"/>
        </w:rPr>
        <w:t xml:space="preserve">a </w:t>
      </w:r>
      <w:r w:rsidR="00E91280" w:rsidRPr="002A2EA6">
        <w:rPr>
          <w:lang w:val="fr-FR"/>
        </w:rPr>
        <w:t xml:space="preserve">préconisé de </w:t>
      </w:r>
      <w:r w:rsidRPr="002A2EA6">
        <w:rPr>
          <w:lang w:val="fr-FR"/>
        </w:rPr>
        <w:t>poursuivre les travaux intersessions sur les codes, en collaboration avec le</w:t>
      </w:r>
      <w:r w:rsidR="0095048C" w:rsidRPr="002A2EA6">
        <w:rPr>
          <w:lang w:val="fr-FR"/>
        </w:rPr>
        <w:t> </w:t>
      </w:r>
      <w:r w:rsidRPr="002A2EA6">
        <w:rPr>
          <w:lang w:val="fr-FR"/>
        </w:rPr>
        <w:t>Partenariat mondial sur le mercure du PNUE au titre du domaine de partenariat relatif aux produits contenant du mercure, dans le cadre d</w:t>
      </w:r>
      <w:r w:rsidR="00CA4DAC">
        <w:rPr>
          <w:lang w:val="fr-FR"/>
        </w:rPr>
        <w:t>’</w:t>
      </w:r>
      <w:r w:rsidRPr="002A2EA6">
        <w:rPr>
          <w:lang w:val="fr-FR"/>
        </w:rPr>
        <w:t>un groupe d</w:t>
      </w:r>
      <w:r w:rsidR="00CA4DAC">
        <w:rPr>
          <w:lang w:val="fr-FR"/>
        </w:rPr>
        <w:t>’</w:t>
      </w:r>
      <w:r w:rsidRPr="002A2EA6">
        <w:rPr>
          <w:lang w:val="fr-FR"/>
        </w:rPr>
        <w:t>experts à composition non limitée travaillant par voie électronique.</w:t>
      </w:r>
      <w:r w:rsidR="00E91280" w:rsidRPr="002A2EA6">
        <w:rPr>
          <w:lang w:val="fr-FR"/>
        </w:rPr>
        <w:t xml:space="preserve"> S</w:t>
      </w:r>
      <w:r w:rsidR="00CA4DAC">
        <w:rPr>
          <w:lang w:val="fr-FR"/>
        </w:rPr>
        <w:t>’</w:t>
      </w:r>
      <w:r w:rsidRPr="002A2EA6">
        <w:rPr>
          <w:lang w:val="fr-FR"/>
        </w:rPr>
        <w:t>exprimant au nom des</w:t>
      </w:r>
      <w:r w:rsidR="00E91280" w:rsidRPr="002A2EA6">
        <w:rPr>
          <w:lang w:val="fr-FR"/>
        </w:rPr>
        <w:t>dits</w:t>
      </w:r>
      <w:r w:rsidRPr="002A2EA6">
        <w:rPr>
          <w:lang w:val="fr-FR"/>
        </w:rPr>
        <w:t xml:space="preserve"> États d</w:t>
      </w:r>
      <w:r w:rsidR="00CA4DAC">
        <w:rPr>
          <w:lang w:val="fr-FR"/>
        </w:rPr>
        <w:t>’</w:t>
      </w:r>
      <w:r w:rsidRPr="002A2EA6">
        <w:rPr>
          <w:lang w:val="fr-FR"/>
        </w:rPr>
        <w:t xml:space="preserve">Amérique latine et des Caraïbes, </w:t>
      </w:r>
      <w:r w:rsidR="00E91280" w:rsidRPr="002A2EA6">
        <w:rPr>
          <w:lang w:val="fr-FR"/>
        </w:rPr>
        <w:t>un</w:t>
      </w:r>
      <w:r w:rsidR="00ED3E82">
        <w:rPr>
          <w:lang w:val="fr-FR"/>
        </w:rPr>
        <w:t> </w:t>
      </w:r>
      <w:r w:rsidR="00E91280" w:rsidRPr="002A2EA6">
        <w:rPr>
          <w:lang w:val="fr-FR"/>
        </w:rPr>
        <w:t xml:space="preserve">représentant </w:t>
      </w:r>
      <w:r w:rsidRPr="002A2EA6">
        <w:rPr>
          <w:lang w:val="fr-FR"/>
        </w:rPr>
        <w:t>a expliqué que leur proposition tendait à poursuivre les travaux sur l</w:t>
      </w:r>
      <w:r w:rsidR="00CA4DAC">
        <w:rPr>
          <w:lang w:val="fr-FR"/>
        </w:rPr>
        <w:t>’</w:t>
      </w:r>
      <w:r w:rsidRPr="002A2EA6">
        <w:rPr>
          <w:lang w:val="fr-FR"/>
        </w:rPr>
        <w:t>élaboration d</w:t>
      </w:r>
      <w:r w:rsidR="00CA4DAC">
        <w:rPr>
          <w:lang w:val="fr-FR"/>
        </w:rPr>
        <w:t>’</w:t>
      </w:r>
      <w:r w:rsidRPr="002A2EA6">
        <w:rPr>
          <w:lang w:val="fr-FR"/>
        </w:rPr>
        <w:t>un</w:t>
      </w:r>
      <w:r w:rsidR="0095048C" w:rsidRPr="002A2EA6">
        <w:rPr>
          <w:lang w:val="fr-FR"/>
        </w:rPr>
        <w:t> </w:t>
      </w:r>
      <w:r w:rsidRPr="002A2EA6">
        <w:rPr>
          <w:lang w:val="fr-FR"/>
        </w:rPr>
        <w:t xml:space="preserve">ensemble souple de codes </w:t>
      </w:r>
      <w:r w:rsidR="00B25D7C" w:rsidRPr="002A2EA6">
        <w:rPr>
          <w:lang w:val="fr-FR"/>
        </w:rPr>
        <w:t xml:space="preserve">non contraignants </w:t>
      </w:r>
      <w:r w:rsidRPr="002A2EA6">
        <w:rPr>
          <w:lang w:val="fr-FR"/>
        </w:rPr>
        <w:t>relatifs aux produits figurant dans l</w:t>
      </w:r>
      <w:r w:rsidR="00CA4DAC">
        <w:rPr>
          <w:lang w:val="fr-FR"/>
        </w:rPr>
        <w:t>’</w:t>
      </w:r>
      <w:r w:rsidR="00314010" w:rsidRPr="002A2EA6">
        <w:rPr>
          <w:lang w:val="fr-FR"/>
        </w:rPr>
        <w:t>A</w:t>
      </w:r>
      <w:r w:rsidRPr="002A2EA6">
        <w:rPr>
          <w:lang w:val="fr-FR"/>
        </w:rPr>
        <w:t>nnexe</w:t>
      </w:r>
      <w:r w:rsidR="003F1999" w:rsidRPr="002A2EA6">
        <w:rPr>
          <w:lang w:val="fr-FR"/>
        </w:rPr>
        <w:t> </w:t>
      </w:r>
      <w:r w:rsidRPr="002A2EA6">
        <w:rPr>
          <w:lang w:val="fr-FR"/>
        </w:rPr>
        <w:t xml:space="preserve">A et </w:t>
      </w:r>
      <w:r w:rsidRPr="002A2EA6">
        <w:rPr>
          <w:lang w:val="fr-FR"/>
        </w:rPr>
        <w:lastRenderedPageBreak/>
        <w:t>la</w:t>
      </w:r>
      <w:r w:rsidR="0095048C" w:rsidRPr="002A2EA6">
        <w:rPr>
          <w:lang w:val="fr-FR"/>
        </w:rPr>
        <w:t> </w:t>
      </w:r>
      <w:r w:rsidRPr="002A2EA6">
        <w:rPr>
          <w:lang w:val="fr-FR"/>
        </w:rPr>
        <w:t>compilation d</w:t>
      </w:r>
      <w:r w:rsidR="00CA4DAC">
        <w:rPr>
          <w:lang w:val="fr-FR"/>
        </w:rPr>
        <w:t>’</w:t>
      </w:r>
      <w:r w:rsidRPr="002A2EA6">
        <w:rPr>
          <w:lang w:val="fr-FR"/>
        </w:rPr>
        <w:t>autres outils de surveillance, dans le cadre d</w:t>
      </w:r>
      <w:r w:rsidR="00CA4DAC">
        <w:rPr>
          <w:lang w:val="fr-FR"/>
        </w:rPr>
        <w:t>’</w:t>
      </w:r>
      <w:r w:rsidRPr="002A2EA6">
        <w:rPr>
          <w:lang w:val="fr-FR"/>
        </w:rPr>
        <w:t>un groupe de contact à composition non</w:t>
      </w:r>
      <w:r w:rsidR="00314010" w:rsidRPr="002A2EA6">
        <w:rPr>
          <w:lang w:val="fr-FR"/>
        </w:rPr>
        <w:t> </w:t>
      </w:r>
      <w:r w:rsidRPr="002A2EA6">
        <w:rPr>
          <w:lang w:val="fr-FR"/>
        </w:rPr>
        <w:t xml:space="preserve">limitée travaillant par voie électronique. </w:t>
      </w:r>
    </w:p>
    <w:p w14:paraId="3A9F9347" w14:textId="2A307C6F" w:rsidR="003F0A3F" w:rsidRPr="002A2EA6" w:rsidRDefault="003F0A3F" w:rsidP="0090074E">
      <w:pPr>
        <w:pStyle w:val="Normalnumber"/>
        <w:keepNext/>
        <w:keepLines/>
        <w:numPr>
          <w:ilvl w:val="0"/>
          <w:numId w:val="42"/>
        </w:numPr>
        <w:tabs>
          <w:tab w:val="clear" w:pos="1814"/>
          <w:tab w:val="left" w:pos="1843"/>
          <w:tab w:val="left" w:pos="1985"/>
        </w:tabs>
        <w:ind w:left="1287" w:hanging="28"/>
        <w:rPr>
          <w:lang w:val="fr-FR"/>
        </w:rPr>
      </w:pPr>
      <w:r w:rsidRPr="002A2EA6">
        <w:rPr>
          <w:lang w:val="fr-FR"/>
        </w:rPr>
        <w:t>Les représentants ont accueilli favorablement plusieurs solutions évoquées dans la note du</w:t>
      </w:r>
      <w:r w:rsidR="002771A8" w:rsidRPr="002A2EA6">
        <w:rPr>
          <w:lang w:val="fr-FR"/>
        </w:rPr>
        <w:t> </w:t>
      </w:r>
      <w:r w:rsidRPr="002A2EA6">
        <w:rPr>
          <w:lang w:val="fr-FR"/>
        </w:rPr>
        <w:t>secrétariat. Un représentant, notant que l</w:t>
      </w:r>
      <w:r w:rsidR="00CA4DAC">
        <w:rPr>
          <w:lang w:val="fr-FR"/>
        </w:rPr>
        <w:t>’</w:t>
      </w:r>
      <w:r w:rsidRPr="002A2EA6">
        <w:rPr>
          <w:lang w:val="fr-FR"/>
        </w:rPr>
        <w:t>utilisation de codes douaniers permettait de faire respecter efficacement les restrictions à l</w:t>
      </w:r>
      <w:r w:rsidR="00CA4DAC">
        <w:rPr>
          <w:lang w:val="fr-FR"/>
        </w:rPr>
        <w:t>’</w:t>
      </w:r>
      <w:r w:rsidRPr="002A2EA6">
        <w:rPr>
          <w:lang w:val="fr-FR"/>
        </w:rPr>
        <w:t>importation et à l</w:t>
      </w:r>
      <w:r w:rsidR="00CA4DAC">
        <w:rPr>
          <w:lang w:val="fr-FR"/>
        </w:rPr>
        <w:t>’</w:t>
      </w:r>
      <w:r w:rsidRPr="002A2EA6">
        <w:rPr>
          <w:lang w:val="fr-FR"/>
        </w:rPr>
        <w:t>exportation, a exprimé une préférence pour la</w:t>
      </w:r>
      <w:r w:rsidR="0095048C" w:rsidRPr="002A2EA6">
        <w:rPr>
          <w:lang w:val="fr-FR"/>
        </w:rPr>
        <w:t> </w:t>
      </w:r>
      <w:r w:rsidRPr="002A2EA6">
        <w:rPr>
          <w:lang w:val="fr-FR"/>
        </w:rPr>
        <w:t>première solution, tandis qu</w:t>
      </w:r>
      <w:r w:rsidR="00CA4DAC">
        <w:rPr>
          <w:lang w:val="fr-FR"/>
        </w:rPr>
        <w:t>’</w:t>
      </w:r>
      <w:r w:rsidRPr="002A2EA6">
        <w:rPr>
          <w:lang w:val="fr-FR"/>
        </w:rPr>
        <w:t>un autre, s</w:t>
      </w:r>
      <w:r w:rsidR="00CA4DAC">
        <w:rPr>
          <w:lang w:val="fr-FR"/>
        </w:rPr>
        <w:t>’</w:t>
      </w:r>
      <w:r w:rsidRPr="002A2EA6">
        <w:rPr>
          <w:lang w:val="fr-FR"/>
        </w:rPr>
        <w:t>exprimant au nom d</w:t>
      </w:r>
      <w:r w:rsidR="00CA4DAC">
        <w:rPr>
          <w:lang w:val="fr-FR"/>
        </w:rPr>
        <w:t>’</w:t>
      </w:r>
      <w:r w:rsidRPr="002A2EA6">
        <w:rPr>
          <w:lang w:val="fr-FR"/>
        </w:rPr>
        <w:t>un groupe de pays, a dit préférer la</w:t>
      </w:r>
      <w:r w:rsidR="0095048C" w:rsidRPr="002A2EA6">
        <w:rPr>
          <w:lang w:val="fr-FR"/>
        </w:rPr>
        <w:t> </w:t>
      </w:r>
      <w:r w:rsidRPr="002A2EA6">
        <w:rPr>
          <w:lang w:val="fr-FR"/>
        </w:rPr>
        <w:t>deuxième solution parce qu</w:t>
      </w:r>
      <w:r w:rsidR="00CA4DAC">
        <w:rPr>
          <w:lang w:val="fr-FR"/>
        </w:rPr>
        <w:t>’</w:t>
      </w:r>
      <w:r w:rsidRPr="002A2EA6">
        <w:rPr>
          <w:lang w:val="fr-FR"/>
        </w:rPr>
        <w:t>elle pouvait être mise en œuvre rapidement et s</w:t>
      </w:r>
      <w:r w:rsidR="00CA4DAC">
        <w:rPr>
          <w:lang w:val="fr-FR"/>
        </w:rPr>
        <w:t>’</w:t>
      </w:r>
      <w:r w:rsidRPr="002A2EA6">
        <w:rPr>
          <w:lang w:val="fr-FR"/>
        </w:rPr>
        <w:t xml:space="preserve">appuyait sur les travaux déjà menés par les </w:t>
      </w:r>
      <w:r w:rsidR="00BE7A12" w:rsidRPr="002A2EA6">
        <w:rPr>
          <w:lang w:val="fr-FR"/>
        </w:rPr>
        <w:t>pouvoirs publics</w:t>
      </w:r>
      <w:r w:rsidRPr="002A2EA6">
        <w:rPr>
          <w:lang w:val="fr-FR"/>
        </w:rPr>
        <w:t xml:space="preserve">. </w:t>
      </w:r>
    </w:p>
    <w:p w14:paraId="16E1D3C7" w14:textId="135EC51B"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Certains représentants, dont l</w:t>
      </w:r>
      <w:r w:rsidR="00CA4DAC">
        <w:rPr>
          <w:lang w:val="fr-FR"/>
        </w:rPr>
        <w:t>’</w:t>
      </w:r>
      <w:r w:rsidRPr="002A2EA6">
        <w:rPr>
          <w:lang w:val="fr-FR"/>
        </w:rPr>
        <w:t>un s</w:t>
      </w:r>
      <w:r w:rsidR="00CA4DAC">
        <w:rPr>
          <w:lang w:val="fr-FR"/>
        </w:rPr>
        <w:t>’</w:t>
      </w:r>
      <w:r w:rsidRPr="002A2EA6">
        <w:rPr>
          <w:lang w:val="fr-FR"/>
        </w:rPr>
        <w:t>exprimait au nom d</w:t>
      </w:r>
      <w:r w:rsidR="00CA4DAC">
        <w:rPr>
          <w:lang w:val="fr-FR"/>
        </w:rPr>
        <w:t>’</w:t>
      </w:r>
      <w:r w:rsidRPr="002A2EA6">
        <w:rPr>
          <w:lang w:val="fr-FR"/>
        </w:rPr>
        <w:t>un groupe de pays, ont dit préférer la</w:t>
      </w:r>
      <w:r w:rsidR="00314010" w:rsidRPr="002A2EA6">
        <w:rPr>
          <w:lang w:val="fr-FR"/>
        </w:rPr>
        <w:t> </w:t>
      </w:r>
      <w:r w:rsidRPr="002A2EA6">
        <w:rPr>
          <w:lang w:val="fr-FR"/>
        </w:rPr>
        <w:t xml:space="preserve">troisième solution, </w:t>
      </w:r>
      <w:r w:rsidR="00F53E55" w:rsidRPr="002A2EA6">
        <w:rPr>
          <w:lang w:val="fr-FR"/>
        </w:rPr>
        <w:t xml:space="preserve">estimant </w:t>
      </w:r>
      <w:r w:rsidRPr="002A2EA6">
        <w:rPr>
          <w:lang w:val="fr-FR"/>
        </w:rPr>
        <w:t>que les travaux sur la répartition des codes devaient débuter dès que</w:t>
      </w:r>
      <w:r w:rsidR="00314010" w:rsidRPr="002A2EA6">
        <w:rPr>
          <w:lang w:val="fr-FR"/>
        </w:rPr>
        <w:t> </w:t>
      </w:r>
      <w:r w:rsidRPr="002A2EA6">
        <w:rPr>
          <w:lang w:val="fr-FR"/>
        </w:rPr>
        <w:t xml:space="preserve">possible. </w:t>
      </w:r>
    </w:p>
    <w:p w14:paraId="7086299E" w14:textId="76E65AF4"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Une représentante </w:t>
      </w:r>
      <w:r w:rsidR="00B25D7C" w:rsidRPr="002A2EA6">
        <w:rPr>
          <w:lang w:val="fr-FR"/>
        </w:rPr>
        <w:t>s</w:t>
      </w:r>
      <w:r w:rsidR="00CA4DAC">
        <w:rPr>
          <w:lang w:val="fr-FR"/>
        </w:rPr>
        <w:t>’</w:t>
      </w:r>
      <w:r w:rsidR="00B25D7C" w:rsidRPr="002A2EA6">
        <w:rPr>
          <w:lang w:val="fr-FR"/>
        </w:rPr>
        <w:t xml:space="preserve">est interrogée sur </w:t>
      </w:r>
      <w:r w:rsidRPr="002A2EA6">
        <w:rPr>
          <w:lang w:val="fr-FR"/>
        </w:rPr>
        <w:t>l</w:t>
      </w:r>
      <w:r w:rsidR="00CA4DAC">
        <w:rPr>
          <w:lang w:val="fr-FR"/>
        </w:rPr>
        <w:t>’</w:t>
      </w:r>
      <w:r w:rsidRPr="002A2EA6">
        <w:rPr>
          <w:lang w:val="fr-FR"/>
        </w:rPr>
        <w:t xml:space="preserve">efficacité de codes </w:t>
      </w:r>
      <w:r w:rsidR="0037442F" w:rsidRPr="002A2EA6">
        <w:rPr>
          <w:lang w:val="fr-FR"/>
        </w:rPr>
        <w:t>non contraignants</w:t>
      </w:r>
      <w:r w:rsidRPr="002A2EA6">
        <w:rPr>
          <w:lang w:val="fr-FR"/>
        </w:rPr>
        <w:t>, étant donné que la Convention interdisait l</w:t>
      </w:r>
      <w:r w:rsidR="00CA4DAC">
        <w:rPr>
          <w:lang w:val="fr-FR"/>
        </w:rPr>
        <w:t>’</w:t>
      </w:r>
      <w:r w:rsidRPr="002A2EA6">
        <w:rPr>
          <w:lang w:val="fr-FR"/>
        </w:rPr>
        <w:t xml:space="preserve">exportation de produits figurant dans son </w:t>
      </w:r>
      <w:r w:rsidR="00314010" w:rsidRPr="002A2EA6">
        <w:rPr>
          <w:lang w:val="fr-FR"/>
        </w:rPr>
        <w:t>A</w:t>
      </w:r>
      <w:r w:rsidRPr="002A2EA6">
        <w:rPr>
          <w:lang w:val="fr-FR"/>
        </w:rPr>
        <w:t>nnexe</w:t>
      </w:r>
      <w:r w:rsidR="003F1999" w:rsidRPr="002A2EA6">
        <w:rPr>
          <w:lang w:val="fr-FR"/>
        </w:rPr>
        <w:t> </w:t>
      </w:r>
      <w:r w:rsidRPr="002A2EA6">
        <w:rPr>
          <w:lang w:val="fr-FR"/>
        </w:rPr>
        <w:t>A. Un</w:t>
      </w:r>
      <w:r w:rsidR="0095048C" w:rsidRPr="002A2EA6">
        <w:rPr>
          <w:lang w:val="fr-FR"/>
        </w:rPr>
        <w:t> </w:t>
      </w:r>
      <w:r w:rsidRPr="002A2EA6">
        <w:rPr>
          <w:lang w:val="fr-FR"/>
        </w:rPr>
        <w:t xml:space="preserve">certain nombre de représentants </w:t>
      </w:r>
      <w:r w:rsidR="00BB6858" w:rsidRPr="002A2EA6">
        <w:rPr>
          <w:lang w:val="fr-FR"/>
        </w:rPr>
        <w:t>ont</w:t>
      </w:r>
      <w:r w:rsidRPr="002A2EA6">
        <w:rPr>
          <w:lang w:val="fr-FR"/>
        </w:rPr>
        <w:t xml:space="preserve"> exprimé une préférence pour les solutions conservant une</w:t>
      </w:r>
      <w:r w:rsidR="0095048C" w:rsidRPr="002A2EA6">
        <w:rPr>
          <w:lang w:val="fr-FR"/>
        </w:rPr>
        <w:t> </w:t>
      </w:r>
      <w:r w:rsidRPr="002A2EA6">
        <w:rPr>
          <w:lang w:val="fr-FR"/>
        </w:rPr>
        <w:t>dose de souplesse, telles que des codes douaniers non contraignants à six</w:t>
      </w:r>
      <w:r w:rsidR="003F1999" w:rsidRPr="002A2EA6">
        <w:rPr>
          <w:lang w:val="fr-FR"/>
        </w:rPr>
        <w:t> </w:t>
      </w:r>
      <w:r w:rsidRPr="002A2EA6">
        <w:rPr>
          <w:lang w:val="fr-FR"/>
        </w:rPr>
        <w:t>chiffres, et une</w:t>
      </w:r>
      <w:r w:rsidR="0095048C" w:rsidRPr="002A2EA6">
        <w:rPr>
          <w:lang w:val="fr-FR"/>
        </w:rPr>
        <w:t> </w:t>
      </w:r>
      <w:r w:rsidRPr="002A2EA6">
        <w:rPr>
          <w:lang w:val="fr-FR"/>
        </w:rPr>
        <w:t>représentante, s</w:t>
      </w:r>
      <w:r w:rsidR="00CA4DAC">
        <w:rPr>
          <w:lang w:val="fr-FR"/>
        </w:rPr>
        <w:t>’</w:t>
      </w:r>
      <w:r w:rsidRPr="002A2EA6">
        <w:rPr>
          <w:lang w:val="fr-FR"/>
        </w:rPr>
        <w:t>exprimant au nom d</w:t>
      </w:r>
      <w:r w:rsidR="00CA4DAC">
        <w:rPr>
          <w:lang w:val="fr-FR"/>
        </w:rPr>
        <w:t>’</w:t>
      </w:r>
      <w:r w:rsidRPr="002A2EA6">
        <w:rPr>
          <w:lang w:val="fr-FR"/>
        </w:rPr>
        <w:t xml:space="preserve">un groupe de pays, a </w:t>
      </w:r>
      <w:r w:rsidR="00DC042D" w:rsidRPr="002A2EA6">
        <w:rPr>
          <w:lang w:val="fr-FR"/>
        </w:rPr>
        <w:t xml:space="preserve">appelé </w:t>
      </w:r>
      <w:r w:rsidRPr="002A2EA6">
        <w:rPr>
          <w:lang w:val="fr-FR"/>
        </w:rPr>
        <w:t>l</w:t>
      </w:r>
      <w:r w:rsidR="00CA4DAC">
        <w:rPr>
          <w:lang w:val="fr-FR"/>
        </w:rPr>
        <w:t>’</w:t>
      </w:r>
      <w:r w:rsidRPr="002A2EA6">
        <w:rPr>
          <w:lang w:val="fr-FR"/>
        </w:rPr>
        <w:t>attention des participants sur</w:t>
      </w:r>
      <w:r w:rsidR="0095048C" w:rsidRPr="002A2EA6">
        <w:rPr>
          <w:lang w:val="fr-FR"/>
        </w:rPr>
        <w:t xml:space="preserve"> </w:t>
      </w:r>
      <w:r w:rsidRPr="002A2EA6">
        <w:rPr>
          <w:lang w:val="fr-FR"/>
        </w:rPr>
        <w:t>le document de séance présenté sur le</w:t>
      </w:r>
      <w:r w:rsidR="00ED3E82">
        <w:rPr>
          <w:lang w:val="fr-FR"/>
        </w:rPr>
        <w:t> </w:t>
      </w:r>
      <w:r w:rsidRPr="002A2EA6">
        <w:rPr>
          <w:lang w:val="fr-FR"/>
        </w:rPr>
        <w:t>sujet par sa délégation, lequel rappelait les bonnes pratiques en matière d</w:t>
      </w:r>
      <w:r w:rsidR="00CA4DAC">
        <w:rPr>
          <w:lang w:val="fr-FR"/>
        </w:rPr>
        <w:t>’</w:t>
      </w:r>
      <w:r w:rsidRPr="002A2EA6">
        <w:rPr>
          <w:lang w:val="fr-FR"/>
        </w:rPr>
        <w:t>utilisation des</w:t>
      </w:r>
      <w:r w:rsidR="00314010" w:rsidRPr="002A2EA6">
        <w:rPr>
          <w:lang w:val="fr-FR"/>
        </w:rPr>
        <w:t> </w:t>
      </w:r>
      <w:r w:rsidRPr="002A2EA6">
        <w:rPr>
          <w:lang w:val="fr-FR"/>
        </w:rPr>
        <w:t>codes douaniers à l</w:t>
      </w:r>
      <w:r w:rsidR="00CA4DAC">
        <w:rPr>
          <w:lang w:val="fr-FR"/>
        </w:rPr>
        <w:t>’</w:t>
      </w:r>
      <w:r w:rsidRPr="002A2EA6">
        <w:rPr>
          <w:lang w:val="fr-FR"/>
        </w:rPr>
        <w:t>appui des restrictions à l</w:t>
      </w:r>
      <w:r w:rsidR="00CA4DAC">
        <w:rPr>
          <w:lang w:val="fr-FR"/>
        </w:rPr>
        <w:t>’</w:t>
      </w:r>
      <w:r w:rsidRPr="002A2EA6">
        <w:rPr>
          <w:lang w:val="fr-FR"/>
        </w:rPr>
        <w:t xml:space="preserve">importation. </w:t>
      </w:r>
    </w:p>
    <w:p w14:paraId="65F798AB" w14:textId="6483FCD5"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Certains représentants, dont l</w:t>
      </w:r>
      <w:r w:rsidR="00CA4DAC">
        <w:rPr>
          <w:lang w:val="fr-FR"/>
        </w:rPr>
        <w:t>’</w:t>
      </w:r>
      <w:r w:rsidRPr="002A2EA6">
        <w:rPr>
          <w:lang w:val="fr-FR"/>
        </w:rPr>
        <w:t>un s</w:t>
      </w:r>
      <w:r w:rsidR="00CA4DAC">
        <w:rPr>
          <w:lang w:val="fr-FR"/>
        </w:rPr>
        <w:t>’</w:t>
      </w:r>
      <w:r w:rsidRPr="002A2EA6">
        <w:rPr>
          <w:lang w:val="fr-FR"/>
        </w:rPr>
        <w:t>exprimait au nom d</w:t>
      </w:r>
      <w:r w:rsidR="00CA4DAC">
        <w:rPr>
          <w:lang w:val="fr-FR"/>
        </w:rPr>
        <w:t>’</w:t>
      </w:r>
      <w:r w:rsidRPr="002A2EA6">
        <w:rPr>
          <w:lang w:val="fr-FR"/>
        </w:rPr>
        <w:t>un groupe de pays, ont déclaré que leurs</w:t>
      </w:r>
      <w:r w:rsidR="00314010" w:rsidRPr="002A2EA6">
        <w:rPr>
          <w:lang w:val="fr-FR"/>
        </w:rPr>
        <w:t> </w:t>
      </w:r>
      <w:r w:rsidRPr="002A2EA6">
        <w:rPr>
          <w:lang w:val="fr-FR"/>
        </w:rPr>
        <w:t xml:space="preserve">pays, </w:t>
      </w:r>
      <w:r w:rsidR="00A71152" w:rsidRPr="002A2EA6">
        <w:rPr>
          <w:lang w:val="fr-FR"/>
        </w:rPr>
        <w:t>puisqu</w:t>
      </w:r>
      <w:r w:rsidR="00CA4DAC">
        <w:rPr>
          <w:lang w:val="fr-FR"/>
        </w:rPr>
        <w:t>’</w:t>
      </w:r>
      <w:r w:rsidR="00A71152" w:rsidRPr="002A2EA6">
        <w:rPr>
          <w:lang w:val="fr-FR"/>
        </w:rPr>
        <w:t xml:space="preserve">ils </w:t>
      </w:r>
      <w:r w:rsidRPr="002A2EA6">
        <w:rPr>
          <w:lang w:val="fr-FR"/>
        </w:rPr>
        <w:t>ne fabriqua</w:t>
      </w:r>
      <w:r w:rsidR="00A71152" w:rsidRPr="002A2EA6">
        <w:rPr>
          <w:lang w:val="fr-FR"/>
        </w:rPr>
        <w:t>ie</w:t>
      </w:r>
      <w:r w:rsidRPr="002A2EA6">
        <w:rPr>
          <w:lang w:val="fr-FR"/>
        </w:rPr>
        <w:t>nt pas de produits contenant du mercure et n</w:t>
      </w:r>
      <w:r w:rsidR="00CA4DAC">
        <w:rPr>
          <w:lang w:val="fr-FR"/>
        </w:rPr>
        <w:t>’</w:t>
      </w:r>
      <w:r w:rsidRPr="002A2EA6">
        <w:rPr>
          <w:lang w:val="fr-FR"/>
        </w:rPr>
        <w:t>éta</w:t>
      </w:r>
      <w:r w:rsidR="00A71152" w:rsidRPr="002A2EA6">
        <w:rPr>
          <w:lang w:val="fr-FR"/>
        </w:rPr>
        <w:t>ie</w:t>
      </w:r>
      <w:r w:rsidRPr="002A2EA6">
        <w:rPr>
          <w:lang w:val="fr-FR"/>
        </w:rPr>
        <w:t>nt pas importateurs nets de mercure, appuyaient la poursuite des travaux sur les codes du Système harmonisé. Cependant, au vu de la</w:t>
      </w:r>
      <w:r w:rsidR="00314010" w:rsidRPr="002A2EA6">
        <w:rPr>
          <w:lang w:val="fr-FR"/>
        </w:rPr>
        <w:t> </w:t>
      </w:r>
      <w:r w:rsidRPr="002A2EA6">
        <w:rPr>
          <w:lang w:val="fr-FR"/>
        </w:rPr>
        <w:t>complexité de la question, nombre des participants sont convenus qu</w:t>
      </w:r>
      <w:r w:rsidR="00CA4DAC">
        <w:rPr>
          <w:lang w:val="fr-FR"/>
        </w:rPr>
        <w:t>’</w:t>
      </w:r>
      <w:r w:rsidRPr="002A2EA6">
        <w:rPr>
          <w:lang w:val="fr-FR"/>
        </w:rPr>
        <w:t>il fallait en poursuivre l</w:t>
      </w:r>
      <w:r w:rsidR="00CA4DAC">
        <w:rPr>
          <w:lang w:val="fr-FR"/>
        </w:rPr>
        <w:t>’</w:t>
      </w:r>
      <w:r w:rsidRPr="002A2EA6">
        <w:rPr>
          <w:lang w:val="fr-FR"/>
        </w:rPr>
        <w:t>examen, y compris dans le cadre du groupe de contact sur les questions techniques, en s</w:t>
      </w:r>
      <w:r w:rsidR="00CA4DAC">
        <w:rPr>
          <w:lang w:val="fr-FR"/>
        </w:rPr>
        <w:t>’</w:t>
      </w:r>
      <w:r w:rsidRPr="002A2EA6">
        <w:rPr>
          <w:lang w:val="fr-FR"/>
        </w:rPr>
        <w:t>appuyant sur les propositions présentées par les deux groupes de pays dans leurs</w:t>
      </w:r>
      <w:r w:rsidR="00ED3E82">
        <w:rPr>
          <w:lang w:val="fr-FR"/>
        </w:rPr>
        <w:t> </w:t>
      </w:r>
      <w:r w:rsidRPr="002A2EA6">
        <w:rPr>
          <w:lang w:val="fr-FR"/>
        </w:rPr>
        <w:t>documents de séance respectifs. Un certain nombre de représentants, dont deux s</w:t>
      </w:r>
      <w:r w:rsidR="00CA4DAC">
        <w:rPr>
          <w:lang w:val="fr-FR"/>
        </w:rPr>
        <w:t>’</w:t>
      </w:r>
      <w:r w:rsidRPr="002A2EA6">
        <w:rPr>
          <w:lang w:val="fr-FR"/>
        </w:rPr>
        <w:t>exprimaient au</w:t>
      </w:r>
      <w:r w:rsidR="00ED3E82">
        <w:rPr>
          <w:lang w:val="fr-FR"/>
        </w:rPr>
        <w:t> </w:t>
      </w:r>
      <w:r w:rsidRPr="002A2EA6">
        <w:rPr>
          <w:lang w:val="fr-FR"/>
        </w:rPr>
        <w:t>nom d</w:t>
      </w:r>
      <w:r w:rsidR="00CA4DAC">
        <w:rPr>
          <w:lang w:val="fr-FR"/>
        </w:rPr>
        <w:t>’</w:t>
      </w:r>
      <w:r w:rsidRPr="002A2EA6">
        <w:rPr>
          <w:lang w:val="fr-FR"/>
        </w:rPr>
        <w:t>un groupe de pays, ont demandé à ce que des travaux intersessions soient menés sur la</w:t>
      </w:r>
      <w:r w:rsidR="00ED3E82">
        <w:rPr>
          <w:lang w:val="fr-FR"/>
        </w:rPr>
        <w:t> </w:t>
      </w:r>
      <w:r w:rsidRPr="002A2EA6">
        <w:rPr>
          <w:lang w:val="fr-FR"/>
        </w:rPr>
        <w:t xml:space="preserve">question, </w:t>
      </w:r>
      <w:r w:rsidR="00E3196B" w:rsidRPr="002A2EA6">
        <w:rPr>
          <w:lang w:val="fr-FR"/>
        </w:rPr>
        <w:t xml:space="preserve">dans le cadre </w:t>
      </w:r>
      <w:r w:rsidRPr="002A2EA6">
        <w:rPr>
          <w:lang w:val="fr-FR"/>
        </w:rPr>
        <w:t>éventuellement d</w:t>
      </w:r>
      <w:r w:rsidR="00CA4DAC">
        <w:rPr>
          <w:lang w:val="fr-FR"/>
        </w:rPr>
        <w:t>’</w:t>
      </w:r>
      <w:r w:rsidRPr="002A2EA6">
        <w:rPr>
          <w:lang w:val="fr-FR"/>
        </w:rPr>
        <w:t>une collaboration entre le secrétariat et l</w:t>
      </w:r>
      <w:r w:rsidR="00CA4DAC">
        <w:rPr>
          <w:lang w:val="fr-FR"/>
        </w:rPr>
        <w:t>’</w:t>
      </w:r>
      <w:r w:rsidRPr="002A2EA6">
        <w:rPr>
          <w:lang w:val="fr-FR"/>
        </w:rPr>
        <w:t>OMD.</w:t>
      </w:r>
    </w:p>
    <w:p w14:paraId="3F705618" w14:textId="731944CF"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 xml:space="preserve">issue du débat, la Conférence des Parties </w:t>
      </w:r>
      <w:r w:rsidR="00480C0B" w:rsidRPr="002A2EA6">
        <w:rPr>
          <w:lang w:val="fr-FR"/>
        </w:rPr>
        <w:t xml:space="preserve">a décidé </w:t>
      </w:r>
      <w:r w:rsidRPr="002A2EA6">
        <w:rPr>
          <w:lang w:val="fr-FR"/>
        </w:rPr>
        <w:t xml:space="preserve">de renvoyer la question au groupe de contact sur les questions techniques </w:t>
      </w:r>
      <w:r w:rsidR="000036AF" w:rsidRPr="002A2EA6">
        <w:rPr>
          <w:lang w:val="fr-FR"/>
        </w:rPr>
        <w:t xml:space="preserve">en </w:t>
      </w:r>
      <w:r w:rsidR="00480C0B" w:rsidRPr="002A2EA6">
        <w:rPr>
          <w:lang w:val="fr-FR"/>
        </w:rPr>
        <w:t xml:space="preserve">priant ce dernier </w:t>
      </w:r>
      <w:r w:rsidRPr="002A2EA6">
        <w:rPr>
          <w:lang w:val="fr-FR"/>
        </w:rPr>
        <w:t>de définir un</w:t>
      </w:r>
      <w:r w:rsidR="00480C0B" w:rsidRPr="002A2EA6">
        <w:rPr>
          <w:lang w:val="fr-FR"/>
        </w:rPr>
        <w:t xml:space="preserve">e procédure </w:t>
      </w:r>
      <w:r w:rsidR="001D10B5" w:rsidRPr="002A2EA6">
        <w:rPr>
          <w:lang w:val="fr-FR"/>
        </w:rPr>
        <w:t>organisant la</w:t>
      </w:r>
      <w:r w:rsidR="00ED3E82">
        <w:rPr>
          <w:lang w:val="fr-FR"/>
        </w:rPr>
        <w:t> </w:t>
      </w:r>
      <w:r w:rsidR="00480C0B" w:rsidRPr="002A2EA6">
        <w:rPr>
          <w:lang w:val="fr-FR"/>
        </w:rPr>
        <w:t xml:space="preserve">poursuite des </w:t>
      </w:r>
      <w:r w:rsidRPr="002A2EA6">
        <w:rPr>
          <w:lang w:val="fr-FR"/>
        </w:rPr>
        <w:t>travaux sur les codes douaniers durant l</w:t>
      </w:r>
      <w:r w:rsidR="00CA4DAC">
        <w:rPr>
          <w:lang w:val="fr-FR"/>
        </w:rPr>
        <w:t>’</w:t>
      </w:r>
      <w:r w:rsidRPr="002A2EA6">
        <w:rPr>
          <w:lang w:val="fr-FR"/>
        </w:rPr>
        <w:t>intersession, en tenant compte du débat tenu et</w:t>
      </w:r>
      <w:r w:rsidR="000036AF" w:rsidRPr="002A2EA6">
        <w:rPr>
          <w:lang w:val="fr-FR"/>
        </w:rPr>
        <w:t> </w:t>
      </w:r>
      <w:r w:rsidRPr="002A2EA6">
        <w:rPr>
          <w:lang w:val="fr-FR"/>
        </w:rPr>
        <w:t>des documents de séance présentés.</w:t>
      </w:r>
    </w:p>
    <w:bookmarkEnd w:id="19"/>
    <w:bookmarkEnd w:id="21"/>
    <w:p w14:paraId="7FC38031" w14:textId="70D9D821" w:rsidR="2B6CAE52" w:rsidRPr="002A2EA6" w:rsidRDefault="2B6CAE52"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3F1999" w:rsidRPr="002A2EA6">
        <w:rPr>
          <w:lang w:val="fr-FR"/>
        </w:rPr>
        <w:t> </w:t>
      </w:r>
      <w:r w:rsidRPr="002A2EA6">
        <w:rPr>
          <w:lang w:val="fr-FR"/>
        </w:rPr>
        <w:t>MC-3/3</w:t>
      </w:r>
      <w:r w:rsidR="001A5FAC" w:rsidRPr="002A2EA6">
        <w:rPr>
          <w:lang w:val="fr-FR"/>
        </w:rPr>
        <w:t xml:space="preserve"> (C</w:t>
      </w:r>
      <w:r w:rsidRPr="002A2EA6">
        <w:rPr>
          <w:lang w:val="fr-FR"/>
        </w:rPr>
        <w:t xml:space="preserve">odes </w:t>
      </w:r>
      <w:r w:rsidR="00E544E5" w:rsidRPr="002A2EA6">
        <w:rPr>
          <w:lang w:val="fr-FR"/>
        </w:rPr>
        <w:t>douaniers</w:t>
      </w:r>
      <w:r w:rsidR="001A5FAC" w:rsidRPr="002A2EA6">
        <w:rPr>
          <w:lang w:val="fr-FR"/>
        </w:rPr>
        <w:t>)</w:t>
      </w:r>
      <w:r w:rsidRPr="002A2EA6">
        <w:rPr>
          <w:lang w:val="fr-FR"/>
        </w:rPr>
        <w:t>, telle que présentée par le groupe de contact sur les questions techniques, qui figure dans l</w:t>
      </w:r>
      <w:r w:rsidR="00CA4DAC">
        <w:rPr>
          <w:lang w:val="fr-FR"/>
        </w:rPr>
        <w:t>’</w:t>
      </w:r>
      <w:r w:rsidRPr="002A2EA6">
        <w:rPr>
          <w:lang w:val="fr-FR"/>
        </w:rPr>
        <w:t>annexe du présent rapport.</w:t>
      </w:r>
    </w:p>
    <w:p w14:paraId="1C07B9D1" w14:textId="53BA69A5" w:rsidR="00C7478E" w:rsidRPr="002A2EA6" w:rsidRDefault="00C7478E" w:rsidP="0095048C">
      <w:pPr>
        <w:pStyle w:val="CH2"/>
        <w:rPr>
          <w:lang w:val="fr-FR"/>
        </w:rPr>
      </w:pPr>
      <w:r w:rsidRPr="002A2EA6">
        <w:rPr>
          <w:lang w:val="fr-FR"/>
        </w:rPr>
        <w:tab/>
      </w:r>
      <w:bookmarkStart w:id="22" w:name="_Toc39063337"/>
      <w:r w:rsidRPr="002A2EA6">
        <w:rPr>
          <w:lang w:val="fr-FR"/>
        </w:rPr>
        <w:t>B.</w:t>
      </w:r>
      <w:r w:rsidRPr="002A2EA6">
        <w:rPr>
          <w:lang w:val="fr-FR"/>
        </w:rPr>
        <w:tab/>
        <w:t>Rejets de mercure</w:t>
      </w:r>
      <w:bookmarkEnd w:id="22"/>
    </w:p>
    <w:p w14:paraId="283EF392" w14:textId="08F059BB" w:rsidR="003F0A3F" w:rsidRPr="002A2EA6" w:rsidRDefault="003F0A3F" w:rsidP="00A056A2">
      <w:pPr>
        <w:pStyle w:val="Normalnumber"/>
        <w:numPr>
          <w:ilvl w:val="0"/>
          <w:numId w:val="42"/>
        </w:numPr>
        <w:tabs>
          <w:tab w:val="clear" w:pos="1814"/>
          <w:tab w:val="left" w:pos="1843"/>
          <w:tab w:val="left" w:pos="1985"/>
        </w:tabs>
        <w:ind w:left="1288" w:hanging="28"/>
        <w:rPr>
          <w:lang w:val="fr-FR"/>
        </w:rPr>
      </w:pPr>
      <w:bookmarkStart w:id="23" w:name="_DV_C86"/>
      <w:r w:rsidRPr="002A2EA6">
        <w:rPr>
          <w:lang w:val="fr-FR"/>
        </w:rPr>
        <w:t>Présentant ce point, le représentant du secrétariat a rappelé que l</w:t>
      </w:r>
      <w:r w:rsidR="00CA4DAC">
        <w:rPr>
          <w:lang w:val="fr-FR"/>
        </w:rPr>
        <w:t>’</w:t>
      </w:r>
      <w:r w:rsidRPr="002A2EA6">
        <w:rPr>
          <w:lang w:val="fr-FR"/>
        </w:rPr>
        <w:t>article</w:t>
      </w:r>
      <w:r w:rsidR="003F1999" w:rsidRPr="002A2EA6">
        <w:rPr>
          <w:lang w:val="fr-FR"/>
        </w:rPr>
        <w:t> </w:t>
      </w:r>
      <w:r w:rsidRPr="002A2EA6">
        <w:rPr>
          <w:lang w:val="fr-FR"/>
        </w:rPr>
        <w:t xml:space="preserve">9 de la Convention prévoyait que la Conférence des Partie adopte, dès que possible, des orientations </w:t>
      </w:r>
      <w:r w:rsidR="00B77204" w:rsidRPr="002A2EA6">
        <w:rPr>
          <w:lang w:val="fr-FR"/>
        </w:rPr>
        <w:t xml:space="preserve">sur </w:t>
      </w:r>
      <w:r w:rsidRPr="002A2EA6">
        <w:rPr>
          <w:lang w:val="fr-FR"/>
        </w:rPr>
        <w:t>les</w:t>
      </w:r>
      <w:r w:rsidR="000036AF" w:rsidRPr="002A2EA6">
        <w:rPr>
          <w:lang w:val="fr-FR"/>
        </w:rPr>
        <w:t> </w:t>
      </w:r>
      <w:r w:rsidRPr="002A2EA6">
        <w:rPr>
          <w:lang w:val="fr-FR"/>
        </w:rPr>
        <w:t xml:space="preserve">meilleures techniques disponibles et les meilleures pratiques environnementales </w:t>
      </w:r>
      <w:r w:rsidR="00B77204" w:rsidRPr="002A2EA6">
        <w:rPr>
          <w:lang w:val="fr-FR"/>
        </w:rPr>
        <w:t xml:space="preserve">et sur </w:t>
      </w:r>
      <w:r w:rsidRPr="002A2EA6">
        <w:rPr>
          <w:lang w:val="fr-FR"/>
        </w:rPr>
        <w:t>la méthode à suivre pour établir les inventaires des rejets. Par la décision MC-2/3 adoptée à sa</w:t>
      </w:r>
      <w:r w:rsidR="0095048C" w:rsidRPr="002A2EA6">
        <w:rPr>
          <w:lang w:val="fr-FR"/>
        </w:rPr>
        <w:t> </w:t>
      </w:r>
      <w:r w:rsidRPr="002A2EA6">
        <w:rPr>
          <w:lang w:val="fr-FR"/>
        </w:rPr>
        <w:t>deuxième réunion, la Conférence des Parties a</w:t>
      </w:r>
      <w:r w:rsidR="0017534E" w:rsidRPr="002A2EA6">
        <w:rPr>
          <w:lang w:val="fr-FR"/>
        </w:rPr>
        <w:t>vait</w:t>
      </w:r>
      <w:r w:rsidRPr="002A2EA6">
        <w:rPr>
          <w:lang w:val="fr-FR"/>
        </w:rPr>
        <w:t> créé un groupe d</w:t>
      </w:r>
      <w:r w:rsidR="00CA4DAC">
        <w:rPr>
          <w:lang w:val="fr-FR"/>
        </w:rPr>
        <w:t>’</w:t>
      </w:r>
      <w:r w:rsidRPr="002A2EA6">
        <w:rPr>
          <w:lang w:val="fr-FR"/>
        </w:rPr>
        <w:t>experts techniques chargé d</w:t>
      </w:r>
      <w:r w:rsidR="00CA4DAC">
        <w:rPr>
          <w:lang w:val="fr-FR"/>
        </w:rPr>
        <w:t>’</w:t>
      </w:r>
      <w:r w:rsidRPr="002A2EA6">
        <w:rPr>
          <w:lang w:val="fr-FR"/>
        </w:rPr>
        <w:t>élaborer un projet d</w:t>
      </w:r>
      <w:r w:rsidR="00CA4DAC">
        <w:rPr>
          <w:lang w:val="fr-FR"/>
        </w:rPr>
        <w:t>’</w:t>
      </w:r>
      <w:r w:rsidRPr="002A2EA6">
        <w:rPr>
          <w:lang w:val="fr-FR"/>
        </w:rPr>
        <w:t>orientations sur les</w:t>
      </w:r>
      <w:r w:rsidR="00ED3E82">
        <w:rPr>
          <w:lang w:val="fr-FR"/>
        </w:rPr>
        <w:t> </w:t>
      </w:r>
      <w:r w:rsidRPr="002A2EA6">
        <w:rPr>
          <w:lang w:val="fr-FR"/>
        </w:rPr>
        <w:t>méthodes d</w:t>
      </w:r>
      <w:r w:rsidR="00CA4DAC">
        <w:rPr>
          <w:lang w:val="fr-FR"/>
        </w:rPr>
        <w:t>’</w:t>
      </w:r>
      <w:r w:rsidRPr="002A2EA6">
        <w:rPr>
          <w:lang w:val="fr-FR"/>
        </w:rPr>
        <w:t>établissement d</w:t>
      </w:r>
      <w:r w:rsidR="00CA4DAC">
        <w:rPr>
          <w:lang w:val="fr-FR"/>
        </w:rPr>
        <w:t>’</w:t>
      </w:r>
      <w:r w:rsidRPr="002A2EA6">
        <w:rPr>
          <w:lang w:val="fr-FR"/>
        </w:rPr>
        <w:t>inventaires pour la définition d</w:t>
      </w:r>
      <w:r w:rsidR="00CA4DAC">
        <w:rPr>
          <w:lang w:val="fr-FR"/>
        </w:rPr>
        <w:t>’</w:t>
      </w:r>
      <w:r w:rsidRPr="002A2EA6">
        <w:rPr>
          <w:lang w:val="fr-FR"/>
        </w:rPr>
        <w:t>une liste des catégories de sources ponctuelles potentiellement pertinentes. Conformément au mandat énoncé dans l</w:t>
      </w:r>
      <w:r w:rsidR="00CA4DAC">
        <w:rPr>
          <w:lang w:val="fr-FR"/>
        </w:rPr>
        <w:t>’</w:t>
      </w:r>
      <w:r w:rsidRPr="002A2EA6">
        <w:rPr>
          <w:lang w:val="fr-FR"/>
        </w:rPr>
        <w:t xml:space="preserve">annexe de ladite décision, le groupe devait élaborer un rapport incluant une liste de toute source anthropique ponctuelle notable appartenant aux catégories </w:t>
      </w:r>
      <w:r w:rsidR="00CA22FA">
        <w:rPr>
          <w:lang w:val="fr-FR"/>
        </w:rPr>
        <w:t xml:space="preserve">de rejet </w:t>
      </w:r>
      <w:r w:rsidRPr="002A2EA6">
        <w:rPr>
          <w:lang w:val="fr-FR"/>
        </w:rPr>
        <w:t>non visées dans les</w:t>
      </w:r>
      <w:r w:rsidR="0095048C" w:rsidRPr="002A2EA6">
        <w:rPr>
          <w:lang w:val="fr-FR"/>
        </w:rPr>
        <w:t> </w:t>
      </w:r>
      <w:r w:rsidRPr="002A2EA6">
        <w:rPr>
          <w:lang w:val="fr-FR"/>
        </w:rPr>
        <w:t>dispositions de la Convention, à l</w:t>
      </w:r>
      <w:r w:rsidR="00CA4DAC">
        <w:rPr>
          <w:lang w:val="fr-FR"/>
        </w:rPr>
        <w:t>’</w:t>
      </w:r>
      <w:r w:rsidRPr="002A2EA6">
        <w:rPr>
          <w:lang w:val="fr-FR"/>
        </w:rPr>
        <w:t>exception de l</w:t>
      </w:r>
      <w:r w:rsidR="00CA4DAC">
        <w:rPr>
          <w:lang w:val="fr-FR"/>
        </w:rPr>
        <w:t>’</w:t>
      </w:r>
      <w:r w:rsidRPr="002A2EA6">
        <w:rPr>
          <w:lang w:val="fr-FR"/>
        </w:rPr>
        <w:t>article</w:t>
      </w:r>
      <w:r w:rsidR="003F1999" w:rsidRPr="002A2EA6">
        <w:rPr>
          <w:lang w:val="fr-FR"/>
        </w:rPr>
        <w:t> </w:t>
      </w:r>
      <w:r w:rsidRPr="002A2EA6">
        <w:rPr>
          <w:lang w:val="fr-FR"/>
        </w:rPr>
        <w:t>9, ainsi qu</w:t>
      </w:r>
      <w:r w:rsidR="00CA4DAC">
        <w:rPr>
          <w:lang w:val="fr-FR"/>
        </w:rPr>
        <w:t>’</w:t>
      </w:r>
      <w:r w:rsidRPr="002A2EA6">
        <w:rPr>
          <w:lang w:val="fr-FR"/>
        </w:rPr>
        <w:t>une proposition de feuille de route et de structure pour l</w:t>
      </w:r>
      <w:r w:rsidR="00CA4DAC">
        <w:rPr>
          <w:lang w:val="fr-FR"/>
        </w:rPr>
        <w:t>’</w:t>
      </w:r>
      <w:r w:rsidRPr="002A2EA6">
        <w:rPr>
          <w:lang w:val="fr-FR"/>
        </w:rPr>
        <w:t>élaboration d</w:t>
      </w:r>
      <w:r w:rsidR="00CA4DAC">
        <w:rPr>
          <w:lang w:val="fr-FR"/>
        </w:rPr>
        <w:t>’</w:t>
      </w:r>
      <w:r w:rsidRPr="002A2EA6">
        <w:rPr>
          <w:lang w:val="fr-FR"/>
        </w:rPr>
        <w:t>un projet d</w:t>
      </w:r>
      <w:r w:rsidR="00CA4DAC">
        <w:rPr>
          <w:lang w:val="fr-FR"/>
        </w:rPr>
        <w:t>’</w:t>
      </w:r>
      <w:r w:rsidRPr="002A2EA6">
        <w:rPr>
          <w:lang w:val="fr-FR"/>
        </w:rPr>
        <w:t xml:space="preserve">orientations sur les méthodes </w:t>
      </w:r>
      <w:r w:rsidR="00C13137" w:rsidRPr="002A2EA6">
        <w:rPr>
          <w:lang w:val="fr-FR"/>
        </w:rPr>
        <w:t>d</w:t>
      </w:r>
      <w:r w:rsidR="00CA4DAC">
        <w:rPr>
          <w:lang w:val="fr-FR"/>
        </w:rPr>
        <w:t>’</w:t>
      </w:r>
      <w:r w:rsidRPr="002A2EA6">
        <w:rPr>
          <w:lang w:val="fr-FR"/>
        </w:rPr>
        <w:t>établissement de ses inventaires. En conséquence, la</w:t>
      </w:r>
      <w:r w:rsidR="00163B1C">
        <w:rPr>
          <w:lang w:val="fr-FR"/>
        </w:rPr>
        <w:t> </w:t>
      </w:r>
      <w:r w:rsidRPr="002A2EA6">
        <w:rPr>
          <w:lang w:val="fr-FR"/>
        </w:rPr>
        <w:t>Conférence des</w:t>
      </w:r>
      <w:r w:rsidR="00ED3E82">
        <w:rPr>
          <w:lang w:val="fr-FR"/>
        </w:rPr>
        <w:t> </w:t>
      </w:r>
      <w:r w:rsidRPr="002A2EA6">
        <w:rPr>
          <w:lang w:val="fr-FR"/>
        </w:rPr>
        <w:t>Parties était saisie d</w:t>
      </w:r>
      <w:r w:rsidR="00CA4DAC">
        <w:rPr>
          <w:lang w:val="fr-FR"/>
        </w:rPr>
        <w:t>’</w:t>
      </w:r>
      <w:r w:rsidRPr="002A2EA6">
        <w:rPr>
          <w:lang w:val="fr-FR"/>
        </w:rPr>
        <w:t>une note du secrétariat présentant le rapport du groupe d</w:t>
      </w:r>
      <w:r w:rsidR="00CA4DAC">
        <w:rPr>
          <w:lang w:val="fr-FR"/>
        </w:rPr>
        <w:t>’</w:t>
      </w:r>
      <w:r w:rsidRPr="002A2EA6">
        <w:rPr>
          <w:lang w:val="fr-FR"/>
        </w:rPr>
        <w:t>experts techniques sur les orientations concernant les</w:t>
      </w:r>
      <w:r w:rsidR="000036AF" w:rsidRPr="002A2EA6">
        <w:rPr>
          <w:lang w:val="fr-FR"/>
        </w:rPr>
        <w:t> </w:t>
      </w:r>
      <w:r w:rsidRPr="002A2EA6">
        <w:rPr>
          <w:lang w:val="fr-FR"/>
        </w:rPr>
        <w:t xml:space="preserve">rejets de mercure (UNEP/MC/COP.3/6). </w:t>
      </w:r>
    </w:p>
    <w:p w14:paraId="1212ED20" w14:textId="2DB1968B" w:rsidR="003F0A3F" w:rsidRPr="002A2EA6" w:rsidRDefault="003F0A3F"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plusieurs représentants se sont dits satisfaits du rapport du groupe d</w:t>
      </w:r>
      <w:r w:rsidR="00CA4DAC">
        <w:rPr>
          <w:lang w:val="fr-FR"/>
        </w:rPr>
        <w:t>’</w:t>
      </w:r>
      <w:r w:rsidRPr="002A2EA6">
        <w:rPr>
          <w:lang w:val="fr-FR"/>
        </w:rPr>
        <w:t>experts techniques. Une représentante, s</w:t>
      </w:r>
      <w:r w:rsidR="00CA4DAC">
        <w:rPr>
          <w:lang w:val="fr-FR"/>
        </w:rPr>
        <w:t>’</w:t>
      </w:r>
      <w:r w:rsidRPr="002A2EA6">
        <w:rPr>
          <w:lang w:val="fr-FR"/>
        </w:rPr>
        <w:t>exprimant au nom d</w:t>
      </w:r>
      <w:r w:rsidR="00CA4DAC">
        <w:rPr>
          <w:lang w:val="fr-FR"/>
        </w:rPr>
        <w:t>’</w:t>
      </w:r>
      <w:r w:rsidRPr="002A2EA6">
        <w:rPr>
          <w:lang w:val="fr-FR"/>
        </w:rPr>
        <w:t>un groupe de pays, a déclaré que bien que le rapport constitue une base solide à la poursuite des travaux intersessions sur la</w:t>
      </w:r>
      <w:r w:rsidR="0095048C" w:rsidRPr="002A2EA6">
        <w:rPr>
          <w:lang w:val="fr-FR"/>
        </w:rPr>
        <w:t> </w:t>
      </w:r>
      <w:r w:rsidRPr="002A2EA6">
        <w:rPr>
          <w:lang w:val="fr-FR"/>
        </w:rPr>
        <w:t>question des rejets de mercure, il fallait que la Conférence des Parties</w:t>
      </w:r>
      <w:r w:rsidR="00E14C68" w:rsidRPr="002A2EA6">
        <w:rPr>
          <w:lang w:val="fr-FR"/>
        </w:rPr>
        <w:t>,</w:t>
      </w:r>
      <w:r w:rsidRPr="002A2EA6">
        <w:rPr>
          <w:lang w:val="fr-FR"/>
        </w:rPr>
        <w:t xml:space="preserve"> à </w:t>
      </w:r>
      <w:r w:rsidR="00E14C68" w:rsidRPr="002A2EA6">
        <w:rPr>
          <w:lang w:val="fr-FR"/>
        </w:rPr>
        <w:t xml:space="preserve">la </w:t>
      </w:r>
      <w:r w:rsidRPr="002A2EA6">
        <w:rPr>
          <w:lang w:val="fr-FR"/>
        </w:rPr>
        <w:t>réunion</w:t>
      </w:r>
      <w:r w:rsidR="00E14C68" w:rsidRPr="002A2EA6">
        <w:rPr>
          <w:lang w:val="fr-FR"/>
        </w:rPr>
        <w:t xml:space="preserve"> en cours, </w:t>
      </w:r>
      <w:r w:rsidRPr="002A2EA6">
        <w:rPr>
          <w:lang w:val="fr-FR"/>
        </w:rPr>
        <w:t>fournisse des orientations supplémentaires au groupe d</w:t>
      </w:r>
      <w:r w:rsidR="00CA4DAC">
        <w:rPr>
          <w:lang w:val="fr-FR"/>
        </w:rPr>
        <w:t>’</w:t>
      </w:r>
      <w:r w:rsidRPr="002A2EA6">
        <w:rPr>
          <w:lang w:val="fr-FR"/>
        </w:rPr>
        <w:t>experts quant à la délimitation de la portée de l</w:t>
      </w:r>
      <w:r w:rsidR="00CA4DAC">
        <w:rPr>
          <w:lang w:val="fr-FR"/>
        </w:rPr>
        <w:t>’</w:t>
      </w:r>
      <w:r w:rsidRPr="002A2EA6">
        <w:rPr>
          <w:lang w:val="fr-FR"/>
        </w:rPr>
        <w:t>article</w:t>
      </w:r>
      <w:r w:rsidR="003F1999" w:rsidRPr="002A2EA6">
        <w:rPr>
          <w:lang w:val="fr-FR"/>
        </w:rPr>
        <w:t> </w:t>
      </w:r>
      <w:r w:rsidRPr="002A2EA6">
        <w:rPr>
          <w:lang w:val="fr-FR"/>
        </w:rPr>
        <w:t>9 sur les rejets, notamment concernant son lien avec l</w:t>
      </w:r>
      <w:r w:rsidR="00CA4DAC">
        <w:rPr>
          <w:lang w:val="fr-FR"/>
        </w:rPr>
        <w:t>’</w:t>
      </w:r>
      <w:r w:rsidRPr="002A2EA6">
        <w:rPr>
          <w:lang w:val="fr-FR"/>
        </w:rPr>
        <w:t>article</w:t>
      </w:r>
      <w:r w:rsidR="009E425C" w:rsidRPr="002A2EA6">
        <w:rPr>
          <w:lang w:val="fr-FR"/>
        </w:rPr>
        <w:t> </w:t>
      </w:r>
      <w:r w:rsidRPr="002A2EA6">
        <w:rPr>
          <w:lang w:val="fr-FR"/>
        </w:rPr>
        <w:t>11 sur les déchets de mercure, par exemple en ce qui concerne la réglementation des eaux usées. D</w:t>
      </w:r>
      <w:r w:rsidR="00CA4DAC">
        <w:rPr>
          <w:lang w:val="fr-FR"/>
        </w:rPr>
        <w:t>’</w:t>
      </w:r>
      <w:r w:rsidRPr="002A2EA6">
        <w:rPr>
          <w:lang w:val="fr-FR"/>
        </w:rPr>
        <w:t>autres représentants, dont l</w:t>
      </w:r>
      <w:r w:rsidR="00CA4DAC">
        <w:rPr>
          <w:lang w:val="fr-FR"/>
        </w:rPr>
        <w:t>’</w:t>
      </w:r>
      <w:r w:rsidRPr="002A2EA6">
        <w:rPr>
          <w:lang w:val="fr-FR"/>
        </w:rPr>
        <w:t>un</w:t>
      </w:r>
      <w:r w:rsidR="0095048C" w:rsidRPr="002A2EA6">
        <w:rPr>
          <w:lang w:val="fr-FR"/>
        </w:rPr>
        <w:t> </w:t>
      </w:r>
      <w:r w:rsidRPr="002A2EA6">
        <w:rPr>
          <w:lang w:val="fr-FR"/>
        </w:rPr>
        <w:t>s</w:t>
      </w:r>
      <w:r w:rsidR="00CA4DAC">
        <w:rPr>
          <w:lang w:val="fr-FR"/>
        </w:rPr>
        <w:t>’</w:t>
      </w:r>
      <w:r w:rsidRPr="002A2EA6">
        <w:rPr>
          <w:lang w:val="fr-FR"/>
        </w:rPr>
        <w:t>exprimait au nom d</w:t>
      </w:r>
      <w:r w:rsidR="00CA4DAC">
        <w:rPr>
          <w:lang w:val="fr-FR"/>
        </w:rPr>
        <w:t>’</w:t>
      </w:r>
      <w:r w:rsidRPr="002A2EA6">
        <w:rPr>
          <w:lang w:val="fr-FR"/>
        </w:rPr>
        <w:t>un groupe de pays, se sont dits préoccupés par les rejets de mercure découlant de l</w:t>
      </w:r>
      <w:r w:rsidR="00CA4DAC">
        <w:rPr>
          <w:lang w:val="fr-FR"/>
        </w:rPr>
        <w:t>’</w:t>
      </w:r>
      <w:r w:rsidRPr="002A2EA6">
        <w:rPr>
          <w:lang w:val="fr-FR"/>
        </w:rPr>
        <w:t>élimination des eaux usées municipales, comme indiqué dans l</w:t>
      </w:r>
      <w:r w:rsidR="00CA4DAC">
        <w:rPr>
          <w:lang w:val="fr-FR"/>
        </w:rPr>
        <w:t>’</w:t>
      </w:r>
      <w:r w:rsidRPr="002A2EA6">
        <w:rPr>
          <w:i/>
          <w:iCs/>
          <w:lang w:val="fr-FR"/>
        </w:rPr>
        <w:t>Évaluation mondiale du mercure 2018.</w:t>
      </w:r>
    </w:p>
    <w:p w14:paraId="73665F03" w14:textId="1789358D" w:rsidR="005652C0" w:rsidRPr="002A2EA6" w:rsidRDefault="005652C0" w:rsidP="0090074E">
      <w:pPr>
        <w:pStyle w:val="Normalnumber"/>
        <w:keepNext/>
        <w:keepLines/>
        <w:numPr>
          <w:ilvl w:val="0"/>
          <w:numId w:val="42"/>
        </w:numPr>
        <w:tabs>
          <w:tab w:val="clear" w:pos="1814"/>
          <w:tab w:val="left" w:pos="1843"/>
          <w:tab w:val="left" w:pos="1985"/>
        </w:tabs>
        <w:ind w:left="1287" w:hanging="28"/>
        <w:rPr>
          <w:lang w:val="fr-FR"/>
        </w:rPr>
      </w:pPr>
      <w:bookmarkStart w:id="24" w:name="_DV_C123"/>
      <w:bookmarkEnd w:id="23"/>
      <w:r w:rsidRPr="002A2EA6">
        <w:rPr>
          <w:lang w:val="fr-FR"/>
        </w:rPr>
        <w:lastRenderedPageBreak/>
        <w:t>Plusieurs représentants, dont un s</w:t>
      </w:r>
      <w:r w:rsidR="00CA4DAC">
        <w:rPr>
          <w:lang w:val="fr-FR"/>
        </w:rPr>
        <w:t>’</w:t>
      </w:r>
      <w:r w:rsidRPr="002A2EA6">
        <w:rPr>
          <w:lang w:val="fr-FR"/>
        </w:rPr>
        <w:t>exprimant au nom d</w:t>
      </w:r>
      <w:r w:rsidR="00CA4DAC">
        <w:rPr>
          <w:lang w:val="fr-FR"/>
        </w:rPr>
        <w:t>’</w:t>
      </w:r>
      <w:r w:rsidRPr="002A2EA6">
        <w:rPr>
          <w:lang w:val="fr-FR"/>
        </w:rPr>
        <w:t xml:space="preserve">un groupe de pays, ont </w:t>
      </w:r>
      <w:r w:rsidR="00B91BF0" w:rsidRPr="002A2EA6">
        <w:rPr>
          <w:lang w:val="fr-FR"/>
        </w:rPr>
        <w:t>abondé dans le</w:t>
      </w:r>
      <w:r w:rsidR="0070208A" w:rsidRPr="002A2EA6">
        <w:rPr>
          <w:lang w:val="fr-FR"/>
        </w:rPr>
        <w:t> </w:t>
      </w:r>
      <w:r w:rsidR="00B91BF0" w:rsidRPr="002A2EA6">
        <w:rPr>
          <w:lang w:val="fr-FR"/>
        </w:rPr>
        <w:t xml:space="preserve">sens de la poursuite des travaux du </w:t>
      </w:r>
      <w:r w:rsidRPr="002A2EA6">
        <w:rPr>
          <w:lang w:val="fr-FR"/>
        </w:rPr>
        <w:t>groupe d</w:t>
      </w:r>
      <w:r w:rsidR="00CA4DAC">
        <w:rPr>
          <w:lang w:val="fr-FR"/>
        </w:rPr>
        <w:t>’</w:t>
      </w:r>
      <w:r w:rsidRPr="002A2EA6">
        <w:rPr>
          <w:lang w:val="fr-FR"/>
        </w:rPr>
        <w:t>experts techniques pendant l</w:t>
      </w:r>
      <w:r w:rsidR="00CA4DAC">
        <w:rPr>
          <w:lang w:val="fr-FR"/>
        </w:rPr>
        <w:t>’</w:t>
      </w:r>
      <w:r w:rsidRPr="002A2EA6">
        <w:rPr>
          <w:lang w:val="fr-FR"/>
        </w:rPr>
        <w:t>intersession, notamment dans des domaines tels que la définition des termes clefs, l</w:t>
      </w:r>
      <w:r w:rsidR="00CA4DAC">
        <w:rPr>
          <w:lang w:val="fr-FR"/>
        </w:rPr>
        <w:t>’</w:t>
      </w:r>
      <w:r w:rsidRPr="002A2EA6">
        <w:rPr>
          <w:lang w:val="fr-FR"/>
        </w:rPr>
        <w:t xml:space="preserve">inscription des catégories de sources potentiellement pertinentes et la feuille de route </w:t>
      </w:r>
      <w:r w:rsidR="00630CB3" w:rsidRPr="002A2EA6">
        <w:rPr>
          <w:lang w:val="fr-FR"/>
        </w:rPr>
        <w:t xml:space="preserve">organisant </w:t>
      </w:r>
      <w:r w:rsidRPr="002A2EA6">
        <w:rPr>
          <w:lang w:val="fr-FR"/>
        </w:rPr>
        <w:t>la mise au point d</w:t>
      </w:r>
      <w:r w:rsidR="00CA4DAC">
        <w:rPr>
          <w:lang w:val="fr-FR"/>
        </w:rPr>
        <w:t>’</w:t>
      </w:r>
      <w:r w:rsidRPr="002A2EA6">
        <w:rPr>
          <w:lang w:val="fr-FR"/>
        </w:rPr>
        <w:t>orientations sur l</w:t>
      </w:r>
      <w:r w:rsidR="00CA4DAC">
        <w:rPr>
          <w:lang w:val="fr-FR"/>
        </w:rPr>
        <w:t>’</w:t>
      </w:r>
      <w:r w:rsidRPr="002A2EA6">
        <w:rPr>
          <w:lang w:val="fr-FR"/>
        </w:rPr>
        <w:t xml:space="preserve">établissement des inventaires, en se fondant sur les outils disponibles. Certains représentants ont déclaré que le groupe devrait tenir au </w:t>
      </w:r>
      <w:r w:rsidR="007A3AE8" w:rsidRPr="002A2EA6">
        <w:rPr>
          <w:lang w:val="fr-FR"/>
        </w:rPr>
        <w:t xml:space="preserve">moins </w:t>
      </w:r>
      <w:r w:rsidRPr="002A2EA6">
        <w:rPr>
          <w:lang w:val="fr-FR"/>
        </w:rPr>
        <w:t xml:space="preserve">une réunion en </w:t>
      </w:r>
      <w:r w:rsidR="007A3AE8" w:rsidRPr="002A2EA6">
        <w:rPr>
          <w:lang w:val="fr-FR"/>
        </w:rPr>
        <w:t>présentiel</w:t>
      </w:r>
      <w:r w:rsidRPr="002A2EA6">
        <w:rPr>
          <w:lang w:val="fr-FR"/>
        </w:rPr>
        <w:t xml:space="preserve"> compte tenu de la</w:t>
      </w:r>
      <w:r w:rsidR="000036AF" w:rsidRPr="002A2EA6">
        <w:rPr>
          <w:lang w:val="fr-FR"/>
        </w:rPr>
        <w:t> </w:t>
      </w:r>
      <w:r w:rsidRPr="002A2EA6">
        <w:rPr>
          <w:lang w:val="fr-FR"/>
        </w:rPr>
        <w:t>complexité des questions en cours d</w:t>
      </w:r>
      <w:r w:rsidR="00CA4DAC">
        <w:rPr>
          <w:lang w:val="fr-FR"/>
        </w:rPr>
        <w:t>’</w:t>
      </w:r>
      <w:r w:rsidRPr="002A2EA6">
        <w:rPr>
          <w:lang w:val="fr-FR"/>
        </w:rPr>
        <w:t>examen et de la prolongation à deux ans de la période intersessions entre la</w:t>
      </w:r>
      <w:r w:rsidR="0070208A" w:rsidRPr="002A2EA6">
        <w:rPr>
          <w:lang w:val="fr-FR"/>
        </w:rPr>
        <w:t> </w:t>
      </w:r>
      <w:r w:rsidRPr="002A2EA6">
        <w:rPr>
          <w:lang w:val="fr-FR"/>
        </w:rPr>
        <w:t>troisième et la quatrième réunion de la Conférence des Parties. Un représentant a</w:t>
      </w:r>
      <w:r w:rsidR="000036AF" w:rsidRPr="002A2EA6">
        <w:rPr>
          <w:lang w:val="fr-FR"/>
        </w:rPr>
        <w:t> </w:t>
      </w:r>
      <w:r w:rsidRPr="002A2EA6">
        <w:rPr>
          <w:lang w:val="fr-FR"/>
        </w:rPr>
        <w:t>déclaré que l</w:t>
      </w:r>
      <w:r w:rsidR="00CA4DAC">
        <w:rPr>
          <w:lang w:val="fr-FR"/>
        </w:rPr>
        <w:t>’</w:t>
      </w:r>
      <w:r w:rsidRPr="002A2EA6">
        <w:rPr>
          <w:lang w:val="fr-FR"/>
        </w:rPr>
        <w:t>interprétation de l</w:t>
      </w:r>
      <w:r w:rsidR="00CA4DAC">
        <w:rPr>
          <w:lang w:val="fr-FR"/>
        </w:rPr>
        <w:t>’</w:t>
      </w:r>
      <w:r w:rsidRPr="002A2EA6">
        <w:rPr>
          <w:lang w:val="fr-FR"/>
        </w:rPr>
        <w:t>article</w:t>
      </w:r>
      <w:r w:rsidR="003F1999" w:rsidRPr="002A2EA6">
        <w:rPr>
          <w:lang w:val="fr-FR"/>
        </w:rPr>
        <w:t> </w:t>
      </w:r>
      <w:r w:rsidRPr="002A2EA6">
        <w:rPr>
          <w:lang w:val="fr-FR"/>
        </w:rPr>
        <w:t xml:space="preserve">9 devait être précisée à la réunion </w:t>
      </w:r>
      <w:r w:rsidR="00905BD9" w:rsidRPr="002A2EA6">
        <w:rPr>
          <w:lang w:val="fr-FR"/>
        </w:rPr>
        <w:t xml:space="preserve">en cours </w:t>
      </w:r>
      <w:r w:rsidRPr="002A2EA6">
        <w:rPr>
          <w:lang w:val="fr-FR"/>
        </w:rPr>
        <w:t>afin que le groupe d</w:t>
      </w:r>
      <w:r w:rsidR="00CA4DAC">
        <w:rPr>
          <w:lang w:val="fr-FR"/>
        </w:rPr>
        <w:t>’</w:t>
      </w:r>
      <w:r w:rsidRPr="002A2EA6">
        <w:rPr>
          <w:lang w:val="fr-FR"/>
        </w:rPr>
        <w:t>experts puisse se concentrer sur les travaux techniques et l</w:t>
      </w:r>
      <w:r w:rsidR="00CA4DAC">
        <w:rPr>
          <w:lang w:val="fr-FR"/>
        </w:rPr>
        <w:t>’</w:t>
      </w:r>
      <w:r w:rsidRPr="002A2EA6">
        <w:rPr>
          <w:lang w:val="fr-FR"/>
        </w:rPr>
        <w:t xml:space="preserve">élaboration des orientations. </w:t>
      </w:r>
    </w:p>
    <w:p w14:paraId="3957E5F6" w14:textId="7BFBB388"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Une représentante a souscrit à la proposition émise dans le rapport tendant à ce que la feuille de</w:t>
      </w:r>
      <w:r w:rsidR="00505CFF" w:rsidRPr="002A2EA6">
        <w:rPr>
          <w:lang w:val="fr-FR"/>
        </w:rPr>
        <w:t> </w:t>
      </w:r>
      <w:r w:rsidRPr="002A2EA6">
        <w:rPr>
          <w:lang w:val="fr-FR"/>
        </w:rPr>
        <w:t>route planifie notamment l</w:t>
      </w:r>
      <w:r w:rsidR="00CA4DAC">
        <w:rPr>
          <w:lang w:val="fr-FR"/>
        </w:rPr>
        <w:t>’</w:t>
      </w:r>
      <w:r w:rsidRPr="002A2EA6">
        <w:rPr>
          <w:lang w:val="fr-FR"/>
        </w:rPr>
        <w:t>élaboration du projet d</w:t>
      </w:r>
      <w:r w:rsidR="00CA4DAC">
        <w:rPr>
          <w:lang w:val="fr-FR"/>
        </w:rPr>
        <w:t>’</w:t>
      </w:r>
      <w:r w:rsidRPr="002A2EA6">
        <w:rPr>
          <w:lang w:val="fr-FR"/>
        </w:rPr>
        <w:t>orientations sur les meilleures techniques disponibles et les meilleures pratiques environnementales pour les rejets, qui sera</w:t>
      </w:r>
      <w:r w:rsidR="00671492" w:rsidRPr="002A2EA6">
        <w:rPr>
          <w:lang w:val="fr-FR"/>
        </w:rPr>
        <w:t>it</w:t>
      </w:r>
      <w:r w:rsidRPr="002A2EA6">
        <w:rPr>
          <w:lang w:val="fr-FR"/>
        </w:rPr>
        <w:t xml:space="preserve"> examiné à la</w:t>
      </w:r>
      <w:r w:rsidR="0095048C" w:rsidRPr="002A2EA6">
        <w:rPr>
          <w:lang w:val="fr-FR"/>
        </w:rPr>
        <w:t> </w:t>
      </w:r>
      <w:r w:rsidRPr="002A2EA6">
        <w:rPr>
          <w:lang w:val="fr-FR"/>
        </w:rPr>
        <w:t>quatrième</w:t>
      </w:r>
      <w:r w:rsidR="00505CFF" w:rsidRPr="002A2EA6">
        <w:rPr>
          <w:lang w:val="fr-FR"/>
        </w:rPr>
        <w:t> </w:t>
      </w:r>
      <w:r w:rsidRPr="002A2EA6">
        <w:rPr>
          <w:lang w:val="fr-FR"/>
        </w:rPr>
        <w:t>réunion de la Conférence des Parties. Une autre représentante a déclaré qu</w:t>
      </w:r>
      <w:r w:rsidR="00CA4DAC">
        <w:rPr>
          <w:lang w:val="fr-FR"/>
        </w:rPr>
        <w:t>’</w:t>
      </w:r>
      <w:r w:rsidRPr="002A2EA6">
        <w:rPr>
          <w:lang w:val="fr-FR"/>
        </w:rPr>
        <w:t xml:space="preserve">avant de commencer à travailler sur cette question, il faudrait parvenir à un accord sur la méthode </w:t>
      </w:r>
      <w:r w:rsidR="00652AD7" w:rsidRPr="002A2EA6">
        <w:rPr>
          <w:lang w:val="fr-FR"/>
        </w:rPr>
        <w:t>d</w:t>
      </w:r>
      <w:r w:rsidR="00CA4DAC">
        <w:rPr>
          <w:lang w:val="fr-FR"/>
        </w:rPr>
        <w:t>’</w:t>
      </w:r>
      <w:r w:rsidR="00652AD7" w:rsidRPr="002A2EA6">
        <w:rPr>
          <w:lang w:val="fr-FR"/>
        </w:rPr>
        <w:t xml:space="preserve">élaboration </w:t>
      </w:r>
      <w:r w:rsidRPr="002A2EA6">
        <w:rPr>
          <w:lang w:val="fr-FR"/>
        </w:rPr>
        <w:t xml:space="preserve">des inventaires des rejets. </w:t>
      </w:r>
    </w:p>
    <w:p w14:paraId="7C1DD792" w14:textId="14181238"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Une représentante d</w:t>
      </w:r>
      <w:r w:rsidR="00CA4DAC">
        <w:rPr>
          <w:lang w:val="fr-FR"/>
        </w:rPr>
        <w:t>’</w:t>
      </w:r>
      <w:r w:rsidRPr="002A2EA6">
        <w:rPr>
          <w:lang w:val="fr-FR"/>
        </w:rPr>
        <w:t>une organisation non gouvernementale a confirmé qu</w:t>
      </w:r>
      <w:r w:rsidR="00CA4DAC">
        <w:rPr>
          <w:lang w:val="fr-FR"/>
        </w:rPr>
        <w:t>’</w:t>
      </w:r>
      <w:r w:rsidRPr="002A2EA6">
        <w:rPr>
          <w:lang w:val="fr-FR"/>
        </w:rPr>
        <w:t xml:space="preserve">il </w:t>
      </w:r>
      <w:r w:rsidR="00E9332A" w:rsidRPr="002A2EA6">
        <w:rPr>
          <w:lang w:val="fr-FR"/>
        </w:rPr>
        <w:t xml:space="preserve">fallait </w:t>
      </w:r>
      <w:r w:rsidRPr="002A2EA6">
        <w:rPr>
          <w:lang w:val="fr-FR"/>
        </w:rPr>
        <w:t>poursuivre les travaux dans des domaines tels que l</w:t>
      </w:r>
      <w:r w:rsidR="00CA4DAC">
        <w:rPr>
          <w:lang w:val="fr-FR"/>
        </w:rPr>
        <w:t>’</w:t>
      </w:r>
      <w:r w:rsidRPr="002A2EA6">
        <w:rPr>
          <w:lang w:val="fr-FR"/>
        </w:rPr>
        <w:t>établissement d</w:t>
      </w:r>
      <w:r w:rsidR="00CA4DAC">
        <w:rPr>
          <w:lang w:val="fr-FR"/>
        </w:rPr>
        <w:t>’</w:t>
      </w:r>
      <w:r w:rsidRPr="002A2EA6">
        <w:rPr>
          <w:lang w:val="fr-FR"/>
        </w:rPr>
        <w:t>inventaires, l</w:t>
      </w:r>
      <w:r w:rsidR="00CA4DAC">
        <w:rPr>
          <w:lang w:val="fr-FR"/>
        </w:rPr>
        <w:t>’</w:t>
      </w:r>
      <w:r w:rsidRPr="002A2EA6">
        <w:rPr>
          <w:lang w:val="fr-FR"/>
        </w:rPr>
        <w:t>élaboration d</w:t>
      </w:r>
      <w:r w:rsidR="00CA4DAC">
        <w:rPr>
          <w:lang w:val="fr-FR"/>
        </w:rPr>
        <w:t>’</w:t>
      </w:r>
      <w:r w:rsidRPr="002A2EA6">
        <w:rPr>
          <w:lang w:val="fr-FR"/>
        </w:rPr>
        <w:t>un</w:t>
      </w:r>
      <w:r w:rsidR="0095048C" w:rsidRPr="002A2EA6">
        <w:rPr>
          <w:lang w:val="fr-FR"/>
        </w:rPr>
        <w:t> </w:t>
      </w:r>
      <w:r w:rsidRPr="002A2EA6">
        <w:rPr>
          <w:lang w:val="fr-FR"/>
        </w:rPr>
        <w:t>projet d</w:t>
      </w:r>
      <w:r w:rsidR="00CA4DAC">
        <w:rPr>
          <w:lang w:val="fr-FR"/>
        </w:rPr>
        <w:t>’</w:t>
      </w:r>
      <w:r w:rsidRPr="002A2EA6">
        <w:rPr>
          <w:lang w:val="fr-FR"/>
        </w:rPr>
        <w:t xml:space="preserve">orientations sur les meilleures techniques disponibles et les meilleures pratiques environnementales pour les rejets, et </w:t>
      </w:r>
      <w:r w:rsidR="00E9332A" w:rsidRPr="002A2EA6">
        <w:rPr>
          <w:lang w:val="fr-FR"/>
        </w:rPr>
        <w:t xml:space="preserve">le traitement des </w:t>
      </w:r>
      <w:r w:rsidRPr="002A2EA6">
        <w:rPr>
          <w:lang w:val="fr-FR"/>
        </w:rPr>
        <w:t>eaux usées.</w:t>
      </w:r>
    </w:p>
    <w:p w14:paraId="1FE3E7A3" w14:textId="3AE6FF0F"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issue du débat, la Conférence des Parties a décidé de renvoyer la question au groupe de contact sur les questions techniques</w:t>
      </w:r>
      <w:r w:rsidR="000036AF" w:rsidRPr="002A2EA6">
        <w:rPr>
          <w:lang w:val="fr-FR"/>
        </w:rPr>
        <w:t xml:space="preserve"> </w:t>
      </w:r>
      <w:r w:rsidR="008B4C82" w:rsidRPr="002A2EA6">
        <w:rPr>
          <w:lang w:val="fr-FR"/>
        </w:rPr>
        <w:t>en</w:t>
      </w:r>
      <w:r w:rsidRPr="002A2EA6">
        <w:rPr>
          <w:lang w:val="fr-FR"/>
        </w:rPr>
        <w:t xml:space="preserve"> </w:t>
      </w:r>
      <w:r w:rsidR="00B61417" w:rsidRPr="002A2EA6">
        <w:rPr>
          <w:lang w:val="fr-FR"/>
        </w:rPr>
        <w:t>le priant d</w:t>
      </w:r>
      <w:r w:rsidR="00CA4DAC">
        <w:rPr>
          <w:lang w:val="fr-FR"/>
        </w:rPr>
        <w:t>’</w:t>
      </w:r>
      <w:r w:rsidR="00B61417" w:rsidRPr="002A2EA6">
        <w:rPr>
          <w:lang w:val="fr-FR"/>
        </w:rPr>
        <w:t xml:space="preserve">éclaircir </w:t>
      </w:r>
      <w:r w:rsidRPr="002A2EA6">
        <w:rPr>
          <w:lang w:val="fr-FR"/>
        </w:rPr>
        <w:t>les points liés aux rejets de mercure visés aux paragraphes</w:t>
      </w:r>
      <w:r w:rsidR="003F1999" w:rsidRPr="002A2EA6">
        <w:rPr>
          <w:lang w:val="fr-FR"/>
        </w:rPr>
        <w:t> </w:t>
      </w:r>
      <w:r w:rsidRPr="002A2EA6">
        <w:rPr>
          <w:lang w:val="fr-FR"/>
        </w:rPr>
        <w:t>8,</w:t>
      </w:r>
      <w:r w:rsidR="003F1999" w:rsidRPr="002A2EA6">
        <w:rPr>
          <w:lang w:val="fr-FR"/>
        </w:rPr>
        <w:t> </w:t>
      </w:r>
      <w:r w:rsidRPr="002A2EA6">
        <w:rPr>
          <w:lang w:val="fr-FR"/>
        </w:rPr>
        <w:t>16,</w:t>
      </w:r>
      <w:r w:rsidR="003F1999" w:rsidRPr="002A2EA6">
        <w:rPr>
          <w:lang w:val="fr-FR"/>
        </w:rPr>
        <w:t> </w:t>
      </w:r>
      <w:r w:rsidRPr="002A2EA6">
        <w:rPr>
          <w:lang w:val="fr-FR"/>
        </w:rPr>
        <w:t>18</w:t>
      </w:r>
      <w:r w:rsidR="009E425C" w:rsidRPr="002A2EA6">
        <w:rPr>
          <w:lang w:val="fr-FR"/>
        </w:rPr>
        <w:t> </w:t>
      </w:r>
      <w:r w:rsidRPr="002A2EA6">
        <w:rPr>
          <w:lang w:val="fr-FR"/>
        </w:rPr>
        <w:t>et</w:t>
      </w:r>
      <w:r w:rsidR="009E425C" w:rsidRPr="002A2EA6">
        <w:rPr>
          <w:lang w:val="fr-FR"/>
        </w:rPr>
        <w:t> </w:t>
      </w:r>
      <w:r w:rsidRPr="002A2EA6">
        <w:rPr>
          <w:lang w:val="fr-FR"/>
        </w:rPr>
        <w:t>22 de l</w:t>
      </w:r>
      <w:r w:rsidR="00CA4DAC">
        <w:rPr>
          <w:lang w:val="fr-FR"/>
        </w:rPr>
        <w:t>’</w:t>
      </w:r>
      <w:r w:rsidRPr="002A2EA6">
        <w:rPr>
          <w:lang w:val="fr-FR"/>
        </w:rPr>
        <w:t>annexe</w:t>
      </w:r>
      <w:r w:rsidR="003F1999" w:rsidRPr="002A2EA6">
        <w:rPr>
          <w:lang w:val="fr-FR"/>
        </w:rPr>
        <w:t> </w:t>
      </w:r>
      <w:r w:rsidRPr="002A2EA6">
        <w:rPr>
          <w:lang w:val="fr-FR"/>
        </w:rPr>
        <w:t>II du document</w:t>
      </w:r>
      <w:r w:rsidR="00505CFF" w:rsidRPr="002A2EA6">
        <w:rPr>
          <w:lang w:val="fr-FR"/>
        </w:rPr>
        <w:t> </w:t>
      </w:r>
      <w:r w:rsidRPr="002A2EA6">
        <w:rPr>
          <w:lang w:val="fr-FR"/>
        </w:rPr>
        <w:t>UNEP/MC/COP.3/6</w:t>
      </w:r>
      <w:r w:rsidR="00B61417" w:rsidRPr="002A2EA6">
        <w:rPr>
          <w:lang w:val="fr-FR"/>
        </w:rPr>
        <w:t>,</w:t>
      </w:r>
      <w:r w:rsidRPr="002A2EA6">
        <w:rPr>
          <w:lang w:val="fr-FR"/>
        </w:rPr>
        <w:t xml:space="preserve"> et </w:t>
      </w:r>
      <w:r w:rsidR="00DB1574" w:rsidRPr="002A2EA6">
        <w:rPr>
          <w:lang w:val="fr-FR"/>
        </w:rPr>
        <w:t>d</w:t>
      </w:r>
      <w:r w:rsidR="00CA4DAC">
        <w:rPr>
          <w:lang w:val="fr-FR"/>
        </w:rPr>
        <w:t>’</w:t>
      </w:r>
      <w:r w:rsidR="00DB1574" w:rsidRPr="002A2EA6">
        <w:rPr>
          <w:lang w:val="fr-FR"/>
        </w:rPr>
        <w:t>élaborer</w:t>
      </w:r>
      <w:r w:rsidRPr="002A2EA6">
        <w:rPr>
          <w:lang w:val="fr-FR"/>
        </w:rPr>
        <w:t xml:space="preserve"> un</w:t>
      </w:r>
      <w:r w:rsidR="00505CFF" w:rsidRPr="002A2EA6">
        <w:rPr>
          <w:lang w:val="fr-FR"/>
        </w:rPr>
        <w:t> </w:t>
      </w:r>
      <w:r w:rsidRPr="002A2EA6">
        <w:rPr>
          <w:lang w:val="fr-FR"/>
        </w:rPr>
        <w:t xml:space="preserve">projet de décision comprenant une feuille de route sur </w:t>
      </w:r>
      <w:r w:rsidR="002E2467" w:rsidRPr="002A2EA6">
        <w:rPr>
          <w:lang w:val="fr-FR"/>
        </w:rPr>
        <w:t>l</w:t>
      </w:r>
      <w:r w:rsidR="00CA4DAC">
        <w:rPr>
          <w:lang w:val="fr-FR"/>
        </w:rPr>
        <w:t>’</w:t>
      </w:r>
      <w:r w:rsidR="002E2467" w:rsidRPr="002A2EA6">
        <w:rPr>
          <w:lang w:val="fr-FR"/>
        </w:rPr>
        <w:t xml:space="preserve">élaboration </w:t>
      </w:r>
      <w:r w:rsidRPr="002A2EA6">
        <w:rPr>
          <w:lang w:val="fr-FR"/>
        </w:rPr>
        <w:t>des</w:t>
      </w:r>
      <w:r w:rsidR="000036AF" w:rsidRPr="002A2EA6">
        <w:rPr>
          <w:lang w:val="fr-FR"/>
        </w:rPr>
        <w:t> </w:t>
      </w:r>
      <w:r w:rsidRPr="002A2EA6">
        <w:rPr>
          <w:lang w:val="fr-FR"/>
        </w:rPr>
        <w:t>inventaires des rejets, les</w:t>
      </w:r>
      <w:r w:rsidR="00505CFF" w:rsidRPr="002A2EA6">
        <w:rPr>
          <w:lang w:val="fr-FR"/>
        </w:rPr>
        <w:t> </w:t>
      </w:r>
      <w:r w:rsidRPr="002A2EA6">
        <w:rPr>
          <w:lang w:val="fr-FR"/>
        </w:rPr>
        <w:t xml:space="preserve">catégories proposées de sources ponctuelles de rejets et une feuille de route </w:t>
      </w:r>
      <w:r w:rsidR="002E2467" w:rsidRPr="002A2EA6">
        <w:rPr>
          <w:lang w:val="fr-FR"/>
        </w:rPr>
        <w:t>encadrant</w:t>
      </w:r>
      <w:r w:rsidRPr="002A2EA6">
        <w:rPr>
          <w:lang w:val="fr-FR"/>
        </w:rPr>
        <w:t xml:space="preserve"> l</w:t>
      </w:r>
      <w:r w:rsidR="00CA4DAC">
        <w:rPr>
          <w:lang w:val="fr-FR"/>
        </w:rPr>
        <w:t>’</w:t>
      </w:r>
      <w:r w:rsidRPr="002A2EA6">
        <w:rPr>
          <w:lang w:val="fr-FR"/>
        </w:rPr>
        <w:t>élaboration des orientations sur les meilleures techniques disponibles et les meilleures pratiques environnementales.</w:t>
      </w:r>
    </w:p>
    <w:p w14:paraId="768ED9E3" w14:textId="38D40A14" w:rsidR="12B36505" w:rsidRPr="002A2EA6" w:rsidRDefault="12B36505"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3F1999" w:rsidRPr="002A2EA6">
        <w:rPr>
          <w:lang w:val="fr-FR"/>
        </w:rPr>
        <w:t> </w:t>
      </w:r>
      <w:r w:rsidRPr="002A2EA6">
        <w:rPr>
          <w:lang w:val="fr-FR"/>
        </w:rPr>
        <w:t xml:space="preserve">MC-3/4 </w:t>
      </w:r>
      <w:r w:rsidR="001A5FAC" w:rsidRPr="002A2EA6">
        <w:rPr>
          <w:lang w:val="fr-FR"/>
        </w:rPr>
        <w:t>(R</w:t>
      </w:r>
      <w:r w:rsidRPr="002A2EA6">
        <w:rPr>
          <w:lang w:val="fr-FR"/>
        </w:rPr>
        <w:t>ejets de mercure</w:t>
      </w:r>
      <w:r w:rsidR="001A5FAC" w:rsidRPr="002A2EA6">
        <w:rPr>
          <w:lang w:val="fr-FR"/>
        </w:rPr>
        <w:t>)</w:t>
      </w:r>
      <w:r w:rsidRPr="002A2EA6">
        <w:rPr>
          <w:lang w:val="fr-FR"/>
        </w:rPr>
        <w:t>, telle</w:t>
      </w:r>
      <w:r w:rsidR="00505CFF" w:rsidRPr="002A2EA6">
        <w:rPr>
          <w:lang w:val="fr-FR"/>
        </w:rPr>
        <w:t> </w:t>
      </w:r>
      <w:r w:rsidRPr="002A2EA6">
        <w:rPr>
          <w:lang w:val="fr-FR"/>
        </w:rPr>
        <w:t>que présentée par le groupe de contact sur les questions techniques, qui figure dans l</w:t>
      </w:r>
      <w:r w:rsidR="00CA4DAC">
        <w:rPr>
          <w:lang w:val="fr-FR"/>
        </w:rPr>
        <w:t>’</w:t>
      </w:r>
      <w:r w:rsidRPr="002A2EA6">
        <w:rPr>
          <w:lang w:val="fr-FR"/>
        </w:rPr>
        <w:t>annexe du</w:t>
      </w:r>
      <w:r w:rsidR="00505CFF" w:rsidRPr="002A2EA6">
        <w:rPr>
          <w:lang w:val="fr-FR"/>
        </w:rPr>
        <w:t> </w:t>
      </w:r>
      <w:r w:rsidRPr="002A2EA6">
        <w:rPr>
          <w:lang w:val="fr-FR"/>
        </w:rPr>
        <w:t>présent rapport.</w:t>
      </w:r>
    </w:p>
    <w:p w14:paraId="23AD9FA0" w14:textId="293301C3" w:rsidR="005652C0" w:rsidRPr="002A2EA6" w:rsidRDefault="0095048C" w:rsidP="0095048C">
      <w:pPr>
        <w:pStyle w:val="CH2"/>
        <w:rPr>
          <w:lang w:val="fr-FR"/>
        </w:rPr>
      </w:pPr>
      <w:r w:rsidRPr="002A2EA6">
        <w:rPr>
          <w:lang w:val="fr-FR"/>
        </w:rPr>
        <w:tab/>
      </w:r>
      <w:bookmarkStart w:id="25" w:name="_Toc39063338"/>
      <w:r w:rsidR="005652C0" w:rsidRPr="002A2EA6">
        <w:rPr>
          <w:lang w:val="fr-FR"/>
        </w:rPr>
        <w:t>C.</w:t>
      </w:r>
      <w:r w:rsidR="005652C0" w:rsidRPr="002A2EA6">
        <w:rPr>
          <w:lang w:val="fr-FR"/>
        </w:rPr>
        <w:tab/>
        <w:t>Déchets de mercure, en particulier examen des seuils pertinents</w:t>
      </w:r>
      <w:bookmarkEnd w:id="25"/>
    </w:p>
    <w:p w14:paraId="56D1710D" w14:textId="22811173"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Présentant ce sous-point, le représentant du </w:t>
      </w:r>
      <w:r w:rsidR="00D90038" w:rsidRPr="002A2EA6">
        <w:rPr>
          <w:lang w:val="fr-FR"/>
        </w:rPr>
        <w:t>s</w:t>
      </w:r>
      <w:r w:rsidRPr="002A2EA6">
        <w:rPr>
          <w:lang w:val="fr-FR"/>
        </w:rPr>
        <w:t>ecrétariat a appelé l</w:t>
      </w:r>
      <w:r w:rsidR="00CA4DAC">
        <w:rPr>
          <w:lang w:val="fr-FR"/>
        </w:rPr>
        <w:t>’</w:t>
      </w:r>
      <w:r w:rsidRPr="002A2EA6">
        <w:rPr>
          <w:lang w:val="fr-FR"/>
        </w:rPr>
        <w:t xml:space="preserve">attention </w:t>
      </w:r>
      <w:r w:rsidR="00FC7FF9" w:rsidRPr="002A2EA6">
        <w:rPr>
          <w:lang w:val="fr-FR"/>
        </w:rPr>
        <w:t xml:space="preserve">des participants </w:t>
      </w:r>
      <w:r w:rsidRPr="002A2EA6">
        <w:rPr>
          <w:lang w:val="fr-FR"/>
        </w:rPr>
        <w:t xml:space="preserve">sur une note du </w:t>
      </w:r>
      <w:r w:rsidR="00D90038" w:rsidRPr="002A2EA6">
        <w:rPr>
          <w:lang w:val="fr-FR"/>
        </w:rPr>
        <w:t>s</w:t>
      </w:r>
      <w:r w:rsidRPr="002A2EA6">
        <w:rPr>
          <w:lang w:val="fr-FR"/>
        </w:rPr>
        <w:t>ecrétariat concernant les résultats des travaux du groupe d</w:t>
      </w:r>
      <w:r w:rsidR="00CA4DAC">
        <w:rPr>
          <w:lang w:val="fr-FR"/>
        </w:rPr>
        <w:t>’</w:t>
      </w:r>
      <w:r w:rsidRPr="002A2EA6">
        <w:rPr>
          <w:lang w:val="fr-FR"/>
        </w:rPr>
        <w:t>experts techniques sur les</w:t>
      </w:r>
      <w:r w:rsidR="0070208A" w:rsidRPr="002A2EA6">
        <w:rPr>
          <w:lang w:val="fr-FR"/>
        </w:rPr>
        <w:t> </w:t>
      </w:r>
      <w:r w:rsidRPr="002A2EA6">
        <w:rPr>
          <w:lang w:val="fr-FR"/>
        </w:rPr>
        <w:t>seuils applicables aux déchets de mercure (UNEP/MC/COP.3/7). Il a rappelé que, conformément au paragraphe</w:t>
      </w:r>
      <w:r w:rsidR="000036AF" w:rsidRPr="002A2EA6">
        <w:rPr>
          <w:lang w:val="fr-FR"/>
        </w:rPr>
        <w:t> </w:t>
      </w:r>
      <w:r w:rsidRPr="002A2EA6">
        <w:rPr>
          <w:lang w:val="fr-FR"/>
        </w:rPr>
        <w:t>2 de l</w:t>
      </w:r>
      <w:r w:rsidR="00CA4DAC">
        <w:rPr>
          <w:lang w:val="fr-FR"/>
        </w:rPr>
        <w:t>’</w:t>
      </w:r>
      <w:r w:rsidRPr="002A2EA6">
        <w:rPr>
          <w:lang w:val="fr-FR"/>
        </w:rPr>
        <w:t>article</w:t>
      </w:r>
      <w:r w:rsidR="003F1999" w:rsidRPr="002A2EA6">
        <w:rPr>
          <w:lang w:val="fr-FR"/>
        </w:rPr>
        <w:t> </w:t>
      </w:r>
      <w:r w:rsidRPr="002A2EA6">
        <w:rPr>
          <w:lang w:val="fr-FR"/>
        </w:rPr>
        <w:t>11 de la Convention, la Conférence des Parties devait définir les seuils pertinents applicables aux déchets de mercure et que, par sa décision</w:t>
      </w:r>
      <w:r w:rsidR="003F1999" w:rsidRPr="002A2EA6">
        <w:rPr>
          <w:lang w:val="fr-FR"/>
        </w:rPr>
        <w:t> </w:t>
      </w:r>
      <w:r w:rsidRPr="002A2EA6">
        <w:rPr>
          <w:lang w:val="fr-FR"/>
        </w:rPr>
        <w:t>MC-2/2, la Conférence avait créé un groupe d</w:t>
      </w:r>
      <w:r w:rsidR="00CA4DAC">
        <w:rPr>
          <w:lang w:val="fr-FR"/>
        </w:rPr>
        <w:t>’</w:t>
      </w:r>
      <w:r w:rsidRPr="002A2EA6">
        <w:rPr>
          <w:lang w:val="fr-FR"/>
        </w:rPr>
        <w:t>experts techniques chargé d</w:t>
      </w:r>
      <w:r w:rsidR="00CA4DAC">
        <w:rPr>
          <w:lang w:val="fr-FR"/>
        </w:rPr>
        <w:t>’</w:t>
      </w:r>
      <w:r w:rsidRPr="002A2EA6">
        <w:rPr>
          <w:lang w:val="fr-FR"/>
        </w:rPr>
        <w:t xml:space="preserve">examiner la question dans la période comprise entre </w:t>
      </w:r>
      <w:r w:rsidR="00D90038" w:rsidRPr="002A2EA6">
        <w:rPr>
          <w:lang w:val="fr-FR"/>
        </w:rPr>
        <w:t>s</w:t>
      </w:r>
      <w:r w:rsidRPr="002A2EA6">
        <w:rPr>
          <w:lang w:val="fr-FR"/>
        </w:rPr>
        <w:t>es</w:t>
      </w:r>
      <w:r w:rsidR="0095048C" w:rsidRPr="002A2EA6">
        <w:rPr>
          <w:lang w:val="fr-FR"/>
        </w:rPr>
        <w:t> </w:t>
      </w:r>
      <w:r w:rsidRPr="002A2EA6">
        <w:rPr>
          <w:lang w:val="fr-FR"/>
        </w:rPr>
        <w:t>deuxième et troisième</w:t>
      </w:r>
      <w:r w:rsidR="003F1999" w:rsidRPr="002A2EA6">
        <w:rPr>
          <w:lang w:val="fr-FR"/>
        </w:rPr>
        <w:t> </w:t>
      </w:r>
      <w:r w:rsidRPr="002A2EA6">
        <w:rPr>
          <w:lang w:val="fr-FR"/>
        </w:rPr>
        <w:t xml:space="preserve">réunions, et prié le </w:t>
      </w:r>
      <w:r w:rsidR="00D90038" w:rsidRPr="002A2EA6">
        <w:rPr>
          <w:lang w:val="fr-FR"/>
        </w:rPr>
        <w:t>s</w:t>
      </w:r>
      <w:r w:rsidRPr="002A2EA6">
        <w:rPr>
          <w:lang w:val="fr-FR"/>
        </w:rPr>
        <w:t>ecrétariat de faire rapport sur les résultats de ces</w:t>
      </w:r>
      <w:r w:rsidR="00ED3E82">
        <w:rPr>
          <w:lang w:val="fr-FR"/>
        </w:rPr>
        <w:t> </w:t>
      </w:r>
      <w:r w:rsidRPr="002A2EA6">
        <w:rPr>
          <w:lang w:val="fr-FR"/>
        </w:rPr>
        <w:t>travaux à sa troisième réunion. Un projet de décision sur les seuils applicables aux déchets de mercure, fondé sur les travaux du groupe d</w:t>
      </w:r>
      <w:r w:rsidR="00CA4DAC">
        <w:rPr>
          <w:lang w:val="fr-FR"/>
        </w:rPr>
        <w:t>’</w:t>
      </w:r>
      <w:r w:rsidRPr="002A2EA6">
        <w:rPr>
          <w:lang w:val="fr-FR"/>
        </w:rPr>
        <w:t>experts techniques, figurait dans l</w:t>
      </w:r>
      <w:r w:rsidR="00CA4DAC">
        <w:rPr>
          <w:lang w:val="fr-FR"/>
        </w:rPr>
        <w:t>’</w:t>
      </w:r>
      <w:r w:rsidRPr="002A2EA6">
        <w:rPr>
          <w:lang w:val="fr-FR"/>
        </w:rPr>
        <w:t>annexe</w:t>
      </w:r>
      <w:r w:rsidR="003F1999" w:rsidRPr="002A2EA6">
        <w:rPr>
          <w:lang w:val="fr-FR"/>
        </w:rPr>
        <w:t> </w:t>
      </w:r>
      <w:r w:rsidRPr="002A2EA6">
        <w:rPr>
          <w:lang w:val="fr-FR"/>
        </w:rPr>
        <w:t xml:space="preserve">I </w:t>
      </w:r>
      <w:r w:rsidR="00437935" w:rsidRPr="002A2EA6">
        <w:rPr>
          <w:lang w:val="fr-FR"/>
        </w:rPr>
        <w:t>de</w:t>
      </w:r>
      <w:r w:rsidRPr="002A2EA6">
        <w:rPr>
          <w:lang w:val="fr-FR"/>
        </w:rPr>
        <w:t xml:space="preserve"> la note, et un rapport sur les</w:t>
      </w:r>
      <w:r w:rsidR="0095048C" w:rsidRPr="002A2EA6">
        <w:rPr>
          <w:lang w:val="fr-FR"/>
        </w:rPr>
        <w:t> </w:t>
      </w:r>
      <w:r w:rsidRPr="002A2EA6">
        <w:rPr>
          <w:lang w:val="fr-FR"/>
        </w:rPr>
        <w:t>travaux du groupe figurait dans l</w:t>
      </w:r>
      <w:r w:rsidR="00CA4DAC">
        <w:rPr>
          <w:lang w:val="fr-FR"/>
        </w:rPr>
        <w:t>’</w:t>
      </w:r>
      <w:r w:rsidRPr="002A2EA6">
        <w:rPr>
          <w:lang w:val="fr-FR"/>
        </w:rPr>
        <w:t>annexe</w:t>
      </w:r>
      <w:r w:rsidR="003F1999" w:rsidRPr="002A2EA6">
        <w:rPr>
          <w:lang w:val="fr-FR"/>
        </w:rPr>
        <w:t> </w:t>
      </w:r>
      <w:r w:rsidRPr="002A2EA6">
        <w:rPr>
          <w:lang w:val="fr-FR"/>
        </w:rPr>
        <w:t xml:space="preserve">II. Le </w:t>
      </w:r>
      <w:r w:rsidR="00D90038" w:rsidRPr="002A2EA6">
        <w:rPr>
          <w:lang w:val="fr-FR"/>
        </w:rPr>
        <w:t>s</w:t>
      </w:r>
      <w:r w:rsidRPr="002A2EA6">
        <w:rPr>
          <w:lang w:val="fr-FR"/>
        </w:rPr>
        <w:t>ecrétariat avait également établi une note sur les</w:t>
      </w:r>
      <w:r w:rsidR="0095048C" w:rsidRPr="002A2EA6">
        <w:rPr>
          <w:lang w:val="fr-FR"/>
        </w:rPr>
        <w:t> </w:t>
      </w:r>
      <w:r w:rsidRPr="002A2EA6">
        <w:rPr>
          <w:lang w:val="fr-FR"/>
        </w:rPr>
        <w:t xml:space="preserve">listes de composés du mercure et de produits contenant du mercure ajouté (UNEP/MC/COP.3/INF/18). </w:t>
      </w:r>
    </w:p>
    <w:p w14:paraId="3BEAD4D7" w14:textId="06DCA070"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M.</w:t>
      </w:r>
      <w:r w:rsidR="003F1999" w:rsidRPr="002A2EA6">
        <w:rPr>
          <w:lang w:val="fr-FR"/>
        </w:rPr>
        <w:t> </w:t>
      </w:r>
      <w:r w:rsidRPr="002A2EA6">
        <w:rPr>
          <w:lang w:val="fr-FR"/>
        </w:rPr>
        <w:t>Andreas Gössnitzer (Suisse), coprésident du groupe d</w:t>
      </w:r>
      <w:r w:rsidR="00CA4DAC">
        <w:rPr>
          <w:lang w:val="fr-FR"/>
        </w:rPr>
        <w:t>’</w:t>
      </w:r>
      <w:r w:rsidRPr="002A2EA6">
        <w:rPr>
          <w:lang w:val="fr-FR"/>
        </w:rPr>
        <w:t>experts techniques sur les seuils applicables aux déchets de mercure, a résumé les résultats des travaux du groupe menés dans le cadre de deux téléconférences et d</w:t>
      </w:r>
      <w:r w:rsidR="00CA4DAC">
        <w:rPr>
          <w:lang w:val="fr-FR"/>
        </w:rPr>
        <w:t>’</w:t>
      </w:r>
      <w:r w:rsidRPr="002A2EA6">
        <w:rPr>
          <w:lang w:val="fr-FR"/>
        </w:rPr>
        <w:t>une réunion en présentiel tenue à Osaka (Japon) du</w:t>
      </w:r>
      <w:r w:rsidR="003F1999" w:rsidRPr="002A2EA6">
        <w:rPr>
          <w:lang w:val="fr-FR"/>
        </w:rPr>
        <w:t> </w:t>
      </w:r>
      <w:r w:rsidRPr="002A2EA6">
        <w:rPr>
          <w:lang w:val="fr-FR"/>
        </w:rPr>
        <w:t>27 au 29</w:t>
      </w:r>
      <w:r w:rsidR="003F1999" w:rsidRPr="002A2EA6">
        <w:rPr>
          <w:lang w:val="fr-FR"/>
        </w:rPr>
        <w:t> </w:t>
      </w:r>
      <w:r w:rsidRPr="002A2EA6">
        <w:rPr>
          <w:lang w:val="fr-FR"/>
        </w:rPr>
        <w:t xml:space="preserve">mai 2019, </w:t>
      </w:r>
      <w:r w:rsidR="00243F77" w:rsidRPr="002A2EA6">
        <w:rPr>
          <w:lang w:val="fr-FR"/>
        </w:rPr>
        <w:t xml:space="preserve">accueillie par le </w:t>
      </w:r>
      <w:r w:rsidR="006E45D8" w:rsidRPr="002A2EA6">
        <w:rPr>
          <w:lang w:val="fr-FR"/>
        </w:rPr>
        <w:t>G</w:t>
      </w:r>
      <w:r w:rsidRPr="002A2EA6">
        <w:rPr>
          <w:lang w:val="fr-FR"/>
        </w:rPr>
        <w:t>ouvernement japonais. Il a noté que le groupe d</w:t>
      </w:r>
      <w:r w:rsidR="00CA4DAC">
        <w:rPr>
          <w:lang w:val="fr-FR"/>
        </w:rPr>
        <w:t>’</w:t>
      </w:r>
      <w:r w:rsidRPr="002A2EA6">
        <w:rPr>
          <w:lang w:val="fr-FR"/>
        </w:rPr>
        <w:t>experts avait examiné les</w:t>
      </w:r>
      <w:r w:rsidR="0095048C" w:rsidRPr="002A2EA6">
        <w:rPr>
          <w:lang w:val="fr-FR"/>
        </w:rPr>
        <w:t> </w:t>
      </w:r>
      <w:r w:rsidRPr="002A2EA6">
        <w:rPr>
          <w:lang w:val="fr-FR"/>
        </w:rPr>
        <w:t>trois</w:t>
      </w:r>
      <w:r w:rsidR="002C39DB" w:rsidRPr="002A2EA6">
        <w:rPr>
          <w:lang w:val="fr-FR"/>
        </w:rPr>
        <w:t> </w:t>
      </w:r>
      <w:r w:rsidRPr="002A2EA6">
        <w:rPr>
          <w:lang w:val="fr-FR"/>
        </w:rPr>
        <w:t>catégories de déchets de mercure, à savoir les déchets constitués de mercure ou de composés du mercure (</w:t>
      </w:r>
      <w:r w:rsidR="000036AF" w:rsidRPr="002A2EA6">
        <w:rPr>
          <w:lang w:val="fr-FR"/>
        </w:rPr>
        <w:t>« </w:t>
      </w:r>
      <w:r w:rsidRPr="002A2EA6">
        <w:rPr>
          <w:lang w:val="fr-FR"/>
        </w:rPr>
        <w:t>déchets de la catégorie</w:t>
      </w:r>
      <w:r w:rsidR="003F1999" w:rsidRPr="002A2EA6">
        <w:rPr>
          <w:lang w:val="fr-FR"/>
        </w:rPr>
        <w:t> </w:t>
      </w:r>
      <w:r w:rsidRPr="002A2EA6">
        <w:rPr>
          <w:lang w:val="fr-FR"/>
        </w:rPr>
        <w:t>A</w:t>
      </w:r>
      <w:r w:rsidR="000036AF" w:rsidRPr="002A2EA6">
        <w:rPr>
          <w:lang w:val="fr-FR"/>
        </w:rPr>
        <w:t> </w:t>
      </w:r>
      <w:r w:rsidRPr="002A2EA6">
        <w:rPr>
          <w:lang w:val="fr-FR"/>
        </w:rPr>
        <w:t>»)</w:t>
      </w:r>
      <w:r w:rsidR="003F1999" w:rsidRPr="002A2EA6">
        <w:rPr>
          <w:lang w:val="fr-FR"/>
        </w:rPr>
        <w:t> </w:t>
      </w:r>
      <w:r w:rsidR="631BDA25" w:rsidRPr="002A2EA6">
        <w:rPr>
          <w:lang w:val="fr-FR"/>
        </w:rPr>
        <w:t>;</w:t>
      </w:r>
      <w:r w:rsidRPr="002A2EA6">
        <w:rPr>
          <w:lang w:val="fr-FR"/>
        </w:rPr>
        <w:t xml:space="preserve"> les déchets contenant du mercure ou des composés du mercure (</w:t>
      </w:r>
      <w:r w:rsidR="000036AF" w:rsidRPr="002A2EA6">
        <w:rPr>
          <w:lang w:val="fr-FR"/>
        </w:rPr>
        <w:t>« </w:t>
      </w:r>
      <w:r w:rsidRPr="002A2EA6">
        <w:rPr>
          <w:lang w:val="fr-FR"/>
        </w:rPr>
        <w:t>déchets de la catégorie</w:t>
      </w:r>
      <w:r w:rsidR="003F1999" w:rsidRPr="002A2EA6">
        <w:rPr>
          <w:lang w:val="fr-FR"/>
        </w:rPr>
        <w:t> </w:t>
      </w:r>
      <w:r w:rsidRPr="002A2EA6">
        <w:rPr>
          <w:lang w:val="fr-FR"/>
        </w:rPr>
        <w:t>B</w:t>
      </w:r>
      <w:r w:rsidR="000036AF" w:rsidRPr="002A2EA6">
        <w:rPr>
          <w:lang w:val="fr-FR"/>
        </w:rPr>
        <w:t> »</w:t>
      </w:r>
      <w:r w:rsidRPr="002A2EA6">
        <w:rPr>
          <w:lang w:val="fr-FR"/>
        </w:rPr>
        <w:t>)</w:t>
      </w:r>
      <w:r w:rsidR="003F1999" w:rsidRPr="002A2EA6">
        <w:rPr>
          <w:lang w:val="fr-FR"/>
        </w:rPr>
        <w:t> </w:t>
      </w:r>
      <w:r w:rsidR="631BDA25" w:rsidRPr="002A2EA6">
        <w:rPr>
          <w:lang w:val="fr-FR"/>
        </w:rPr>
        <w:t>;</w:t>
      </w:r>
      <w:r w:rsidRPr="002A2EA6">
        <w:rPr>
          <w:lang w:val="fr-FR"/>
        </w:rPr>
        <w:t xml:space="preserve"> et les déchets contaminés par du mercure ou des composés du mercure (</w:t>
      </w:r>
      <w:r w:rsidR="000036AF" w:rsidRPr="002A2EA6">
        <w:rPr>
          <w:lang w:val="fr-FR"/>
        </w:rPr>
        <w:t>« </w:t>
      </w:r>
      <w:r w:rsidRPr="002A2EA6">
        <w:rPr>
          <w:lang w:val="fr-FR"/>
        </w:rPr>
        <w:t>déchets de la catégorie</w:t>
      </w:r>
      <w:r w:rsidR="003F1999" w:rsidRPr="002A2EA6">
        <w:rPr>
          <w:lang w:val="fr-FR"/>
        </w:rPr>
        <w:t> </w:t>
      </w:r>
      <w:r w:rsidRPr="002A2EA6">
        <w:rPr>
          <w:lang w:val="fr-FR"/>
        </w:rPr>
        <w:t>C</w:t>
      </w:r>
      <w:r w:rsidR="000036AF" w:rsidRPr="002A2EA6">
        <w:rPr>
          <w:lang w:val="fr-FR"/>
        </w:rPr>
        <w:t> »</w:t>
      </w:r>
      <w:r w:rsidRPr="002A2EA6">
        <w:rPr>
          <w:lang w:val="fr-FR"/>
        </w:rPr>
        <w:t>), et mis au point une liste de déchets de la catégorie</w:t>
      </w:r>
      <w:r w:rsidR="003F1999" w:rsidRPr="002A2EA6">
        <w:rPr>
          <w:lang w:val="fr-FR"/>
        </w:rPr>
        <w:t> </w:t>
      </w:r>
      <w:r w:rsidRPr="002A2EA6">
        <w:rPr>
          <w:lang w:val="fr-FR"/>
        </w:rPr>
        <w:t>A et des</w:t>
      </w:r>
      <w:r w:rsidR="000036AF" w:rsidRPr="002A2EA6">
        <w:rPr>
          <w:lang w:val="fr-FR"/>
        </w:rPr>
        <w:t> </w:t>
      </w:r>
      <w:r w:rsidRPr="002A2EA6">
        <w:rPr>
          <w:lang w:val="fr-FR"/>
        </w:rPr>
        <w:t>listes indicatives de déchets des catégories</w:t>
      </w:r>
      <w:r w:rsidR="003F1999" w:rsidRPr="002A2EA6">
        <w:rPr>
          <w:lang w:val="fr-FR"/>
        </w:rPr>
        <w:t> </w:t>
      </w:r>
      <w:r w:rsidRPr="002A2EA6">
        <w:rPr>
          <w:lang w:val="fr-FR"/>
        </w:rPr>
        <w:t>B et</w:t>
      </w:r>
      <w:r w:rsidR="003F1999" w:rsidRPr="002A2EA6">
        <w:rPr>
          <w:lang w:val="fr-FR"/>
        </w:rPr>
        <w:t> </w:t>
      </w:r>
      <w:r w:rsidRPr="002A2EA6">
        <w:rPr>
          <w:lang w:val="fr-FR"/>
        </w:rPr>
        <w:t>C. Après avoir examiné les trois</w:t>
      </w:r>
      <w:r w:rsidR="009C6473" w:rsidRPr="002A2EA6">
        <w:rPr>
          <w:lang w:val="fr-FR"/>
        </w:rPr>
        <w:t> </w:t>
      </w:r>
      <w:r w:rsidRPr="002A2EA6">
        <w:rPr>
          <w:lang w:val="fr-FR"/>
        </w:rPr>
        <w:t>catégories de déchets, le groupe avait conclu que des seuils étaient nécessaires uniquement pour les déchets de la</w:t>
      </w:r>
      <w:r w:rsidR="000036AF" w:rsidRPr="002A2EA6">
        <w:rPr>
          <w:lang w:val="fr-FR"/>
        </w:rPr>
        <w:t> </w:t>
      </w:r>
      <w:r w:rsidRPr="002A2EA6">
        <w:rPr>
          <w:lang w:val="fr-FR"/>
        </w:rPr>
        <w:t>catégorie</w:t>
      </w:r>
      <w:r w:rsidR="0095048C" w:rsidRPr="002A2EA6">
        <w:rPr>
          <w:lang w:val="fr-FR"/>
        </w:rPr>
        <w:t> </w:t>
      </w:r>
      <w:r w:rsidRPr="002A2EA6">
        <w:rPr>
          <w:lang w:val="fr-FR"/>
        </w:rPr>
        <w:t xml:space="preserve">C et avait </w:t>
      </w:r>
      <w:r w:rsidR="00421DC1" w:rsidRPr="002A2EA6">
        <w:rPr>
          <w:lang w:val="fr-FR"/>
        </w:rPr>
        <w:t xml:space="preserve">défini deux </w:t>
      </w:r>
      <w:r w:rsidR="00D02B92" w:rsidRPr="002A2EA6">
        <w:rPr>
          <w:lang w:val="fr-FR"/>
        </w:rPr>
        <w:t xml:space="preserve">méthodes </w:t>
      </w:r>
      <w:r w:rsidRPr="002A2EA6">
        <w:rPr>
          <w:lang w:val="fr-FR"/>
        </w:rPr>
        <w:t>possibles pour établir ces seuils, qui seraient examinées par les</w:t>
      </w:r>
      <w:r w:rsidR="0095048C" w:rsidRPr="002A2EA6">
        <w:rPr>
          <w:lang w:val="fr-FR"/>
        </w:rPr>
        <w:t> </w:t>
      </w:r>
      <w:r w:rsidRPr="002A2EA6">
        <w:rPr>
          <w:lang w:val="fr-FR"/>
        </w:rPr>
        <w:t xml:space="preserve">Parties. </w:t>
      </w:r>
      <w:r w:rsidR="00D02B92" w:rsidRPr="002A2EA6">
        <w:rPr>
          <w:lang w:val="fr-FR"/>
        </w:rPr>
        <w:t xml:space="preserve">La première </w:t>
      </w:r>
      <w:r w:rsidRPr="002A2EA6">
        <w:rPr>
          <w:lang w:val="fr-FR"/>
        </w:rPr>
        <w:t xml:space="preserve">consistait à fixer </w:t>
      </w:r>
      <w:r w:rsidR="00E73DEC" w:rsidRPr="002A2EA6">
        <w:rPr>
          <w:lang w:val="fr-FR"/>
        </w:rPr>
        <w:t>un seuil d</w:t>
      </w:r>
      <w:r w:rsidR="00CA4DAC">
        <w:rPr>
          <w:lang w:val="fr-FR"/>
        </w:rPr>
        <w:t>’</w:t>
      </w:r>
      <w:r w:rsidRPr="002A2EA6">
        <w:rPr>
          <w:lang w:val="fr-FR"/>
        </w:rPr>
        <w:t>une valeur de 25</w:t>
      </w:r>
      <w:r w:rsidR="003F1999" w:rsidRPr="002A2EA6">
        <w:rPr>
          <w:lang w:val="fr-FR"/>
        </w:rPr>
        <w:t> </w:t>
      </w:r>
      <w:r w:rsidRPr="002A2EA6">
        <w:rPr>
          <w:lang w:val="fr-FR"/>
        </w:rPr>
        <w:t>mg/kg, exprimée en quantité totale de mercure, pour définir les déchets de mercure au titre de l</w:t>
      </w:r>
      <w:r w:rsidR="00CA4DAC">
        <w:rPr>
          <w:lang w:val="fr-FR"/>
        </w:rPr>
        <w:t>’</w:t>
      </w:r>
      <w:r w:rsidRPr="002A2EA6">
        <w:rPr>
          <w:lang w:val="fr-FR"/>
        </w:rPr>
        <w:t>article</w:t>
      </w:r>
      <w:r w:rsidR="000036AF" w:rsidRPr="002A2EA6">
        <w:rPr>
          <w:lang w:val="fr-FR"/>
        </w:rPr>
        <w:t> </w:t>
      </w:r>
      <w:r w:rsidRPr="002A2EA6">
        <w:rPr>
          <w:lang w:val="fr-FR"/>
        </w:rPr>
        <w:t>11 de la</w:t>
      </w:r>
      <w:r w:rsidR="000036AF" w:rsidRPr="002A2EA6">
        <w:rPr>
          <w:lang w:val="fr-FR"/>
        </w:rPr>
        <w:t> </w:t>
      </w:r>
      <w:r w:rsidRPr="002A2EA6">
        <w:rPr>
          <w:lang w:val="fr-FR"/>
        </w:rPr>
        <w:t>Convention</w:t>
      </w:r>
      <w:r w:rsidR="003F1999" w:rsidRPr="002A2EA6">
        <w:rPr>
          <w:lang w:val="fr-FR"/>
        </w:rPr>
        <w:t> </w:t>
      </w:r>
      <w:r w:rsidRPr="002A2EA6">
        <w:rPr>
          <w:lang w:val="fr-FR"/>
        </w:rPr>
        <w:t>; l</w:t>
      </w:r>
      <w:r w:rsidR="00CA4DAC">
        <w:rPr>
          <w:lang w:val="fr-FR"/>
        </w:rPr>
        <w:t>’</w:t>
      </w:r>
      <w:r w:rsidRPr="002A2EA6">
        <w:rPr>
          <w:lang w:val="fr-FR"/>
        </w:rPr>
        <w:t xml:space="preserve">autre </w:t>
      </w:r>
      <w:r w:rsidR="00320A02" w:rsidRPr="002A2EA6">
        <w:rPr>
          <w:lang w:val="fr-FR"/>
        </w:rPr>
        <w:t xml:space="preserve">consistait pour </w:t>
      </w:r>
      <w:r w:rsidRPr="002A2EA6">
        <w:rPr>
          <w:lang w:val="fr-FR"/>
        </w:rPr>
        <w:t xml:space="preserve">la Conférence des Parties </w:t>
      </w:r>
      <w:r w:rsidR="00320A02" w:rsidRPr="002A2EA6">
        <w:rPr>
          <w:lang w:val="fr-FR"/>
        </w:rPr>
        <w:t xml:space="preserve">à demander </w:t>
      </w:r>
      <w:r w:rsidRPr="002A2EA6">
        <w:rPr>
          <w:lang w:val="fr-FR"/>
        </w:rPr>
        <w:t>au groupe d</w:t>
      </w:r>
      <w:r w:rsidR="00CA4DAC">
        <w:rPr>
          <w:lang w:val="fr-FR"/>
        </w:rPr>
        <w:t>’</w:t>
      </w:r>
      <w:r w:rsidRPr="002A2EA6">
        <w:rPr>
          <w:lang w:val="fr-FR"/>
        </w:rPr>
        <w:t>experts de mener des travaux complémentaires pour définir le seuil. Enfin, le groupe avait mis au point une</w:t>
      </w:r>
      <w:r w:rsidR="002C39DB" w:rsidRPr="002A2EA6">
        <w:rPr>
          <w:lang w:val="fr-FR"/>
        </w:rPr>
        <w:t> </w:t>
      </w:r>
      <w:r w:rsidRPr="002A2EA6">
        <w:rPr>
          <w:lang w:val="fr-FR"/>
        </w:rPr>
        <w:t xml:space="preserve">approche à </w:t>
      </w:r>
      <w:r w:rsidRPr="002A2EA6">
        <w:rPr>
          <w:lang w:val="fr-FR"/>
        </w:rPr>
        <w:lastRenderedPageBreak/>
        <w:t>deux</w:t>
      </w:r>
      <w:r w:rsidR="009C6473" w:rsidRPr="002A2EA6">
        <w:rPr>
          <w:lang w:val="fr-FR"/>
        </w:rPr>
        <w:t> </w:t>
      </w:r>
      <w:r w:rsidRPr="002A2EA6">
        <w:rPr>
          <w:lang w:val="fr-FR"/>
        </w:rPr>
        <w:t xml:space="preserve">niveaux pour </w:t>
      </w:r>
      <w:r w:rsidR="00320A02" w:rsidRPr="002A2EA6">
        <w:rPr>
          <w:lang w:val="fr-FR"/>
        </w:rPr>
        <w:t>l</w:t>
      </w:r>
      <w:r w:rsidR="00CA4DAC">
        <w:rPr>
          <w:lang w:val="fr-FR"/>
        </w:rPr>
        <w:t>’</w:t>
      </w:r>
      <w:r w:rsidR="00320A02" w:rsidRPr="002A2EA6">
        <w:rPr>
          <w:lang w:val="fr-FR"/>
        </w:rPr>
        <w:t xml:space="preserve">établissement </w:t>
      </w:r>
      <w:r w:rsidRPr="002A2EA6">
        <w:rPr>
          <w:lang w:val="fr-FR"/>
        </w:rPr>
        <w:t>de seuils liés à l</w:t>
      </w:r>
      <w:r w:rsidR="00CA4DAC">
        <w:rPr>
          <w:lang w:val="fr-FR"/>
        </w:rPr>
        <w:t>’</w:t>
      </w:r>
      <w:r w:rsidRPr="002A2EA6">
        <w:rPr>
          <w:lang w:val="fr-FR"/>
        </w:rPr>
        <w:t>extraction des résidus provenant de l</w:t>
      </w:r>
      <w:r w:rsidR="00CA4DAC">
        <w:rPr>
          <w:lang w:val="fr-FR"/>
        </w:rPr>
        <w:t>’</w:t>
      </w:r>
      <w:r w:rsidRPr="002A2EA6">
        <w:rPr>
          <w:lang w:val="fr-FR"/>
        </w:rPr>
        <w:t>extraction minière à l</w:t>
      </w:r>
      <w:r w:rsidR="00CA4DAC">
        <w:rPr>
          <w:lang w:val="fr-FR"/>
        </w:rPr>
        <w:t>’</w:t>
      </w:r>
      <w:r w:rsidRPr="002A2EA6">
        <w:rPr>
          <w:lang w:val="fr-FR"/>
        </w:rPr>
        <w:t xml:space="preserve">échelle industrielle. </w:t>
      </w:r>
    </w:p>
    <w:p w14:paraId="3AF42322" w14:textId="1369192E"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La représentante du Secrétariat des </w:t>
      </w:r>
      <w:r w:rsidR="003F1999" w:rsidRPr="002A2EA6">
        <w:rPr>
          <w:lang w:val="fr-FR"/>
        </w:rPr>
        <w:t>c</w:t>
      </w:r>
      <w:r w:rsidRPr="002A2EA6">
        <w:rPr>
          <w:lang w:val="fr-FR"/>
        </w:rPr>
        <w:t>onventions de Bâle, de Rotterdam et de Stockholm a fait le</w:t>
      </w:r>
      <w:r w:rsidR="0070208A" w:rsidRPr="002A2EA6">
        <w:rPr>
          <w:lang w:val="fr-FR"/>
        </w:rPr>
        <w:t> </w:t>
      </w:r>
      <w:r w:rsidRPr="002A2EA6">
        <w:rPr>
          <w:lang w:val="fr-FR"/>
        </w:rPr>
        <w:t xml:space="preserve">point sur les travaux entrepris au titre de la Convention de Bâle pour mettre à jour les directives techniques sur la gestion écologiquement rationnelle des déchets constitués de mercure élémentaire et des déchets contenant du mercure ou contaminés par cette substance, </w:t>
      </w:r>
      <w:r w:rsidR="00C51BDD" w:rsidRPr="002A2EA6">
        <w:rPr>
          <w:lang w:val="fr-FR"/>
        </w:rPr>
        <w:t xml:space="preserve">ainsi que </w:t>
      </w:r>
      <w:r w:rsidRPr="002A2EA6">
        <w:rPr>
          <w:lang w:val="fr-FR"/>
        </w:rPr>
        <w:t>la Conférence des</w:t>
      </w:r>
      <w:r w:rsidR="00ED3E82">
        <w:rPr>
          <w:lang w:val="fr-FR"/>
        </w:rPr>
        <w:t> </w:t>
      </w:r>
      <w:r w:rsidRPr="002A2EA6">
        <w:rPr>
          <w:lang w:val="fr-FR"/>
        </w:rPr>
        <w:t xml:space="preserve">Parties à la Convention de Minamata </w:t>
      </w:r>
      <w:r w:rsidR="00C51BDD" w:rsidRPr="002A2EA6">
        <w:rPr>
          <w:lang w:val="fr-FR"/>
        </w:rPr>
        <w:t>l</w:t>
      </w:r>
      <w:r w:rsidR="00CA4DAC">
        <w:rPr>
          <w:lang w:val="fr-FR"/>
        </w:rPr>
        <w:t>’</w:t>
      </w:r>
      <w:r w:rsidR="00C51BDD" w:rsidRPr="002A2EA6">
        <w:rPr>
          <w:lang w:val="fr-FR"/>
        </w:rPr>
        <w:t xml:space="preserve">avait demandé </w:t>
      </w:r>
      <w:r w:rsidRPr="002A2EA6">
        <w:rPr>
          <w:lang w:val="fr-FR"/>
        </w:rPr>
        <w:t>dans sa décision</w:t>
      </w:r>
      <w:r w:rsidR="003F1999" w:rsidRPr="002A2EA6">
        <w:rPr>
          <w:lang w:val="fr-FR"/>
        </w:rPr>
        <w:t> </w:t>
      </w:r>
      <w:r w:rsidRPr="002A2EA6">
        <w:rPr>
          <w:lang w:val="fr-FR"/>
        </w:rPr>
        <w:t>MC-2/2. Elle</w:t>
      </w:r>
      <w:r w:rsidR="000036AF" w:rsidRPr="002A2EA6">
        <w:rPr>
          <w:lang w:val="fr-FR"/>
        </w:rPr>
        <w:t> </w:t>
      </w:r>
      <w:r w:rsidRPr="002A2EA6">
        <w:rPr>
          <w:lang w:val="fr-FR"/>
        </w:rPr>
        <w:t>a</w:t>
      </w:r>
      <w:r w:rsidR="000036AF" w:rsidRPr="002A2EA6">
        <w:rPr>
          <w:lang w:val="fr-FR"/>
        </w:rPr>
        <w:t> </w:t>
      </w:r>
      <w:r w:rsidRPr="002A2EA6">
        <w:rPr>
          <w:lang w:val="fr-FR"/>
        </w:rPr>
        <w:t xml:space="preserve">indiqué que le </w:t>
      </w:r>
      <w:r w:rsidR="00CB5B4E" w:rsidRPr="002A2EA6">
        <w:rPr>
          <w:lang w:val="fr-FR"/>
        </w:rPr>
        <w:t>s</w:t>
      </w:r>
      <w:r w:rsidRPr="002A2EA6">
        <w:rPr>
          <w:lang w:val="fr-FR"/>
        </w:rPr>
        <w:t xml:space="preserve">ecrétariat des </w:t>
      </w:r>
      <w:r w:rsidR="00F2143B" w:rsidRPr="002A2EA6">
        <w:rPr>
          <w:lang w:val="fr-FR"/>
        </w:rPr>
        <w:t xml:space="preserve">trois </w:t>
      </w:r>
      <w:r w:rsidR="003F1999" w:rsidRPr="002A2EA6">
        <w:rPr>
          <w:lang w:val="fr-FR"/>
        </w:rPr>
        <w:t>c</w:t>
      </w:r>
      <w:r w:rsidRPr="002A2EA6">
        <w:rPr>
          <w:lang w:val="fr-FR"/>
        </w:rPr>
        <w:t xml:space="preserve">onventions collaborait activement avec le </w:t>
      </w:r>
      <w:r w:rsidR="000036AF" w:rsidRPr="002A2EA6">
        <w:rPr>
          <w:lang w:val="fr-FR"/>
        </w:rPr>
        <w:t>s</w:t>
      </w:r>
      <w:r w:rsidRPr="002A2EA6">
        <w:rPr>
          <w:lang w:val="fr-FR"/>
        </w:rPr>
        <w:t>ecrétariat de la Convention de Minamata pour veiller à ce que les travaux sur les déchets de mercure entrepris au titre de la</w:t>
      </w:r>
      <w:r w:rsidR="00ED3E82">
        <w:rPr>
          <w:lang w:val="fr-FR"/>
        </w:rPr>
        <w:t> </w:t>
      </w:r>
      <w:r w:rsidRPr="002A2EA6">
        <w:rPr>
          <w:lang w:val="fr-FR"/>
        </w:rPr>
        <w:t>Convention de Minamata, y compris les travaux du groupe d</w:t>
      </w:r>
      <w:r w:rsidR="00CA4DAC">
        <w:rPr>
          <w:lang w:val="fr-FR"/>
        </w:rPr>
        <w:t>’</w:t>
      </w:r>
      <w:r w:rsidRPr="002A2EA6">
        <w:rPr>
          <w:lang w:val="fr-FR"/>
        </w:rPr>
        <w:t>experts techniques sur les seuils applicables aux déchets de mercure, soient examinés par le petit groupe de travail intersessions de la</w:t>
      </w:r>
      <w:r w:rsidR="0070208A" w:rsidRPr="002A2EA6">
        <w:rPr>
          <w:lang w:val="fr-FR"/>
        </w:rPr>
        <w:t> </w:t>
      </w:r>
      <w:r w:rsidRPr="002A2EA6">
        <w:rPr>
          <w:lang w:val="fr-FR"/>
        </w:rPr>
        <w:t>Convention de Bâle, qui mettait à jour les directives techniques de la</w:t>
      </w:r>
      <w:r w:rsidR="0095048C" w:rsidRPr="002A2EA6">
        <w:rPr>
          <w:lang w:val="fr-FR"/>
        </w:rPr>
        <w:t> </w:t>
      </w:r>
      <w:r w:rsidRPr="002A2EA6">
        <w:rPr>
          <w:lang w:val="fr-FR"/>
        </w:rPr>
        <w:t>Convention de Bâle.</w:t>
      </w:r>
    </w:p>
    <w:p w14:paraId="42F49FD3" w14:textId="783689A6"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les représentants ont remercié le groupe d</w:t>
      </w:r>
      <w:r w:rsidR="00CA4DAC">
        <w:rPr>
          <w:lang w:val="fr-FR"/>
        </w:rPr>
        <w:t>’</w:t>
      </w:r>
      <w:r w:rsidRPr="002A2EA6">
        <w:rPr>
          <w:lang w:val="fr-FR"/>
        </w:rPr>
        <w:t xml:space="preserve">experts </w:t>
      </w:r>
      <w:r w:rsidR="000367E6" w:rsidRPr="002A2EA6">
        <w:rPr>
          <w:lang w:val="fr-FR"/>
        </w:rPr>
        <w:t xml:space="preserve">de </w:t>
      </w:r>
      <w:r w:rsidRPr="002A2EA6">
        <w:rPr>
          <w:lang w:val="fr-FR"/>
        </w:rPr>
        <w:t>ses</w:t>
      </w:r>
      <w:r w:rsidR="0095048C" w:rsidRPr="002A2EA6">
        <w:rPr>
          <w:lang w:val="fr-FR"/>
        </w:rPr>
        <w:t> </w:t>
      </w:r>
      <w:r w:rsidRPr="002A2EA6">
        <w:rPr>
          <w:lang w:val="fr-FR"/>
        </w:rPr>
        <w:t xml:space="preserve">travaux et </w:t>
      </w:r>
      <w:r w:rsidR="000367E6" w:rsidRPr="002A2EA6">
        <w:rPr>
          <w:lang w:val="fr-FR"/>
        </w:rPr>
        <w:t xml:space="preserve">de </w:t>
      </w:r>
      <w:r w:rsidRPr="002A2EA6">
        <w:rPr>
          <w:lang w:val="fr-FR"/>
        </w:rPr>
        <w:t>son rapport. De nombreux représentants, dont un s</w:t>
      </w:r>
      <w:r w:rsidR="00CA4DAC">
        <w:rPr>
          <w:lang w:val="fr-FR"/>
        </w:rPr>
        <w:t>’</w:t>
      </w:r>
      <w:r w:rsidRPr="002A2EA6">
        <w:rPr>
          <w:lang w:val="fr-FR"/>
        </w:rPr>
        <w:t>exprimant au nom d</w:t>
      </w:r>
      <w:r w:rsidR="00CA4DAC">
        <w:rPr>
          <w:lang w:val="fr-FR"/>
        </w:rPr>
        <w:t>’</w:t>
      </w:r>
      <w:r w:rsidRPr="002A2EA6">
        <w:rPr>
          <w:lang w:val="fr-FR"/>
        </w:rPr>
        <w:t>un groupe de pays, ont appuyé la conclusion du groupe d</w:t>
      </w:r>
      <w:r w:rsidR="00CA4DAC">
        <w:rPr>
          <w:lang w:val="fr-FR"/>
        </w:rPr>
        <w:t>’</w:t>
      </w:r>
      <w:r w:rsidRPr="002A2EA6">
        <w:rPr>
          <w:lang w:val="fr-FR"/>
        </w:rPr>
        <w:t xml:space="preserve">experts selon laquelle </w:t>
      </w:r>
      <w:r w:rsidR="008C18AD" w:rsidRPr="002A2EA6">
        <w:rPr>
          <w:lang w:val="fr-FR"/>
        </w:rPr>
        <w:t xml:space="preserve">il fallait établir </w:t>
      </w:r>
      <w:r w:rsidRPr="002A2EA6">
        <w:rPr>
          <w:lang w:val="fr-FR"/>
        </w:rPr>
        <w:t xml:space="preserve">des seuils </w:t>
      </w:r>
      <w:r w:rsidR="00B82264" w:rsidRPr="002A2EA6">
        <w:rPr>
          <w:lang w:val="fr-FR"/>
        </w:rPr>
        <w:t xml:space="preserve">pour </w:t>
      </w:r>
      <w:r w:rsidRPr="002A2EA6">
        <w:rPr>
          <w:lang w:val="fr-FR"/>
        </w:rPr>
        <w:t>les déchets de la catégorie</w:t>
      </w:r>
      <w:r w:rsidR="003F1999" w:rsidRPr="002A2EA6">
        <w:rPr>
          <w:lang w:val="fr-FR"/>
        </w:rPr>
        <w:t> </w:t>
      </w:r>
      <w:r w:rsidRPr="002A2EA6">
        <w:rPr>
          <w:lang w:val="fr-FR"/>
        </w:rPr>
        <w:t>C uniquement, comme indiqué dans le projet de décision (UNEP/MC/COP.3/7, annexe</w:t>
      </w:r>
      <w:r w:rsidR="000036AF" w:rsidRPr="002A2EA6">
        <w:rPr>
          <w:lang w:val="fr-FR"/>
        </w:rPr>
        <w:t> </w:t>
      </w:r>
      <w:r w:rsidRPr="002A2EA6">
        <w:rPr>
          <w:lang w:val="fr-FR"/>
        </w:rPr>
        <w:t>I), et pour les listes de déchets de la catégorie</w:t>
      </w:r>
      <w:r w:rsidR="003F1999" w:rsidRPr="002A2EA6">
        <w:rPr>
          <w:lang w:val="fr-FR"/>
        </w:rPr>
        <w:t> </w:t>
      </w:r>
      <w:r w:rsidRPr="002A2EA6">
        <w:rPr>
          <w:lang w:val="fr-FR"/>
        </w:rPr>
        <w:t>A, de la catégorie</w:t>
      </w:r>
      <w:r w:rsidR="003F1999" w:rsidRPr="002A2EA6">
        <w:rPr>
          <w:lang w:val="fr-FR"/>
        </w:rPr>
        <w:t> </w:t>
      </w:r>
      <w:r w:rsidRPr="002A2EA6">
        <w:rPr>
          <w:lang w:val="fr-FR"/>
        </w:rPr>
        <w:t>B et de la catégorie</w:t>
      </w:r>
      <w:r w:rsidR="0095048C" w:rsidRPr="002A2EA6">
        <w:rPr>
          <w:lang w:val="fr-FR"/>
        </w:rPr>
        <w:t> </w:t>
      </w:r>
      <w:r w:rsidRPr="002A2EA6">
        <w:rPr>
          <w:lang w:val="fr-FR"/>
        </w:rPr>
        <w:t>C élaborées par le</w:t>
      </w:r>
      <w:r w:rsidR="0070208A" w:rsidRPr="002A2EA6">
        <w:rPr>
          <w:lang w:val="fr-FR"/>
        </w:rPr>
        <w:t> </w:t>
      </w:r>
      <w:r w:rsidRPr="002A2EA6">
        <w:rPr>
          <w:lang w:val="fr-FR"/>
        </w:rPr>
        <w:t>groupe (UNEP/MC/COP.3/7, annexe</w:t>
      </w:r>
      <w:r w:rsidR="009C6473" w:rsidRPr="002A2EA6">
        <w:rPr>
          <w:lang w:val="fr-FR"/>
        </w:rPr>
        <w:t> </w:t>
      </w:r>
      <w:r w:rsidRPr="002A2EA6">
        <w:rPr>
          <w:lang w:val="fr-FR"/>
        </w:rPr>
        <w:t>II, appendice). Plusieurs représentants, dont deux s</w:t>
      </w:r>
      <w:r w:rsidR="00CA4DAC">
        <w:rPr>
          <w:lang w:val="fr-FR"/>
        </w:rPr>
        <w:t>’</w:t>
      </w:r>
      <w:r w:rsidRPr="002A2EA6">
        <w:rPr>
          <w:lang w:val="fr-FR"/>
        </w:rPr>
        <w:t>exprimant au nom d</w:t>
      </w:r>
      <w:r w:rsidR="00CA1253" w:rsidRPr="002A2EA6">
        <w:rPr>
          <w:lang w:val="fr-FR"/>
        </w:rPr>
        <w:t xml:space="preserve">e </w:t>
      </w:r>
      <w:r w:rsidRPr="002A2EA6">
        <w:rPr>
          <w:lang w:val="fr-FR"/>
        </w:rPr>
        <w:t>groupe</w:t>
      </w:r>
      <w:r w:rsidR="00CA1253" w:rsidRPr="002A2EA6">
        <w:rPr>
          <w:lang w:val="fr-FR"/>
        </w:rPr>
        <w:t>s</w:t>
      </w:r>
      <w:r w:rsidRPr="002A2EA6">
        <w:rPr>
          <w:lang w:val="fr-FR"/>
        </w:rPr>
        <w:t xml:space="preserve"> de pays, ont </w:t>
      </w:r>
      <w:r w:rsidR="00CA1253" w:rsidRPr="002A2EA6">
        <w:rPr>
          <w:lang w:val="fr-FR"/>
        </w:rPr>
        <w:t>fait observ</w:t>
      </w:r>
      <w:r w:rsidR="000036AF" w:rsidRPr="002A2EA6">
        <w:rPr>
          <w:lang w:val="fr-FR"/>
        </w:rPr>
        <w:t>er</w:t>
      </w:r>
      <w:r w:rsidR="00CA1253" w:rsidRPr="002A2EA6">
        <w:rPr>
          <w:lang w:val="fr-FR"/>
        </w:rPr>
        <w:t xml:space="preserve"> </w:t>
      </w:r>
      <w:r w:rsidRPr="002A2EA6">
        <w:rPr>
          <w:lang w:val="fr-FR"/>
        </w:rPr>
        <w:t>qu</w:t>
      </w:r>
      <w:r w:rsidR="00CA4DAC">
        <w:rPr>
          <w:lang w:val="fr-FR"/>
        </w:rPr>
        <w:t>’</w:t>
      </w:r>
      <w:r w:rsidRPr="002A2EA6">
        <w:rPr>
          <w:lang w:val="fr-FR"/>
        </w:rPr>
        <w:t xml:space="preserve">il </w:t>
      </w:r>
      <w:r w:rsidR="00B82264" w:rsidRPr="002A2EA6">
        <w:rPr>
          <w:lang w:val="fr-FR"/>
        </w:rPr>
        <w:t xml:space="preserve">fallait </w:t>
      </w:r>
      <w:r w:rsidRPr="002A2EA6">
        <w:rPr>
          <w:lang w:val="fr-FR"/>
        </w:rPr>
        <w:t>revoir les</w:t>
      </w:r>
      <w:r w:rsidR="000036AF" w:rsidRPr="002A2EA6">
        <w:rPr>
          <w:lang w:val="fr-FR"/>
        </w:rPr>
        <w:t> </w:t>
      </w:r>
      <w:r w:rsidRPr="002A2EA6">
        <w:rPr>
          <w:lang w:val="fr-FR"/>
        </w:rPr>
        <w:t>listes.</w:t>
      </w:r>
    </w:p>
    <w:p w14:paraId="3DA43EA4" w14:textId="7CCC8A9E"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De nombreux représentants, dont une représentante s</w:t>
      </w:r>
      <w:r w:rsidR="00CA4DAC">
        <w:rPr>
          <w:lang w:val="fr-FR"/>
        </w:rPr>
        <w:t>’</w:t>
      </w:r>
      <w:r w:rsidRPr="002A2EA6">
        <w:rPr>
          <w:lang w:val="fr-FR"/>
        </w:rPr>
        <w:t>exprimant au nom d</w:t>
      </w:r>
      <w:r w:rsidR="00CA4DAC">
        <w:rPr>
          <w:lang w:val="fr-FR"/>
        </w:rPr>
        <w:t>’</w:t>
      </w:r>
      <w:r w:rsidRPr="002A2EA6">
        <w:rPr>
          <w:lang w:val="fr-FR"/>
        </w:rPr>
        <w:t>un groupe de pays, se sont dits favorables à l</w:t>
      </w:r>
      <w:r w:rsidR="00CA4DAC">
        <w:rPr>
          <w:lang w:val="fr-FR"/>
        </w:rPr>
        <w:t>’</w:t>
      </w:r>
      <w:r w:rsidRPr="002A2EA6">
        <w:rPr>
          <w:lang w:val="fr-FR"/>
        </w:rPr>
        <w:t xml:space="preserve">utilisation </w:t>
      </w:r>
      <w:r w:rsidR="00DE774C" w:rsidRPr="002A2EA6">
        <w:rPr>
          <w:lang w:val="fr-FR"/>
        </w:rPr>
        <w:t xml:space="preserve">du </w:t>
      </w:r>
      <w:r w:rsidR="00B36BA8" w:rsidRPr="002A2EA6">
        <w:rPr>
          <w:lang w:val="fr-FR"/>
        </w:rPr>
        <w:t xml:space="preserve">seuil </w:t>
      </w:r>
      <w:r w:rsidR="00A828D9" w:rsidRPr="002A2EA6">
        <w:rPr>
          <w:lang w:val="fr-FR"/>
        </w:rPr>
        <w:t>établissant une valeur de</w:t>
      </w:r>
      <w:r w:rsidRPr="002A2EA6">
        <w:rPr>
          <w:lang w:val="fr-FR"/>
        </w:rPr>
        <w:t xml:space="preserve"> 25</w:t>
      </w:r>
      <w:r w:rsidR="003F1999" w:rsidRPr="002A2EA6">
        <w:rPr>
          <w:lang w:val="fr-FR"/>
        </w:rPr>
        <w:t> </w:t>
      </w:r>
      <w:r w:rsidRPr="002A2EA6">
        <w:rPr>
          <w:lang w:val="fr-FR"/>
        </w:rPr>
        <w:t>mg/kg, exprimée en quantité totale de mercure, pour définir les déchets de mercure au titre de l</w:t>
      </w:r>
      <w:r w:rsidR="00CA4DAC">
        <w:rPr>
          <w:lang w:val="fr-FR"/>
        </w:rPr>
        <w:t>’</w:t>
      </w:r>
      <w:r w:rsidRPr="002A2EA6">
        <w:rPr>
          <w:lang w:val="fr-FR"/>
        </w:rPr>
        <w:t>article</w:t>
      </w:r>
      <w:r w:rsidR="003F1999" w:rsidRPr="002A2EA6">
        <w:rPr>
          <w:lang w:val="fr-FR"/>
        </w:rPr>
        <w:t> </w:t>
      </w:r>
      <w:r w:rsidRPr="002A2EA6">
        <w:rPr>
          <w:lang w:val="fr-FR"/>
        </w:rPr>
        <w:t xml:space="preserve">11 de la Convention, comme indiqué dans </w:t>
      </w:r>
      <w:r w:rsidR="00A828D9" w:rsidRPr="002A2EA6">
        <w:rPr>
          <w:lang w:val="fr-FR"/>
        </w:rPr>
        <w:t xml:space="preserve">la première méthode énoncée dans le </w:t>
      </w:r>
      <w:r w:rsidRPr="002A2EA6">
        <w:rPr>
          <w:lang w:val="fr-FR"/>
        </w:rPr>
        <w:t>projet de décision. Une représentante a déclaré qu</w:t>
      </w:r>
      <w:r w:rsidR="00CA4DAC">
        <w:rPr>
          <w:lang w:val="fr-FR"/>
        </w:rPr>
        <w:t>’</w:t>
      </w:r>
      <w:r w:rsidRPr="002A2EA6">
        <w:rPr>
          <w:lang w:val="fr-FR"/>
        </w:rPr>
        <w:t>il</w:t>
      </w:r>
      <w:r w:rsidR="0070208A" w:rsidRPr="002A2EA6">
        <w:rPr>
          <w:lang w:val="fr-FR"/>
        </w:rPr>
        <w:t> </w:t>
      </w:r>
      <w:r w:rsidRPr="002A2EA6">
        <w:rPr>
          <w:lang w:val="fr-FR"/>
        </w:rPr>
        <w:t xml:space="preserve">était possible que le seuil proposé doive être revu dans le cas où les circonstances </w:t>
      </w:r>
      <w:r w:rsidR="00F11F2F" w:rsidRPr="002A2EA6">
        <w:rPr>
          <w:lang w:val="fr-FR"/>
        </w:rPr>
        <w:t>évoluaient</w:t>
      </w:r>
      <w:r w:rsidRPr="002A2EA6">
        <w:rPr>
          <w:lang w:val="fr-FR"/>
        </w:rPr>
        <w:t xml:space="preserve">. </w:t>
      </w:r>
    </w:p>
    <w:p w14:paraId="6103DD03" w14:textId="5C62E6EB"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La représentante de l</w:t>
      </w:r>
      <w:r w:rsidR="00CA4DAC">
        <w:rPr>
          <w:lang w:val="fr-FR"/>
        </w:rPr>
        <w:t>’</w:t>
      </w:r>
      <w:r w:rsidRPr="002A2EA6">
        <w:rPr>
          <w:lang w:val="fr-FR"/>
        </w:rPr>
        <w:t>Union européenne a présenté un document de séance qui appuyait et justifiait le recours à la valeur proposée de 25</w:t>
      </w:r>
      <w:r w:rsidR="003F1999" w:rsidRPr="002A2EA6">
        <w:rPr>
          <w:lang w:val="fr-FR"/>
        </w:rPr>
        <w:t> </w:t>
      </w:r>
      <w:r w:rsidRPr="002A2EA6">
        <w:rPr>
          <w:lang w:val="fr-FR"/>
        </w:rPr>
        <w:t xml:space="preserve">mg/kg. </w:t>
      </w:r>
    </w:p>
    <w:p w14:paraId="6C42A836" w14:textId="2C751595"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De nombreux autres représentants, dont un s</w:t>
      </w:r>
      <w:r w:rsidR="00CA4DAC">
        <w:rPr>
          <w:lang w:val="fr-FR"/>
        </w:rPr>
        <w:t>’</w:t>
      </w:r>
      <w:r w:rsidRPr="002A2EA6">
        <w:rPr>
          <w:lang w:val="fr-FR"/>
        </w:rPr>
        <w:t>exprimant au nom d</w:t>
      </w:r>
      <w:r w:rsidR="00CA4DAC">
        <w:rPr>
          <w:lang w:val="fr-FR"/>
        </w:rPr>
        <w:t>’</w:t>
      </w:r>
      <w:r w:rsidRPr="002A2EA6">
        <w:rPr>
          <w:lang w:val="fr-FR"/>
        </w:rPr>
        <w:t>un groupe de pays, se sont déclarés favorables au fait de demander au groupe d</w:t>
      </w:r>
      <w:r w:rsidR="00CA4DAC">
        <w:rPr>
          <w:lang w:val="fr-FR"/>
        </w:rPr>
        <w:t>’</w:t>
      </w:r>
      <w:r w:rsidRPr="002A2EA6">
        <w:rPr>
          <w:lang w:val="fr-FR"/>
        </w:rPr>
        <w:t>experts de conduire des travaux supplémentaires pour établir un seuil ou des seuils pour les déchets de la catégorie</w:t>
      </w:r>
      <w:r w:rsidR="003F1999" w:rsidRPr="002A2EA6">
        <w:rPr>
          <w:lang w:val="fr-FR"/>
        </w:rPr>
        <w:t> </w:t>
      </w:r>
      <w:r w:rsidRPr="002A2EA6">
        <w:rPr>
          <w:lang w:val="fr-FR"/>
        </w:rPr>
        <w:t xml:space="preserve">C, conformément à </w:t>
      </w:r>
      <w:r w:rsidR="003910B9" w:rsidRPr="002A2EA6">
        <w:rPr>
          <w:lang w:val="fr-FR"/>
        </w:rPr>
        <w:t>la</w:t>
      </w:r>
      <w:r w:rsidR="0070208A" w:rsidRPr="002A2EA6">
        <w:rPr>
          <w:lang w:val="fr-FR"/>
        </w:rPr>
        <w:t> </w:t>
      </w:r>
      <w:r w:rsidR="003910B9" w:rsidRPr="002A2EA6">
        <w:rPr>
          <w:lang w:val="fr-FR"/>
        </w:rPr>
        <w:t>deuxième</w:t>
      </w:r>
      <w:r w:rsidR="0070208A" w:rsidRPr="002A2EA6">
        <w:rPr>
          <w:lang w:val="fr-FR"/>
        </w:rPr>
        <w:t> </w:t>
      </w:r>
      <w:r w:rsidR="003910B9" w:rsidRPr="002A2EA6">
        <w:rPr>
          <w:lang w:val="fr-FR"/>
        </w:rPr>
        <w:t xml:space="preserve">méthode proposée dans le </w:t>
      </w:r>
      <w:r w:rsidRPr="002A2EA6">
        <w:rPr>
          <w:lang w:val="fr-FR"/>
        </w:rPr>
        <w:t>projet de décision, la plupart d</w:t>
      </w:r>
      <w:r w:rsidR="00CA4DAC">
        <w:rPr>
          <w:lang w:val="fr-FR"/>
        </w:rPr>
        <w:t>’</w:t>
      </w:r>
      <w:r w:rsidRPr="002A2EA6">
        <w:rPr>
          <w:lang w:val="fr-FR"/>
        </w:rPr>
        <w:t xml:space="preserve">entre eux indiquant que le seuil ou les seuils </w:t>
      </w:r>
      <w:r w:rsidR="00686057" w:rsidRPr="002A2EA6">
        <w:rPr>
          <w:lang w:val="fr-FR"/>
        </w:rPr>
        <w:t xml:space="preserve">devaient être </w:t>
      </w:r>
      <w:r w:rsidR="003910B9" w:rsidRPr="002A2EA6">
        <w:rPr>
          <w:lang w:val="fr-FR"/>
        </w:rPr>
        <w:t xml:space="preserve">fixés </w:t>
      </w:r>
      <w:r w:rsidRPr="002A2EA6">
        <w:rPr>
          <w:lang w:val="fr-FR"/>
        </w:rPr>
        <w:t xml:space="preserve">sur </w:t>
      </w:r>
      <w:r w:rsidR="00686057" w:rsidRPr="002A2EA6">
        <w:rPr>
          <w:lang w:val="fr-FR"/>
        </w:rPr>
        <w:t>la base d</w:t>
      </w:r>
      <w:r w:rsidR="00CA4DAC">
        <w:rPr>
          <w:lang w:val="fr-FR"/>
        </w:rPr>
        <w:t>’</w:t>
      </w:r>
      <w:r w:rsidRPr="002A2EA6">
        <w:rPr>
          <w:lang w:val="fr-FR"/>
        </w:rPr>
        <w:t>évaluations des risques pour l</w:t>
      </w:r>
      <w:r w:rsidR="00CA4DAC">
        <w:rPr>
          <w:lang w:val="fr-FR"/>
        </w:rPr>
        <w:t>’</w:t>
      </w:r>
      <w:r w:rsidRPr="002A2EA6">
        <w:rPr>
          <w:lang w:val="fr-FR"/>
        </w:rPr>
        <w:t>environnement et des</w:t>
      </w:r>
      <w:r w:rsidR="0070208A" w:rsidRPr="002A2EA6">
        <w:rPr>
          <w:lang w:val="fr-FR"/>
        </w:rPr>
        <w:t> </w:t>
      </w:r>
      <w:r w:rsidRPr="002A2EA6">
        <w:rPr>
          <w:lang w:val="fr-FR"/>
        </w:rPr>
        <w:t>différents contextes et paramètres régionaux ou nationaux en matière d</w:t>
      </w:r>
      <w:r w:rsidR="00CA4DAC">
        <w:rPr>
          <w:lang w:val="fr-FR"/>
        </w:rPr>
        <w:t>’</w:t>
      </w:r>
      <w:r w:rsidRPr="002A2EA6">
        <w:rPr>
          <w:lang w:val="fr-FR"/>
        </w:rPr>
        <w:t xml:space="preserve">environnement. </w:t>
      </w:r>
    </w:p>
    <w:p w14:paraId="543BFD94" w14:textId="3352340F"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Une représentante s</w:t>
      </w:r>
      <w:r w:rsidR="00CA4DAC">
        <w:rPr>
          <w:lang w:val="fr-FR"/>
        </w:rPr>
        <w:t>’</w:t>
      </w:r>
      <w:r w:rsidRPr="002A2EA6">
        <w:rPr>
          <w:lang w:val="fr-FR"/>
        </w:rPr>
        <w:t>est déclarée préoccupée par le fait que le rapport du groupe d</w:t>
      </w:r>
      <w:r w:rsidR="00CA4DAC">
        <w:rPr>
          <w:lang w:val="fr-FR"/>
        </w:rPr>
        <w:t>’</w:t>
      </w:r>
      <w:r w:rsidRPr="002A2EA6">
        <w:rPr>
          <w:lang w:val="fr-FR"/>
        </w:rPr>
        <w:t>experts n</w:t>
      </w:r>
      <w:r w:rsidR="00CA4DAC">
        <w:rPr>
          <w:lang w:val="fr-FR"/>
        </w:rPr>
        <w:t>’</w:t>
      </w:r>
      <w:r w:rsidRPr="002A2EA6">
        <w:rPr>
          <w:lang w:val="fr-FR"/>
        </w:rPr>
        <w:t>abordait pas la question de savoir si les fractions de déchets contaminés par le mercure énumérés dans le tableau</w:t>
      </w:r>
      <w:r w:rsidR="003F1999" w:rsidRPr="002A2EA6">
        <w:rPr>
          <w:lang w:val="fr-FR"/>
        </w:rPr>
        <w:t> </w:t>
      </w:r>
      <w:r w:rsidRPr="002A2EA6">
        <w:rPr>
          <w:lang w:val="fr-FR"/>
        </w:rPr>
        <w:t>3 (liste indicative des déchets contaminés par du mercure ou des composés du mercure) du projet de décision présentaient normalement une concentration supérieure au seuil proposé de 25</w:t>
      </w:r>
      <w:r w:rsidR="0095048C" w:rsidRPr="002A2EA6">
        <w:rPr>
          <w:lang w:val="fr-FR"/>
        </w:rPr>
        <w:t> </w:t>
      </w:r>
      <w:r w:rsidRPr="002A2EA6">
        <w:rPr>
          <w:lang w:val="fr-FR"/>
        </w:rPr>
        <w:t>mg/kg. Il était donc difficile de savoir si ce seuil permettrait de garantir que les</w:t>
      </w:r>
      <w:r w:rsidR="00ED3E82">
        <w:rPr>
          <w:lang w:val="fr-FR"/>
        </w:rPr>
        <w:t> </w:t>
      </w:r>
      <w:r w:rsidRPr="002A2EA6">
        <w:rPr>
          <w:lang w:val="fr-FR"/>
        </w:rPr>
        <w:t>principaux types de</w:t>
      </w:r>
      <w:r w:rsidR="0095048C" w:rsidRPr="002A2EA6">
        <w:rPr>
          <w:lang w:val="fr-FR"/>
        </w:rPr>
        <w:t> </w:t>
      </w:r>
      <w:r w:rsidRPr="002A2EA6">
        <w:rPr>
          <w:lang w:val="fr-FR"/>
        </w:rPr>
        <w:t>déchets contaminés par le mercure soient soumis aux exigences de gestion écologiquement rationnelle énoncées à l</w:t>
      </w:r>
      <w:r w:rsidR="00CA4DAC">
        <w:rPr>
          <w:lang w:val="fr-FR"/>
        </w:rPr>
        <w:t>’</w:t>
      </w:r>
      <w:r w:rsidRPr="002A2EA6">
        <w:rPr>
          <w:lang w:val="fr-FR"/>
        </w:rPr>
        <w:t>article</w:t>
      </w:r>
      <w:r w:rsidR="003F1999" w:rsidRPr="002A2EA6">
        <w:rPr>
          <w:lang w:val="fr-FR"/>
        </w:rPr>
        <w:t> </w:t>
      </w:r>
      <w:r w:rsidRPr="002A2EA6">
        <w:rPr>
          <w:lang w:val="fr-FR"/>
        </w:rPr>
        <w:t>11 de la Convention.</w:t>
      </w:r>
    </w:p>
    <w:p w14:paraId="1C7BE837" w14:textId="58FB9F67" w:rsidR="005652C0" w:rsidRPr="002A2EA6" w:rsidRDefault="00254DEE"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005652C0" w:rsidRPr="002A2EA6">
        <w:rPr>
          <w:lang w:val="fr-FR"/>
        </w:rPr>
        <w:t>exprimant au nom d</w:t>
      </w:r>
      <w:r w:rsidR="00CA4DAC">
        <w:rPr>
          <w:lang w:val="fr-FR"/>
        </w:rPr>
        <w:t>’</w:t>
      </w:r>
      <w:r w:rsidR="005652C0" w:rsidRPr="002A2EA6">
        <w:rPr>
          <w:lang w:val="fr-FR"/>
        </w:rPr>
        <w:t xml:space="preserve">un groupe de pays, </w:t>
      </w:r>
      <w:r w:rsidRPr="002A2EA6">
        <w:rPr>
          <w:lang w:val="fr-FR"/>
        </w:rPr>
        <w:t xml:space="preserve">une représentante </w:t>
      </w:r>
      <w:r w:rsidR="005652C0" w:rsidRPr="002A2EA6">
        <w:rPr>
          <w:lang w:val="fr-FR"/>
        </w:rPr>
        <w:t xml:space="preserve">a </w:t>
      </w:r>
      <w:r w:rsidRPr="002A2EA6">
        <w:rPr>
          <w:lang w:val="fr-FR"/>
        </w:rPr>
        <w:t xml:space="preserve">approuvé </w:t>
      </w:r>
      <w:r w:rsidR="005652C0" w:rsidRPr="002A2EA6">
        <w:rPr>
          <w:lang w:val="fr-FR"/>
        </w:rPr>
        <w:t>l</w:t>
      </w:r>
      <w:r w:rsidR="00CA4DAC">
        <w:rPr>
          <w:lang w:val="fr-FR"/>
        </w:rPr>
        <w:t>’</w:t>
      </w:r>
      <w:r w:rsidR="005652C0" w:rsidRPr="002A2EA6">
        <w:rPr>
          <w:lang w:val="fr-FR"/>
        </w:rPr>
        <w:t>approche à deux</w:t>
      </w:r>
      <w:r w:rsidR="009E425C" w:rsidRPr="002A2EA6">
        <w:rPr>
          <w:lang w:val="fr-FR"/>
        </w:rPr>
        <w:t> </w:t>
      </w:r>
      <w:r w:rsidR="005652C0" w:rsidRPr="002A2EA6">
        <w:rPr>
          <w:lang w:val="fr-FR"/>
        </w:rPr>
        <w:t>niveaux relative aux déchets miniers proposée dans le projet de décision.</w:t>
      </w:r>
    </w:p>
    <w:p w14:paraId="58884A77" w14:textId="6F8EC6D8"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Une autre représentante a déclaré qu</w:t>
      </w:r>
      <w:r w:rsidR="00CA4DAC">
        <w:rPr>
          <w:lang w:val="fr-FR"/>
        </w:rPr>
        <w:t>’</w:t>
      </w:r>
      <w:r w:rsidRPr="002A2EA6">
        <w:rPr>
          <w:lang w:val="fr-FR"/>
        </w:rPr>
        <w:t xml:space="preserve">il </w:t>
      </w:r>
      <w:r w:rsidR="00AC7151" w:rsidRPr="002A2EA6">
        <w:rPr>
          <w:lang w:val="fr-FR"/>
        </w:rPr>
        <w:t xml:space="preserve">fallait </w:t>
      </w:r>
      <w:r w:rsidRPr="002A2EA6">
        <w:rPr>
          <w:lang w:val="fr-FR"/>
        </w:rPr>
        <w:t>préciser, au paragraphe 4 du projet de</w:t>
      </w:r>
      <w:r w:rsidR="0095048C" w:rsidRPr="002A2EA6">
        <w:rPr>
          <w:lang w:val="fr-FR"/>
        </w:rPr>
        <w:t> </w:t>
      </w:r>
      <w:r w:rsidRPr="002A2EA6">
        <w:rPr>
          <w:lang w:val="fr-FR"/>
        </w:rPr>
        <w:t>décision, que l</w:t>
      </w:r>
      <w:r w:rsidR="00CA4DAC">
        <w:rPr>
          <w:lang w:val="fr-FR"/>
        </w:rPr>
        <w:t>’</w:t>
      </w:r>
      <w:r w:rsidRPr="002A2EA6">
        <w:rPr>
          <w:lang w:val="fr-FR"/>
        </w:rPr>
        <w:t>utilisation du seuil de 25</w:t>
      </w:r>
      <w:r w:rsidR="003F1999" w:rsidRPr="002A2EA6">
        <w:rPr>
          <w:lang w:val="fr-FR"/>
        </w:rPr>
        <w:t> </w:t>
      </w:r>
      <w:r w:rsidRPr="002A2EA6">
        <w:rPr>
          <w:lang w:val="fr-FR"/>
        </w:rPr>
        <w:t>mg/kg en tant que premier niveau de l</w:t>
      </w:r>
      <w:r w:rsidR="00CA4DAC">
        <w:rPr>
          <w:lang w:val="fr-FR"/>
        </w:rPr>
        <w:t>’</w:t>
      </w:r>
      <w:r w:rsidRPr="002A2EA6">
        <w:rPr>
          <w:lang w:val="fr-FR"/>
        </w:rPr>
        <w:t>approche à deux</w:t>
      </w:r>
      <w:r w:rsidR="0095048C" w:rsidRPr="002A2EA6">
        <w:rPr>
          <w:lang w:val="fr-FR"/>
        </w:rPr>
        <w:t> </w:t>
      </w:r>
      <w:r w:rsidRPr="002A2EA6">
        <w:rPr>
          <w:lang w:val="fr-FR"/>
        </w:rPr>
        <w:t>niveaux pour établir des seuils applicables aux résidus provenant de l</w:t>
      </w:r>
      <w:r w:rsidR="00CA4DAC">
        <w:rPr>
          <w:lang w:val="fr-FR"/>
        </w:rPr>
        <w:t>’</w:t>
      </w:r>
      <w:r w:rsidRPr="002A2EA6">
        <w:rPr>
          <w:lang w:val="fr-FR"/>
        </w:rPr>
        <w:t xml:space="preserve">extraction minière ne valait pas pour certains déchets miniers. </w:t>
      </w:r>
      <w:r w:rsidR="00433497" w:rsidRPr="002A2EA6">
        <w:rPr>
          <w:lang w:val="fr-FR"/>
        </w:rPr>
        <w:t xml:space="preserve">Rappelant </w:t>
      </w:r>
      <w:r w:rsidRPr="002A2EA6">
        <w:rPr>
          <w:lang w:val="fr-FR"/>
        </w:rPr>
        <w:t>le mandat du groupe d</w:t>
      </w:r>
      <w:r w:rsidR="00CA4DAC">
        <w:rPr>
          <w:lang w:val="fr-FR"/>
        </w:rPr>
        <w:t>’</w:t>
      </w:r>
      <w:r w:rsidRPr="002A2EA6">
        <w:rPr>
          <w:lang w:val="fr-FR"/>
        </w:rPr>
        <w:t>experts tel qu</w:t>
      </w:r>
      <w:r w:rsidR="00CA4DAC">
        <w:rPr>
          <w:lang w:val="fr-FR"/>
        </w:rPr>
        <w:t>’</w:t>
      </w:r>
      <w:r w:rsidRPr="002A2EA6">
        <w:rPr>
          <w:lang w:val="fr-FR"/>
        </w:rPr>
        <w:t>énoncé au paragraphe</w:t>
      </w:r>
      <w:r w:rsidR="003F1999" w:rsidRPr="002A2EA6">
        <w:rPr>
          <w:lang w:val="fr-FR"/>
        </w:rPr>
        <w:t> </w:t>
      </w:r>
      <w:r w:rsidRPr="002A2EA6">
        <w:rPr>
          <w:lang w:val="fr-FR"/>
        </w:rPr>
        <w:t>2</w:t>
      </w:r>
      <w:r w:rsidR="003F1999" w:rsidRPr="002A2EA6">
        <w:rPr>
          <w:lang w:val="fr-FR"/>
        </w:rPr>
        <w:t> </w:t>
      </w:r>
      <w:r w:rsidRPr="002A2EA6">
        <w:rPr>
          <w:lang w:val="fr-FR"/>
        </w:rPr>
        <w:t>d) de l</w:t>
      </w:r>
      <w:r w:rsidR="00CA4DAC">
        <w:rPr>
          <w:lang w:val="fr-FR"/>
        </w:rPr>
        <w:t>’</w:t>
      </w:r>
      <w:r w:rsidRPr="002A2EA6">
        <w:rPr>
          <w:lang w:val="fr-FR"/>
        </w:rPr>
        <w:t xml:space="preserve">annexe </w:t>
      </w:r>
      <w:r w:rsidR="00433497" w:rsidRPr="002A2EA6">
        <w:rPr>
          <w:lang w:val="fr-FR"/>
        </w:rPr>
        <w:t>de</w:t>
      </w:r>
      <w:r w:rsidRPr="002A2EA6">
        <w:rPr>
          <w:lang w:val="fr-FR"/>
        </w:rPr>
        <w:t xml:space="preserve"> la décision</w:t>
      </w:r>
      <w:r w:rsidR="003F1999" w:rsidRPr="002A2EA6">
        <w:rPr>
          <w:lang w:val="fr-FR"/>
        </w:rPr>
        <w:t> </w:t>
      </w:r>
      <w:r w:rsidRPr="002A2EA6">
        <w:rPr>
          <w:lang w:val="fr-FR"/>
        </w:rPr>
        <w:t>MC-2/2, elle a dit que les morts-terrains, les</w:t>
      </w:r>
      <w:r w:rsidR="0095048C" w:rsidRPr="002A2EA6">
        <w:rPr>
          <w:lang w:val="fr-FR"/>
        </w:rPr>
        <w:t> </w:t>
      </w:r>
      <w:r w:rsidRPr="002A2EA6">
        <w:rPr>
          <w:lang w:val="fr-FR"/>
        </w:rPr>
        <w:t>déchets de rocs et les résidus provenant de l</w:t>
      </w:r>
      <w:r w:rsidR="00CA4DAC">
        <w:rPr>
          <w:lang w:val="fr-FR"/>
        </w:rPr>
        <w:t>’</w:t>
      </w:r>
      <w:r w:rsidRPr="002A2EA6">
        <w:rPr>
          <w:lang w:val="fr-FR"/>
        </w:rPr>
        <w:t>extraction minière, à l</w:t>
      </w:r>
      <w:r w:rsidR="00CA4DAC">
        <w:rPr>
          <w:lang w:val="fr-FR"/>
        </w:rPr>
        <w:t>’</w:t>
      </w:r>
      <w:r w:rsidRPr="002A2EA6">
        <w:rPr>
          <w:lang w:val="fr-FR"/>
        </w:rPr>
        <w:t>exception de l</w:t>
      </w:r>
      <w:r w:rsidR="00CA4DAC">
        <w:rPr>
          <w:lang w:val="fr-FR"/>
        </w:rPr>
        <w:t>’</w:t>
      </w:r>
      <w:r w:rsidRPr="002A2EA6">
        <w:rPr>
          <w:lang w:val="fr-FR"/>
        </w:rPr>
        <w:t>extraction minière primaire de mercure, étaient une catégorie spéciale de déchets plutôt que des déchets de la</w:t>
      </w:r>
      <w:r w:rsidR="0095048C" w:rsidRPr="002A2EA6">
        <w:rPr>
          <w:lang w:val="fr-FR"/>
        </w:rPr>
        <w:t> </w:t>
      </w:r>
      <w:r w:rsidRPr="002A2EA6">
        <w:rPr>
          <w:lang w:val="fr-FR"/>
        </w:rPr>
        <w:t>catégorie</w:t>
      </w:r>
      <w:r w:rsidR="003F1999" w:rsidRPr="002A2EA6">
        <w:rPr>
          <w:lang w:val="fr-FR"/>
        </w:rPr>
        <w:t> </w:t>
      </w:r>
      <w:r w:rsidRPr="002A2EA6">
        <w:rPr>
          <w:lang w:val="fr-FR"/>
        </w:rPr>
        <w:t>C.</w:t>
      </w:r>
    </w:p>
    <w:p w14:paraId="7F9D91D1" w14:textId="6F769FE7"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Concernant les directives techniques de la Convention de Bâle sur les déchets de mercure, deux</w:t>
      </w:r>
      <w:r w:rsidR="00CE52B4" w:rsidRPr="002A2EA6">
        <w:rPr>
          <w:lang w:val="fr-FR"/>
        </w:rPr>
        <w:t> </w:t>
      </w:r>
      <w:r w:rsidRPr="002A2EA6">
        <w:rPr>
          <w:lang w:val="fr-FR"/>
        </w:rPr>
        <w:t>représentants ont souligné l</w:t>
      </w:r>
      <w:r w:rsidR="00CA4DAC">
        <w:rPr>
          <w:lang w:val="fr-FR"/>
        </w:rPr>
        <w:t>’</w:t>
      </w:r>
      <w:r w:rsidRPr="002A2EA6">
        <w:rPr>
          <w:lang w:val="fr-FR"/>
        </w:rPr>
        <w:t>importance d</w:t>
      </w:r>
      <w:r w:rsidR="00CA4DAC">
        <w:rPr>
          <w:lang w:val="fr-FR"/>
        </w:rPr>
        <w:t>’</w:t>
      </w:r>
      <w:r w:rsidRPr="002A2EA6">
        <w:rPr>
          <w:lang w:val="fr-FR"/>
        </w:rPr>
        <w:t xml:space="preserve">une coopération </w:t>
      </w:r>
      <w:r w:rsidR="00AA560B" w:rsidRPr="002A2EA6">
        <w:rPr>
          <w:lang w:val="fr-FR"/>
        </w:rPr>
        <w:t xml:space="preserve">efficace </w:t>
      </w:r>
      <w:r w:rsidRPr="002A2EA6">
        <w:rPr>
          <w:lang w:val="fr-FR"/>
        </w:rPr>
        <w:t>avec le Secrétariat des</w:t>
      </w:r>
      <w:r w:rsidR="00CE52B4" w:rsidRPr="002A2EA6">
        <w:rPr>
          <w:lang w:val="fr-FR"/>
        </w:rPr>
        <w:t> </w:t>
      </w:r>
      <w:r w:rsidR="00A1544E" w:rsidRPr="002A2EA6">
        <w:rPr>
          <w:lang w:val="fr-FR"/>
        </w:rPr>
        <w:t>c</w:t>
      </w:r>
      <w:r w:rsidRPr="002A2EA6">
        <w:rPr>
          <w:lang w:val="fr-FR"/>
        </w:rPr>
        <w:t xml:space="preserve">onventions de Bâle, de Rotterdam et de Stockholm, </w:t>
      </w:r>
      <w:r w:rsidR="32138901" w:rsidRPr="002A2EA6">
        <w:rPr>
          <w:lang w:val="fr-FR"/>
        </w:rPr>
        <w:t xml:space="preserve">en particulier </w:t>
      </w:r>
      <w:r w:rsidRPr="002A2EA6">
        <w:rPr>
          <w:lang w:val="fr-FR"/>
        </w:rPr>
        <w:t>dans le contexte du petit groupe de travail intersessions de la Convention de Bâle qui mettait à jour les directives. Un autre représentant a indiqué que son pays avait participé à ces travaux et demeurait résolu à coopérer étroitement avec la</w:t>
      </w:r>
      <w:r w:rsidR="00CE52B4" w:rsidRPr="002A2EA6">
        <w:rPr>
          <w:lang w:val="fr-FR"/>
        </w:rPr>
        <w:t> </w:t>
      </w:r>
      <w:r w:rsidRPr="002A2EA6">
        <w:rPr>
          <w:lang w:val="fr-FR"/>
        </w:rPr>
        <w:t>Convention de Minamata concernant les directives, soulignant qu</w:t>
      </w:r>
      <w:r w:rsidR="00CA4DAC">
        <w:rPr>
          <w:lang w:val="fr-FR"/>
        </w:rPr>
        <w:t>’</w:t>
      </w:r>
      <w:r w:rsidRPr="002A2EA6">
        <w:rPr>
          <w:lang w:val="fr-FR"/>
        </w:rPr>
        <w:t>il importa</w:t>
      </w:r>
      <w:r w:rsidR="004A7F49" w:rsidRPr="002A2EA6">
        <w:rPr>
          <w:lang w:val="fr-FR"/>
        </w:rPr>
        <w:t>i</w:t>
      </w:r>
      <w:r w:rsidRPr="002A2EA6">
        <w:rPr>
          <w:lang w:val="fr-FR"/>
        </w:rPr>
        <w:t>t que la</w:t>
      </w:r>
      <w:r w:rsidR="00CE52B4" w:rsidRPr="002A2EA6">
        <w:rPr>
          <w:lang w:val="fr-FR"/>
        </w:rPr>
        <w:t> </w:t>
      </w:r>
      <w:r w:rsidRPr="002A2EA6">
        <w:rPr>
          <w:lang w:val="fr-FR"/>
        </w:rPr>
        <w:t>Conférence des</w:t>
      </w:r>
      <w:r w:rsidR="0070208A" w:rsidRPr="002A2EA6">
        <w:rPr>
          <w:lang w:val="fr-FR"/>
        </w:rPr>
        <w:t> </w:t>
      </w:r>
      <w:r w:rsidRPr="002A2EA6">
        <w:rPr>
          <w:lang w:val="fr-FR"/>
        </w:rPr>
        <w:t>Parties à la Convention de Minamata convienne d</w:t>
      </w:r>
      <w:r w:rsidR="00CA4DAC">
        <w:rPr>
          <w:lang w:val="fr-FR"/>
        </w:rPr>
        <w:t>’</w:t>
      </w:r>
      <w:r w:rsidRPr="002A2EA6">
        <w:rPr>
          <w:lang w:val="fr-FR"/>
        </w:rPr>
        <w:t xml:space="preserve">un seuil pour les déchets de mercure, afin que ce seuil puisse être inclus dans les directives et utilisé par les Parties aux </w:t>
      </w:r>
      <w:r w:rsidR="00A1544E" w:rsidRPr="002A2EA6">
        <w:rPr>
          <w:lang w:val="fr-FR"/>
        </w:rPr>
        <w:t>c</w:t>
      </w:r>
      <w:r w:rsidRPr="002A2EA6">
        <w:rPr>
          <w:lang w:val="fr-FR"/>
        </w:rPr>
        <w:t>onventions de Bâle et de</w:t>
      </w:r>
      <w:r w:rsidR="0070208A" w:rsidRPr="002A2EA6">
        <w:rPr>
          <w:lang w:val="fr-FR"/>
        </w:rPr>
        <w:t> </w:t>
      </w:r>
      <w:r w:rsidRPr="002A2EA6">
        <w:rPr>
          <w:lang w:val="fr-FR"/>
        </w:rPr>
        <w:t>Minamata.</w:t>
      </w:r>
    </w:p>
    <w:p w14:paraId="5AEFEFEB" w14:textId="1FC9DD0C"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lastRenderedPageBreak/>
        <w:t>De nombreux représentants, dont deux s</w:t>
      </w:r>
      <w:r w:rsidR="00CA4DAC">
        <w:rPr>
          <w:lang w:val="fr-FR"/>
        </w:rPr>
        <w:t>’</w:t>
      </w:r>
      <w:r w:rsidRPr="002A2EA6">
        <w:rPr>
          <w:lang w:val="fr-FR"/>
        </w:rPr>
        <w:t>exprimant au nom de groupes de pays, ont mis en garde contre l</w:t>
      </w:r>
      <w:r w:rsidR="00CA4DAC">
        <w:rPr>
          <w:lang w:val="fr-FR"/>
        </w:rPr>
        <w:t>’</w:t>
      </w:r>
      <w:r w:rsidRPr="002A2EA6">
        <w:rPr>
          <w:lang w:val="fr-FR"/>
        </w:rPr>
        <w:t>établissement de seuils, aux fins de l</w:t>
      </w:r>
      <w:r w:rsidR="00CA4DAC">
        <w:rPr>
          <w:lang w:val="fr-FR"/>
        </w:rPr>
        <w:t>’</w:t>
      </w:r>
      <w:r w:rsidRPr="002A2EA6">
        <w:rPr>
          <w:lang w:val="fr-FR"/>
        </w:rPr>
        <w:t>article</w:t>
      </w:r>
      <w:r w:rsidR="00A1544E" w:rsidRPr="002A2EA6">
        <w:rPr>
          <w:lang w:val="fr-FR"/>
        </w:rPr>
        <w:t> </w:t>
      </w:r>
      <w:r w:rsidRPr="002A2EA6">
        <w:rPr>
          <w:lang w:val="fr-FR"/>
        </w:rPr>
        <w:t>11 de la Convention, s</w:t>
      </w:r>
      <w:r w:rsidR="00CA4DAC">
        <w:rPr>
          <w:lang w:val="fr-FR"/>
        </w:rPr>
        <w:t>’</w:t>
      </w:r>
      <w:r w:rsidRPr="002A2EA6">
        <w:rPr>
          <w:lang w:val="fr-FR"/>
        </w:rPr>
        <w:t>agissant de résidus provenant de l</w:t>
      </w:r>
      <w:r w:rsidR="00CA4DAC">
        <w:rPr>
          <w:lang w:val="fr-FR"/>
        </w:rPr>
        <w:t>’</w:t>
      </w:r>
      <w:r w:rsidRPr="002A2EA6">
        <w:rPr>
          <w:lang w:val="fr-FR"/>
        </w:rPr>
        <w:t>extraction artisanale et à petite échelle d</w:t>
      </w:r>
      <w:r w:rsidR="00CA4DAC">
        <w:rPr>
          <w:lang w:val="fr-FR"/>
        </w:rPr>
        <w:t>’</w:t>
      </w:r>
      <w:r w:rsidRPr="002A2EA6">
        <w:rPr>
          <w:lang w:val="fr-FR"/>
        </w:rPr>
        <w:t>or et son traitement, qui étaient considérés comme des déchets de la catégorie</w:t>
      </w:r>
      <w:r w:rsidR="00A1544E" w:rsidRPr="002A2EA6">
        <w:rPr>
          <w:lang w:val="fr-FR"/>
        </w:rPr>
        <w:t> </w:t>
      </w:r>
      <w:r w:rsidRPr="002A2EA6">
        <w:rPr>
          <w:lang w:val="fr-FR"/>
        </w:rPr>
        <w:t>C dans le projet de décision mais présentaient des caractéristiques spécifiques qui justifiaient une approche différente, comme indiqué à l</w:t>
      </w:r>
      <w:r w:rsidR="00CA4DAC">
        <w:rPr>
          <w:lang w:val="fr-FR"/>
        </w:rPr>
        <w:t>’</w:t>
      </w:r>
      <w:r w:rsidRPr="002A2EA6">
        <w:rPr>
          <w:lang w:val="fr-FR"/>
        </w:rPr>
        <w:t>article</w:t>
      </w:r>
      <w:r w:rsidR="00A1544E" w:rsidRPr="002A2EA6">
        <w:rPr>
          <w:lang w:val="fr-FR"/>
        </w:rPr>
        <w:t> </w:t>
      </w:r>
      <w:r w:rsidRPr="002A2EA6">
        <w:rPr>
          <w:lang w:val="fr-FR"/>
        </w:rPr>
        <w:t>7 de la Convention. Deux</w:t>
      </w:r>
      <w:r w:rsidR="00A1544E" w:rsidRPr="002A2EA6">
        <w:rPr>
          <w:lang w:val="fr-FR"/>
        </w:rPr>
        <w:t> </w:t>
      </w:r>
      <w:r w:rsidRPr="002A2EA6">
        <w:rPr>
          <w:lang w:val="fr-FR"/>
        </w:rPr>
        <w:t>représentants, dont un s</w:t>
      </w:r>
      <w:r w:rsidR="00CA4DAC">
        <w:rPr>
          <w:lang w:val="fr-FR"/>
        </w:rPr>
        <w:t>’</w:t>
      </w:r>
      <w:r w:rsidRPr="002A2EA6">
        <w:rPr>
          <w:lang w:val="fr-FR"/>
        </w:rPr>
        <w:t>exprimant au nom d</w:t>
      </w:r>
      <w:r w:rsidR="00CA4DAC">
        <w:rPr>
          <w:lang w:val="fr-FR"/>
        </w:rPr>
        <w:t>’</w:t>
      </w:r>
      <w:r w:rsidRPr="002A2EA6">
        <w:rPr>
          <w:lang w:val="fr-FR"/>
        </w:rPr>
        <w:t>un groupe de pays, ont proposé que la gestion des</w:t>
      </w:r>
      <w:r w:rsidR="0070208A" w:rsidRPr="002A2EA6">
        <w:rPr>
          <w:lang w:val="fr-FR"/>
        </w:rPr>
        <w:t> </w:t>
      </w:r>
      <w:r w:rsidRPr="002A2EA6">
        <w:rPr>
          <w:lang w:val="fr-FR"/>
        </w:rPr>
        <w:t>déchets résultant de l</w:t>
      </w:r>
      <w:r w:rsidR="00CA4DAC">
        <w:rPr>
          <w:lang w:val="fr-FR"/>
        </w:rPr>
        <w:t>’</w:t>
      </w:r>
      <w:r w:rsidRPr="002A2EA6">
        <w:rPr>
          <w:lang w:val="fr-FR"/>
        </w:rPr>
        <w:t>extraction artisanale et à petite échelle soit prise en compte dans les plans nationaux d</w:t>
      </w:r>
      <w:r w:rsidR="00CA4DAC">
        <w:rPr>
          <w:lang w:val="fr-FR"/>
        </w:rPr>
        <w:t>’</w:t>
      </w:r>
      <w:r w:rsidRPr="002A2EA6">
        <w:rPr>
          <w:lang w:val="fr-FR"/>
        </w:rPr>
        <w:t>action concernant ces activités, et que des orientations appropriées soient mises au point pour promouvoir la gestion écologiquement rationnelle de ces déchets au titre desdits plans. Un</w:t>
      </w:r>
      <w:r w:rsidR="00CE52B4" w:rsidRPr="002A2EA6">
        <w:rPr>
          <w:lang w:val="fr-FR"/>
        </w:rPr>
        <w:t> </w:t>
      </w:r>
      <w:r w:rsidRPr="002A2EA6">
        <w:rPr>
          <w:lang w:val="fr-FR"/>
        </w:rPr>
        <w:t>représentant a suggéré en outre que des spécialistes des déchets issus de l</w:t>
      </w:r>
      <w:r w:rsidR="00CA4DAC">
        <w:rPr>
          <w:lang w:val="fr-FR"/>
        </w:rPr>
        <w:t>’</w:t>
      </w:r>
      <w:r w:rsidRPr="002A2EA6">
        <w:rPr>
          <w:lang w:val="fr-FR"/>
        </w:rPr>
        <w:t>extraction artisanale et à</w:t>
      </w:r>
      <w:r w:rsidR="00CE52B4" w:rsidRPr="002A2EA6">
        <w:rPr>
          <w:lang w:val="fr-FR"/>
        </w:rPr>
        <w:t> </w:t>
      </w:r>
      <w:r w:rsidRPr="002A2EA6">
        <w:rPr>
          <w:lang w:val="fr-FR"/>
        </w:rPr>
        <w:t>petite échelle d</w:t>
      </w:r>
      <w:r w:rsidR="00CA4DAC">
        <w:rPr>
          <w:lang w:val="fr-FR"/>
        </w:rPr>
        <w:t>’</w:t>
      </w:r>
      <w:r w:rsidRPr="002A2EA6">
        <w:rPr>
          <w:lang w:val="fr-FR"/>
        </w:rPr>
        <w:t>or participent activement à la révision des directives techniques de la Convention de Bâle sur les déchets de mercure.</w:t>
      </w:r>
    </w:p>
    <w:p w14:paraId="41D3E0EA" w14:textId="4ADD55CF" w:rsidR="005652C0" w:rsidRPr="002A2EA6" w:rsidRDefault="005652C0" w:rsidP="00A056A2">
      <w:pPr>
        <w:pStyle w:val="Normalnumber"/>
        <w:numPr>
          <w:ilvl w:val="0"/>
          <w:numId w:val="42"/>
        </w:numPr>
        <w:tabs>
          <w:tab w:val="clear" w:pos="1814"/>
          <w:tab w:val="left" w:pos="1843"/>
          <w:tab w:val="left" w:pos="1985"/>
        </w:tabs>
        <w:ind w:left="1288" w:hanging="28"/>
        <w:rPr>
          <w:lang w:val="fr-FR"/>
        </w:rPr>
      </w:pPr>
      <w:r w:rsidRPr="002A2EA6">
        <w:rPr>
          <w:lang w:val="fr-FR"/>
        </w:rPr>
        <w:t>Plusieurs observateurs ont formulé des observations sur le projet de décision. L</w:t>
      </w:r>
      <w:r w:rsidR="00CA4DAC">
        <w:rPr>
          <w:lang w:val="fr-FR"/>
        </w:rPr>
        <w:t>’</w:t>
      </w:r>
      <w:r w:rsidRPr="002A2EA6">
        <w:rPr>
          <w:lang w:val="fr-FR"/>
        </w:rPr>
        <w:t>un d</w:t>
      </w:r>
      <w:r w:rsidR="00CA4DAC">
        <w:rPr>
          <w:lang w:val="fr-FR"/>
        </w:rPr>
        <w:t>’</w:t>
      </w:r>
      <w:r w:rsidRPr="002A2EA6">
        <w:rPr>
          <w:lang w:val="fr-FR"/>
        </w:rPr>
        <w:t xml:space="preserve">eux a déclaré que le projet de décision devrait </w:t>
      </w:r>
      <w:r w:rsidR="006F2F2B" w:rsidRPr="002A2EA6">
        <w:rPr>
          <w:lang w:val="fr-FR"/>
        </w:rPr>
        <w:t xml:space="preserve">définir </w:t>
      </w:r>
      <w:r w:rsidR="006A540E" w:rsidRPr="002A2EA6">
        <w:rPr>
          <w:lang w:val="fr-FR"/>
        </w:rPr>
        <w:t xml:space="preserve">comment </w:t>
      </w:r>
      <w:r w:rsidRPr="002A2EA6">
        <w:rPr>
          <w:lang w:val="fr-FR"/>
        </w:rPr>
        <w:t xml:space="preserve">les </w:t>
      </w:r>
      <w:r w:rsidR="008B0DCA" w:rsidRPr="002A2EA6">
        <w:rPr>
          <w:lang w:val="fr-FR"/>
        </w:rPr>
        <w:t>s</w:t>
      </w:r>
      <w:r w:rsidRPr="002A2EA6">
        <w:rPr>
          <w:lang w:val="fr-FR"/>
        </w:rPr>
        <w:t>ecrétariats des</w:t>
      </w:r>
      <w:r w:rsidR="00CE52B4" w:rsidRPr="002A2EA6">
        <w:rPr>
          <w:lang w:val="fr-FR"/>
        </w:rPr>
        <w:t> </w:t>
      </w:r>
      <w:r w:rsidR="00A1544E" w:rsidRPr="002A2EA6">
        <w:rPr>
          <w:lang w:val="fr-FR"/>
        </w:rPr>
        <w:t>c</w:t>
      </w:r>
      <w:r w:rsidRPr="002A2EA6">
        <w:rPr>
          <w:lang w:val="fr-FR"/>
        </w:rPr>
        <w:t>onventions de Bâle et de</w:t>
      </w:r>
      <w:r w:rsidR="0070208A" w:rsidRPr="002A2EA6">
        <w:rPr>
          <w:lang w:val="fr-FR"/>
        </w:rPr>
        <w:t> </w:t>
      </w:r>
      <w:r w:rsidRPr="002A2EA6">
        <w:rPr>
          <w:lang w:val="fr-FR"/>
        </w:rPr>
        <w:t xml:space="preserve">Minamata </w:t>
      </w:r>
      <w:r w:rsidR="006A540E" w:rsidRPr="002A2EA6">
        <w:rPr>
          <w:lang w:val="fr-FR"/>
        </w:rPr>
        <w:t xml:space="preserve">pourraient collaborer </w:t>
      </w:r>
      <w:r w:rsidRPr="002A2EA6">
        <w:rPr>
          <w:lang w:val="fr-FR"/>
        </w:rPr>
        <w:t>concernant les directives pour la gestion des déchets de mercure, propos</w:t>
      </w:r>
      <w:r w:rsidR="003767F0" w:rsidRPr="002A2EA6">
        <w:rPr>
          <w:lang w:val="fr-FR"/>
        </w:rPr>
        <w:t>ant</w:t>
      </w:r>
      <w:r w:rsidRPr="002A2EA6">
        <w:rPr>
          <w:lang w:val="fr-FR"/>
        </w:rPr>
        <w:t xml:space="preserve"> deux </w:t>
      </w:r>
      <w:r w:rsidR="003767F0" w:rsidRPr="002A2EA6">
        <w:rPr>
          <w:lang w:val="fr-FR"/>
        </w:rPr>
        <w:t>solutions</w:t>
      </w:r>
      <w:r w:rsidRPr="002A2EA6">
        <w:rPr>
          <w:lang w:val="fr-FR"/>
        </w:rPr>
        <w:t>. Un autre a estimé que les directives techniques de la</w:t>
      </w:r>
      <w:r w:rsidR="00CE52B4" w:rsidRPr="002A2EA6">
        <w:rPr>
          <w:lang w:val="fr-FR"/>
        </w:rPr>
        <w:t> </w:t>
      </w:r>
      <w:r w:rsidRPr="002A2EA6">
        <w:rPr>
          <w:lang w:val="fr-FR"/>
        </w:rPr>
        <w:t>Convention de Bâle sur</w:t>
      </w:r>
      <w:r w:rsidR="00763A13" w:rsidRPr="002A2EA6">
        <w:rPr>
          <w:lang w:val="fr-FR"/>
        </w:rPr>
        <w:t> </w:t>
      </w:r>
      <w:r w:rsidRPr="002A2EA6">
        <w:rPr>
          <w:lang w:val="fr-FR"/>
        </w:rPr>
        <w:t xml:space="preserve">les déchets de mercure ne </w:t>
      </w:r>
      <w:r w:rsidR="003767F0" w:rsidRPr="002A2EA6">
        <w:rPr>
          <w:lang w:val="fr-FR"/>
        </w:rPr>
        <w:t xml:space="preserve">guidaient </w:t>
      </w:r>
      <w:r w:rsidRPr="002A2EA6">
        <w:rPr>
          <w:lang w:val="fr-FR"/>
        </w:rPr>
        <w:t>pas suffisamment la gestion écologiquement rationnelle des déchets dans le secteur de l</w:t>
      </w:r>
      <w:r w:rsidR="00CA4DAC">
        <w:rPr>
          <w:lang w:val="fr-FR"/>
        </w:rPr>
        <w:t>’</w:t>
      </w:r>
      <w:r w:rsidRPr="002A2EA6">
        <w:rPr>
          <w:lang w:val="fr-FR"/>
        </w:rPr>
        <w:t>extraction minière artisanale et à petite échelle d</w:t>
      </w:r>
      <w:r w:rsidR="00CA4DAC">
        <w:rPr>
          <w:lang w:val="fr-FR"/>
        </w:rPr>
        <w:t>’</w:t>
      </w:r>
      <w:r w:rsidRPr="002A2EA6">
        <w:rPr>
          <w:lang w:val="fr-FR"/>
        </w:rPr>
        <w:t xml:space="preserve">or et il a </w:t>
      </w:r>
      <w:r w:rsidR="00395469" w:rsidRPr="002A2EA6">
        <w:rPr>
          <w:lang w:val="fr-FR"/>
        </w:rPr>
        <w:t xml:space="preserve">préconisé </w:t>
      </w:r>
      <w:r w:rsidRPr="002A2EA6">
        <w:rPr>
          <w:lang w:val="fr-FR"/>
        </w:rPr>
        <w:t xml:space="preserve">que des orientations soient élaborées </w:t>
      </w:r>
      <w:r w:rsidR="00395469" w:rsidRPr="002A2EA6">
        <w:rPr>
          <w:lang w:val="fr-FR"/>
        </w:rPr>
        <w:t xml:space="preserve">à cette fin </w:t>
      </w:r>
      <w:r w:rsidRPr="002A2EA6">
        <w:rPr>
          <w:lang w:val="fr-FR"/>
        </w:rPr>
        <w:t>dans le cadre de la Convention de Minamata. Un</w:t>
      </w:r>
      <w:r w:rsidR="0070208A" w:rsidRPr="002A2EA6">
        <w:rPr>
          <w:lang w:val="fr-FR"/>
        </w:rPr>
        <w:t> </w:t>
      </w:r>
      <w:r w:rsidRPr="002A2EA6">
        <w:rPr>
          <w:lang w:val="fr-FR"/>
        </w:rPr>
        <w:t>représentant a déclaré qu</w:t>
      </w:r>
      <w:r w:rsidR="00CA4DAC">
        <w:rPr>
          <w:lang w:val="fr-FR"/>
        </w:rPr>
        <w:t>’</w:t>
      </w:r>
      <w:r w:rsidRPr="002A2EA6">
        <w:rPr>
          <w:lang w:val="fr-FR"/>
        </w:rPr>
        <w:t>il importa</w:t>
      </w:r>
      <w:r w:rsidR="00395469" w:rsidRPr="002A2EA6">
        <w:rPr>
          <w:lang w:val="fr-FR"/>
        </w:rPr>
        <w:t>i</w:t>
      </w:r>
      <w:r w:rsidRPr="002A2EA6">
        <w:rPr>
          <w:lang w:val="fr-FR"/>
        </w:rPr>
        <w:t>t d</w:t>
      </w:r>
      <w:r w:rsidR="00CA4DAC">
        <w:rPr>
          <w:lang w:val="fr-FR"/>
        </w:rPr>
        <w:t>’</w:t>
      </w:r>
      <w:r w:rsidRPr="002A2EA6">
        <w:rPr>
          <w:lang w:val="fr-FR"/>
        </w:rPr>
        <w:t xml:space="preserve">examiner les meilleures technologies disponibles pour éliminer correctement – et non simplement diluer – les déchets de mercure, et créer des synergies avec la Convention de Rotterdam </w:t>
      </w:r>
      <w:r w:rsidR="000852DA" w:rsidRPr="002A2EA6">
        <w:rPr>
          <w:lang w:val="fr-FR"/>
        </w:rPr>
        <w:t xml:space="preserve">dans des domaines tels </w:t>
      </w:r>
      <w:r w:rsidRPr="002A2EA6">
        <w:rPr>
          <w:lang w:val="fr-FR"/>
        </w:rPr>
        <w:t>que les pesticides obsolètes. Un autre représentant a préconisé l</w:t>
      </w:r>
      <w:r w:rsidR="00CA4DAC">
        <w:rPr>
          <w:lang w:val="fr-FR"/>
        </w:rPr>
        <w:t>’</w:t>
      </w:r>
      <w:r w:rsidRPr="002A2EA6">
        <w:rPr>
          <w:lang w:val="fr-FR"/>
        </w:rPr>
        <w:t>adoption d</w:t>
      </w:r>
      <w:r w:rsidR="00CA4DAC">
        <w:rPr>
          <w:lang w:val="fr-FR"/>
        </w:rPr>
        <w:t>’</w:t>
      </w:r>
      <w:r w:rsidRPr="002A2EA6">
        <w:rPr>
          <w:lang w:val="fr-FR"/>
        </w:rPr>
        <w:t>un</w:t>
      </w:r>
      <w:r w:rsidR="00CE52B4" w:rsidRPr="002A2EA6">
        <w:rPr>
          <w:lang w:val="fr-FR"/>
        </w:rPr>
        <w:t> </w:t>
      </w:r>
      <w:r w:rsidRPr="002A2EA6">
        <w:rPr>
          <w:lang w:val="fr-FR"/>
        </w:rPr>
        <w:t>seuil de 1</w:t>
      </w:r>
      <w:r w:rsidR="000036AF" w:rsidRPr="002A2EA6">
        <w:rPr>
          <w:lang w:val="fr-FR"/>
        </w:rPr>
        <w:t> </w:t>
      </w:r>
      <w:r w:rsidRPr="002A2EA6">
        <w:rPr>
          <w:lang w:val="fr-FR"/>
        </w:rPr>
        <w:t>mg/kg pour définir les déchets de mercure, indiquant que le</w:t>
      </w:r>
      <w:r w:rsidR="00ED3E82">
        <w:rPr>
          <w:lang w:val="fr-FR"/>
        </w:rPr>
        <w:t> </w:t>
      </w:r>
      <w:r w:rsidRPr="002A2EA6">
        <w:rPr>
          <w:lang w:val="fr-FR"/>
        </w:rPr>
        <w:t>seuil proposé de 25</w:t>
      </w:r>
      <w:r w:rsidR="000036AF" w:rsidRPr="002A2EA6">
        <w:rPr>
          <w:lang w:val="fr-FR"/>
        </w:rPr>
        <w:t> </w:t>
      </w:r>
      <w:r w:rsidRPr="002A2EA6">
        <w:rPr>
          <w:lang w:val="fr-FR"/>
        </w:rPr>
        <w:t xml:space="preserve">mg/kg était trop élevé, </w:t>
      </w:r>
      <w:r w:rsidR="00AC3024" w:rsidRPr="002A2EA6">
        <w:rPr>
          <w:lang w:val="fr-FR"/>
        </w:rPr>
        <w:t xml:space="preserve">ainsi que </w:t>
      </w:r>
      <w:r w:rsidRPr="002A2EA6">
        <w:rPr>
          <w:lang w:val="fr-FR"/>
        </w:rPr>
        <w:t>l</w:t>
      </w:r>
      <w:r w:rsidR="00CA4DAC">
        <w:rPr>
          <w:lang w:val="fr-FR"/>
        </w:rPr>
        <w:t>’</w:t>
      </w:r>
      <w:r w:rsidRPr="002A2EA6">
        <w:rPr>
          <w:lang w:val="fr-FR"/>
        </w:rPr>
        <w:t>utilisation d</w:t>
      </w:r>
      <w:r w:rsidR="00CA4DAC">
        <w:rPr>
          <w:lang w:val="fr-FR"/>
        </w:rPr>
        <w:t>’</w:t>
      </w:r>
      <w:r w:rsidRPr="002A2EA6">
        <w:rPr>
          <w:lang w:val="fr-FR"/>
        </w:rPr>
        <w:t>une approche à un niveau fondée sur les valeurs de concentration totale pour définir les seuils applicables aux déchets miniers.</w:t>
      </w:r>
    </w:p>
    <w:p w14:paraId="4E632267" w14:textId="2791F923" w:rsidR="001177F2" w:rsidRPr="002A2EA6" w:rsidRDefault="00903F0B"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 xml:space="preserve">issue du débat, la Conférence des Parties </w:t>
      </w:r>
      <w:r w:rsidR="003869F7" w:rsidRPr="002A2EA6">
        <w:rPr>
          <w:lang w:val="fr-FR"/>
        </w:rPr>
        <w:t xml:space="preserve">a décidé </w:t>
      </w:r>
      <w:r w:rsidRPr="002A2EA6">
        <w:rPr>
          <w:lang w:val="fr-FR"/>
        </w:rPr>
        <w:t>de renvoyer la question au groupe de contact sur les questions techniques</w:t>
      </w:r>
      <w:r w:rsidR="3BDF8819" w:rsidRPr="002A2EA6">
        <w:rPr>
          <w:lang w:val="fr-FR"/>
        </w:rPr>
        <w:t xml:space="preserve"> et</w:t>
      </w:r>
      <w:r w:rsidRPr="002A2EA6">
        <w:rPr>
          <w:lang w:val="fr-FR"/>
        </w:rPr>
        <w:t xml:space="preserve"> </w:t>
      </w:r>
      <w:r w:rsidR="003869F7" w:rsidRPr="002A2EA6">
        <w:rPr>
          <w:lang w:val="fr-FR"/>
        </w:rPr>
        <w:t>l</w:t>
      </w:r>
      <w:r w:rsidR="00CA4DAC">
        <w:rPr>
          <w:lang w:val="fr-FR"/>
        </w:rPr>
        <w:t>’</w:t>
      </w:r>
      <w:r w:rsidR="003869F7" w:rsidRPr="002A2EA6">
        <w:rPr>
          <w:lang w:val="fr-FR"/>
        </w:rPr>
        <w:t xml:space="preserve">a prié </w:t>
      </w:r>
      <w:r w:rsidRPr="002A2EA6">
        <w:rPr>
          <w:lang w:val="fr-FR"/>
        </w:rPr>
        <w:t>d</w:t>
      </w:r>
      <w:r w:rsidR="00CA4DAC">
        <w:rPr>
          <w:lang w:val="fr-FR"/>
        </w:rPr>
        <w:t>’</w:t>
      </w:r>
      <w:r w:rsidR="002C39DB" w:rsidRPr="002A2EA6">
        <w:rPr>
          <w:lang w:val="fr-FR"/>
        </w:rPr>
        <w:t>élaborer</w:t>
      </w:r>
      <w:r w:rsidR="4165CD16" w:rsidRPr="002A2EA6">
        <w:rPr>
          <w:lang w:val="fr-FR"/>
        </w:rPr>
        <w:t xml:space="preserve"> un projet de décision</w:t>
      </w:r>
      <w:r w:rsidR="002C39DB" w:rsidRPr="002A2EA6">
        <w:rPr>
          <w:lang w:val="fr-FR"/>
        </w:rPr>
        <w:t xml:space="preserve">, en tenant compte du </w:t>
      </w:r>
      <w:r w:rsidRPr="002A2EA6">
        <w:rPr>
          <w:lang w:val="fr-FR"/>
        </w:rPr>
        <w:t xml:space="preserve">projet de décision figurant </w:t>
      </w:r>
      <w:r w:rsidR="46DD630D" w:rsidRPr="002A2EA6">
        <w:rPr>
          <w:lang w:val="fr-FR"/>
        </w:rPr>
        <w:t>dans</w:t>
      </w:r>
      <w:r w:rsidRPr="002A2EA6">
        <w:rPr>
          <w:lang w:val="fr-FR"/>
        </w:rPr>
        <w:t xml:space="preserve"> l</w:t>
      </w:r>
      <w:r w:rsidR="00CA4DAC">
        <w:rPr>
          <w:lang w:val="fr-FR"/>
        </w:rPr>
        <w:t>’</w:t>
      </w:r>
      <w:r w:rsidRPr="002A2EA6">
        <w:rPr>
          <w:lang w:val="fr-FR"/>
        </w:rPr>
        <w:t>annexe</w:t>
      </w:r>
      <w:r w:rsidR="008B0DCA" w:rsidRPr="002A2EA6">
        <w:rPr>
          <w:lang w:val="fr-FR"/>
        </w:rPr>
        <w:t> </w:t>
      </w:r>
      <w:r w:rsidRPr="002A2EA6">
        <w:rPr>
          <w:lang w:val="fr-FR"/>
        </w:rPr>
        <w:t>I du document</w:t>
      </w:r>
      <w:r w:rsidR="00703D45" w:rsidRPr="002A2EA6">
        <w:rPr>
          <w:lang w:val="fr-FR"/>
        </w:rPr>
        <w:t> </w:t>
      </w:r>
      <w:r w:rsidRPr="002A2EA6">
        <w:rPr>
          <w:lang w:val="fr-FR"/>
        </w:rPr>
        <w:t>UNEP/MC/COP.3/7 et</w:t>
      </w:r>
      <w:r w:rsidR="48EC0B30" w:rsidRPr="002A2EA6">
        <w:rPr>
          <w:lang w:val="fr-FR"/>
        </w:rPr>
        <w:t xml:space="preserve">, </w:t>
      </w:r>
      <w:r w:rsidR="003869F7" w:rsidRPr="002A2EA6">
        <w:rPr>
          <w:lang w:val="fr-FR"/>
        </w:rPr>
        <w:t>au besoin</w:t>
      </w:r>
      <w:r w:rsidR="48EC0B30" w:rsidRPr="002A2EA6">
        <w:rPr>
          <w:lang w:val="fr-FR"/>
        </w:rPr>
        <w:t>,</w:t>
      </w:r>
      <w:r w:rsidRPr="002A2EA6">
        <w:rPr>
          <w:lang w:val="fr-FR"/>
        </w:rPr>
        <w:t xml:space="preserve"> du</w:t>
      </w:r>
      <w:r w:rsidR="00703D45" w:rsidRPr="002A2EA6">
        <w:rPr>
          <w:lang w:val="fr-FR"/>
        </w:rPr>
        <w:t> </w:t>
      </w:r>
      <w:r w:rsidRPr="002A2EA6">
        <w:rPr>
          <w:lang w:val="fr-FR"/>
        </w:rPr>
        <w:t>document de séance présenté par</w:t>
      </w:r>
      <w:r w:rsidR="002C39DB" w:rsidRPr="002A2EA6">
        <w:rPr>
          <w:lang w:val="fr-FR"/>
        </w:rPr>
        <w:t> </w:t>
      </w:r>
      <w:r w:rsidRPr="002A2EA6">
        <w:rPr>
          <w:lang w:val="fr-FR"/>
        </w:rPr>
        <w:t>l</w:t>
      </w:r>
      <w:r w:rsidR="00CA4DAC">
        <w:rPr>
          <w:lang w:val="fr-FR"/>
        </w:rPr>
        <w:t>’</w:t>
      </w:r>
      <w:r w:rsidRPr="002A2EA6">
        <w:rPr>
          <w:lang w:val="fr-FR"/>
        </w:rPr>
        <w:t>Union européenne.</w:t>
      </w:r>
    </w:p>
    <w:bookmarkEnd w:id="24"/>
    <w:p w14:paraId="0AFBA01E" w14:textId="5EBB4174" w:rsidR="0ADEFCAF" w:rsidRPr="002A2EA6" w:rsidRDefault="0ADEFCAF"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A1544E" w:rsidRPr="002A2EA6">
        <w:rPr>
          <w:lang w:val="fr-FR"/>
        </w:rPr>
        <w:t> </w:t>
      </w:r>
      <w:r w:rsidRPr="002A2EA6">
        <w:rPr>
          <w:lang w:val="fr-FR"/>
        </w:rPr>
        <w:t xml:space="preserve">MC-3/5 </w:t>
      </w:r>
      <w:r w:rsidR="00310DDA" w:rsidRPr="002A2EA6">
        <w:rPr>
          <w:lang w:val="fr-FR"/>
        </w:rPr>
        <w:t>(S</w:t>
      </w:r>
      <w:r w:rsidRPr="002A2EA6">
        <w:rPr>
          <w:lang w:val="fr-FR"/>
        </w:rPr>
        <w:t>euils applicables aux</w:t>
      </w:r>
      <w:r w:rsidR="00703D45" w:rsidRPr="002A2EA6">
        <w:rPr>
          <w:lang w:val="fr-FR"/>
        </w:rPr>
        <w:t> </w:t>
      </w:r>
      <w:r w:rsidRPr="002A2EA6">
        <w:rPr>
          <w:lang w:val="fr-FR"/>
        </w:rPr>
        <w:t>déchets de mercure</w:t>
      </w:r>
      <w:r w:rsidR="00310DDA" w:rsidRPr="002A2EA6">
        <w:rPr>
          <w:lang w:val="fr-FR"/>
        </w:rPr>
        <w:t>)</w:t>
      </w:r>
      <w:r w:rsidRPr="002A2EA6">
        <w:rPr>
          <w:lang w:val="fr-FR"/>
        </w:rPr>
        <w:t>, telle que présentée par le groupe de contact sur les questions techniques et</w:t>
      </w:r>
      <w:r w:rsidR="00703D45" w:rsidRPr="002A2EA6">
        <w:rPr>
          <w:lang w:val="fr-FR"/>
        </w:rPr>
        <w:t> </w:t>
      </w:r>
      <w:r w:rsidRPr="002A2EA6">
        <w:rPr>
          <w:lang w:val="fr-FR"/>
        </w:rPr>
        <w:t>amendée oralement</w:t>
      </w:r>
      <w:r w:rsidR="30A3EF1A" w:rsidRPr="002A2EA6">
        <w:rPr>
          <w:lang w:val="fr-FR"/>
        </w:rPr>
        <w:t>, qui figure dans l</w:t>
      </w:r>
      <w:r w:rsidR="00CA4DAC">
        <w:rPr>
          <w:lang w:val="fr-FR"/>
        </w:rPr>
        <w:t>’</w:t>
      </w:r>
      <w:r w:rsidR="30A3EF1A" w:rsidRPr="002A2EA6">
        <w:rPr>
          <w:lang w:val="fr-FR"/>
        </w:rPr>
        <w:t>annexe du présent rapport.</w:t>
      </w:r>
    </w:p>
    <w:p w14:paraId="4344375D" w14:textId="45D37439" w:rsidR="00C7478E" w:rsidRPr="002A2EA6" w:rsidRDefault="00C7478E" w:rsidP="00C7478E">
      <w:pPr>
        <w:pStyle w:val="CH2"/>
        <w:rPr>
          <w:lang w:val="fr-FR"/>
        </w:rPr>
      </w:pPr>
      <w:r w:rsidRPr="002A2EA6">
        <w:rPr>
          <w:lang w:val="fr-FR"/>
        </w:rPr>
        <w:tab/>
      </w:r>
      <w:bookmarkStart w:id="26" w:name="_Toc39063339"/>
      <w:r w:rsidRPr="002A2EA6">
        <w:rPr>
          <w:lang w:val="fr-FR"/>
        </w:rPr>
        <w:t>D.</w:t>
      </w:r>
      <w:r w:rsidRPr="002A2EA6">
        <w:rPr>
          <w:lang w:val="fr-FR"/>
        </w:rPr>
        <w:tab/>
        <w:t>Orientations sur la gestion des sites contaminés</w:t>
      </w:r>
      <w:bookmarkEnd w:id="26"/>
    </w:p>
    <w:p w14:paraId="0DEEFEFB" w14:textId="40DEC66C"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sous-point, le représentant du secrétariat a appelé l</w:t>
      </w:r>
      <w:r w:rsidR="00CA4DAC">
        <w:rPr>
          <w:lang w:val="fr-FR"/>
        </w:rPr>
        <w:t>’</w:t>
      </w:r>
      <w:r w:rsidRPr="002A2EA6">
        <w:rPr>
          <w:lang w:val="fr-FR"/>
        </w:rPr>
        <w:t xml:space="preserve">attention </w:t>
      </w:r>
      <w:r w:rsidR="00F41C2D" w:rsidRPr="002A2EA6">
        <w:rPr>
          <w:lang w:val="fr-FR"/>
        </w:rPr>
        <w:t xml:space="preserve">des participants </w:t>
      </w:r>
      <w:r w:rsidRPr="002A2EA6">
        <w:rPr>
          <w:lang w:val="fr-FR"/>
        </w:rPr>
        <w:t>sur</w:t>
      </w:r>
      <w:r w:rsidR="00703D45" w:rsidRPr="002A2EA6">
        <w:rPr>
          <w:lang w:val="fr-FR"/>
        </w:rPr>
        <w:t> </w:t>
      </w:r>
      <w:r w:rsidRPr="002A2EA6">
        <w:rPr>
          <w:lang w:val="fr-FR"/>
        </w:rPr>
        <w:t>les notes du</w:t>
      </w:r>
      <w:r w:rsidR="00A1544E" w:rsidRPr="002A2EA6">
        <w:rPr>
          <w:lang w:val="fr-FR"/>
        </w:rPr>
        <w:t> </w:t>
      </w:r>
      <w:r w:rsidRPr="002A2EA6">
        <w:rPr>
          <w:lang w:val="fr-FR"/>
        </w:rPr>
        <w:t>secrétariat relatives aux orientations sur la gestion des sites contaminés (UNEP/MC/COP.3/8) et</w:t>
      </w:r>
      <w:r w:rsidR="00A1544E" w:rsidRPr="002A2EA6">
        <w:rPr>
          <w:lang w:val="fr-FR"/>
        </w:rPr>
        <w:t> </w:t>
      </w:r>
      <w:r w:rsidRPr="002A2EA6">
        <w:rPr>
          <w:lang w:val="fr-FR"/>
        </w:rPr>
        <w:t>aux informations techniques destinées à compléter ces orientations (UNEP/MC/COP.3/INF/13), qui</w:t>
      </w:r>
      <w:r w:rsidR="00A1544E" w:rsidRPr="002A2EA6">
        <w:rPr>
          <w:lang w:val="fr-FR"/>
        </w:rPr>
        <w:t> </w:t>
      </w:r>
      <w:r w:rsidRPr="002A2EA6">
        <w:rPr>
          <w:lang w:val="fr-FR"/>
        </w:rPr>
        <w:t xml:space="preserve">avaient été établies comme suite à la décision MC-2/8. Il a rappelé que, </w:t>
      </w:r>
      <w:r w:rsidR="6D2F0B4A" w:rsidRPr="002A2EA6">
        <w:rPr>
          <w:lang w:val="fr-FR"/>
        </w:rPr>
        <w:t xml:space="preserve">dans </w:t>
      </w:r>
      <w:r w:rsidRPr="002A2EA6">
        <w:rPr>
          <w:lang w:val="fr-FR"/>
        </w:rPr>
        <w:t>cette décision, la Conférence des Parties avait prié le secrétariat d</w:t>
      </w:r>
      <w:r w:rsidR="00CA4DAC">
        <w:rPr>
          <w:lang w:val="fr-FR"/>
        </w:rPr>
        <w:t>’</w:t>
      </w:r>
      <w:r w:rsidR="00884799">
        <w:rPr>
          <w:lang w:val="fr-FR"/>
        </w:rPr>
        <w:t>élaborer</w:t>
      </w:r>
      <w:r w:rsidR="009E1E02">
        <w:rPr>
          <w:lang w:val="fr-FR"/>
        </w:rPr>
        <w:t>,</w:t>
      </w:r>
      <w:r w:rsidRPr="002A2EA6">
        <w:rPr>
          <w:lang w:val="fr-FR"/>
        </w:rPr>
        <w:t xml:space="preserve"> </w:t>
      </w:r>
      <w:r w:rsidR="009E1E02" w:rsidRPr="002A2EA6">
        <w:rPr>
          <w:lang w:val="fr-FR"/>
        </w:rPr>
        <w:t>en concertation avec les experts désignés</w:t>
      </w:r>
      <w:r w:rsidR="009E1E02">
        <w:rPr>
          <w:lang w:val="fr-FR"/>
        </w:rPr>
        <w:t>,</w:t>
      </w:r>
      <w:r w:rsidR="009E1E02" w:rsidRPr="002A2EA6">
        <w:rPr>
          <w:lang w:val="fr-FR"/>
        </w:rPr>
        <w:t xml:space="preserve"> </w:t>
      </w:r>
      <w:r w:rsidRPr="002A2EA6">
        <w:rPr>
          <w:lang w:val="fr-FR"/>
        </w:rPr>
        <w:t>un</w:t>
      </w:r>
      <w:r w:rsidR="00B86966">
        <w:rPr>
          <w:lang w:val="fr-FR"/>
        </w:rPr>
        <w:t xml:space="preserve"> projet</w:t>
      </w:r>
      <w:r w:rsidRPr="002A2EA6">
        <w:rPr>
          <w:lang w:val="fr-FR"/>
        </w:rPr>
        <w:t xml:space="preserve"> </w:t>
      </w:r>
      <w:r w:rsidR="00884799">
        <w:rPr>
          <w:lang w:val="fr-FR"/>
        </w:rPr>
        <w:t xml:space="preserve">révisé </w:t>
      </w:r>
      <w:r w:rsidRPr="002A2EA6">
        <w:rPr>
          <w:lang w:val="fr-FR"/>
        </w:rPr>
        <w:t>d</w:t>
      </w:r>
      <w:r w:rsidR="00CA4DAC">
        <w:rPr>
          <w:lang w:val="fr-FR"/>
        </w:rPr>
        <w:t>’</w:t>
      </w:r>
      <w:r w:rsidRPr="002A2EA6">
        <w:rPr>
          <w:lang w:val="fr-FR"/>
        </w:rPr>
        <w:t xml:space="preserve">orientations sur la gestion des sites contaminés </w:t>
      </w:r>
      <w:r w:rsidR="00F83802" w:rsidRPr="002A2EA6">
        <w:rPr>
          <w:lang w:val="fr-FR"/>
        </w:rPr>
        <w:t>qu</w:t>
      </w:r>
      <w:r w:rsidR="00CA4DAC">
        <w:rPr>
          <w:lang w:val="fr-FR"/>
        </w:rPr>
        <w:t>’</w:t>
      </w:r>
      <w:r w:rsidR="00F83802" w:rsidRPr="002A2EA6">
        <w:rPr>
          <w:lang w:val="fr-FR"/>
        </w:rPr>
        <w:t xml:space="preserve">il avait préalablement </w:t>
      </w:r>
      <w:r w:rsidRPr="002A2EA6">
        <w:rPr>
          <w:lang w:val="fr-FR"/>
        </w:rPr>
        <w:t xml:space="preserve">établi. Le secrétariat avait, en conséquence, </w:t>
      </w:r>
      <w:r w:rsidR="00F83802" w:rsidRPr="002A2EA6">
        <w:rPr>
          <w:lang w:val="fr-FR"/>
        </w:rPr>
        <w:t xml:space="preserve">revu </w:t>
      </w:r>
      <w:r w:rsidRPr="002A2EA6">
        <w:rPr>
          <w:lang w:val="fr-FR"/>
        </w:rPr>
        <w:t>ce premier projet d</w:t>
      </w:r>
      <w:r w:rsidR="00CA4DAC">
        <w:rPr>
          <w:lang w:val="fr-FR"/>
        </w:rPr>
        <w:t>’</w:t>
      </w:r>
      <w:r w:rsidRPr="002A2EA6">
        <w:rPr>
          <w:lang w:val="fr-FR"/>
        </w:rPr>
        <w:t>orientations et y</w:t>
      </w:r>
      <w:r w:rsidR="00E07049">
        <w:rPr>
          <w:lang w:val="fr-FR"/>
        </w:rPr>
        <w:t> </w:t>
      </w:r>
      <w:r w:rsidRPr="002A2EA6">
        <w:rPr>
          <w:lang w:val="fr-FR"/>
        </w:rPr>
        <w:t>avait apporté un certain nombre de modifications. Certaines informations techniques et autres communiquées par les Parties et les experts, qui complétaient les orientations, avaient été compilées dans un autre document (UNEP/MC/COP.3/INF/13) et seraient publiées et tenues à jour sur le site Web de la Convention. Un projet de décision sur le projet d</w:t>
      </w:r>
      <w:r w:rsidR="00CA4DAC">
        <w:rPr>
          <w:lang w:val="fr-FR"/>
        </w:rPr>
        <w:t>’</w:t>
      </w:r>
      <w:r w:rsidRPr="002A2EA6">
        <w:rPr>
          <w:lang w:val="fr-FR"/>
        </w:rPr>
        <w:t>orientations figurait dans l</w:t>
      </w:r>
      <w:r w:rsidR="00CA4DAC">
        <w:rPr>
          <w:lang w:val="fr-FR"/>
        </w:rPr>
        <w:t>’</w:t>
      </w:r>
      <w:r w:rsidRPr="002A2EA6">
        <w:rPr>
          <w:lang w:val="fr-FR"/>
        </w:rPr>
        <w:t>annexe I du document</w:t>
      </w:r>
      <w:r w:rsidR="00BF6871" w:rsidRPr="002A2EA6">
        <w:rPr>
          <w:lang w:val="fr-FR"/>
        </w:rPr>
        <w:t> </w:t>
      </w:r>
      <w:r w:rsidRPr="002A2EA6">
        <w:rPr>
          <w:lang w:val="fr-FR"/>
        </w:rPr>
        <w:t>UNEP/MC/COP.3/8, tandis que le projet d</w:t>
      </w:r>
      <w:r w:rsidR="00CA4DAC">
        <w:rPr>
          <w:lang w:val="fr-FR"/>
        </w:rPr>
        <w:t>’</w:t>
      </w:r>
      <w:r w:rsidRPr="002A2EA6">
        <w:rPr>
          <w:lang w:val="fr-FR"/>
        </w:rPr>
        <w:t>orientations figurait dans l</w:t>
      </w:r>
      <w:r w:rsidR="00CA4DAC">
        <w:rPr>
          <w:lang w:val="fr-FR"/>
        </w:rPr>
        <w:t>’</w:t>
      </w:r>
      <w:r w:rsidRPr="002A2EA6">
        <w:rPr>
          <w:lang w:val="fr-FR"/>
        </w:rPr>
        <w:t>annexe II du même</w:t>
      </w:r>
      <w:r w:rsidR="00E07049">
        <w:rPr>
          <w:lang w:val="fr-FR"/>
        </w:rPr>
        <w:t> </w:t>
      </w:r>
      <w:r w:rsidRPr="002A2EA6">
        <w:rPr>
          <w:lang w:val="fr-FR"/>
        </w:rPr>
        <w:t>document.</w:t>
      </w:r>
    </w:p>
    <w:p w14:paraId="7F7B4647" w14:textId="0DFB0DFF"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de nombreux représentants, dont une représentante s</w:t>
      </w:r>
      <w:r w:rsidR="00CA4DAC">
        <w:rPr>
          <w:lang w:val="fr-FR"/>
        </w:rPr>
        <w:t>’</w:t>
      </w:r>
      <w:r w:rsidRPr="002A2EA6">
        <w:rPr>
          <w:lang w:val="fr-FR"/>
        </w:rPr>
        <w:t>exprimant au nom d</w:t>
      </w:r>
      <w:r w:rsidR="00CA4DAC">
        <w:rPr>
          <w:lang w:val="fr-FR"/>
        </w:rPr>
        <w:t>’</w:t>
      </w:r>
      <w:r w:rsidRPr="002A2EA6">
        <w:rPr>
          <w:lang w:val="fr-FR"/>
        </w:rPr>
        <w:t>un groupe de pays, ont remercié le secrétariat et tous ceux qui avaient contribué au projet d</w:t>
      </w:r>
      <w:r w:rsidR="00CA4DAC">
        <w:rPr>
          <w:lang w:val="fr-FR"/>
        </w:rPr>
        <w:t>’</w:t>
      </w:r>
      <w:r w:rsidRPr="002A2EA6">
        <w:rPr>
          <w:lang w:val="fr-FR"/>
        </w:rPr>
        <w:t xml:space="preserve">orientations, notant que ce dernier </w:t>
      </w:r>
      <w:r w:rsidR="00EC173A" w:rsidRPr="002A2EA6">
        <w:rPr>
          <w:lang w:val="fr-FR"/>
        </w:rPr>
        <w:t xml:space="preserve">était utile aux </w:t>
      </w:r>
      <w:r w:rsidRPr="002A2EA6">
        <w:rPr>
          <w:lang w:val="fr-FR"/>
        </w:rPr>
        <w:t xml:space="preserve">Parties et </w:t>
      </w:r>
      <w:r w:rsidR="008B22F9" w:rsidRPr="002A2EA6">
        <w:rPr>
          <w:lang w:val="fr-FR"/>
        </w:rPr>
        <w:t>bien meilleur que s</w:t>
      </w:r>
      <w:r w:rsidRPr="002A2EA6">
        <w:rPr>
          <w:lang w:val="fr-FR"/>
        </w:rPr>
        <w:t>a version antérieure.</w:t>
      </w:r>
    </w:p>
    <w:p w14:paraId="7D6F8182" w14:textId="6260FE3F"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Plusieurs représentants ont estimé qu</w:t>
      </w:r>
      <w:r w:rsidR="00CA4DAC">
        <w:rPr>
          <w:lang w:val="fr-FR"/>
        </w:rPr>
        <w:t>’</w:t>
      </w:r>
      <w:r w:rsidRPr="002A2EA6">
        <w:rPr>
          <w:lang w:val="fr-FR"/>
        </w:rPr>
        <w:t xml:space="preserve">il était possible </w:t>
      </w:r>
      <w:r w:rsidR="008B22F9" w:rsidRPr="002A2EA6">
        <w:rPr>
          <w:lang w:val="fr-FR"/>
        </w:rPr>
        <w:t>d</w:t>
      </w:r>
      <w:r w:rsidR="00CA4DAC">
        <w:rPr>
          <w:lang w:val="fr-FR"/>
        </w:rPr>
        <w:t>’</w:t>
      </w:r>
      <w:r w:rsidR="008B22F9" w:rsidRPr="002A2EA6">
        <w:rPr>
          <w:lang w:val="fr-FR"/>
        </w:rPr>
        <w:t xml:space="preserve">améliorer encore le </w:t>
      </w:r>
      <w:r w:rsidRPr="002A2EA6">
        <w:rPr>
          <w:lang w:val="fr-FR"/>
        </w:rPr>
        <w:t>projet d</w:t>
      </w:r>
      <w:r w:rsidR="00CA4DAC">
        <w:rPr>
          <w:lang w:val="fr-FR"/>
        </w:rPr>
        <w:t>’</w:t>
      </w:r>
      <w:r w:rsidRPr="002A2EA6">
        <w:rPr>
          <w:lang w:val="fr-FR"/>
        </w:rPr>
        <w:t>orientations concernant sa structure, la définition d</w:t>
      </w:r>
      <w:r w:rsidR="00CA4DAC">
        <w:rPr>
          <w:lang w:val="fr-FR"/>
        </w:rPr>
        <w:t>’</w:t>
      </w:r>
      <w:r w:rsidRPr="002A2EA6">
        <w:rPr>
          <w:lang w:val="fr-FR"/>
        </w:rPr>
        <w:t xml:space="preserve">objectifs </w:t>
      </w:r>
      <w:r w:rsidR="000E31A3" w:rsidRPr="002A2EA6">
        <w:rPr>
          <w:lang w:val="fr-FR"/>
        </w:rPr>
        <w:t>précis</w:t>
      </w:r>
      <w:r w:rsidRPr="002A2EA6">
        <w:rPr>
          <w:lang w:val="fr-FR"/>
        </w:rPr>
        <w:t>, sa portée, la définition des</w:t>
      </w:r>
      <w:r w:rsidR="00ED3E82">
        <w:rPr>
          <w:lang w:val="fr-FR"/>
        </w:rPr>
        <w:t> </w:t>
      </w:r>
      <w:r w:rsidRPr="002A2EA6">
        <w:rPr>
          <w:lang w:val="fr-FR"/>
        </w:rPr>
        <w:t>termes et sa clarté du point de vue des questions techniques telles que l</w:t>
      </w:r>
      <w:r w:rsidR="00CA4DAC">
        <w:rPr>
          <w:lang w:val="fr-FR"/>
        </w:rPr>
        <w:t>’</w:t>
      </w:r>
      <w:r w:rsidRPr="002A2EA6">
        <w:rPr>
          <w:lang w:val="fr-FR"/>
        </w:rPr>
        <w:t>identification, la</w:t>
      </w:r>
      <w:r w:rsidR="00ED3E82">
        <w:rPr>
          <w:lang w:val="fr-FR"/>
        </w:rPr>
        <w:t> </w:t>
      </w:r>
      <w:r w:rsidRPr="002A2EA6">
        <w:rPr>
          <w:lang w:val="fr-FR"/>
        </w:rPr>
        <w:t>caractérisation, l</w:t>
      </w:r>
      <w:r w:rsidR="00CA4DAC">
        <w:rPr>
          <w:lang w:val="fr-FR"/>
        </w:rPr>
        <w:t>’</w:t>
      </w:r>
      <w:r w:rsidRPr="002A2EA6">
        <w:rPr>
          <w:lang w:val="fr-FR"/>
        </w:rPr>
        <w:t>évaluation des</w:t>
      </w:r>
      <w:r w:rsidR="0070208A" w:rsidRPr="002A2EA6">
        <w:rPr>
          <w:lang w:val="fr-FR"/>
        </w:rPr>
        <w:t> </w:t>
      </w:r>
      <w:r w:rsidRPr="002A2EA6">
        <w:rPr>
          <w:lang w:val="fr-FR"/>
        </w:rPr>
        <w:t>risques et les mesures de décontamination des sites.</w:t>
      </w:r>
    </w:p>
    <w:p w14:paraId="763E7592" w14:textId="1E65CB96"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De nombreux représentants, dont l</w:t>
      </w:r>
      <w:r w:rsidR="00CA4DAC">
        <w:rPr>
          <w:lang w:val="fr-FR"/>
        </w:rPr>
        <w:t>’</w:t>
      </w:r>
      <w:r w:rsidRPr="002A2EA6">
        <w:rPr>
          <w:lang w:val="fr-FR"/>
        </w:rPr>
        <w:t>un s</w:t>
      </w:r>
      <w:r w:rsidR="00CA4DAC">
        <w:rPr>
          <w:lang w:val="fr-FR"/>
        </w:rPr>
        <w:t>’</w:t>
      </w:r>
      <w:r w:rsidRPr="002A2EA6">
        <w:rPr>
          <w:lang w:val="fr-FR"/>
        </w:rPr>
        <w:t>exprimait au nom d</w:t>
      </w:r>
      <w:r w:rsidR="00CA4DAC">
        <w:rPr>
          <w:lang w:val="fr-FR"/>
        </w:rPr>
        <w:t>’</w:t>
      </w:r>
      <w:r w:rsidRPr="002A2EA6">
        <w:rPr>
          <w:lang w:val="fr-FR"/>
        </w:rPr>
        <w:t>un groupe de pays, ont déclaré qu</w:t>
      </w:r>
      <w:r w:rsidR="00CA4DAC">
        <w:rPr>
          <w:lang w:val="fr-FR"/>
        </w:rPr>
        <w:t>’</w:t>
      </w:r>
      <w:r w:rsidRPr="002A2EA6">
        <w:rPr>
          <w:lang w:val="fr-FR"/>
        </w:rPr>
        <w:t>il était essentiel que la Conférence des Parties adopte les orientations sur la gestion des sites contaminés à de la réunion en cours afin que les Parties puissent commencer à les appliquer et ont indiqué qu</w:t>
      </w:r>
      <w:r w:rsidR="00CA4DAC">
        <w:rPr>
          <w:lang w:val="fr-FR"/>
        </w:rPr>
        <w:t>’</w:t>
      </w:r>
      <w:r w:rsidRPr="002A2EA6">
        <w:rPr>
          <w:lang w:val="fr-FR"/>
        </w:rPr>
        <w:t xml:space="preserve">il </w:t>
      </w:r>
      <w:r w:rsidR="0026059A" w:rsidRPr="002A2EA6">
        <w:rPr>
          <w:lang w:val="fr-FR"/>
        </w:rPr>
        <w:t xml:space="preserve">fallait </w:t>
      </w:r>
      <w:r w:rsidRPr="002A2EA6">
        <w:rPr>
          <w:lang w:val="fr-FR"/>
        </w:rPr>
        <w:t xml:space="preserve">apporter aux Parties un appui technique ou autre pour les aider à mettre en œuvre les orientations. De nombreux représentants ont </w:t>
      </w:r>
      <w:r w:rsidR="0026059A" w:rsidRPr="002A2EA6">
        <w:rPr>
          <w:lang w:val="fr-FR"/>
        </w:rPr>
        <w:t xml:space="preserve">rappelé </w:t>
      </w:r>
      <w:r w:rsidRPr="002A2EA6">
        <w:rPr>
          <w:lang w:val="fr-FR"/>
        </w:rPr>
        <w:t xml:space="preserve">les mesures législatives et autres prises par </w:t>
      </w:r>
      <w:r w:rsidRPr="002A2EA6">
        <w:rPr>
          <w:lang w:val="fr-FR"/>
        </w:rPr>
        <w:lastRenderedPageBreak/>
        <w:t xml:space="preserve">leur pays pour repérer et gérer les sites contaminés et </w:t>
      </w:r>
      <w:r w:rsidR="0026059A" w:rsidRPr="002A2EA6">
        <w:rPr>
          <w:lang w:val="fr-FR"/>
        </w:rPr>
        <w:t xml:space="preserve">ont </w:t>
      </w:r>
      <w:r w:rsidRPr="002A2EA6">
        <w:rPr>
          <w:lang w:val="fr-FR"/>
        </w:rPr>
        <w:t>déclaré que les orientations contribueraient à ces efforts.</w:t>
      </w:r>
    </w:p>
    <w:p w14:paraId="6B409505" w14:textId="2BC40F6D" w:rsidR="05A55CCF" w:rsidRPr="002A2EA6" w:rsidRDefault="0026059A"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05A55CCF" w:rsidRPr="002A2EA6">
        <w:rPr>
          <w:lang w:val="fr-FR"/>
        </w:rPr>
        <w:t>exprimant au nom d</w:t>
      </w:r>
      <w:r w:rsidR="00CA4DAC">
        <w:rPr>
          <w:lang w:val="fr-FR"/>
        </w:rPr>
        <w:t>’</w:t>
      </w:r>
      <w:r w:rsidR="05A55CCF" w:rsidRPr="002A2EA6">
        <w:rPr>
          <w:lang w:val="fr-FR"/>
        </w:rPr>
        <w:t xml:space="preserve">un groupe de pays, </w:t>
      </w:r>
      <w:r w:rsidRPr="002A2EA6">
        <w:rPr>
          <w:lang w:val="fr-FR"/>
        </w:rPr>
        <w:t xml:space="preserve">un représentant </w:t>
      </w:r>
      <w:r w:rsidR="05A55CCF" w:rsidRPr="002A2EA6">
        <w:rPr>
          <w:lang w:val="fr-FR"/>
        </w:rPr>
        <w:t>a fait savoir que la question des sites contaminés par le mercure revêtait une importance particulière pour les pays africains en raison de la</w:t>
      </w:r>
      <w:r w:rsidR="0070208A" w:rsidRPr="002A2EA6">
        <w:rPr>
          <w:lang w:val="fr-FR"/>
        </w:rPr>
        <w:t> </w:t>
      </w:r>
      <w:r w:rsidR="05A55CCF" w:rsidRPr="002A2EA6">
        <w:rPr>
          <w:lang w:val="fr-FR"/>
        </w:rPr>
        <w:t>présence dans ces pays de sites d</w:t>
      </w:r>
      <w:r w:rsidR="00CA4DAC">
        <w:rPr>
          <w:lang w:val="fr-FR"/>
        </w:rPr>
        <w:t>’</w:t>
      </w:r>
      <w:r w:rsidR="05A55CCF" w:rsidRPr="002A2EA6">
        <w:rPr>
          <w:lang w:val="fr-FR"/>
        </w:rPr>
        <w:t>extraction artisanale et à petite échelle d</w:t>
      </w:r>
      <w:r w:rsidR="00CA4DAC">
        <w:rPr>
          <w:lang w:val="fr-FR"/>
        </w:rPr>
        <w:t>’</w:t>
      </w:r>
      <w:r w:rsidR="05A55CCF" w:rsidRPr="002A2EA6">
        <w:rPr>
          <w:lang w:val="fr-FR"/>
        </w:rPr>
        <w:t>or</w:t>
      </w:r>
      <w:r w:rsidR="00A1544E" w:rsidRPr="002A2EA6">
        <w:rPr>
          <w:lang w:val="fr-FR"/>
        </w:rPr>
        <w:t> </w:t>
      </w:r>
      <w:r w:rsidR="631BDA25" w:rsidRPr="002A2EA6">
        <w:rPr>
          <w:lang w:val="fr-FR"/>
        </w:rPr>
        <w:t>;</w:t>
      </w:r>
      <w:r w:rsidR="05A55CCF" w:rsidRPr="002A2EA6">
        <w:rPr>
          <w:lang w:val="fr-FR"/>
        </w:rPr>
        <w:t xml:space="preserve"> de sites de brûlage à</w:t>
      </w:r>
      <w:r w:rsidR="00DE3830" w:rsidRPr="002A2EA6">
        <w:rPr>
          <w:lang w:val="fr-FR"/>
        </w:rPr>
        <w:t> </w:t>
      </w:r>
      <w:r w:rsidR="05A55CCF" w:rsidRPr="002A2EA6">
        <w:rPr>
          <w:lang w:val="fr-FR"/>
        </w:rPr>
        <w:t>l</w:t>
      </w:r>
      <w:r w:rsidR="00CA4DAC">
        <w:rPr>
          <w:lang w:val="fr-FR"/>
        </w:rPr>
        <w:t>’</w:t>
      </w:r>
      <w:r w:rsidR="05A55CCF" w:rsidRPr="002A2EA6">
        <w:rPr>
          <w:lang w:val="fr-FR"/>
        </w:rPr>
        <w:t>air libre de déchets municipaux, y compris des produits contenant du mercure ajouté en fin de vie</w:t>
      </w:r>
      <w:r w:rsidR="00A1544E" w:rsidRPr="002A2EA6">
        <w:rPr>
          <w:lang w:val="fr-FR"/>
        </w:rPr>
        <w:t> </w:t>
      </w:r>
      <w:r w:rsidR="631BDA25" w:rsidRPr="002A2EA6">
        <w:rPr>
          <w:lang w:val="fr-FR"/>
        </w:rPr>
        <w:t>;</w:t>
      </w:r>
      <w:r w:rsidR="05A55CCF" w:rsidRPr="002A2EA6">
        <w:rPr>
          <w:lang w:val="fr-FR"/>
        </w:rPr>
        <w:t xml:space="preserve"> d</w:t>
      </w:r>
      <w:r w:rsidR="00CA4DAC">
        <w:rPr>
          <w:lang w:val="fr-FR"/>
        </w:rPr>
        <w:t>’</w:t>
      </w:r>
      <w:r w:rsidR="05A55CCF" w:rsidRPr="002A2EA6">
        <w:rPr>
          <w:lang w:val="fr-FR"/>
        </w:rPr>
        <w:t>entreprises qui utilisaient du mercure et ne disposaient d</w:t>
      </w:r>
      <w:r w:rsidR="00CA4DAC">
        <w:rPr>
          <w:lang w:val="fr-FR"/>
        </w:rPr>
        <w:t>’</w:t>
      </w:r>
      <w:r w:rsidR="05A55CCF" w:rsidRPr="002A2EA6">
        <w:rPr>
          <w:lang w:val="fr-FR"/>
        </w:rPr>
        <w:t>aucun équipement antipollution</w:t>
      </w:r>
      <w:r w:rsidR="00A1544E" w:rsidRPr="002A2EA6">
        <w:rPr>
          <w:lang w:val="fr-FR"/>
        </w:rPr>
        <w:t> </w:t>
      </w:r>
      <w:r w:rsidR="631BDA25" w:rsidRPr="002A2EA6">
        <w:rPr>
          <w:lang w:val="fr-FR"/>
        </w:rPr>
        <w:t>;</w:t>
      </w:r>
      <w:r w:rsidR="05A55CCF" w:rsidRPr="002A2EA6">
        <w:rPr>
          <w:lang w:val="fr-FR"/>
        </w:rPr>
        <w:t xml:space="preserve"> de</w:t>
      </w:r>
      <w:r w:rsidR="00DE3830" w:rsidRPr="002A2EA6">
        <w:rPr>
          <w:lang w:val="fr-FR"/>
        </w:rPr>
        <w:t> </w:t>
      </w:r>
      <w:r w:rsidR="05A55CCF" w:rsidRPr="002A2EA6">
        <w:rPr>
          <w:lang w:val="fr-FR"/>
        </w:rPr>
        <w:t>la</w:t>
      </w:r>
      <w:r w:rsidR="0070208A" w:rsidRPr="002A2EA6">
        <w:rPr>
          <w:lang w:val="fr-FR"/>
        </w:rPr>
        <w:t> </w:t>
      </w:r>
      <w:r w:rsidR="05A55CCF" w:rsidRPr="002A2EA6">
        <w:rPr>
          <w:lang w:val="fr-FR"/>
        </w:rPr>
        <w:t>grande proximité des zones de dépôts atmosphériques de mercure par rapport aux zones résidentielles et aux aires protégées, si bien que les populations et les espèces sauvages risquaient d</w:t>
      </w:r>
      <w:r w:rsidR="00CA4DAC">
        <w:rPr>
          <w:lang w:val="fr-FR"/>
        </w:rPr>
        <w:t>’</w:t>
      </w:r>
      <w:r w:rsidR="05A55CCF" w:rsidRPr="002A2EA6">
        <w:rPr>
          <w:lang w:val="fr-FR"/>
        </w:rPr>
        <w:t>être exposées au mercure.</w:t>
      </w:r>
    </w:p>
    <w:p w14:paraId="480A6CFE" w14:textId="287578E6"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Selon de nombreux représentants, dont un s</w:t>
      </w:r>
      <w:r w:rsidR="00CA4DAC">
        <w:rPr>
          <w:lang w:val="fr-FR"/>
        </w:rPr>
        <w:t>’</w:t>
      </w:r>
      <w:r w:rsidRPr="002A2EA6">
        <w:rPr>
          <w:lang w:val="fr-FR"/>
        </w:rPr>
        <w:t>exprimant au nom d</w:t>
      </w:r>
      <w:r w:rsidR="00CA4DAC">
        <w:rPr>
          <w:lang w:val="fr-FR"/>
        </w:rPr>
        <w:t>’</w:t>
      </w:r>
      <w:r w:rsidRPr="002A2EA6">
        <w:rPr>
          <w:lang w:val="fr-FR"/>
        </w:rPr>
        <w:t>un groupe de pays, il</w:t>
      </w:r>
      <w:r w:rsidR="00A1544E" w:rsidRPr="002A2EA6">
        <w:rPr>
          <w:lang w:val="fr-FR"/>
        </w:rPr>
        <w:t> </w:t>
      </w:r>
      <w:r w:rsidRPr="002A2EA6">
        <w:rPr>
          <w:lang w:val="fr-FR"/>
        </w:rPr>
        <w:t xml:space="preserve">convenait de fournir aux Parties une assistance technique ainsi que des moyens de renforcer </w:t>
      </w:r>
      <w:r w:rsidR="00E2455A" w:rsidRPr="002A2EA6">
        <w:rPr>
          <w:lang w:val="fr-FR"/>
        </w:rPr>
        <w:t>leurs</w:t>
      </w:r>
      <w:r w:rsidR="0070208A" w:rsidRPr="002A2EA6">
        <w:rPr>
          <w:lang w:val="fr-FR"/>
        </w:rPr>
        <w:t> </w:t>
      </w:r>
      <w:r w:rsidRPr="002A2EA6">
        <w:rPr>
          <w:lang w:val="fr-FR"/>
        </w:rPr>
        <w:t>capacités et un appui financier pour les aider à appliquer les orientations, lesquelles devaient faire l</w:t>
      </w:r>
      <w:r w:rsidR="00CA4DAC">
        <w:rPr>
          <w:lang w:val="fr-FR"/>
        </w:rPr>
        <w:t>’</w:t>
      </w:r>
      <w:r w:rsidRPr="002A2EA6">
        <w:rPr>
          <w:lang w:val="fr-FR"/>
        </w:rPr>
        <w:t>objet d</w:t>
      </w:r>
      <w:r w:rsidR="00CA4DAC">
        <w:rPr>
          <w:lang w:val="fr-FR"/>
        </w:rPr>
        <w:t>’</w:t>
      </w:r>
      <w:r w:rsidRPr="002A2EA6">
        <w:rPr>
          <w:lang w:val="fr-FR"/>
        </w:rPr>
        <w:t xml:space="preserve">une révision périodique à la lumière des nouvelles informations </w:t>
      </w:r>
      <w:r w:rsidR="00C14D89" w:rsidRPr="002A2EA6">
        <w:rPr>
          <w:lang w:val="fr-FR"/>
        </w:rPr>
        <w:t xml:space="preserve">disponibles </w:t>
      </w:r>
      <w:r w:rsidRPr="002A2EA6">
        <w:rPr>
          <w:lang w:val="fr-FR"/>
        </w:rPr>
        <w:t>et de l</w:t>
      </w:r>
      <w:r w:rsidR="00CA4DAC">
        <w:rPr>
          <w:lang w:val="fr-FR"/>
        </w:rPr>
        <w:t>’</w:t>
      </w:r>
      <w:r w:rsidRPr="002A2EA6">
        <w:rPr>
          <w:lang w:val="fr-FR"/>
        </w:rPr>
        <w:t>expérience acquise pendant leur mise en œuvre. Deux</w:t>
      </w:r>
      <w:r w:rsidR="00A1544E" w:rsidRPr="002A2EA6">
        <w:rPr>
          <w:lang w:val="fr-FR"/>
        </w:rPr>
        <w:t> </w:t>
      </w:r>
      <w:r w:rsidRPr="002A2EA6">
        <w:rPr>
          <w:lang w:val="fr-FR"/>
        </w:rPr>
        <w:t>représentants ont indiqué que les orientations devaient faire l</w:t>
      </w:r>
      <w:r w:rsidR="00CA4DAC">
        <w:rPr>
          <w:lang w:val="fr-FR"/>
        </w:rPr>
        <w:t>’</w:t>
      </w:r>
      <w:r w:rsidRPr="002A2EA6">
        <w:rPr>
          <w:lang w:val="fr-FR"/>
        </w:rPr>
        <w:t>objet d</w:t>
      </w:r>
      <w:r w:rsidR="00CA4DAC">
        <w:rPr>
          <w:lang w:val="fr-FR"/>
        </w:rPr>
        <w:t>’</w:t>
      </w:r>
      <w:r w:rsidRPr="002A2EA6">
        <w:rPr>
          <w:lang w:val="fr-FR"/>
        </w:rPr>
        <w:t>essais pilotes afin que les résultats de ces essais puissent être pris en compte dans le processus d</w:t>
      </w:r>
      <w:r w:rsidR="00CA4DAC">
        <w:rPr>
          <w:lang w:val="fr-FR"/>
        </w:rPr>
        <w:t>’</w:t>
      </w:r>
      <w:r w:rsidRPr="002A2EA6">
        <w:rPr>
          <w:lang w:val="fr-FR"/>
        </w:rPr>
        <w:t>examen, et proposé qu</w:t>
      </w:r>
      <w:r w:rsidR="00CA4DAC">
        <w:rPr>
          <w:lang w:val="fr-FR"/>
        </w:rPr>
        <w:t>’</w:t>
      </w:r>
      <w:r w:rsidRPr="002A2EA6">
        <w:rPr>
          <w:lang w:val="fr-FR"/>
        </w:rPr>
        <w:t>un calendrier précis soit fixé pour l</w:t>
      </w:r>
      <w:r w:rsidR="00CA4DAC">
        <w:rPr>
          <w:lang w:val="fr-FR"/>
        </w:rPr>
        <w:t>’</w:t>
      </w:r>
      <w:r w:rsidRPr="002A2EA6">
        <w:rPr>
          <w:lang w:val="fr-FR"/>
        </w:rPr>
        <w:t>examen des</w:t>
      </w:r>
      <w:r w:rsidR="0070208A" w:rsidRPr="002A2EA6">
        <w:rPr>
          <w:lang w:val="fr-FR"/>
        </w:rPr>
        <w:t> </w:t>
      </w:r>
      <w:r w:rsidRPr="002A2EA6">
        <w:rPr>
          <w:lang w:val="fr-FR"/>
        </w:rPr>
        <w:t>orientations.</w:t>
      </w:r>
    </w:p>
    <w:p w14:paraId="4BC85F82" w14:textId="0370F162"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Pr="002A2EA6">
        <w:rPr>
          <w:lang w:val="fr-FR"/>
        </w:rPr>
        <w:t>agissant du projet de décision, un représentant a proposé d</w:t>
      </w:r>
      <w:r w:rsidR="00CA4DAC">
        <w:rPr>
          <w:lang w:val="fr-FR"/>
        </w:rPr>
        <w:t>’</w:t>
      </w:r>
      <w:r w:rsidRPr="002A2EA6">
        <w:rPr>
          <w:lang w:val="fr-FR"/>
        </w:rPr>
        <w:t xml:space="preserve">y ajouter un paragraphe soulignant </w:t>
      </w:r>
      <w:r w:rsidR="007419FE" w:rsidRPr="002A2EA6">
        <w:rPr>
          <w:lang w:val="fr-FR"/>
        </w:rPr>
        <w:t xml:space="preserve">que </w:t>
      </w:r>
      <w:r w:rsidRPr="002A2EA6">
        <w:rPr>
          <w:lang w:val="fr-FR"/>
        </w:rPr>
        <w:t>le transfert de technologies, l</w:t>
      </w:r>
      <w:r w:rsidR="00CA4DAC">
        <w:rPr>
          <w:lang w:val="fr-FR"/>
        </w:rPr>
        <w:t>’</w:t>
      </w:r>
      <w:r w:rsidRPr="002A2EA6">
        <w:rPr>
          <w:lang w:val="fr-FR"/>
        </w:rPr>
        <w:t xml:space="preserve">appui financier et le renforcement des capacités </w:t>
      </w:r>
      <w:r w:rsidR="007419FE" w:rsidRPr="002A2EA6">
        <w:rPr>
          <w:lang w:val="fr-FR"/>
        </w:rPr>
        <w:t>facilitai</w:t>
      </w:r>
      <w:r w:rsidR="00610326" w:rsidRPr="002A2EA6">
        <w:rPr>
          <w:lang w:val="fr-FR"/>
        </w:rPr>
        <w:t>en</w:t>
      </w:r>
      <w:r w:rsidR="007419FE" w:rsidRPr="002A2EA6">
        <w:rPr>
          <w:lang w:val="fr-FR"/>
        </w:rPr>
        <w:t xml:space="preserve">t </w:t>
      </w:r>
      <w:r w:rsidRPr="002A2EA6">
        <w:rPr>
          <w:lang w:val="fr-FR"/>
        </w:rPr>
        <w:t>l</w:t>
      </w:r>
      <w:r w:rsidR="00CA4DAC">
        <w:rPr>
          <w:lang w:val="fr-FR"/>
        </w:rPr>
        <w:t>’</w:t>
      </w:r>
      <w:r w:rsidRPr="002A2EA6">
        <w:rPr>
          <w:lang w:val="fr-FR"/>
        </w:rPr>
        <w:t>application des orientations par les Parties.</w:t>
      </w:r>
    </w:p>
    <w:p w14:paraId="26425DB9" w14:textId="63B8E4E2"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Un représentant a vivement engagé le secrétariat de la Convention de Minamata à collaborer étroitement avec le Secrétariat des conventions de Bâle, de Rotterdam et de Stockholm sur les</w:t>
      </w:r>
      <w:r w:rsidR="0070208A" w:rsidRPr="002A2EA6">
        <w:rPr>
          <w:lang w:val="fr-FR"/>
        </w:rPr>
        <w:t> </w:t>
      </w:r>
      <w:r w:rsidRPr="002A2EA6">
        <w:rPr>
          <w:lang w:val="fr-FR"/>
        </w:rPr>
        <w:t>questions relatives aux déchets de mercure afin d</w:t>
      </w:r>
      <w:r w:rsidR="00CA4DAC">
        <w:rPr>
          <w:lang w:val="fr-FR"/>
        </w:rPr>
        <w:t>’</w:t>
      </w:r>
      <w:r w:rsidRPr="002A2EA6">
        <w:rPr>
          <w:lang w:val="fr-FR"/>
        </w:rPr>
        <w:t xml:space="preserve">éviter </w:t>
      </w:r>
      <w:r w:rsidR="00973B45" w:rsidRPr="002A2EA6">
        <w:rPr>
          <w:lang w:val="fr-FR"/>
        </w:rPr>
        <w:t xml:space="preserve">que les activités ne se chevauchent </w:t>
      </w:r>
      <w:r w:rsidRPr="002A2EA6">
        <w:rPr>
          <w:lang w:val="fr-FR"/>
        </w:rPr>
        <w:t>et d</w:t>
      </w:r>
      <w:r w:rsidR="00CA4DAC">
        <w:rPr>
          <w:lang w:val="fr-FR"/>
        </w:rPr>
        <w:t>’</w:t>
      </w:r>
      <w:r w:rsidRPr="002A2EA6">
        <w:rPr>
          <w:lang w:val="fr-FR"/>
        </w:rPr>
        <w:t xml:space="preserve">utiliser au mieux les ressources et compétences disponibles. Soulignant </w:t>
      </w:r>
      <w:r w:rsidR="009774B0" w:rsidRPr="002A2EA6">
        <w:rPr>
          <w:lang w:val="fr-FR"/>
        </w:rPr>
        <w:t xml:space="preserve">que dans son pays se trouvaient </w:t>
      </w:r>
      <w:r w:rsidRPr="002A2EA6">
        <w:rPr>
          <w:lang w:val="fr-FR"/>
        </w:rPr>
        <w:t>certains des sites les plus contaminés au monde en raison des pratiques irresponsables de l</w:t>
      </w:r>
      <w:r w:rsidR="00CA4DAC">
        <w:rPr>
          <w:lang w:val="fr-FR"/>
        </w:rPr>
        <w:t>’</w:t>
      </w:r>
      <w:r w:rsidRPr="002A2EA6">
        <w:rPr>
          <w:lang w:val="fr-FR"/>
        </w:rPr>
        <w:t>industrie en matière de gestion et de stockage des déchets de mercure, il a déclaré que la mise en œuvre des orientations pour la dépollution des sites contaminés devait être l</w:t>
      </w:r>
      <w:r w:rsidR="00CA4DAC">
        <w:rPr>
          <w:lang w:val="fr-FR"/>
        </w:rPr>
        <w:t>’</w:t>
      </w:r>
      <w:r w:rsidRPr="002A2EA6">
        <w:rPr>
          <w:lang w:val="fr-FR"/>
        </w:rPr>
        <w:t>objectif ultime dans le</w:t>
      </w:r>
      <w:r w:rsidR="0070208A" w:rsidRPr="002A2EA6">
        <w:rPr>
          <w:lang w:val="fr-FR"/>
        </w:rPr>
        <w:t> </w:t>
      </w:r>
      <w:r w:rsidRPr="002A2EA6">
        <w:rPr>
          <w:lang w:val="fr-FR"/>
        </w:rPr>
        <w:t>cadre de la Convention.</w:t>
      </w:r>
    </w:p>
    <w:p w14:paraId="70D58269" w14:textId="3610215D"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Deux</w:t>
      </w:r>
      <w:r w:rsidR="006900DA" w:rsidRPr="002A2EA6">
        <w:rPr>
          <w:lang w:val="fr-FR"/>
        </w:rPr>
        <w:t> </w:t>
      </w:r>
      <w:r w:rsidRPr="002A2EA6">
        <w:rPr>
          <w:lang w:val="fr-FR"/>
        </w:rPr>
        <w:t>observateurs ont demandé à la Conférence des Parties d</w:t>
      </w:r>
      <w:r w:rsidR="00CA4DAC">
        <w:rPr>
          <w:lang w:val="fr-FR"/>
        </w:rPr>
        <w:t>’</w:t>
      </w:r>
      <w:r w:rsidRPr="002A2EA6">
        <w:rPr>
          <w:lang w:val="fr-FR"/>
        </w:rPr>
        <w:t>adopter les orientations et de prier le secrétariat de continuer à recueillir des informations techniques pour les compléter. L</w:t>
      </w:r>
      <w:r w:rsidR="00CA4DAC">
        <w:rPr>
          <w:lang w:val="fr-FR"/>
        </w:rPr>
        <w:t>’</w:t>
      </w:r>
      <w:r w:rsidRPr="002A2EA6">
        <w:rPr>
          <w:lang w:val="fr-FR"/>
        </w:rPr>
        <w:t>un</w:t>
      </w:r>
      <w:r w:rsidR="00ED3E82">
        <w:rPr>
          <w:lang w:val="fr-FR"/>
        </w:rPr>
        <w:t> </w:t>
      </w:r>
      <w:r w:rsidRPr="002A2EA6">
        <w:rPr>
          <w:lang w:val="fr-FR"/>
        </w:rPr>
        <w:t>d</w:t>
      </w:r>
      <w:r w:rsidR="00CA4DAC">
        <w:rPr>
          <w:lang w:val="fr-FR"/>
        </w:rPr>
        <w:t>’</w:t>
      </w:r>
      <w:r w:rsidRPr="002A2EA6">
        <w:rPr>
          <w:lang w:val="fr-FR"/>
        </w:rPr>
        <w:t xml:space="preserve">eux a en outre vivement encouragé les Parties à </w:t>
      </w:r>
      <w:r w:rsidR="008C4BC1" w:rsidRPr="002A2EA6">
        <w:rPr>
          <w:lang w:val="fr-FR"/>
        </w:rPr>
        <w:t xml:space="preserve">faire en sorte </w:t>
      </w:r>
      <w:r w:rsidR="008B6B8D" w:rsidRPr="002A2EA6">
        <w:rPr>
          <w:lang w:val="fr-FR"/>
        </w:rPr>
        <w:t>d</w:t>
      </w:r>
      <w:r w:rsidR="00CA4DAC">
        <w:rPr>
          <w:lang w:val="fr-FR"/>
        </w:rPr>
        <w:t>’</w:t>
      </w:r>
      <w:r w:rsidR="008B6B8D" w:rsidRPr="002A2EA6">
        <w:rPr>
          <w:lang w:val="fr-FR"/>
        </w:rPr>
        <w:t xml:space="preserve">éviter tout </w:t>
      </w:r>
      <w:r w:rsidRPr="002A2EA6">
        <w:rPr>
          <w:lang w:val="fr-FR"/>
        </w:rPr>
        <w:t>nouveau site contaminé en mettant fin au commerce de mercure destiné à l</w:t>
      </w:r>
      <w:r w:rsidR="00CA4DAC">
        <w:rPr>
          <w:lang w:val="fr-FR"/>
        </w:rPr>
        <w:t>’</w:t>
      </w:r>
      <w:r w:rsidRPr="002A2EA6">
        <w:rPr>
          <w:lang w:val="fr-FR"/>
        </w:rPr>
        <w:t>extraction artisanale et à petite échelle d</w:t>
      </w:r>
      <w:r w:rsidR="00CA4DAC">
        <w:rPr>
          <w:lang w:val="fr-FR"/>
        </w:rPr>
        <w:t>’</w:t>
      </w:r>
      <w:r w:rsidRPr="002A2EA6">
        <w:rPr>
          <w:lang w:val="fr-FR"/>
        </w:rPr>
        <w:t>or, à</w:t>
      </w:r>
      <w:r w:rsidR="006900DA" w:rsidRPr="002A2EA6">
        <w:rPr>
          <w:lang w:val="fr-FR"/>
        </w:rPr>
        <w:t> </w:t>
      </w:r>
      <w:r w:rsidRPr="002A2EA6">
        <w:rPr>
          <w:lang w:val="fr-FR"/>
        </w:rPr>
        <w:t>la</w:t>
      </w:r>
      <w:r w:rsidR="0070208A" w:rsidRPr="002A2EA6">
        <w:rPr>
          <w:lang w:val="fr-FR"/>
        </w:rPr>
        <w:t> </w:t>
      </w:r>
      <w:r w:rsidRPr="002A2EA6">
        <w:rPr>
          <w:lang w:val="fr-FR"/>
        </w:rPr>
        <w:t>production de chlore-alcali et à d</w:t>
      </w:r>
      <w:r w:rsidR="00CA4DAC">
        <w:rPr>
          <w:lang w:val="fr-FR"/>
        </w:rPr>
        <w:t>’</w:t>
      </w:r>
      <w:r w:rsidRPr="002A2EA6">
        <w:rPr>
          <w:lang w:val="fr-FR"/>
        </w:rPr>
        <w:t xml:space="preserve">autres activités polluantes, et à financer et </w:t>
      </w:r>
      <w:r w:rsidR="008B6B8D" w:rsidRPr="002A2EA6">
        <w:rPr>
          <w:lang w:val="fr-FR"/>
        </w:rPr>
        <w:t xml:space="preserve">faciliter </w:t>
      </w:r>
      <w:r w:rsidRPr="002A2EA6">
        <w:rPr>
          <w:lang w:val="fr-FR"/>
        </w:rPr>
        <w:t>la</w:t>
      </w:r>
      <w:r w:rsidR="00677DF3">
        <w:rPr>
          <w:lang w:val="fr-FR"/>
        </w:rPr>
        <w:t> </w:t>
      </w:r>
      <w:r w:rsidRPr="002A2EA6">
        <w:rPr>
          <w:lang w:val="fr-FR"/>
        </w:rPr>
        <w:t>dépollution des sites contaminés existants au titre de la Convention de Minamata. L</w:t>
      </w:r>
      <w:r w:rsidR="00CA4DAC">
        <w:rPr>
          <w:lang w:val="fr-FR"/>
        </w:rPr>
        <w:t>’</w:t>
      </w:r>
      <w:r w:rsidRPr="002A2EA6">
        <w:rPr>
          <w:lang w:val="fr-FR"/>
        </w:rPr>
        <w:t xml:space="preserve">autre a </w:t>
      </w:r>
      <w:r w:rsidR="002F30D9" w:rsidRPr="002A2EA6">
        <w:rPr>
          <w:lang w:val="fr-FR"/>
        </w:rPr>
        <w:t xml:space="preserve">décrit </w:t>
      </w:r>
      <w:r w:rsidRPr="002A2EA6">
        <w:rPr>
          <w:lang w:val="fr-FR"/>
        </w:rPr>
        <w:t>les activités menées par son organisation pour aider les pays à gérer les anciens sites d</w:t>
      </w:r>
      <w:r w:rsidR="00CA4DAC">
        <w:rPr>
          <w:lang w:val="fr-FR"/>
        </w:rPr>
        <w:t>’</w:t>
      </w:r>
      <w:r w:rsidRPr="002A2EA6">
        <w:rPr>
          <w:lang w:val="fr-FR"/>
        </w:rPr>
        <w:t>exploitation artisanale et à</w:t>
      </w:r>
      <w:r w:rsidR="006900DA" w:rsidRPr="002A2EA6">
        <w:rPr>
          <w:lang w:val="fr-FR"/>
        </w:rPr>
        <w:t> </w:t>
      </w:r>
      <w:r w:rsidRPr="002A2EA6">
        <w:rPr>
          <w:lang w:val="fr-FR"/>
        </w:rPr>
        <w:t>petite échelle d</w:t>
      </w:r>
      <w:r w:rsidR="00CA4DAC">
        <w:rPr>
          <w:lang w:val="fr-FR"/>
        </w:rPr>
        <w:t>’</w:t>
      </w:r>
      <w:r w:rsidRPr="002A2EA6">
        <w:rPr>
          <w:lang w:val="fr-FR"/>
        </w:rPr>
        <w:t>or.</w:t>
      </w:r>
    </w:p>
    <w:p w14:paraId="565E8F9C" w14:textId="3D363505" w:rsidR="05A55CCF" w:rsidRPr="002A2EA6" w:rsidRDefault="05A55CCF"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issue du débat, la Conférence des Parties a décidé que des consultations informelles auraient lieu entre les Parties intéressées afin de mettre la dernière main au projet d</w:t>
      </w:r>
      <w:r w:rsidR="00CA4DAC">
        <w:rPr>
          <w:lang w:val="fr-FR"/>
        </w:rPr>
        <w:t>’</w:t>
      </w:r>
      <w:r w:rsidRPr="002A2EA6">
        <w:rPr>
          <w:lang w:val="fr-FR"/>
        </w:rPr>
        <w:t>orientations et au projet de décision correspondant.</w:t>
      </w:r>
    </w:p>
    <w:p w14:paraId="26E7D572" w14:textId="1435286E" w:rsidR="65976706" w:rsidRPr="002A2EA6" w:rsidRDefault="65976706"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A1544E" w:rsidRPr="002A2EA6">
        <w:rPr>
          <w:lang w:val="fr-FR"/>
        </w:rPr>
        <w:t> </w:t>
      </w:r>
      <w:r w:rsidRPr="002A2EA6">
        <w:rPr>
          <w:lang w:val="fr-FR"/>
        </w:rPr>
        <w:t xml:space="preserve">MC-3/6 </w:t>
      </w:r>
      <w:r w:rsidR="00D77CAF" w:rsidRPr="002A2EA6">
        <w:rPr>
          <w:lang w:val="fr-FR"/>
        </w:rPr>
        <w:t>(O</w:t>
      </w:r>
      <w:r w:rsidRPr="002A2EA6">
        <w:rPr>
          <w:lang w:val="fr-FR"/>
        </w:rPr>
        <w:t>rientations sur la gestion des sites contaminés</w:t>
      </w:r>
      <w:r w:rsidR="00D77CAF" w:rsidRPr="002A2EA6">
        <w:rPr>
          <w:lang w:val="fr-FR"/>
        </w:rPr>
        <w:t>)</w:t>
      </w:r>
      <w:r w:rsidRPr="002A2EA6">
        <w:rPr>
          <w:lang w:val="fr-FR"/>
        </w:rPr>
        <w:t>, telle que présentée par suite des consultations informelles et amendée oralement, qui figure dans l</w:t>
      </w:r>
      <w:r w:rsidR="00CA4DAC">
        <w:rPr>
          <w:lang w:val="fr-FR"/>
        </w:rPr>
        <w:t>’</w:t>
      </w:r>
      <w:r w:rsidRPr="002A2EA6">
        <w:rPr>
          <w:lang w:val="fr-FR"/>
        </w:rPr>
        <w:t>annexe du présent rapport.</w:t>
      </w:r>
    </w:p>
    <w:p w14:paraId="4076266B" w14:textId="305A2CCB" w:rsidR="00C7478E" w:rsidRPr="002A2EA6" w:rsidRDefault="00C7478E" w:rsidP="00C7478E">
      <w:pPr>
        <w:pStyle w:val="CH2"/>
        <w:rPr>
          <w:lang w:val="fr-FR"/>
        </w:rPr>
      </w:pPr>
      <w:r w:rsidRPr="002A2EA6">
        <w:rPr>
          <w:lang w:val="fr-FR"/>
        </w:rPr>
        <w:tab/>
      </w:r>
      <w:bookmarkStart w:id="27" w:name="_Toc39063340"/>
      <w:r w:rsidRPr="002A2EA6">
        <w:rPr>
          <w:lang w:val="fr-FR"/>
        </w:rPr>
        <w:t>E.</w:t>
      </w:r>
      <w:r w:rsidRPr="002A2EA6">
        <w:rPr>
          <w:lang w:val="fr-FR"/>
        </w:rPr>
        <w:tab/>
        <w:t>Mécanisme de financement</w:t>
      </w:r>
      <w:bookmarkEnd w:id="27"/>
    </w:p>
    <w:p w14:paraId="025F48AF" w14:textId="3E9CCDDC" w:rsidR="003D0299" w:rsidRPr="002A2EA6" w:rsidRDefault="00C7478E" w:rsidP="00C7478E">
      <w:pPr>
        <w:pStyle w:val="CH3"/>
        <w:rPr>
          <w:lang w:val="fr-FR"/>
        </w:rPr>
      </w:pPr>
      <w:r w:rsidRPr="002A2EA6">
        <w:rPr>
          <w:lang w:val="fr-FR"/>
        </w:rPr>
        <w:tab/>
        <w:t>1.</w:t>
      </w:r>
      <w:r w:rsidRPr="002A2EA6">
        <w:rPr>
          <w:lang w:val="fr-FR"/>
        </w:rPr>
        <w:tab/>
        <w:t>Fonds pour l</w:t>
      </w:r>
      <w:r w:rsidR="00CA4DAC">
        <w:rPr>
          <w:lang w:val="fr-FR"/>
        </w:rPr>
        <w:t>’</w:t>
      </w:r>
      <w:r w:rsidRPr="002A2EA6">
        <w:rPr>
          <w:lang w:val="fr-FR"/>
        </w:rPr>
        <w:t>environnement mondial</w:t>
      </w:r>
    </w:p>
    <w:p w14:paraId="52DECF66" w14:textId="4DBB6A4F" w:rsidR="007A237C" w:rsidRPr="002A2EA6" w:rsidRDefault="00903F0B" w:rsidP="00A056A2">
      <w:pPr>
        <w:pStyle w:val="Normalnumber"/>
        <w:numPr>
          <w:ilvl w:val="0"/>
          <w:numId w:val="42"/>
        </w:numPr>
        <w:tabs>
          <w:tab w:val="clear" w:pos="1814"/>
          <w:tab w:val="left" w:pos="1843"/>
          <w:tab w:val="left" w:pos="1985"/>
        </w:tabs>
        <w:ind w:left="1288" w:hanging="28"/>
        <w:rPr>
          <w:lang w:val="fr-FR"/>
        </w:rPr>
      </w:pPr>
      <w:bookmarkStart w:id="28" w:name="_DV_C130"/>
      <w:r w:rsidRPr="002A2EA6">
        <w:rPr>
          <w:lang w:val="fr-FR"/>
        </w:rPr>
        <w:t>La représentante du Fonds pour l</w:t>
      </w:r>
      <w:r w:rsidR="00CA4DAC">
        <w:rPr>
          <w:lang w:val="fr-FR"/>
        </w:rPr>
        <w:t>’</w:t>
      </w:r>
      <w:r w:rsidRPr="002A2EA6">
        <w:rPr>
          <w:lang w:val="fr-FR"/>
        </w:rPr>
        <w:t>environnement mondial a présenté le rapport du Conseil du</w:t>
      </w:r>
      <w:r w:rsidR="00425AA5" w:rsidRPr="002A2EA6">
        <w:rPr>
          <w:lang w:val="fr-FR"/>
        </w:rPr>
        <w:t> </w:t>
      </w:r>
      <w:r w:rsidRPr="002A2EA6">
        <w:rPr>
          <w:lang w:val="fr-FR"/>
        </w:rPr>
        <w:t>FEM à la troisième réunion de la Conférence des Parties à la Convention de Minamata sur le</w:t>
      </w:r>
      <w:r w:rsidR="00ED3E82">
        <w:rPr>
          <w:lang w:val="fr-FR"/>
        </w:rPr>
        <w:t> </w:t>
      </w:r>
      <w:r w:rsidRPr="002A2EA6">
        <w:rPr>
          <w:lang w:val="fr-FR"/>
        </w:rPr>
        <w:t>mercure (UNEP/MC/COP.3/</w:t>
      </w:r>
      <w:r w:rsidR="001B125A">
        <w:rPr>
          <w:lang w:val="fr-FR"/>
        </w:rPr>
        <w:t>INF/2</w:t>
      </w:r>
      <w:r w:rsidRPr="002A2EA6">
        <w:rPr>
          <w:lang w:val="fr-FR"/>
        </w:rPr>
        <w:t>, annexe), lequel rend compte des activités que le FEM a menées entre le</w:t>
      </w:r>
      <w:r w:rsidR="00CE52B4" w:rsidRPr="002A2EA6">
        <w:rPr>
          <w:lang w:val="fr-FR"/>
        </w:rPr>
        <w:t> </w:t>
      </w:r>
      <w:r w:rsidRPr="002A2EA6">
        <w:rPr>
          <w:lang w:val="fr-FR"/>
        </w:rPr>
        <w:t>1</w:t>
      </w:r>
      <w:r w:rsidRPr="002A2EA6">
        <w:rPr>
          <w:vertAlign w:val="superscript"/>
          <w:lang w:val="fr-FR"/>
        </w:rPr>
        <w:t>er</w:t>
      </w:r>
      <w:r w:rsidR="00A1544E" w:rsidRPr="002A2EA6">
        <w:rPr>
          <w:lang w:val="fr-FR"/>
        </w:rPr>
        <w:t> </w:t>
      </w:r>
      <w:r w:rsidRPr="002A2EA6">
        <w:rPr>
          <w:lang w:val="fr-FR"/>
        </w:rPr>
        <w:t>juillet 2018 et le 30</w:t>
      </w:r>
      <w:r w:rsidR="00A1544E" w:rsidRPr="002A2EA6">
        <w:rPr>
          <w:lang w:val="fr-FR"/>
        </w:rPr>
        <w:t> </w:t>
      </w:r>
      <w:r w:rsidRPr="002A2EA6">
        <w:rPr>
          <w:lang w:val="fr-FR"/>
        </w:rPr>
        <w:t>juin 2019 dans l</w:t>
      </w:r>
      <w:r w:rsidR="00CA4DAC">
        <w:rPr>
          <w:lang w:val="fr-FR"/>
        </w:rPr>
        <w:t>’</w:t>
      </w:r>
      <w:r w:rsidRPr="002A2EA6">
        <w:rPr>
          <w:lang w:val="fr-FR"/>
        </w:rPr>
        <w:t>exercice du mandat qui lui incombe au titre de la</w:t>
      </w:r>
      <w:r w:rsidR="00D755C3" w:rsidRPr="002A2EA6">
        <w:rPr>
          <w:lang w:val="fr-FR"/>
        </w:rPr>
        <w:t> </w:t>
      </w:r>
      <w:r w:rsidRPr="002A2EA6">
        <w:rPr>
          <w:lang w:val="fr-FR"/>
        </w:rPr>
        <w:t>Convention de Minamata et de la manière dont le FEM a donné suite aux directives reçues à ce jour de la Conférence des Parties. Au cours de la période considérée, le FEM avait approuvé 3</w:t>
      </w:r>
      <w:r w:rsidR="00425AA5" w:rsidRPr="002A2EA6">
        <w:rPr>
          <w:lang w:val="fr-FR"/>
        </w:rPr>
        <w:t> </w:t>
      </w:r>
      <w:r w:rsidRPr="002A2EA6">
        <w:rPr>
          <w:lang w:val="fr-FR"/>
        </w:rPr>
        <w:t>projets de grande envergure couvrant 15</w:t>
      </w:r>
      <w:r w:rsidR="00A1544E" w:rsidRPr="002A2EA6">
        <w:rPr>
          <w:lang w:val="fr-FR"/>
        </w:rPr>
        <w:t> </w:t>
      </w:r>
      <w:r w:rsidRPr="002A2EA6">
        <w:rPr>
          <w:lang w:val="fr-FR"/>
        </w:rPr>
        <w:t>pays, 1</w:t>
      </w:r>
      <w:r w:rsidR="00A1544E" w:rsidRPr="002A2EA6">
        <w:rPr>
          <w:lang w:val="fr-FR"/>
        </w:rPr>
        <w:t> </w:t>
      </w:r>
      <w:r w:rsidRPr="002A2EA6">
        <w:rPr>
          <w:lang w:val="fr-FR"/>
        </w:rPr>
        <w:t xml:space="preserve">projet de moyenne envergure couvrant un seul pays, </w:t>
      </w:r>
      <w:r w:rsidR="00E12694" w:rsidRPr="002A2EA6">
        <w:rPr>
          <w:lang w:val="fr-FR"/>
        </w:rPr>
        <w:t>1</w:t>
      </w:r>
      <w:r w:rsidR="0070208A" w:rsidRPr="002A2EA6">
        <w:rPr>
          <w:lang w:val="fr-FR"/>
        </w:rPr>
        <w:t>e</w:t>
      </w:r>
      <w:r w:rsidR="00E12694" w:rsidRPr="002A2EA6">
        <w:rPr>
          <w:lang w:val="fr-FR"/>
        </w:rPr>
        <w:t> </w:t>
      </w:r>
      <w:r w:rsidRPr="002A2EA6">
        <w:rPr>
          <w:lang w:val="fr-FR"/>
        </w:rPr>
        <w:t>programme couvrant 27</w:t>
      </w:r>
      <w:r w:rsidR="00A1544E" w:rsidRPr="002A2EA6">
        <w:rPr>
          <w:lang w:val="fr-FR"/>
        </w:rPr>
        <w:t> </w:t>
      </w:r>
      <w:r w:rsidRPr="002A2EA6">
        <w:rPr>
          <w:lang w:val="fr-FR"/>
        </w:rPr>
        <w:t>pays et 4</w:t>
      </w:r>
      <w:r w:rsidR="00A1544E" w:rsidRPr="002A2EA6">
        <w:rPr>
          <w:lang w:val="fr-FR"/>
        </w:rPr>
        <w:t> </w:t>
      </w:r>
      <w:r w:rsidRPr="002A2EA6">
        <w:rPr>
          <w:lang w:val="fr-FR"/>
        </w:rPr>
        <w:t>projets d</w:t>
      </w:r>
      <w:r w:rsidR="00CA4DAC">
        <w:rPr>
          <w:lang w:val="fr-FR"/>
        </w:rPr>
        <w:t>’</w:t>
      </w:r>
      <w:r w:rsidRPr="002A2EA6">
        <w:rPr>
          <w:lang w:val="fr-FR"/>
        </w:rPr>
        <w:t>activités habilitantes couvrant un seul pays. Lors de</w:t>
      </w:r>
      <w:r w:rsidR="00677DF3">
        <w:rPr>
          <w:lang w:val="fr-FR"/>
        </w:rPr>
        <w:t> </w:t>
      </w:r>
      <w:r w:rsidRPr="002A2EA6">
        <w:rPr>
          <w:lang w:val="fr-FR"/>
        </w:rPr>
        <w:t>sa</w:t>
      </w:r>
      <w:r w:rsidR="00CE52B4" w:rsidRPr="002A2EA6">
        <w:rPr>
          <w:lang w:val="fr-FR"/>
        </w:rPr>
        <w:t> </w:t>
      </w:r>
      <w:r w:rsidRPr="002A2EA6">
        <w:rPr>
          <w:lang w:val="fr-FR"/>
        </w:rPr>
        <w:t>septième reconstitution, le FEM avait considérablement augmenté le financement alloué aux</w:t>
      </w:r>
      <w:r w:rsidR="00677DF3">
        <w:rPr>
          <w:lang w:val="fr-FR"/>
        </w:rPr>
        <w:t> </w:t>
      </w:r>
      <w:r w:rsidRPr="002A2EA6">
        <w:rPr>
          <w:lang w:val="fr-FR"/>
        </w:rPr>
        <w:t>projets relevant de la Convention de Minamata. Sur le montant total promis par les donateurs dans le</w:t>
      </w:r>
      <w:r w:rsidR="00ED3E82">
        <w:rPr>
          <w:lang w:val="fr-FR"/>
        </w:rPr>
        <w:t> </w:t>
      </w:r>
      <w:r w:rsidRPr="002A2EA6">
        <w:rPr>
          <w:lang w:val="fr-FR"/>
        </w:rPr>
        <w:t>cadre de</w:t>
      </w:r>
      <w:r w:rsidR="00CE52B4" w:rsidRPr="002A2EA6">
        <w:rPr>
          <w:lang w:val="fr-FR"/>
        </w:rPr>
        <w:t> </w:t>
      </w:r>
      <w:r w:rsidRPr="002A2EA6">
        <w:rPr>
          <w:lang w:val="fr-FR"/>
        </w:rPr>
        <w:t>la septième</w:t>
      </w:r>
      <w:r w:rsidR="00A1544E" w:rsidRPr="002A2EA6">
        <w:rPr>
          <w:lang w:val="fr-FR"/>
        </w:rPr>
        <w:t> </w:t>
      </w:r>
      <w:r w:rsidRPr="002A2EA6">
        <w:rPr>
          <w:lang w:val="fr-FR"/>
        </w:rPr>
        <w:t>reconstitution, 599</w:t>
      </w:r>
      <w:r w:rsidR="00A1544E" w:rsidRPr="002A2EA6">
        <w:rPr>
          <w:lang w:val="fr-FR"/>
        </w:rPr>
        <w:t> </w:t>
      </w:r>
      <w:r w:rsidRPr="002A2EA6">
        <w:rPr>
          <w:lang w:val="fr-FR"/>
        </w:rPr>
        <w:t>millions de dollars avaient été alloués à titre indicatif au domaine d</w:t>
      </w:r>
      <w:r w:rsidR="00CA4DAC">
        <w:rPr>
          <w:lang w:val="fr-FR"/>
        </w:rPr>
        <w:t>’</w:t>
      </w:r>
      <w:r w:rsidRPr="002A2EA6">
        <w:rPr>
          <w:lang w:val="fr-FR"/>
        </w:rPr>
        <w:t>intervention relatif aux produits chimiques et aux déchets, dont 206</w:t>
      </w:r>
      <w:r w:rsidR="00A1544E" w:rsidRPr="002A2EA6">
        <w:rPr>
          <w:lang w:val="fr-FR"/>
        </w:rPr>
        <w:t> </w:t>
      </w:r>
      <w:r w:rsidRPr="002A2EA6">
        <w:rPr>
          <w:lang w:val="fr-FR"/>
        </w:rPr>
        <w:t xml:space="preserve">millions de dollars </w:t>
      </w:r>
      <w:r w:rsidRPr="002A2EA6">
        <w:rPr>
          <w:lang w:val="fr-FR"/>
        </w:rPr>
        <w:lastRenderedPageBreak/>
        <w:t>avaient été</w:t>
      </w:r>
      <w:r w:rsidR="00CE52B4" w:rsidRPr="002A2EA6">
        <w:rPr>
          <w:lang w:val="fr-FR"/>
        </w:rPr>
        <w:t> </w:t>
      </w:r>
      <w:r w:rsidRPr="002A2EA6">
        <w:rPr>
          <w:lang w:val="fr-FR"/>
        </w:rPr>
        <w:t xml:space="preserve">affectés à titre indicatif à la mise en œuvre de la Convention de Minamata, soit une </w:t>
      </w:r>
      <w:r w:rsidR="009345E7" w:rsidRPr="002A2EA6">
        <w:rPr>
          <w:lang w:val="fr-FR"/>
        </w:rPr>
        <w:t xml:space="preserve">hausse </w:t>
      </w:r>
      <w:r w:rsidRPr="002A2EA6">
        <w:rPr>
          <w:lang w:val="fr-FR"/>
        </w:rPr>
        <w:t>sensible par rapport aux 141</w:t>
      </w:r>
      <w:r w:rsidR="00A1544E" w:rsidRPr="002A2EA6">
        <w:rPr>
          <w:lang w:val="fr-FR"/>
        </w:rPr>
        <w:t> </w:t>
      </w:r>
      <w:r w:rsidRPr="002A2EA6">
        <w:rPr>
          <w:lang w:val="fr-FR"/>
        </w:rPr>
        <w:t>millions de dollars alloués à cette fin au cours de la</w:t>
      </w:r>
      <w:r w:rsidR="00CE52B4" w:rsidRPr="002A2EA6">
        <w:rPr>
          <w:lang w:val="fr-FR"/>
        </w:rPr>
        <w:t> </w:t>
      </w:r>
      <w:r w:rsidRPr="002A2EA6">
        <w:rPr>
          <w:lang w:val="fr-FR"/>
        </w:rPr>
        <w:t>sixième</w:t>
      </w:r>
      <w:r w:rsidR="00677DF3">
        <w:rPr>
          <w:lang w:val="fr-FR"/>
        </w:rPr>
        <w:t> </w:t>
      </w:r>
      <w:r w:rsidRPr="002A2EA6">
        <w:rPr>
          <w:lang w:val="fr-FR"/>
        </w:rPr>
        <w:t>reconstitution. Enfin, la représentante a rappelé que le Conseil du FEM avait, à</w:t>
      </w:r>
      <w:r w:rsidR="00CE52B4" w:rsidRPr="002A2EA6">
        <w:rPr>
          <w:lang w:val="fr-FR"/>
        </w:rPr>
        <w:t> </w:t>
      </w:r>
      <w:r w:rsidRPr="002A2EA6">
        <w:rPr>
          <w:lang w:val="fr-FR"/>
        </w:rPr>
        <w:t>sa</w:t>
      </w:r>
      <w:r w:rsidR="00CE52B4" w:rsidRPr="002A2EA6">
        <w:rPr>
          <w:lang w:val="fr-FR"/>
        </w:rPr>
        <w:t> </w:t>
      </w:r>
      <w:r w:rsidRPr="002A2EA6">
        <w:rPr>
          <w:lang w:val="fr-FR"/>
        </w:rPr>
        <w:t>cinquante</w:t>
      </w:r>
      <w:r w:rsidR="00ED3E82">
        <w:rPr>
          <w:lang w:val="fr-FR"/>
        </w:rPr>
        <w:noBreakHyphen/>
      </w:r>
      <w:r w:rsidRPr="002A2EA6">
        <w:rPr>
          <w:lang w:val="fr-FR"/>
        </w:rPr>
        <w:t>sixième</w:t>
      </w:r>
      <w:r w:rsidR="00A1544E" w:rsidRPr="002A2EA6">
        <w:rPr>
          <w:lang w:val="fr-FR"/>
        </w:rPr>
        <w:t> </w:t>
      </w:r>
      <w:r w:rsidRPr="002A2EA6">
        <w:rPr>
          <w:lang w:val="fr-FR"/>
        </w:rPr>
        <w:t>réunion, approuvé le</w:t>
      </w:r>
      <w:r w:rsidR="0070208A" w:rsidRPr="002A2EA6">
        <w:rPr>
          <w:lang w:val="fr-FR"/>
        </w:rPr>
        <w:t> </w:t>
      </w:r>
      <w:r w:rsidRPr="002A2EA6">
        <w:rPr>
          <w:lang w:val="fr-FR"/>
        </w:rPr>
        <w:t>mémorandum d</w:t>
      </w:r>
      <w:r w:rsidR="00CA4DAC">
        <w:rPr>
          <w:lang w:val="fr-FR"/>
        </w:rPr>
        <w:t>’</w:t>
      </w:r>
      <w:r w:rsidRPr="002A2EA6">
        <w:rPr>
          <w:lang w:val="fr-FR"/>
        </w:rPr>
        <w:t>accord entre la Conférence des Parties et</w:t>
      </w:r>
      <w:r w:rsidR="00CE52B4" w:rsidRPr="002A2EA6">
        <w:rPr>
          <w:lang w:val="fr-FR"/>
        </w:rPr>
        <w:t> </w:t>
      </w:r>
      <w:r w:rsidRPr="002A2EA6">
        <w:rPr>
          <w:lang w:val="fr-FR"/>
        </w:rPr>
        <w:t>le</w:t>
      </w:r>
      <w:r w:rsidR="00CE52B4" w:rsidRPr="002A2EA6">
        <w:rPr>
          <w:lang w:val="fr-FR"/>
        </w:rPr>
        <w:t> </w:t>
      </w:r>
      <w:r w:rsidRPr="002A2EA6">
        <w:rPr>
          <w:lang w:val="fr-FR"/>
        </w:rPr>
        <w:t>Conseil adopté par la Conférence des</w:t>
      </w:r>
      <w:r w:rsidR="0070208A" w:rsidRPr="002A2EA6">
        <w:rPr>
          <w:lang w:val="fr-FR"/>
        </w:rPr>
        <w:t> </w:t>
      </w:r>
      <w:r w:rsidRPr="002A2EA6">
        <w:rPr>
          <w:lang w:val="fr-FR"/>
        </w:rPr>
        <w:t>Parties à sa deuxième réunion</w:t>
      </w:r>
      <w:r w:rsidR="002C39DB" w:rsidRPr="002A2EA6">
        <w:rPr>
          <w:lang w:val="fr-FR"/>
        </w:rPr>
        <w:t xml:space="preserve"> et a indiqué que le</w:t>
      </w:r>
      <w:r w:rsidR="00ED3E82">
        <w:rPr>
          <w:lang w:val="fr-FR"/>
        </w:rPr>
        <w:t> </w:t>
      </w:r>
      <w:r w:rsidR="002C39DB" w:rsidRPr="002A2EA6">
        <w:rPr>
          <w:lang w:val="fr-FR"/>
        </w:rPr>
        <w:t xml:space="preserve">mémorandum </w:t>
      </w:r>
      <w:r w:rsidR="00320871" w:rsidRPr="002A2EA6">
        <w:rPr>
          <w:lang w:val="fr-FR"/>
        </w:rPr>
        <w:t xml:space="preserve">restait </w:t>
      </w:r>
      <w:r w:rsidR="002C39DB" w:rsidRPr="002A2EA6">
        <w:rPr>
          <w:lang w:val="fr-FR"/>
        </w:rPr>
        <w:t>en vigueur.</w:t>
      </w:r>
    </w:p>
    <w:p w14:paraId="48C76FF8" w14:textId="7DA3FC25" w:rsidR="007A237C" w:rsidRPr="002A2EA6" w:rsidRDefault="00903F0B" w:rsidP="00A056A2">
      <w:pPr>
        <w:pStyle w:val="Normalnumber"/>
        <w:numPr>
          <w:ilvl w:val="0"/>
          <w:numId w:val="42"/>
        </w:numPr>
        <w:tabs>
          <w:tab w:val="clear" w:pos="1814"/>
          <w:tab w:val="left" w:pos="1843"/>
          <w:tab w:val="left" w:pos="1985"/>
        </w:tabs>
        <w:ind w:left="1288" w:hanging="28"/>
        <w:rPr>
          <w:lang w:val="fr-FR"/>
        </w:rPr>
      </w:pPr>
      <w:bookmarkStart w:id="29" w:name="_DV_C131"/>
      <w:bookmarkEnd w:id="28"/>
      <w:r w:rsidRPr="002A2EA6">
        <w:rPr>
          <w:lang w:val="fr-FR"/>
        </w:rPr>
        <w:t>La représentante du secrétariat a fait observer que le document</w:t>
      </w:r>
      <w:r w:rsidR="004B0268" w:rsidRPr="002A2EA6">
        <w:rPr>
          <w:lang w:val="fr-FR"/>
        </w:rPr>
        <w:t> </w:t>
      </w:r>
      <w:r w:rsidRPr="002A2EA6">
        <w:rPr>
          <w:lang w:val="fr-FR"/>
        </w:rPr>
        <w:t>UNEP/MC/COP.3/9 faisait le</w:t>
      </w:r>
      <w:r w:rsidR="00CE52B4" w:rsidRPr="002A2EA6">
        <w:rPr>
          <w:lang w:val="fr-FR"/>
        </w:rPr>
        <w:t> </w:t>
      </w:r>
      <w:r w:rsidRPr="002A2EA6">
        <w:rPr>
          <w:lang w:val="fr-FR"/>
        </w:rPr>
        <w:t>point sur les questions relatives au FEM, conformément à l</w:t>
      </w:r>
      <w:r w:rsidR="00CA4DAC">
        <w:rPr>
          <w:lang w:val="fr-FR"/>
        </w:rPr>
        <w:t>’</w:t>
      </w:r>
      <w:r w:rsidRPr="002A2EA6">
        <w:rPr>
          <w:lang w:val="fr-FR"/>
        </w:rPr>
        <w:t>article</w:t>
      </w:r>
      <w:r w:rsidR="00A1544E" w:rsidRPr="002A2EA6">
        <w:rPr>
          <w:lang w:val="fr-FR"/>
        </w:rPr>
        <w:t> </w:t>
      </w:r>
      <w:r w:rsidRPr="002A2EA6">
        <w:rPr>
          <w:lang w:val="fr-FR"/>
        </w:rPr>
        <w:t>13 de la Convention et à la</w:t>
      </w:r>
      <w:r w:rsidR="00CE52B4" w:rsidRPr="002A2EA6">
        <w:rPr>
          <w:lang w:val="fr-FR"/>
        </w:rPr>
        <w:t> </w:t>
      </w:r>
      <w:r w:rsidRPr="002A2EA6">
        <w:rPr>
          <w:lang w:val="fr-FR"/>
        </w:rPr>
        <w:t>décision</w:t>
      </w:r>
      <w:r w:rsidR="00A1544E" w:rsidRPr="002A2EA6">
        <w:rPr>
          <w:lang w:val="fr-FR"/>
        </w:rPr>
        <w:t> </w:t>
      </w:r>
      <w:r w:rsidRPr="002A2EA6">
        <w:rPr>
          <w:lang w:val="fr-FR"/>
        </w:rPr>
        <w:t>MC-1/5 que la Conférence des Parties a</w:t>
      </w:r>
      <w:r w:rsidR="00320871" w:rsidRPr="002A2EA6">
        <w:rPr>
          <w:lang w:val="fr-FR"/>
        </w:rPr>
        <w:t>vait</w:t>
      </w:r>
      <w:r w:rsidRPr="002A2EA6">
        <w:rPr>
          <w:lang w:val="fr-FR"/>
        </w:rPr>
        <w:t xml:space="preserve"> adopté à sa première réunion, qui donnait au</w:t>
      </w:r>
      <w:r w:rsidR="00ED3E82">
        <w:rPr>
          <w:lang w:val="fr-FR"/>
        </w:rPr>
        <w:t> </w:t>
      </w:r>
      <w:r w:rsidRPr="002A2EA6">
        <w:rPr>
          <w:lang w:val="fr-FR"/>
        </w:rPr>
        <w:t xml:space="preserve">Fonds des orientations concernant les activités qui pouvaient bénéficier </w:t>
      </w:r>
      <w:r w:rsidR="000707F8" w:rsidRPr="002A2EA6">
        <w:rPr>
          <w:lang w:val="fr-FR"/>
        </w:rPr>
        <w:t>de l</w:t>
      </w:r>
      <w:r w:rsidR="00CA4DAC">
        <w:rPr>
          <w:lang w:val="fr-FR"/>
        </w:rPr>
        <w:t>’</w:t>
      </w:r>
      <w:r w:rsidRPr="002A2EA6">
        <w:rPr>
          <w:lang w:val="fr-FR"/>
        </w:rPr>
        <w:t>appui de la Caisse du</w:t>
      </w:r>
      <w:r w:rsidR="0070208A" w:rsidRPr="002A2EA6">
        <w:rPr>
          <w:lang w:val="fr-FR"/>
        </w:rPr>
        <w:t> </w:t>
      </w:r>
      <w:r w:rsidRPr="002A2EA6">
        <w:rPr>
          <w:lang w:val="fr-FR"/>
        </w:rPr>
        <w:t xml:space="preserve">FEM. </w:t>
      </w:r>
      <w:bookmarkStart w:id="30" w:name="_DV_C132"/>
      <w:bookmarkEnd w:id="29"/>
    </w:p>
    <w:p w14:paraId="1E84292F" w14:textId="6BAD0E22" w:rsidR="00903F0B" w:rsidRPr="002A2EA6" w:rsidRDefault="00903F0B" w:rsidP="00A056A2">
      <w:pPr>
        <w:pStyle w:val="Normalnumber"/>
        <w:numPr>
          <w:ilvl w:val="0"/>
          <w:numId w:val="42"/>
        </w:numPr>
        <w:tabs>
          <w:tab w:val="clear" w:pos="1814"/>
          <w:tab w:val="left" w:pos="1843"/>
          <w:tab w:val="left" w:pos="1985"/>
        </w:tabs>
        <w:ind w:left="1288" w:hanging="28"/>
      </w:pPr>
      <w:bookmarkStart w:id="31" w:name="_DV_C134"/>
      <w:bookmarkEnd w:id="30"/>
      <w:bookmarkEnd w:id="31"/>
      <w:r w:rsidRPr="002A2EA6">
        <w:rPr>
          <w:lang w:val="fr-FR"/>
        </w:rPr>
        <w:t>Un représentant a estimé que les critères de financement des projets au moyen du FEM devaient être appliqués de manière juste et équitable à toutes les Parties et que la Conférence des</w:t>
      </w:r>
      <w:r w:rsidR="00CE52B4" w:rsidRPr="002A2EA6">
        <w:rPr>
          <w:lang w:val="fr-FR"/>
        </w:rPr>
        <w:t> </w:t>
      </w:r>
      <w:r w:rsidRPr="002A2EA6">
        <w:rPr>
          <w:lang w:val="fr-FR"/>
        </w:rPr>
        <w:t>Parties devait exhorter le FEM à s</w:t>
      </w:r>
      <w:r w:rsidR="00CA4DAC">
        <w:rPr>
          <w:lang w:val="fr-FR"/>
        </w:rPr>
        <w:t>’</w:t>
      </w:r>
      <w:r w:rsidRPr="002A2EA6">
        <w:rPr>
          <w:lang w:val="fr-FR"/>
        </w:rPr>
        <w:t>abstenir de toute politisation.</w:t>
      </w:r>
      <w:r w:rsidR="0CC7B430" w:rsidRPr="002A2EA6">
        <w:rPr>
          <w:lang w:val="fr-FR"/>
        </w:rPr>
        <w:t xml:space="preserve"> Il a exhorté le FEM à fournir une</w:t>
      </w:r>
      <w:r w:rsidR="004D21C1" w:rsidRPr="002A2EA6">
        <w:rPr>
          <w:lang w:val="fr-FR"/>
        </w:rPr>
        <w:t> </w:t>
      </w:r>
      <w:r w:rsidR="0CC7B430" w:rsidRPr="002A2EA6">
        <w:rPr>
          <w:lang w:val="fr-FR"/>
        </w:rPr>
        <w:t>assistance financière à tou</w:t>
      </w:r>
      <w:r w:rsidR="005B4C0F">
        <w:rPr>
          <w:lang w:val="fr-FR"/>
        </w:rPr>
        <w:t>te</w:t>
      </w:r>
      <w:r w:rsidR="0CC7B430" w:rsidRPr="002A2EA6">
        <w:rPr>
          <w:lang w:val="fr-FR"/>
        </w:rPr>
        <w:t xml:space="preserve">s les </w:t>
      </w:r>
      <w:r w:rsidR="005B4C0F">
        <w:rPr>
          <w:lang w:val="fr-FR"/>
        </w:rPr>
        <w:t xml:space="preserve">Parties </w:t>
      </w:r>
      <w:r w:rsidR="0CC7B430" w:rsidRPr="002A2EA6">
        <w:rPr>
          <w:lang w:val="fr-FR"/>
        </w:rPr>
        <w:t>dans le plein respect des dispositions de la</w:t>
      </w:r>
      <w:r w:rsidR="00ED3E82">
        <w:rPr>
          <w:lang w:val="fr-FR"/>
        </w:rPr>
        <w:t> </w:t>
      </w:r>
      <w:r w:rsidR="0CC7B430" w:rsidRPr="002A2EA6">
        <w:rPr>
          <w:lang w:val="fr-FR"/>
        </w:rPr>
        <w:t>Convention et sans aucune discrimination.</w:t>
      </w:r>
    </w:p>
    <w:p w14:paraId="4888B926" w14:textId="1BC7997C" w:rsidR="00C7478E" w:rsidRPr="002A2EA6" w:rsidRDefault="00903F0B"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pris note du rapport du Conseil du FEM et s</w:t>
      </w:r>
      <w:r w:rsidR="00CA4DAC">
        <w:rPr>
          <w:lang w:val="fr-FR"/>
        </w:rPr>
        <w:t>’</w:t>
      </w:r>
      <w:r w:rsidRPr="002A2EA6">
        <w:rPr>
          <w:lang w:val="fr-FR"/>
        </w:rPr>
        <w:t>est félicitée de l</w:t>
      </w:r>
      <w:r w:rsidR="00CA4DAC">
        <w:rPr>
          <w:lang w:val="fr-FR"/>
        </w:rPr>
        <w:t>’</w:t>
      </w:r>
      <w:r w:rsidRPr="002A2EA6">
        <w:rPr>
          <w:lang w:val="fr-FR"/>
        </w:rPr>
        <w:t>appui que le FEM apport</w:t>
      </w:r>
      <w:r w:rsidR="000707F8" w:rsidRPr="002A2EA6">
        <w:rPr>
          <w:lang w:val="fr-FR"/>
        </w:rPr>
        <w:t>ait</w:t>
      </w:r>
      <w:r w:rsidRPr="002A2EA6">
        <w:rPr>
          <w:lang w:val="fr-FR"/>
        </w:rPr>
        <w:t xml:space="preserve"> en ce qu</w:t>
      </w:r>
      <w:r w:rsidR="00CA4DAC">
        <w:rPr>
          <w:lang w:val="fr-FR"/>
        </w:rPr>
        <w:t>’</w:t>
      </w:r>
      <w:r w:rsidRPr="002A2EA6">
        <w:rPr>
          <w:lang w:val="fr-FR"/>
        </w:rPr>
        <w:t xml:space="preserve">il </w:t>
      </w:r>
      <w:r w:rsidR="000707F8" w:rsidRPr="002A2EA6">
        <w:rPr>
          <w:lang w:val="fr-FR"/>
        </w:rPr>
        <w:t xml:space="preserve">était </w:t>
      </w:r>
      <w:r w:rsidRPr="002A2EA6">
        <w:rPr>
          <w:lang w:val="fr-FR"/>
        </w:rPr>
        <w:t>l</w:t>
      </w:r>
      <w:r w:rsidR="00CA4DAC">
        <w:rPr>
          <w:lang w:val="fr-FR"/>
        </w:rPr>
        <w:t>’</w:t>
      </w:r>
      <w:r w:rsidRPr="002A2EA6">
        <w:rPr>
          <w:lang w:val="fr-FR"/>
        </w:rPr>
        <w:t>une des entités du mécanisme de financement de la</w:t>
      </w:r>
      <w:r w:rsidR="00ED3E82">
        <w:rPr>
          <w:lang w:val="fr-FR"/>
        </w:rPr>
        <w:t> </w:t>
      </w:r>
      <w:r w:rsidRPr="002A2EA6">
        <w:rPr>
          <w:lang w:val="fr-FR"/>
        </w:rPr>
        <w:t>Convention de</w:t>
      </w:r>
      <w:r w:rsidR="00D755C3" w:rsidRPr="002A2EA6">
        <w:rPr>
          <w:lang w:val="fr-FR"/>
        </w:rPr>
        <w:t> </w:t>
      </w:r>
      <w:r w:rsidRPr="002A2EA6">
        <w:rPr>
          <w:lang w:val="fr-FR"/>
        </w:rPr>
        <w:t>Minamata.</w:t>
      </w:r>
    </w:p>
    <w:p w14:paraId="2DE497E7" w14:textId="6F0D9600" w:rsidR="00C7478E" w:rsidRPr="002A2EA6" w:rsidRDefault="00C7478E" w:rsidP="00C7478E">
      <w:pPr>
        <w:pStyle w:val="CH3"/>
        <w:rPr>
          <w:sz w:val="22"/>
          <w:szCs w:val="22"/>
          <w:lang w:val="fr-FR"/>
        </w:rPr>
      </w:pPr>
      <w:r w:rsidRPr="002A2EA6">
        <w:rPr>
          <w:sz w:val="22"/>
          <w:szCs w:val="22"/>
          <w:lang w:val="fr-FR"/>
        </w:rPr>
        <w:tab/>
        <w:t>2.</w:t>
      </w:r>
      <w:r w:rsidRPr="002A2EA6">
        <w:rPr>
          <w:sz w:val="22"/>
          <w:szCs w:val="22"/>
          <w:lang w:val="fr-FR"/>
        </w:rPr>
        <w:tab/>
        <w:t>Programme international spécifique visant à soutenir le renforcement des capacités et</w:t>
      </w:r>
      <w:r w:rsidR="00E17408" w:rsidRPr="002A2EA6">
        <w:rPr>
          <w:sz w:val="22"/>
          <w:szCs w:val="22"/>
          <w:lang w:val="fr-FR"/>
        </w:rPr>
        <w:t> </w:t>
      </w:r>
      <w:r w:rsidRPr="002A2EA6">
        <w:rPr>
          <w:sz w:val="22"/>
          <w:szCs w:val="22"/>
          <w:lang w:val="fr-FR"/>
        </w:rPr>
        <w:t>l</w:t>
      </w:r>
      <w:r w:rsidR="00CA4DAC">
        <w:rPr>
          <w:sz w:val="22"/>
          <w:szCs w:val="22"/>
          <w:lang w:val="fr-FR"/>
        </w:rPr>
        <w:t>’</w:t>
      </w:r>
      <w:r w:rsidRPr="002A2EA6">
        <w:rPr>
          <w:sz w:val="22"/>
          <w:szCs w:val="22"/>
          <w:lang w:val="fr-FR"/>
        </w:rPr>
        <w:t>assistance technique</w:t>
      </w:r>
    </w:p>
    <w:p w14:paraId="1169AE67" w14:textId="7594CB84" w:rsidR="2C5A56F8" w:rsidRPr="002A2EA6" w:rsidRDefault="2C5A56F8"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sous-point, la représentante du secrétariat a rappelé qu</w:t>
      </w:r>
      <w:r w:rsidR="00CA4DAC">
        <w:rPr>
          <w:lang w:val="fr-FR"/>
        </w:rPr>
        <w:t>’</w:t>
      </w:r>
      <w:r w:rsidRPr="002A2EA6">
        <w:rPr>
          <w:lang w:val="fr-FR"/>
        </w:rPr>
        <w:t xml:space="preserve">au paragraphe 5 </w:t>
      </w:r>
      <w:r w:rsidRPr="002A2EA6">
        <w:t>de</w:t>
      </w:r>
      <w:r w:rsidR="004D21C1" w:rsidRPr="002A2EA6">
        <w:t> </w:t>
      </w:r>
      <w:r w:rsidRPr="002A2EA6">
        <w:t>l</w:t>
      </w:r>
      <w:r w:rsidR="00CA4DAC">
        <w:t>’</w:t>
      </w:r>
      <w:r w:rsidRPr="002A2EA6">
        <w:t>article</w:t>
      </w:r>
      <w:r w:rsidRPr="002A2EA6">
        <w:rPr>
          <w:lang w:val="fr-FR"/>
        </w:rPr>
        <w:t> 13</w:t>
      </w:r>
      <w:r w:rsidR="00116ACC" w:rsidRPr="002A2EA6">
        <w:rPr>
          <w:lang w:val="fr-FR"/>
        </w:rPr>
        <w:t xml:space="preserve"> (R</w:t>
      </w:r>
      <w:r w:rsidRPr="002A2EA6">
        <w:rPr>
          <w:lang w:val="fr-FR"/>
        </w:rPr>
        <w:t>essources financières et mécanisme de financement</w:t>
      </w:r>
      <w:r w:rsidR="00116ACC" w:rsidRPr="002A2EA6">
        <w:rPr>
          <w:lang w:val="fr-FR"/>
        </w:rPr>
        <w:t>)</w:t>
      </w:r>
      <w:r w:rsidRPr="002A2EA6">
        <w:rPr>
          <w:lang w:val="fr-FR"/>
        </w:rPr>
        <w:t>, la Convention de Minamata sur</w:t>
      </w:r>
      <w:r w:rsidR="004D21C1" w:rsidRPr="002A2EA6">
        <w:rPr>
          <w:lang w:val="fr-FR"/>
        </w:rPr>
        <w:t> </w:t>
      </w:r>
      <w:r w:rsidRPr="002A2EA6">
        <w:rPr>
          <w:lang w:val="fr-FR"/>
        </w:rPr>
        <w:t>le mercure instituait un mécanisme destiné à fournir en temps voulu des ressources financières adéquates et prévisibles pour aider les Parties qui étaient des pays en développement ou en transition dans la mise en œuvre de leurs obligations au titre de la Convention. Au paragraphe 6 de cet article, le</w:t>
      </w:r>
      <w:r w:rsidR="004D21C1" w:rsidRPr="002A2EA6">
        <w:rPr>
          <w:lang w:val="fr-FR"/>
        </w:rPr>
        <w:t> </w:t>
      </w:r>
      <w:r w:rsidRPr="002A2EA6">
        <w:rPr>
          <w:lang w:val="fr-FR"/>
        </w:rPr>
        <w:t xml:space="preserve">Programme international spécifique était </w:t>
      </w:r>
      <w:r w:rsidR="008119B7" w:rsidRPr="002A2EA6">
        <w:rPr>
          <w:lang w:val="fr-FR"/>
        </w:rPr>
        <w:t xml:space="preserve">défini </w:t>
      </w:r>
      <w:r w:rsidRPr="002A2EA6">
        <w:rPr>
          <w:lang w:val="fr-FR"/>
        </w:rPr>
        <w:t>comme l</w:t>
      </w:r>
      <w:r w:rsidR="00CA4DAC">
        <w:rPr>
          <w:lang w:val="fr-FR"/>
        </w:rPr>
        <w:t>’</w:t>
      </w:r>
      <w:r w:rsidRPr="002A2EA6">
        <w:rPr>
          <w:lang w:val="fr-FR"/>
        </w:rPr>
        <w:t>une des deux entités formant le</w:t>
      </w:r>
      <w:r w:rsidR="00ED3E82">
        <w:rPr>
          <w:lang w:val="fr-FR"/>
        </w:rPr>
        <w:t> </w:t>
      </w:r>
      <w:r w:rsidRPr="002A2EA6">
        <w:rPr>
          <w:lang w:val="fr-FR"/>
        </w:rPr>
        <w:t>mécanisme de financement. Par la décision MC-1/6 adoptée à sa première</w:t>
      </w:r>
      <w:r w:rsidR="004D21C1" w:rsidRPr="002A2EA6">
        <w:rPr>
          <w:lang w:val="fr-FR"/>
        </w:rPr>
        <w:t> </w:t>
      </w:r>
      <w:r w:rsidRPr="002A2EA6">
        <w:rPr>
          <w:lang w:val="fr-FR"/>
        </w:rPr>
        <w:t xml:space="preserve">réunion, la Conférence des Parties avait décidé que le PNUE accueillerait ce Programme et avait </w:t>
      </w:r>
      <w:r w:rsidR="00D60BBD" w:rsidRPr="002A2EA6">
        <w:rPr>
          <w:lang w:val="fr-FR"/>
        </w:rPr>
        <w:t xml:space="preserve">déterminé </w:t>
      </w:r>
      <w:r w:rsidRPr="002A2EA6">
        <w:rPr>
          <w:lang w:val="fr-FR"/>
        </w:rPr>
        <w:t>son</w:t>
      </w:r>
      <w:r w:rsidR="00ED3E82">
        <w:rPr>
          <w:lang w:val="fr-FR"/>
        </w:rPr>
        <w:t> </w:t>
      </w:r>
      <w:r w:rsidRPr="002A2EA6">
        <w:rPr>
          <w:lang w:val="fr-FR"/>
        </w:rPr>
        <w:t>fonctionnement, sa durée et son mandat. La Conférence des Parties avait également prié le</w:t>
      </w:r>
      <w:r w:rsidR="00ED3E82">
        <w:rPr>
          <w:lang w:val="fr-FR"/>
        </w:rPr>
        <w:t> </w:t>
      </w:r>
      <w:r w:rsidRPr="002A2EA6">
        <w:rPr>
          <w:lang w:val="fr-FR"/>
        </w:rPr>
        <w:t>Directeur exécutif du PNUE de créer un</w:t>
      </w:r>
      <w:r w:rsidR="004D21C1" w:rsidRPr="002A2EA6">
        <w:rPr>
          <w:lang w:val="fr-FR"/>
        </w:rPr>
        <w:t> </w:t>
      </w:r>
      <w:r w:rsidRPr="002A2EA6">
        <w:rPr>
          <w:lang w:val="fr-FR"/>
        </w:rPr>
        <w:t>fonds d</w:t>
      </w:r>
      <w:r w:rsidR="00CA4DAC">
        <w:rPr>
          <w:lang w:val="fr-FR"/>
        </w:rPr>
        <w:t>’</w:t>
      </w:r>
      <w:r w:rsidRPr="002A2EA6">
        <w:rPr>
          <w:lang w:val="fr-FR"/>
        </w:rPr>
        <w:t>affectation spéciale destiné à financer le</w:t>
      </w:r>
      <w:r w:rsidR="00ED3E82">
        <w:rPr>
          <w:lang w:val="fr-FR"/>
        </w:rPr>
        <w:t> </w:t>
      </w:r>
      <w:r w:rsidRPr="002A2EA6">
        <w:rPr>
          <w:lang w:val="fr-FR"/>
        </w:rPr>
        <w:t>Programme</w:t>
      </w:r>
      <w:r w:rsidR="00996058" w:rsidRPr="002A2EA6">
        <w:rPr>
          <w:lang w:val="fr-FR"/>
        </w:rPr>
        <w:t>, e</w:t>
      </w:r>
      <w:r w:rsidRPr="002A2EA6">
        <w:rPr>
          <w:lang w:val="fr-FR"/>
        </w:rPr>
        <w:t>n conséquence</w:t>
      </w:r>
      <w:r w:rsidR="00996058" w:rsidRPr="002A2EA6">
        <w:rPr>
          <w:lang w:val="fr-FR"/>
        </w:rPr>
        <w:t xml:space="preserve"> de quoi</w:t>
      </w:r>
      <w:r w:rsidRPr="002A2EA6">
        <w:rPr>
          <w:lang w:val="fr-FR"/>
        </w:rPr>
        <w:t xml:space="preserve"> le fonds d</w:t>
      </w:r>
      <w:r w:rsidR="00CA4DAC">
        <w:rPr>
          <w:lang w:val="fr-FR"/>
        </w:rPr>
        <w:t>’</w:t>
      </w:r>
      <w:r w:rsidRPr="002A2EA6">
        <w:rPr>
          <w:lang w:val="fr-FR"/>
        </w:rPr>
        <w:t xml:space="preserve">affectation spéciale pour le Programme international spécifique avait été créé. </w:t>
      </w:r>
      <w:r w:rsidR="11ECB0BD" w:rsidRPr="002A2EA6">
        <w:rPr>
          <w:lang w:val="fr-FR"/>
        </w:rPr>
        <w:t xml:space="preserve">Elle a également rappelé que le </w:t>
      </w:r>
      <w:r w:rsidR="00996058" w:rsidRPr="002A2EA6">
        <w:rPr>
          <w:lang w:val="fr-FR"/>
        </w:rPr>
        <w:t>R</w:t>
      </w:r>
      <w:r w:rsidR="11ECB0BD" w:rsidRPr="002A2EA6">
        <w:rPr>
          <w:lang w:val="fr-FR"/>
        </w:rPr>
        <w:t>èglement intérieur du Conseil d</w:t>
      </w:r>
      <w:r w:rsidR="00CA4DAC">
        <w:rPr>
          <w:lang w:val="fr-FR"/>
        </w:rPr>
        <w:t>’</w:t>
      </w:r>
      <w:r w:rsidR="11ECB0BD" w:rsidRPr="002A2EA6">
        <w:rPr>
          <w:lang w:val="fr-FR"/>
        </w:rPr>
        <w:t>administration du Programme international spécifique prévoyait que les premiers membres du Conseil d</w:t>
      </w:r>
      <w:r w:rsidR="00CA4DAC">
        <w:rPr>
          <w:lang w:val="fr-FR"/>
        </w:rPr>
        <w:t>’</w:t>
      </w:r>
      <w:r w:rsidR="11ECB0BD" w:rsidRPr="002A2EA6">
        <w:rPr>
          <w:lang w:val="fr-FR"/>
        </w:rPr>
        <w:t>administration siègeraient jusqu</w:t>
      </w:r>
      <w:r w:rsidR="00CA4DAC">
        <w:rPr>
          <w:lang w:val="fr-FR"/>
        </w:rPr>
        <w:t>’</w:t>
      </w:r>
      <w:r w:rsidR="11ECB0BD" w:rsidRPr="002A2EA6">
        <w:rPr>
          <w:lang w:val="fr-FR"/>
        </w:rPr>
        <w:t>à la troisième réunion de la Conférence des Parties. Par</w:t>
      </w:r>
      <w:r w:rsidR="00ED3E82">
        <w:rPr>
          <w:lang w:val="fr-FR"/>
        </w:rPr>
        <w:t> </w:t>
      </w:r>
      <w:r w:rsidR="11ECB0BD" w:rsidRPr="002A2EA6">
        <w:rPr>
          <w:lang w:val="fr-FR"/>
        </w:rPr>
        <w:t>la</w:t>
      </w:r>
      <w:r w:rsidR="00ED3E82">
        <w:rPr>
          <w:lang w:val="fr-FR"/>
        </w:rPr>
        <w:t> </w:t>
      </w:r>
      <w:r w:rsidR="11ECB0BD" w:rsidRPr="002A2EA6">
        <w:rPr>
          <w:lang w:val="fr-FR"/>
        </w:rPr>
        <w:t>suite, les membres devaient être nommés tous les deux</w:t>
      </w:r>
      <w:r w:rsidR="00E17408" w:rsidRPr="002A2EA6">
        <w:rPr>
          <w:lang w:val="fr-FR"/>
        </w:rPr>
        <w:t> </w:t>
      </w:r>
      <w:r w:rsidR="11ECB0BD" w:rsidRPr="002A2EA6">
        <w:rPr>
          <w:lang w:val="fr-FR"/>
        </w:rPr>
        <w:t>ans par les groupes régionaux et confirmés par la Conférence des Parties. À sa troisième réunion, la</w:t>
      </w:r>
      <w:r w:rsidR="004D21C1" w:rsidRPr="002A2EA6">
        <w:rPr>
          <w:lang w:val="fr-FR"/>
        </w:rPr>
        <w:t> </w:t>
      </w:r>
      <w:r w:rsidR="11ECB0BD" w:rsidRPr="002A2EA6">
        <w:rPr>
          <w:lang w:val="fr-FR"/>
        </w:rPr>
        <w:t>Conférence des Parties devait donc confirmer les</w:t>
      </w:r>
      <w:r w:rsidR="61F0FECF" w:rsidRPr="002A2EA6">
        <w:rPr>
          <w:lang w:val="fr-FR"/>
        </w:rPr>
        <w:t xml:space="preserve"> noms des</w:t>
      </w:r>
      <w:r w:rsidR="11ECB0BD" w:rsidRPr="002A2EA6">
        <w:rPr>
          <w:lang w:val="fr-FR"/>
        </w:rPr>
        <w:t xml:space="preserve"> membres </w:t>
      </w:r>
      <w:r w:rsidR="7D1DC826" w:rsidRPr="002A2EA6">
        <w:rPr>
          <w:lang w:val="fr-FR"/>
        </w:rPr>
        <w:t>qui siégeraient durant</w:t>
      </w:r>
      <w:r w:rsidR="11ECB0BD" w:rsidRPr="002A2EA6">
        <w:rPr>
          <w:lang w:val="fr-FR"/>
        </w:rPr>
        <w:t xml:space="preserve"> le</w:t>
      </w:r>
      <w:r w:rsidR="004D21C1" w:rsidRPr="002A2EA6">
        <w:rPr>
          <w:lang w:val="fr-FR"/>
        </w:rPr>
        <w:t> </w:t>
      </w:r>
      <w:r w:rsidR="11ECB0BD" w:rsidRPr="002A2EA6">
        <w:rPr>
          <w:lang w:val="fr-FR"/>
        </w:rPr>
        <w:t>prochain mandat sur la base des</w:t>
      </w:r>
      <w:r w:rsidR="00ED3E82">
        <w:rPr>
          <w:lang w:val="fr-FR"/>
        </w:rPr>
        <w:t> </w:t>
      </w:r>
      <w:r w:rsidR="11ECB0BD" w:rsidRPr="002A2EA6">
        <w:rPr>
          <w:lang w:val="fr-FR"/>
        </w:rPr>
        <w:t xml:space="preserve">candidatures reçues des régions. </w:t>
      </w:r>
    </w:p>
    <w:p w14:paraId="4DC725AD" w14:textId="1B80078D" w:rsidR="2C5A56F8" w:rsidRPr="002A2EA6" w:rsidRDefault="2C5A56F8" w:rsidP="00A056A2">
      <w:pPr>
        <w:pStyle w:val="Normalnumber"/>
        <w:numPr>
          <w:ilvl w:val="0"/>
          <w:numId w:val="42"/>
        </w:numPr>
        <w:tabs>
          <w:tab w:val="clear" w:pos="1814"/>
          <w:tab w:val="left" w:pos="1843"/>
          <w:tab w:val="left" w:pos="1985"/>
        </w:tabs>
        <w:ind w:left="1288" w:hanging="28"/>
        <w:rPr>
          <w:lang w:val="fr-FR"/>
        </w:rPr>
      </w:pPr>
      <w:r w:rsidRPr="002A2EA6">
        <w:rPr>
          <w:lang w:val="fr-FR"/>
        </w:rPr>
        <w:t>La représentante du secrétariat a appelé l</w:t>
      </w:r>
      <w:r w:rsidR="00CA4DAC">
        <w:rPr>
          <w:lang w:val="fr-FR"/>
        </w:rPr>
        <w:t>’</w:t>
      </w:r>
      <w:r w:rsidRPr="002A2EA6">
        <w:rPr>
          <w:lang w:val="fr-FR"/>
        </w:rPr>
        <w:t xml:space="preserve">attention </w:t>
      </w:r>
      <w:r w:rsidR="61944B29" w:rsidRPr="002A2EA6">
        <w:rPr>
          <w:lang w:val="fr-FR"/>
        </w:rPr>
        <w:t xml:space="preserve">des participants </w:t>
      </w:r>
      <w:r w:rsidRPr="002A2EA6">
        <w:rPr>
          <w:lang w:val="fr-FR"/>
        </w:rPr>
        <w:t xml:space="preserve">sur </w:t>
      </w:r>
      <w:r w:rsidR="00CD37A9" w:rsidRPr="002A2EA6">
        <w:rPr>
          <w:lang w:val="fr-FR"/>
        </w:rPr>
        <w:t xml:space="preserve">certaines </w:t>
      </w:r>
      <w:r w:rsidRPr="002A2EA6">
        <w:rPr>
          <w:lang w:val="fr-FR"/>
        </w:rPr>
        <w:t>informations fournies dans le rapport global sur le Programme international spécifique (UNEP/MC/COP.3/10), en</w:t>
      </w:r>
      <w:r w:rsidR="004D21C1" w:rsidRPr="002A2EA6">
        <w:rPr>
          <w:lang w:val="fr-FR"/>
        </w:rPr>
        <w:t> </w:t>
      </w:r>
      <w:r w:rsidRPr="002A2EA6">
        <w:rPr>
          <w:lang w:val="fr-FR"/>
        </w:rPr>
        <w:t>annexe duquel figurait un projet de décision sur le Programme</w:t>
      </w:r>
      <w:r w:rsidR="0077472E" w:rsidRPr="002A2EA6">
        <w:rPr>
          <w:lang w:val="fr-FR"/>
        </w:rPr>
        <w:t> </w:t>
      </w:r>
      <w:r w:rsidR="631BDA25" w:rsidRPr="002A2EA6">
        <w:rPr>
          <w:lang w:val="fr-FR"/>
        </w:rPr>
        <w:t>;</w:t>
      </w:r>
      <w:r w:rsidRPr="002A2EA6">
        <w:rPr>
          <w:lang w:val="fr-FR"/>
        </w:rPr>
        <w:t xml:space="preserve"> le rapport du Conseil d</w:t>
      </w:r>
      <w:r w:rsidR="00CA4DAC">
        <w:rPr>
          <w:lang w:val="fr-FR"/>
        </w:rPr>
        <w:t>’</w:t>
      </w:r>
      <w:r w:rsidRPr="002A2EA6">
        <w:rPr>
          <w:lang w:val="fr-FR"/>
        </w:rPr>
        <w:t>administration du Programme (UNEP/MC/COP.3/10/Add.1)</w:t>
      </w:r>
      <w:r w:rsidR="00E17408" w:rsidRPr="002A2EA6">
        <w:rPr>
          <w:lang w:val="fr-FR"/>
        </w:rPr>
        <w:t> </w:t>
      </w:r>
      <w:r w:rsidR="631BDA25" w:rsidRPr="002A2EA6">
        <w:rPr>
          <w:lang w:val="fr-FR"/>
        </w:rPr>
        <w:t>;</w:t>
      </w:r>
      <w:r w:rsidRPr="002A2EA6">
        <w:rPr>
          <w:lang w:val="fr-FR"/>
        </w:rPr>
        <w:t xml:space="preserve"> et, à</w:t>
      </w:r>
      <w:r w:rsidR="00E17408" w:rsidRPr="002A2EA6">
        <w:rPr>
          <w:lang w:val="fr-FR"/>
        </w:rPr>
        <w:t> </w:t>
      </w:r>
      <w:r w:rsidRPr="002A2EA6">
        <w:rPr>
          <w:lang w:val="fr-FR"/>
        </w:rPr>
        <w:t>titre d</w:t>
      </w:r>
      <w:r w:rsidR="00CA4DAC">
        <w:rPr>
          <w:lang w:val="fr-FR"/>
        </w:rPr>
        <w:t>’</w:t>
      </w:r>
      <w:r w:rsidRPr="002A2EA6">
        <w:rPr>
          <w:lang w:val="fr-FR"/>
        </w:rPr>
        <w:t>information, les directives relatives à la présentation de projets pour le deuxième cycle de dépôt de demandes au titre du Programme (UNEP/MC/COP.3/INF/3).</w:t>
      </w:r>
      <w:r w:rsidR="699343EB" w:rsidRPr="002A2EA6">
        <w:rPr>
          <w:lang w:val="fr-FR"/>
        </w:rPr>
        <w:t xml:space="preserve"> Elle a également fait remarquer que la Conférence des Parties devait</w:t>
      </w:r>
      <w:r w:rsidR="00A453F1" w:rsidRPr="002A2EA6">
        <w:rPr>
          <w:lang w:val="fr-FR"/>
        </w:rPr>
        <w:t>, à la réunion en cours,</w:t>
      </w:r>
      <w:r w:rsidR="699343EB" w:rsidRPr="002A2EA6">
        <w:rPr>
          <w:lang w:val="fr-FR"/>
        </w:rPr>
        <w:t xml:space="preserve"> confirmer les noms des membres qui siégeraient au Conseil d</w:t>
      </w:r>
      <w:r w:rsidR="00CA4DAC">
        <w:rPr>
          <w:lang w:val="fr-FR"/>
        </w:rPr>
        <w:t>’</w:t>
      </w:r>
      <w:r w:rsidR="699343EB" w:rsidRPr="002A2EA6">
        <w:rPr>
          <w:lang w:val="fr-FR"/>
        </w:rPr>
        <w:t>administration durant le prochain mandat.</w:t>
      </w:r>
    </w:p>
    <w:p w14:paraId="262D492A" w14:textId="5570F5A0" w:rsidR="699343EB" w:rsidRPr="002A2EA6" w:rsidRDefault="00B705A1"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Pour conclure </w:t>
      </w:r>
      <w:r w:rsidR="699343EB" w:rsidRPr="002A2EA6">
        <w:rPr>
          <w:lang w:val="fr-FR"/>
        </w:rPr>
        <w:t xml:space="preserve">son exposé et </w:t>
      </w:r>
      <w:r w:rsidRPr="002A2EA6">
        <w:rPr>
          <w:lang w:val="fr-FR"/>
        </w:rPr>
        <w:t xml:space="preserve">répondre </w:t>
      </w:r>
      <w:r w:rsidR="699343EB" w:rsidRPr="002A2EA6">
        <w:rPr>
          <w:lang w:val="fr-FR"/>
        </w:rPr>
        <w:t xml:space="preserve">aux questions posées par les parties intéressées, </w:t>
      </w:r>
      <w:r w:rsidRPr="002A2EA6">
        <w:t>la</w:t>
      </w:r>
      <w:r w:rsidR="004D21C1" w:rsidRPr="002A2EA6">
        <w:t> </w:t>
      </w:r>
      <w:r w:rsidRPr="002A2EA6">
        <w:t>représentante</w:t>
      </w:r>
      <w:r w:rsidRPr="002A2EA6">
        <w:rPr>
          <w:lang w:val="fr-FR"/>
        </w:rPr>
        <w:t xml:space="preserve"> du secrétariat </w:t>
      </w:r>
      <w:r w:rsidR="699343EB" w:rsidRPr="002A2EA6">
        <w:rPr>
          <w:lang w:val="fr-FR"/>
        </w:rPr>
        <w:t xml:space="preserve">a projeté une diapositive montrant que le mécanisme </w:t>
      </w:r>
      <w:r w:rsidRPr="002A2EA6">
        <w:rPr>
          <w:lang w:val="fr-FR"/>
        </w:rPr>
        <w:t xml:space="preserve">de financement </w:t>
      </w:r>
      <w:r w:rsidR="699343EB" w:rsidRPr="002A2EA6">
        <w:rPr>
          <w:lang w:val="fr-FR"/>
        </w:rPr>
        <w:t>de</w:t>
      </w:r>
      <w:r w:rsidR="004D21C1" w:rsidRPr="002A2EA6">
        <w:rPr>
          <w:lang w:val="fr-FR"/>
        </w:rPr>
        <w:t> </w:t>
      </w:r>
      <w:r w:rsidR="699343EB" w:rsidRPr="002A2EA6">
        <w:rPr>
          <w:lang w:val="fr-FR"/>
        </w:rPr>
        <w:t xml:space="preserve">la Convention se composait du FEM et du Programme international spécifique. </w:t>
      </w:r>
      <w:r w:rsidR="209B6358" w:rsidRPr="002A2EA6">
        <w:rPr>
          <w:lang w:val="fr-FR"/>
        </w:rPr>
        <w:t>Ce mécanisme de financement devait être distingué d</w:t>
      </w:r>
      <w:r w:rsidR="00CA4DAC">
        <w:rPr>
          <w:lang w:val="fr-FR"/>
        </w:rPr>
        <w:t>’</w:t>
      </w:r>
      <w:r w:rsidR="209B6358" w:rsidRPr="002A2EA6">
        <w:rPr>
          <w:lang w:val="fr-FR"/>
        </w:rPr>
        <w:t>un fonds connexe dont les Parties à la Convention de Minamata pouvaient également bénéficier, à savoir le Programme spécial d</w:t>
      </w:r>
      <w:r w:rsidR="00CA4DAC">
        <w:rPr>
          <w:lang w:val="fr-FR"/>
        </w:rPr>
        <w:t>’</w:t>
      </w:r>
      <w:r w:rsidR="209B6358" w:rsidRPr="002A2EA6">
        <w:rPr>
          <w:lang w:val="fr-FR"/>
        </w:rPr>
        <w:t>appui au renforcement des</w:t>
      </w:r>
      <w:r w:rsidR="00ED3E82">
        <w:rPr>
          <w:lang w:val="fr-FR"/>
        </w:rPr>
        <w:t> </w:t>
      </w:r>
      <w:r w:rsidR="209B6358" w:rsidRPr="002A2EA6">
        <w:rPr>
          <w:lang w:val="fr-FR"/>
        </w:rPr>
        <w:t>institutions nationales aux fins de la mise en œuvre des conventions de Bâle, de Rotterdam et de</w:t>
      </w:r>
      <w:r w:rsidR="004D21C1" w:rsidRPr="002A2EA6">
        <w:rPr>
          <w:lang w:val="fr-FR"/>
        </w:rPr>
        <w:t> </w:t>
      </w:r>
      <w:r w:rsidR="209B6358" w:rsidRPr="002A2EA6">
        <w:rPr>
          <w:lang w:val="fr-FR"/>
        </w:rPr>
        <w:t>Stockholm, de la Convention de Minamata et de l</w:t>
      </w:r>
      <w:r w:rsidR="00CA4DAC">
        <w:rPr>
          <w:lang w:val="fr-FR"/>
        </w:rPr>
        <w:t>’</w:t>
      </w:r>
      <w:r w:rsidR="209B6358" w:rsidRPr="002A2EA6">
        <w:rPr>
          <w:lang w:val="fr-FR"/>
        </w:rPr>
        <w:t>Approche stratégique de la gestion internationale des produits chimiques.</w:t>
      </w:r>
    </w:p>
    <w:p w14:paraId="3B4721C6" w14:textId="771C59D4" w:rsidR="209B6358" w:rsidRPr="002A2EA6" w:rsidRDefault="209B6358" w:rsidP="0090074E">
      <w:pPr>
        <w:pStyle w:val="Normalnumber"/>
        <w:keepNext/>
        <w:keepLines/>
        <w:numPr>
          <w:ilvl w:val="0"/>
          <w:numId w:val="42"/>
        </w:numPr>
        <w:tabs>
          <w:tab w:val="clear" w:pos="1814"/>
          <w:tab w:val="left" w:pos="1843"/>
          <w:tab w:val="left" w:pos="1985"/>
        </w:tabs>
        <w:ind w:left="1287" w:hanging="28"/>
        <w:rPr>
          <w:lang w:val="fr-FR"/>
        </w:rPr>
      </w:pPr>
      <w:r w:rsidRPr="002A2EA6">
        <w:rPr>
          <w:lang w:val="fr-FR"/>
        </w:rPr>
        <w:lastRenderedPageBreak/>
        <w:t>M.</w:t>
      </w:r>
      <w:r w:rsidR="00E17408" w:rsidRPr="002A2EA6">
        <w:rPr>
          <w:lang w:val="fr-FR"/>
        </w:rPr>
        <w:t> </w:t>
      </w:r>
      <w:r w:rsidRPr="002A2EA6">
        <w:rPr>
          <w:lang w:val="fr-FR"/>
        </w:rPr>
        <w:t>Reginald Hernaus (Pays-Bas), s</w:t>
      </w:r>
      <w:r w:rsidR="00CA4DAC">
        <w:rPr>
          <w:lang w:val="fr-FR"/>
        </w:rPr>
        <w:t>’</w:t>
      </w:r>
      <w:r w:rsidRPr="002A2EA6">
        <w:rPr>
          <w:lang w:val="fr-FR"/>
        </w:rPr>
        <w:t>exprimant également au nom de l</w:t>
      </w:r>
      <w:r w:rsidR="00CA4DAC">
        <w:rPr>
          <w:lang w:val="fr-FR"/>
        </w:rPr>
        <w:t>’</w:t>
      </w:r>
      <w:r w:rsidRPr="002A2EA6">
        <w:rPr>
          <w:lang w:val="fr-FR"/>
        </w:rPr>
        <w:t>autre coprésident du Conseil d</w:t>
      </w:r>
      <w:r w:rsidR="00CA4DAC">
        <w:rPr>
          <w:lang w:val="fr-FR"/>
        </w:rPr>
        <w:t>’</w:t>
      </w:r>
      <w:r w:rsidRPr="002A2EA6">
        <w:rPr>
          <w:lang w:val="fr-FR"/>
        </w:rPr>
        <w:t>administration du Programme, M.</w:t>
      </w:r>
      <w:r w:rsidR="00E17408" w:rsidRPr="002A2EA6">
        <w:rPr>
          <w:lang w:val="fr-FR"/>
        </w:rPr>
        <w:t> </w:t>
      </w:r>
      <w:r w:rsidRPr="002A2EA6">
        <w:rPr>
          <w:lang w:val="fr-FR"/>
        </w:rPr>
        <w:t>Sam Adu-Kumi (Ghana), a</w:t>
      </w:r>
      <w:r w:rsidR="00E17408" w:rsidRPr="002A2EA6">
        <w:rPr>
          <w:lang w:val="fr-FR"/>
        </w:rPr>
        <w:t> </w:t>
      </w:r>
      <w:r w:rsidRPr="002A2EA6">
        <w:rPr>
          <w:lang w:val="fr-FR"/>
        </w:rPr>
        <w:t>présenté le rapport du Conseil. Notant le succès des efforts engagés par le Conseil pour rendre le Programme opérationnel, il</w:t>
      </w:r>
      <w:r w:rsidR="004D21C1" w:rsidRPr="002A2EA6">
        <w:rPr>
          <w:lang w:val="fr-FR"/>
        </w:rPr>
        <w:t> </w:t>
      </w:r>
      <w:r w:rsidRPr="002A2EA6">
        <w:rPr>
          <w:lang w:val="fr-FR"/>
        </w:rPr>
        <w:t xml:space="preserve">a remercié tous les membres du Conseil </w:t>
      </w:r>
      <w:r w:rsidR="00092A3F" w:rsidRPr="002A2EA6">
        <w:rPr>
          <w:lang w:val="fr-FR"/>
        </w:rPr>
        <w:t xml:space="preserve">du </w:t>
      </w:r>
      <w:r w:rsidRPr="002A2EA6">
        <w:rPr>
          <w:lang w:val="fr-FR"/>
        </w:rPr>
        <w:t xml:space="preserve">travail constructif </w:t>
      </w:r>
      <w:r w:rsidR="00092A3F" w:rsidRPr="002A2EA6">
        <w:rPr>
          <w:lang w:val="fr-FR"/>
        </w:rPr>
        <w:t>qu</w:t>
      </w:r>
      <w:r w:rsidR="00CA4DAC">
        <w:rPr>
          <w:lang w:val="fr-FR"/>
        </w:rPr>
        <w:t>’</w:t>
      </w:r>
      <w:r w:rsidR="00092A3F" w:rsidRPr="002A2EA6">
        <w:rPr>
          <w:lang w:val="fr-FR"/>
        </w:rPr>
        <w:t xml:space="preserve">ils avaient effectué </w:t>
      </w:r>
      <w:r w:rsidRPr="002A2EA6">
        <w:rPr>
          <w:lang w:val="fr-FR"/>
        </w:rPr>
        <w:t>tout au long de l</w:t>
      </w:r>
      <w:r w:rsidR="00CA4DAC">
        <w:rPr>
          <w:lang w:val="fr-FR"/>
        </w:rPr>
        <w:t>’</w:t>
      </w:r>
      <w:r w:rsidRPr="002A2EA6">
        <w:rPr>
          <w:lang w:val="fr-FR"/>
        </w:rPr>
        <w:t>année écoulée. Avec un personnel restreint, le secrétariat avait accompli un travail admirable en facilitant les réunions du Conseil. Dans le cadre du deuxième cycle de dépôt de demandes, le Conseil avait sélectionné des projets implantés dans 10 pays</w:t>
      </w:r>
      <w:r w:rsidR="00092A3F" w:rsidRPr="002A2EA6">
        <w:rPr>
          <w:lang w:val="fr-FR"/>
        </w:rPr>
        <w:t xml:space="preserve"> (</w:t>
      </w:r>
      <w:r w:rsidRPr="002A2EA6">
        <w:rPr>
          <w:lang w:val="fr-FR"/>
        </w:rPr>
        <w:t>Antigua-et-Barbuda, Équateur, Ghana, Indonésie, Nigéria, Pérou, République islamique d</w:t>
      </w:r>
      <w:r w:rsidR="00CA4DAC">
        <w:rPr>
          <w:lang w:val="fr-FR"/>
        </w:rPr>
        <w:t>’</w:t>
      </w:r>
      <w:r w:rsidRPr="002A2EA6">
        <w:rPr>
          <w:lang w:val="fr-FR"/>
        </w:rPr>
        <w:t>Iran, République de Moldova, Sri Lanka et Zambie</w:t>
      </w:r>
      <w:r w:rsidR="00092A3F" w:rsidRPr="002A2EA6">
        <w:rPr>
          <w:lang w:val="fr-FR"/>
        </w:rPr>
        <w:t>)</w:t>
      </w:r>
      <w:r w:rsidRPr="002A2EA6">
        <w:rPr>
          <w:lang w:val="fr-FR"/>
        </w:rPr>
        <w:t xml:space="preserve"> pour un financement total d</w:t>
      </w:r>
      <w:r w:rsidR="00CA4DAC">
        <w:rPr>
          <w:lang w:val="fr-FR"/>
        </w:rPr>
        <w:t>’</w:t>
      </w:r>
      <w:r w:rsidRPr="002A2EA6">
        <w:rPr>
          <w:lang w:val="fr-FR"/>
        </w:rPr>
        <w:t>environ 2 millions de dollars. Le deuxième cycle de dépôt de demandes s</w:t>
      </w:r>
      <w:r w:rsidR="00CA4DAC">
        <w:rPr>
          <w:lang w:val="fr-FR"/>
        </w:rPr>
        <w:t>’</w:t>
      </w:r>
      <w:r w:rsidRPr="002A2EA6">
        <w:rPr>
          <w:lang w:val="fr-FR"/>
        </w:rPr>
        <w:t>était déroulé du 5 mars au 14 juin 2019 et les projets avaient été examinés en vue d</w:t>
      </w:r>
      <w:r w:rsidR="00CA4DAC">
        <w:rPr>
          <w:lang w:val="fr-FR"/>
        </w:rPr>
        <w:t>’</w:t>
      </w:r>
      <w:r w:rsidRPr="002A2EA6">
        <w:rPr>
          <w:lang w:val="fr-FR"/>
        </w:rPr>
        <w:t>un</w:t>
      </w:r>
      <w:r w:rsidR="00ED3E82">
        <w:rPr>
          <w:lang w:val="fr-FR"/>
        </w:rPr>
        <w:t> </w:t>
      </w:r>
      <w:r w:rsidRPr="002A2EA6">
        <w:rPr>
          <w:lang w:val="fr-FR"/>
        </w:rPr>
        <w:t>financement à hauteur de 50 000 à 250 000 dollars. Des enseignements avaient été tirés du premier</w:t>
      </w:r>
      <w:r w:rsidR="00ED3E82">
        <w:rPr>
          <w:lang w:val="fr-FR"/>
        </w:rPr>
        <w:t> </w:t>
      </w:r>
      <w:r w:rsidRPr="002A2EA6">
        <w:rPr>
          <w:lang w:val="fr-FR"/>
        </w:rPr>
        <w:t>cycle de dépôt de demandes et les observations des demandeurs avaient été prises en compte dans les directives du Conseil et les documents accompagnant les candidatures.</w:t>
      </w:r>
    </w:p>
    <w:p w14:paraId="142AD22E" w14:textId="5FEDDFFB" w:rsidR="209B6358" w:rsidRPr="002A2EA6" w:rsidRDefault="209B6358"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Après avoir </w:t>
      </w:r>
      <w:r w:rsidR="611C6805" w:rsidRPr="002A2EA6">
        <w:rPr>
          <w:lang w:val="fr-FR"/>
        </w:rPr>
        <w:t>donné un aperçu d</w:t>
      </w:r>
      <w:r w:rsidRPr="002A2EA6">
        <w:rPr>
          <w:lang w:val="fr-FR"/>
        </w:rPr>
        <w:t>es réunions tenues par le Conseil au cours de l</w:t>
      </w:r>
      <w:r w:rsidR="00CA4DAC">
        <w:rPr>
          <w:lang w:val="fr-FR"/>
        </w:rPr>
        <w:t>’</w:t>
      </w:r>
      <w:r w:rsidRPr="002A2EA6">
        <w:rPr>
          <w:lang w:val="fr-FR"/>
        </w:rPr>
        <w:t xml:space="preserve">année écoulée, M. Hernaus a remercié les donateurs qui avaient contribué au deuxième cycle, </w:t>
      </w:r>
      <w:r w:rsidR="00CF06D8" w:rsidRPr="002A2EA6">
        <w:rPr>
          <w:lang w:val="fr-FR"/>
        </w:rPr>
        <w:t>à savoir</w:t>
      </w:r>
      <w:r w:rsidRPr="002A2EA6">
        <w:rPr>
          <w:lang w:val="fr-FR"/>
        </w:rPr>
        <w:t xml:space="preserve"> l</w:t>
      </w:r>
      <w:r w:rsidR="00CA4DAC">
        <w:rPr>
          <w:lang w:val="fr-FR"/>
        </w:rPr>
        <w:t>’</w:t>
      </w:r>
      <w:r w:rsidRPr="002A2EA6">
        <w:rPr>
          <w:lang w:val="fr-FR"/>
        </w:rPr>
        <w:t>Allemagne, l</w:t>
      </w:r>
      <w:r w:rsidR="00CA4DAC">
        <w:rPr>
          <w:lang w:val="fr-FR"/>
        </w:rPr>
        <w:t>’</w:t>
      </w:r>
      <w:r w:rsidRPr="002A2EA6">
        <w:rPr>
          <w:lang w:val="fr-FR"/>
        </w:rPr>
        <w:t>Autriche, le Danemark, les États-Unis, la Norvège, les Pays-Bas, le Royaume-Uni et la Suisse.</w:t>
      </w:r>
    </w:p>
    <w:p w14:paraId="00D09894" w14:textId="1F90B752" w:rsidR="209B6358" w:rsidRPr="002A2EA6" w:rsidRDefault="209B6358"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les représentants de plusieurs pays ayant bénéficié d</w:t>
      </w:r>
      <w:r w:rsidR="00CA4DAC">
        <w:rPr>
          <w:lang w:val="fr-FR"/>
        </w:rPr>
        <w:t>’</w:t>
      </w:r>
      <w:r w:rsidRPr="002A2EA6">
        <w:rPr>
          <w:lang w:val="fr-FR"/>
        </w:rPr>
        <w:t>un financement au titre du Programme</w:t>
      </w:r>
      <w:r w:rsidR="002F1FF8" w:rsidRPr="002A2EA6">
        <w:rPr>
          <w:lang w:val="fr-FR"/>
        </w:rPr>
        <w:t xml:space="preserve"> s</w:t>
      </w:r>
      <w:r w:rsidR="00CA4DAC">
        <w:rPr>
          <w:lang w:val="fr-FR"/>
        </w:rPr>
        <w:t>’</w:t>
      </w:r>
      <w:r w:rsidR="002F1FF8" w:rsidRPr="002A2EA6">
        <w:rPr>
          <w:lang w:val="fr-FR"/>
        </w:rPr>
        <w:t>en sont dits reconnaissants</w:t>
      </w:r>
      <w:r w:rsidRPr="002A2EA6">
        <w:rPr>
          <w:lang w:val="fr-FR"/>
        </w:rPr>
        <w:t xml:space="preserve"> et </w:t>
      </w:r>
      <w:r w:rsidR="002F1FF8" w:rsidRPr="002A2EA6">
        <w:rPr>
          <w:lang w:val="fr-FR"/>
        </w:rPr>
        <w:t xml:space="preserve">ont remercié </w:t>
      </w:r>
      <w:r w:rsidRPr="002A2EA6">
        <w:rPr>
          <w:lang w:val="fr-FR"/>
        </w:rPr>
        <w:t xml:space="preserve">les donateurs </w:t>
      </w:r>
      <w:r w:rsidR="002F1FF8" w:rsidRPr="002A2EA6">
        <w:rPr>
          <w:lang w:val="fr-FR"/>
        </w:rPr>
        <w:t>d</w:t>
      </w:r>
      <w:r w:rsidR="00CA4DAC">
        <w:rPr>
          <w:lang w:val="fr-FR"/>
        </w:rPr>
        <w:t>’</w:t>
      </w:r>
      <w:r w:rsidR="002F1FF8" w:rsidRPr="002A2EA6">
        <w:rPr>
          <w:lang w:val="fr-FR"/>
        </w:rPr>
        <w:t xml:space="preserve">appuyer le </w:t>
      </w:r>
      <w:r w:rsidRPr="002A2EA6">
        <w:rPr>
          <w:lang w:val="fr-FR"/>
        </w:rPr>
        <w:t>Programme, grâce auquel ils pourraient redoubler d</w:t>
      </w:r>
      <w:r w:rsidR="00CA4DAC">
        <w:rPr>
          <w:lang w:val="fr-FR"/>
        </w:rPr>
        <w:t>’</w:t>
      </w:r>
      <w:r w:rsidRPr="002A2EA6">
        <w:rPr>
          <w:lang w:val="fr-FR"/>
        </w:rPr>
        <w:t>efforts pour mettre en œuvre la</w:t>
      </w:r>
      <w:r w:rsidR="00ED3E82">
        <w:rPr>
          <w:lang w:val="fr-FR"/>
        </w:rPr>
        <w:t> </w:t>
      </w:r>
      <w:r w:rsidRPr="002A2EA6">
        <w:rPr>
          <w:lang w:val="fr-FR"/>
        </w:rPr>
        <w:t>Convention. D</w:t>
      </w:r>
      <w:r w:rsidR="00CA4DAC">
        <w:rPr>
          <w:lang w:val="fr-FR"/>
        </w:rPr>
        <w:t>’</w:t>
      </w:r>
      <w:r w:rsidRPr="002A2EA6">
        <w:rPr>
          <w:lang w:val="fr-FR"/>
        </w:rPr>
        <w:t xml:space="preserve">autres représentants </w:t>
      </w:r>
      <w:r w:rsidR="005D3DA9" w:rsidRPr="002A2EA6">
        <w:rPr>
          <w:lang w:val="fr-FR"/>
        </w:rPr>
        <w:t xml:space="preserve">ont déploré </w:t>
      </w:r>
      <w:r w:rsidR="7F743E8E" w:rsidRPr="002A2EA6">
        <w:rPr>
          <w:lang w:val="fr-FR"/>
        </w:rPr>
        <w:t>que les</w:t>
      </w:r>
      <w:r w:rsidRPr="002A2EA6">
        <w:rPr>
          <w:lang w:val="fr-FR"/>
        </w:rPr>
        <w:t xml:space="preserve"> demandes présentées par leur pays</w:t>
      </w:r>
      <w:r w:rsidR="3E9707F0" w:rsidRPr="002A2EA6">
        <w:rPr>
          <w:lang w:val="fr-FR"/>
        </w:rPr>
        <w:t xml:space="preserve"> n</w:t>
      </w:r>
      <w:r w:rsidR="00CA4DAC">
        <w:rPr>
          <w:lang w:val="fr-FR"/>
        </w:rPr>
        <w:t>’</w:t>
      </w:r>
      <w:r w:rsidR="3E9707F0" w:rsidRPr="002A2EA6">
        <w:rPr>
          <w:lang w:val="fr-FR"/>
        </w:rPr>
        <w:t>aient pas abouti</w:t>
      </w:r>
      <w:r w:rsidRPr="002A2EA6">
        <w:rPr>
          <w:lang w:val="fr-FR"/>
        </w:rPr>
        <w:t>. Un représentant, qui s</w:t>
      </w:r>
      <w:r w:rsidR="00CA4DAC">
        <w:rPr>
          <w:lang w:val="fr-FR"/>
        </w:rPr>
        <w:t>’</w:t>
      </w:r>
      <w:r w:rsidRPr="002A2EA6">
        <w:rPr>
          <w:lang w:val="fr-FR"/>
        </w:rPr>
        <w:t>exprimait au nom d</w:t>
      </w:r>
      <w:r w:rsidR="00CA4DAC">
        <w:rPr>
          <w:lang w:val="fr-FR"/>
        </w:rPr>
        <w:t>’</w:t>
      </w:r>
      <w:r w:rsidRPr="002A2EA6">
        <w:rPr>
          <w:lang w:val="fr-FR"/>
        </w:rPr>
        <w:t xml:space="preserve">un groupe de pays, a </w:t>
      </w:r>
      <w:r w:rsidR="00D4211C" w:rsidRPr="002A2EA6">
        <w:rPr>
          <w:lang w:val="fr-FR"/>
        </w:rPr>
        <w:t xml:space="preserve">regretté </w:t>
      </w:r>
      <w:r w:rsidRPr="002A2EA6">
        <w:rPr>
          <w:lang w:val="fr-FR"/>
        </w:rPr>
        <w:t>l</w:t>
      </w:r>
      <w:r w:rsidR="00CA4DAC">
        <w:rPr>
          <w:lang w:val="fr-FR"/>
        </w:rPr>
        <w:t>’</w:t>
      </w:r>
      <w:r w:rsidRPr="002A2EA6">
        <w:rPr>
          <w:lang w:val="fr-FR"/>
        </w:rPr>
        <w:t>insuffisance des ressources allouées au Programme et a vivement engagé d</w:t>
      </w:r>
      <w:r w:rsidR="00CA4DAC">
        <w:rPr>
          <w:lang w:val="fr-FR"/>
        </w:rPr>
        <w:t>’</w:t>
      </w:r>
      <w:r w:rsidRPr="002A2EA6">
        <w:rPr>
          <w:lang w:val="fr-FR"/>
        </w:rPr>
        <w:t xml:space="preserve">autres pays à verser des contributions, tandis que deux autres ont relevé des lacunes dans les critères de sélection des projets et ont </w:t>
      </w:r>
      <w:r w:rsidR="00D4211C" w:rsidRPr="002A2EA6">
        <w:rPr>
          <w:lang w:val="fr-FR"/>
        </w:rPr>
        <w:t>prié le</w:t>
      </w:r>
      <w:r w:rsidR="00ED3E82">
        <w:rPr>
          <w:lang w:val="fr-FR"/>
        </w:rPr>
        <w:t> </w:t>
      </w:r>
      <w:r w:rsidRPr="002A2EA6">
        <w:rPr>
          <w:lang w:val="fr-FR"/>
        </w:rPr>
        <w:t xml:space="preserve">secrétariat </w:t>
      </w:r>
      <w:r w:rsidR="00D4211C" w:rsidRPr="002A2EA6">
        <w:rPr>
          <w:lang w:val="fr-FR"/>
        </w:rPr>
        <w:t xml:space="preserve">de préciser </w:t>
      </w:r>
      <w:r w:rsidRPr="002A2EA6">
        <w:rPr>
          <w:lang w:val="fr-FR"/>
        </w:rPr>
        <w:t>ces critères et d</w:t>
      </w:r>
      <w:r w:rsidR="00CA4DAC">
        <w:rPr>
          <w:lang w:val="fr-FR"/>
        </w:rPr>
        <w:t>’</w:t>
      </w:r>
      <w:r w:rsidRPr="002A2EA6">
        <w:rPr>
          <w:lang w:val="fr-FR"/>
        </w:rPr>
        <w:t>assurer une plus grande souplesse lors de la troisième série de demandes.</w:t>
      </w:r>
    </w:p>
    <w:p w14:paraId="5232DF3F" w14:textId="59671EA4" w:rsidR="209B6358" w:rsidRPr="002A2EA6" w:rsidRDefault="209B6358" w:rsidP="00A056A2">
      <w:pPr>
        <w:pStyle w:val="Normalnumber"/>
        <w:numPr>
          <w:ilvl w:val="0"/>
          <w:numId w:val="42"/>
        </w:numPr>
        <w:tabs>
          <w:tab w:val="clear" w:pos="1814"/>
          <w:tab w:val="left" w:pos="1843"/>
          <w:tab w:val="left" w:pos="1985"/>
        </w:tabs>
        <w:ind w:left="1288" w:hanging="28"/>
        <w:rPr>
          <w:lang w:val="fr-FR"/>
        </w:rPr>
      </w:pPr>
      <w:r w:rsidRPr="002A2EA6">
        <w:rPr>
          <w:lang w:val="fr-FR"/>
        </w:rPr>
        <w:t>Plusieurs représentants ont préconisé un renforcement du secrétariat et du Programme, l</w:t>
      </w:r>
      <w:r w:rsidR="00CA4DAC">
        <w:rPr>
          <w:lang w:val="fr-FR"/>
        </w:rPr>
        <w:t>’</w:t>
      </w:r>
      <w:r w:rsidRPr="002A2EA6">
        <w:rPr>
          <w:lang w:val="fr-FR"/>
        </w:rPr>
        <w:t>un d</w:t>
      </w:r>
      <w:r w:rsidR="00CA4DAC">
        <w:rPr>
          <w:lang w:val="fr-FR"/>
        </w:rPr>
        <w:t>’</w:t>
      </w:r>
      <w:r w:rsidRPr="002A2EA6">
        <w:rPr>
          <w:lang w:val="fr-FR"/>
        </w:rPr>
        <w:t>eux faisant observer que ce renforcement pourrait s</w:t>
      </w:r>
      <w:r w:rsidR="00CA4DAC">
        <w:rPr>
          <w:lang w:val="fr-FR"/>
        </w:rPr>
        <w:t>’</w:t>
      </w:r>
      <w:r w:rsidRPr="002A2EA6">
        <w:rPr>
          <w:lang w:val="fr-FR"/>
        </w:rPr>
        <w:t>effectuer de différentes manières.</w:t>
      </w:r>
      <w:r w:rsidR="003B2821" w:rsidRPr="002A2EA6">
        <w:rPr>
          <w:lang w:val="fr-FR"/>
        </w:rPr>
        <w:t xml:space="preserve"> S</w:t>
      </w:r>
      <w:r w:rsidR="00CA4DAC">
        <w:rPr>
          <w:lang w:val="fr-FR"/>
        </w:rPr>
        <w:t>’</w:t>
      </w:r>
      <w:r w:rsidRPr="002A2EA6">
        <w:rPr>
          <w:lang w:val="fr-FR"/>
        </w:rPr>
        <w:t>exprimant au nom d</w:t>
      </w:r>
      <w:r w:rsidR="00CA4DAC">
        <w:rPr>
          <w:lang w:val="fr-FR"/>
        </w:rPr>
        <w:t>’</w:t>
      </w:r>
      <w:r w:rsidRPr="002A2EA6">
        <w:rPr>
          <w:lang w:val="fr-FR"/>
        </w:rPr>
        <w:t xml:space="preserve">un groupe de pays, </w:t>
      </w:r>
      <w:r w:rsidR="003B2821" w:rsidRPr="002A2EA6">
        <w:rPr>
          <w:lang w:val="fr-FR"/>
        </w:rPr>
        <w:t xml:space="preserve">une représentante </w:t>
      </w:r>
      <w:r w:rsidRPr="002A2EA6">
        <w:rPr>
          <w:lang w:val="fr-FR"/>
        </w:rPr>
        <w:t>a annoncé que sa délégation était disposée à discuter de la question du renforcement des ressources humaines du secrétariat pour l</w:t>
      </w:r>
      <w:r w:rsidR="00CA4DAC">
        <w:rPr>
          <w:lang w:val="fr-FR"/>
        </w:rPr>
        <w:t>’</w:t>
      </w:r>
      <w:r w:rsidRPr="002A2EA6">
        <w:rPr>
          <w:lang w:val="fr-FR"/>
        </w:rPr>
        <w:t>aider à s</w:t>
      </w:r>
      <w:r w:rsidR="00CA4DAC">
        <w:rPr>
          <w:lang w:val="fr-FR"/>
        </w:rPr>
        <w:t>’</w:t>
      </w:r>
      <w:r w:rsidRPr="002A2EA6">
        <w:rPr>
          <w:lang w:val="fr-FR"/>
        </w:rPr>
        <w:t>acquitter des fonctions liées au Programme, soulignant cependant que cette question ne devait pas être abordée au titre du point de l</w:t>
      </w:r>
      <w:r w:rsidR="00CA4DAC">
        <w:rPr>
          <w:lang w:val="fr-FR"/>
        </w:rPr>
        <w:t>’</w:t>
      </w:r>
      <w:r w:rsidRPr="002A2EA6">
        <w:rPr>
          <w:lang w:val="fr-FR"/>
        </w:rPr>
        <w:t>ordre du jour consacré au Programme international spécifique et à</w:t>
      </w:r>
      <w:r w:rsidR="00503A48" w:rsidRPr="002A2EA6">
        <w:rPr>
          <w:lang w:val="fr-FR"/>
        </w:rPr>
        <w:t> </w:t>
      </w:r>
      <w:r w:rsidRPr="002A2EA6">
        <w:rPr>
          <w:lang w:val="fr-FR"/>
        </w:rPr>
        <w:t>l</w:t>
      </w:r>
      <w:r w:rsidR="00CA4DAC">
        <w:rPr>
          <w:lang w:val="fr-FR"/>
        </w:rPr>
        <w:t>’</w:t>
      </w:r>
      <w:r w:rsidRPr="002A2EA6">
        <w:rPr>
          <w:lang w:val="fr-FR"/>
        </w:rPr>
        <w:t>élection de ses membres, mais qu</w:t>
      </w:r>
      <w:r w:rsidR="00CA4DAC">
        <w:rPr>
          <w:lang w:val="fr-FR"/>
        </w:rPr>
        <w:t>’</w:t>
      </w:r>
      <w:r w:rsidRPr="002A2EA6">
        <w:rPr>
          <w:lang w:val="fr-FR"/>
        </w:rPr>
        <w:t>elle devait être renvoyée au groupe de contact sur le programme de travail et budget, en vertu de l</w:t>
      </w:r>
      <w:r w:rsidR="00CA4DAC">
        <w:rPr>
          <w:lang w:val="fr-FR"/>
        </w:rPr>
        <w:t>’</w:t>
      </w:r>
      <w:r w:rsidRPr="002A2EA6">
        <w:rPr>
          <w:lang w:val="fr-FR"/>
        </w:rPr>
        <w:t>article</w:t>
      </w:r>
      <w:r w:rsidR="00320B4B" w:rsidRPr="002A2EA6">
        <w:rPr>
          <w:lang w:val="fr-FR"/>
        </w:rPr>
        <w:t> </w:t>
      </w:r>
      <w:r w:rsidRPr="002A2EA6">
        <w:rPr>
          <w:lang w:val="fr-FR"/>
        </w:rPr>
        <w:t xml:space="preserve">13 de la Convention. Conformément à cette position, qui a </w:t>
      </w:r>
      <w:r w:rsidR="00320B4B" w:rsidRPr="002A2EA6">
        <w:rPr>
          <w:lang w:val="fr-FR"/>
        </w:rPr>
        <w:t>remporté l</w:t>
      </w:r>
      <w:r w:rsidR="00CA4DAC">
        <w:rPr>
          <w:lang w:val="fr-FR"/>
        </w:rPr>
        <w:t>’</w:t>
      </w:r>
      <w:r w:rsidR="00320B4B" w:rsidRPr="002A2EA6">
        <w:rPr>
          <w:lang w:val="fr-FR"/>
        </w:rPr>
        <w:t xml:space="preserve">adhésion </w:t>
      </w:r>
      <w:r w:rsidRPr="002A2EA6">
        <w:rPr>
          <w:lang w:val="fr-FR"/>
        </w:rPr>
        <w:t>de deux autres représentants, elle a proposé le retrait du paragraph</w:t>
      </w:r>
      <w:r w:rsidR="00320B4B" w:rsidRPr="002A2EA6">
        <w:rPr>
          <w:lang w:val="fr-FR"/>
        </w:rPr>
        <w:t>e</w:t>
      </w:r>
      <w:r w:rsidR="00E704F0" w:rsidRPr="002A2EA6">
        <w:rPr>
          <w:lang w:val="fr-FR"/>
        </w:rPr>
        <w:t> </w:t>
      </w:r>
      <w:r w:rsidRPr="002A2EA6">
        <w:rPr>
          <w:lang w:val="fr-FR"/>
        </w:rPr>
        <w:t>2 du projet de décision présenté dans l</w:t>
      </w:r>
      <w:r w:rsidR="00CA4DAC">
        <w:rPr>
          <w:lang w:val="fr-FR"/>
        </w:rPr>
        <w:t>’</w:t>
      </w:r>
      <w:r w:rsidRPr="002A2EA6">
        <w:rPr>
          <w:lang w:val="fr-FR"/>
        </w:rPr>
        <w:t xml:space="preserve">annexe </w:t>
      </w:r>
      <w:r w:rsidR="00320B4B" w:rsidRPr="002A2EA6">
        <w:rPr>
          <w:lang w:val="fr-FR"/>
        </w:rPr>
        <w:t xml:space="preserve">du </w:t>
      </w:r>
      <w:r w:rsidRPr="002A2EA6">
        <w:rPr>
          <w:lang w:val="fr-FR"/>
        </w:rPr>
        <w:t xml:space="preserve">rapport </w:t>
      </w:r>
      <w:r w:rsidR="00320B4B" w:rsidRPr="002A2EA6">
        <w:rPr>
          <w:lang w:val="fr-FR"/>
        </w:rPr>
        <w:t>d</w:t>
      </w:r>
      <w:r w:rsidR="00CA4DAC">
        <w:rPr>
          <w:lang w:val="fr-FR"/>
        </w:rPr>
        <w:t>’</w:t>
      </w:r>
      <w:r w:rsidR="00320B4B" w:rsidRPr="002A2EA6">
        <w:rPr>
          <w:lang w:val="fr-FR"/>
        </w:rPr>
        <w:t>ensemble</w:t>
      </w:r>
      <w:r w:rsidRPr="002A2EA6">
        <w:rPr>
          <w:lang w:val="fr-FR"/>
        </w:rPr>
        <w:t>.</w:t>
      </w:r>
    </w:p>
    <w:p w14:paraId="7A883015" w14:textId="5C44073A" w:rsidR="209B6358" w:rsidRPr="002A2EA6" w:rsidRDefault="209B6358"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Réaffirmant leur </w:t>
      </w:r>
      <w:r w:rsidR="002E70BA" w:rsidRPr="002A2EA6">
        <w:rPr>
          <w:lang w:val="fr-FR"/>
        </w:rPr>
        <w:t xml:space="preserve">appui </w:t>
      </w:r>
      <w:r w:rsidRPr="002A2EA6">
        <w:rPr>
          <w:lang w:val="fr-FR"/>
        </w:rPr>
        <w:t>au Programme, les représentants de la Norvège et de la Suisse ont annoncé des contributions financières de 5 millions de couronnes et 100</w:t>
      </w:r>
      <w:r w:rsidR="00E704F0" w:rsidRPr="002A2EA6">
        <w:rPr>
          <w:lang w:val="fr-FR"/>
        </w:rPr>
        <w:t> </w:t>
      </w:r>
      <w:r w:rsidRPr="002A2EA6">
        <w:rPr>
          <w:lang w:val="fr-FR"/>
        </w:rPr>
        <w:t>000 francs suisses.</w:t>
      </w:r>
    </w:p>
    <w:p w14:paraId="5A24C7EE" w14:textId="57075052" w:rsidR="209B6358" w:rsidRPr="002A2EA6" w:rsidRDefault="209B6358"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 xml:space="preserve">issue du débat, la Conférence des Parties a </w:t>
      </w:r>
      <w:r w:rsidR="002E70BA" w:rsidRPr="002A2EA6">
        <w:rPr>
          <w:lang w:val="fr-FR"/>
        </w:rPr>
        <w:t xml:space="preserve">décidé </w:t>
      </w:r>
      <w:r w:rsidRPr="002A2EA6">
        <w:rPr>
          <w:lang w:val="fr-FR"/>
        </w:rPr>
        <w:t xml:space="preserve">de renvoyer la question du renforcement du Programme international spécifique et de ses activités au </w:t>
      </w:r>
      <w:r w:rsidR="003F50BC" w:rsidRPr="002A2EA6">
        <w:rPr>
          <w:lang w:val="fr-FR"/>
        </w:rPr>
        <w:t>G</w:t>
      </w:r>
      <w:r w:rsidRPr="002A2EA6">
        <w:rPr>
          <w:lang w:val="fr-FR"/>
        </w:rPr>
        <w:t xml:space="preserve">roupe des </w:t>
      </w:r>
      <w:r w:rsidR="003F50BC" w:rsidRPr="002A2EA6">
        <w:rPr>
          <w:lang w:val="fr-FR"/>
        </w:rPr>
        <w:t>A</w:t>
      </w:r>
      <w:r w:rsidRPr="002A2EA6">
        <w:rPr>
          <w:lang w:val="fr-FR"/>
        </w:rPr>
        <w:t xml:space="preserve">mis de la présidence pour </w:t>
      </w:r>
      <w:r w:rsidR="004621E9" w:rsidRPr="002A2EA6">
        <w:rPr>
          <w:lang w:val="fr-FR"/>
        </w:rPr>
        <w:t xml:space="preserve">que celui-ci procède à un </w:t>
      </w:r>
      <w:r w:rsidRPr="002A2EA6">
        <w:rPr>
          <w:lang w:val="fr-FR"/>
        </w:rPr>
        <w:t>examen</w:t>
      </w:r>
      <w:r w:rsidR="004621E9" w:rsidRPr="002A2EA6">
        <w:rPr>
          <w:lang w:val="fr-FR"/>
        </w:rPr>
        <w:t xml:space="preserve"> plus poussé</w:t>
      </w:r>
      <w:r w:rsidR="005B0856" w:rsidRPr="002A2EA6">
        <w:rPr>
          <w:lang w:val="fr-FR"/>
        </w:rPr>
        <w:t xml:space="preserve">. Elle a par ailleurs renvoyé </w:t>
      </w:r>
      <w:r w:rsidRPr="002A2EA6">
        <w:rPr>
          <w:lang w:val="fr-FR"/>
        </w:rPr>
        <w:t>la question de l</w:t>
      </w:r>
      <w:r w:rsidR="00CA4DAC">
        <w:rPr>
          <w:lang w:val="fr-FR"/>
        </w:rPr>
        <w:t>’</w:t>
      </w:r>
      <w:r w:rsidRPr="002A2EA6">
        <w:rPr>
          <w:lang w:val="fr-FR"/>
        </w:rPr>
        <w:t xml:space="preserve">augmentation des effectifs du secrétariat </w:t>
      </w:r>
      <w:r w:rsidR="005B0856" w:rsidRPr="002A2EA6">
        <w:rPr>
          <w:lang w:val="fr-FR"/>
        </w:rPr>
        <w:t xml:space="preserve">devant le </w:t>
      </w:r>
      <w:r w:rsidRPr="002A2EA6">
        <w:rPr>
          <w:lang w:val="fr-FR"/>
        </w:rPr>
        <w:t>groupe de contact sur le programme de travail et le budget.</w:t>
      </w:r>
    </w:p>
    <w:p w14:paraId="7C927B7E" w14:textId="2E8EC902" w:rsidR="19B90747" w:rsidRPr="002A2EA6" w:rsidRDefault="00714911" w:rsidP="00A056A2">
      <w:pPr>
        <w:pStyle w:val="Normalnumber"/>
        <w:numPr>
          <w:ilvl w:val="0"/>
          <w:numId w:val="42"/>
        </w:numPr>
        <w:tabs>
          <w:tab w:val="clear" w:pos="1814"/>
          <w:tab w:val="left" w:pos="1843"/>
          <w:tab w:val="left" w:pos="1985"/>
        </w:tabs>
        <w:ind w:left="1288" w:hanging="28"/>
        <w:rPr>
          <w:lang w:val="fr-FR"/>
        </w:rPr>
      </w:pPr>
      <w:r w:rsidRPr="002A2EA6">
        <w:rPr>
          <w:lang w:val="fr-FR"/>
        </w:rPr>
        <w:t>Ainsi que l</w:t>
      </w:r>
      <w:r w:rsidR="00CA4DAC">
        <w:rPr>
          <w:lang w:val="fr-FR"/>
        </w:rPr>
        <w:t>’</w:t>
      </w:r>
      <w:r w:rsidRPr="002A2EA6">
        <w:rPr>
          <w:lang w:val="fr-FR"/>
        </w:rPr>
        <w:t xml:space="preserve">avait recommandé le </w:t>
      </w:r>
      <w:r w:rsidR="005B0856" w:rsidRPr="002A2EA6">
        <w:rPr>
          <w:lang w:val="fr-FR"/>
        </w:rPr>
        <w:t>G</w:t>
      </w:r>
      <w:r w:rsidR="19B90747" w:rsidRPr="002A2EA6">
        <w:rPr>
          <w:lang w:val="fr-FR"/>
        </w:rPr>
        <w:t xml:space="preserve">roupe des </w:t>
      </w:r>
      <w:r w:rsidR="005B0856" w:rsidRPr="002A2EA6">
        <w:rPr>
          <w:lang w:val="fr-FR"/>
        </w:rPr>
        <w:t>A</w:t>
      </w:r>
      <w:r w:rsidR="19B90747" w:rsidRPr="002A2EA6">
        <w:rPr>
          <w:lang w:val="fr-FR"/>
        </w:rPr>
        <w:t xml:space="preserve">mis de la présidence, la Conférence des Parties </w:t>
      </w:r>
      <w:r w:rsidRPr="002A2EA6">
        <w:rPr>
          <w:lang w:val="fr-FR"/>
        </w:rPr>
        <w:t>a</w:t>
      </w:r>
      <w:r w:rsidR="00E60CDE" w:rsidRPr="002A2EA6">
        <w:rPr>
          <w:lang w:val="fr-FR"/>
        </w:rPr>
        <w:t> </w:t>
      </w:r>
      <w:r w:rsidRPr="002A2EA6">
        <w:rPr>
          <w:lang w:val="fr-FR"/>
        </w:rPr>
        <w:t xml:space="preserve">ensuite décidé </w:t>
      </w:r>
      <w:r w:rsidR="19B90747" w:rsidRPr="002A2EA6">
        <w:rPr>
          <w:lang w:val="fr-FR"/>
        </w:rPr>
        <w:t>d</w:t>
      </w:r>
      <w:r w:rsidR="00CA4DAC">
        <w:rPr>
          <w:lang w:val="fr-FR"/>
        </w:rPr>
        <w:t>’</w:t>
      </w:r>
      <w:r w:rsidR="19B90747" w:rsidRPr="002A2EA6">
        <w:rPr>
          <w:lang w:val="fr-FR"/>
        </w:rPr>
        <w:t>ajouter le texte suivant au présent rapport</w:t>
      </w:r>
      <w:r w:rsidR="00E704F0" w:rsidRPr="002A2EA6">
        <w:rPr>
          <w:lang w:val="fr-FR"/>
        </w:rPr>
        <w:t> </w:t>
      </w:r>
      <w:r w:rsidR="7A7F35F0" w:rsidRPr="002A2EA6">
        <w:rPr>
          <w:lang w:val="fr-FR"/>
        </w:rPr>
        <w:t>:</w:t>
      </w:r>
      <w:r w:rsidR="19B90747" w:rsidRPr="002A2EA6">
        <w:rPr>
          <w:lang w:val="fr-FR"/>
        </w:rPr>
        <w:t xml:space="preserve"> la Conférence des Parties a pris note des</w:t>
      </w:r>
      <w:r w:rsidR="00E60CDE" w:rsidRPr="002A2EA6">
        <w:rPr>
          <w:lang w:val="fr-FR"/>
        </w:rPr>
        <w:t> </w:t>
      </w:r>
      <w:r w:rsidR="19B90747" w:rsidRPr="002A2EA6">
        <w:rPr>
          <w:lang w:val="fr-FR"/>
        </w:rPr>
        <w:t>efforts menés par la Directrice exécutive du PNUE pour mettre en œuvre les initiatives de réforme lancées par le Secrétaire général de l</w:t>
      </w:r>
      <w:r w:rsidR="00CA4DAC">
        <w:rPr>
          <w:lang w:val="fr-FR"/>
        </w:rPr>
        <w:t>’</w:t>
      </w:r>
      <w:r w:rsidR="19B90747" w:rsidRPr="002A2EA6">
        <w:rPr>
          <w:lang w:val="fr-FR"/>
        </w:rPr>
        <w:t>Organisation des Nations Unies, y compris celles relatives à la</w:t>
      </w:r>
      <w:r w:rsidR="00E60CDE" w:rsidRPr="002A2EA6">
        <w:rPr>
          <w:lang w:val="fr-FR"/>
        </w:rPr>
        <w:t> </w:t>
      </w:r>
      <w:r w:rsidR="19B90747" w:rsidRPr="002A2EA6">
        <w:rPr>
          <w:lang w:val="fr-FR"/>
        </w:rPr>
        <w:t>consolidation à l</w:t>
      </w:r>
      <w:r w:rsidR="00CA4DAC">
        <w:rPr>
          <w:lang w:val="fr-FR"/>
        </w:rPr>
        <w:t>’</w:t>
      </w:r>
      <w:r w:rsidR="19B90747" w:rsidRPr="002A2EA6">
        <w:rPr>
          <w:lang w:val="fr-FR"/>
        </w:rPr>
        <w:t>échelle mondiale des services administratifs. Dans ce contexte, la Conférence des</w:t>
      </w:r>
      <w:r w:rsidR="00E60CDE" w:rsidRPr="002A2EA6">
        <w:rPr>
          <w:lang w:val="fr-FR"/>
        </w:rPr>
        <w:t> </w:t>
      </w:r>
      <w:r w:rsidR="19B90747" w:rsidRPr="002A2EA6">
        <w:rPr>
          <w:lang w:val="fr-FR"/>
        </w:rPr>
        <w:t>Parties a engagé la Directrice exécutive, en consultation avec le Conseil d</w:t>
      </w:r>
      <w:r w:rsidR="00CA4DAC">
        <w:rPr>
          <w:lang w:val="fr-FR"/>
        </w:rPr>
        <w:t>’</w:t>
      </w:r>
      <w:r w:rsidR="19B90747" w:rsidRPr="002A2EA6">
        <w:rPr>
          <w:lang w:val="fr-FR"/>
        </w:rPr>
        <w:t>administration du Programme international spécifique, à évaluer les solutions pour améliorer le Programme et son</w:t>
      </w:r>
      <w:r w:rsidR="00E60CDE" w:rsidRPr="002A2EA6">
        <w:rPr>
          <w:lang w:val="fr-FR"/>
        </w:rPr>
        <w:t> </w:t>
      </w:r>
      <w:r w:rsidR="19B90747" w:rsidRPr="002A2EA6">
        <w:rPr>
          <w:lang w:val="fr-FR"/>
        </w:rPr>
        <w:t>fonctionnement. Ces solutions auraient pour but de veiller à la capacité du Programme international spécifique de s</w:t>
      </w:r>
      <w:r w:rsidR="00CA4DAC">
        <w:rPr>
          <w:lang w:val="fr-FR"/>
        </w:rPr>
        <w:t>’</w:t>
      </w:r>
      <w:r w:rsidR="19B90747" w:rsidRPr="002A2EA6">
        <w:rPr>
          <w:lang w:val="fr-FR"/>
        </w:rPr>
        <w:t>acquitter de son mandat et de mettre en œuvre des procédures administratives et une gestion des projets solides, renforçant ainsi l</w:t>
      </w:r>
      <w:r w:rsidR="00CA4DAC">
        <w:rPr>
          <w:lang w:val="fr-FR"/>
        </w:rPr>
        <w:t>’</w:t>
      </w:r>
      <w:r w:rsidR="19B90747" w:rsidRPr="002A2EA6">
        <w:rPr>
          <w:lang w:val="fr-FR"/>
        </w:rPr>
        <w:t>efficacité de l</w:t>
      </w:r>
      <w:r w:rsidR="00CA4DAC">
        <w:rPr>
          <w:lang w:val="fr-FR"/>
        </w:rPr>
        <w:t>’</w:t>
      </w:r>
      <w:r w:rsidR="19B90747" w:rsidRPr="002A2EA6">
        <w:rPr>
          <w:lang w:val="fr-FR"/>
        </w:rPr>
        <w:t>aide à la mise en</w:t>
      </w:r>
      <w:r w:rsidR="00E60CDE" w:rsidRPr="002A2EA6">
        <w:rPr>
          <w:lang w:val="fr-FR"/>
        </w:rPr>
        <w:t> </w:t>
      </w:r>
      <w:r w:rsidR="19B90747" w:rsidRPr="002A2EA6">
        <w:rPr>
          <w:lang w:val="fr-FR"/>
        </w:rPr>
        <w:t>œuvre de la Convention de Minamata fournie par le Programme aux Parties pouvant y prétendre. Par ailleurs, la Conférence des Parties a invité la Directrice exécutive à lui présenter un rapport sur la</w:t>
      </w:r>
      <w:r w:rsidR="00E60CDE" w:rsidRPr="002A2EA6">
        <w:rPr>
          <w:lang w:val="fr-FR"/>
        </w:rPr>
        <w:t> </w:t>
      </w:r>
      <w:r w:rsidR="19B90747" w:rsidRPr="002A2EA6">
        <w:rPr>
          <w:lang w:val="fr-FR"/>
        </w:rPr>
        <w:t>question à sa quatrième</w:t>
      </w:r>
      <w:r w:rsidR="00E17408" w:rsidRPr="002A2EA6">
        <w:rPr>
          <w:lang w:val="fr-FR"/>
        </w:rPr>
        <w:t> </w:t>
      </w:r>
      <w:r w:rsidR="19B90747" w:rsidRPr="002A2EA6">
        <w:rPr>
          <w:lang w:val="fr-FR"/>
        </w:rPr>
        <w:t>réunion.</w:t>
      </w:r>
    </w:p>
    <w:p w14:paraId="599B9CBC" w14:textId="504DBF86" w:rsidR="19B90747" w:rsidRPr="002A2EA6" w:rsidRDefault="19B90747" w:rsidP="0090074E">
      <w:pPr>
        <w:pStyle w:val="Normalnumber"/>
        <w:keepNext/>
        <w:keepLines/>
        <w:numPr>
          <w:ilvl w:val="0"/>
          <w:numId w:val="42"/>
        </w:numPr>
        <w:tabs>
          <w:tab w:val="clear" w:pos="1814"/>
          <w:tab w:val="left" w:pos="1843"/>
          <w:tab w:val="left" w:pos="1985"/>
        </w:tabs>
        <w:ind w:left="1288" w:hanging="28"/>
        <w:rPr>
          <w:lang w:val="fr-FR"/>
        </w:rPr>
      </w:pPr>
      <w:r w:rsidRPr="002A2EA6">
        <w:rPr>
          <w:lang w:val="fr-FR"/>
        </w:rPr>
        <w:lastRenderedPageBreak/>
        <w:t>La Conférence</w:t>
      </w:r>
      <w:r w:rsidR="0C49A871" w:rsidRPr="002A2EA6">
        <w:rPr>
          <w:lang w:val="fr-FR"/>
        </w:rPr>
        <w:t xml:space="preserve"> des Parties a ensuite confirmé les membres suivants </w:t>
      </w:r>
      <w:r w:rsidR="00AD1CFA" w:rsidRPr="002A2EA6">
        <w:rPr>
          <w:lang w:val="fr-FR"/>
        </w:rPr>
        <w:t xml:space="preserve">du </w:t>
      </w:r>
      <w:r w:rsidR="0C49A871" w:rsidRPr="002A2EA6">
        <w:rPr>
          <w:lang w:val="fr-FR"/>
        </w:rPr>
        <w:t>Conseil d</w:t>
      </w:r>
      <w:r w:rsidR="00CA4DAC">
        <w:rPr>
          <w:lang w:val="fr-FR"/>
        </w:rPr>
        <w:t>’</w:t>
      </w:r>
      <w:r w:rsidR="0C49A871" w:rsidRPr="002A2EA6">
        <w:rPr>
          <w:lang w:val="fr-FR"/>
        </w:rPr>
        <w:t>administration du Programme international spécifique</w:t>
      </w:r>
      <w:r w:rsidR="00965CBB" w:rsidRPr="002A2EA6">
        <w:rPr>
          <w:lang w:val="fr-FR"/>
        </w:rPr>
        <w:t> </w:t>
      </w:r>
      <w:r w:rsidR="7A7F35F0" w:rsidRPr="002A2EA6">
        <w:rPr>
          <w:lang w:val="fr-FR"/>
        </w:rPr>
        <w:t>:</w:t>
      </w:r>
    </w:p>
    <w:p w14:paraId="67C58D51" w14:textId="4C037DCD" w:rsidR="26658A7C" w:rsidRPr="002A2EA6" w:rsidRDefault="00ED3E82" w:rsidP="00ED3E82">
      <w:pPr>
        <w:pStyle w:val="NormalNonumber"/>
        <w:keepNext/>
      </w:pPr>
      <w:r>
        <w:tab/>
      </w:r>
      <w:r w:rsidR="26658A7C" w:rsidRPr="002A2EA6">
        <w:t>États d</w:t>
      </w:r>
      <w:r w:rsidR="00CA4DAC">
        <w:t>’</w:t>
      </w:r>
      <w:r w:rsidR="26658A7C" w:rsidRPr="002A2EA6">
        <w:t>Afrique</w:t>
      </w:r>
      <w:r w:rsidR="00E704F0" w:rsidRPr="002A2EA6">
        <w:t> </w:t>
      </w:r>
      <w:r w:rsidR="7A7F35F0" w:rsidRPr="002A2EA6">
        <w:t>:</w:t>
      </w:r>
    </w:p>
    <w:p w14:paraId="427286B3" w14:textId="39E40301" w:rsidR="26658A7C" w:rsidRPr="002A2EA6" w:rsidRDefault="00166E10" w:rsidP="00166E10">
      <w:pPr>
        <w:pStyle w:val="NormalNonumber"/>
        <w:keepNext/>
        <w:rPr>
          <w:lang w:val="fr-FR"/>
        </w:rPr>
      </w:pPr>
      <w:r>
        <w:rPr>
          <w:lang w:val="fr-FR"/>
        </w:rPr>
        <w:tab/>
      </w:r>
      <w:r>
        <w:rPr>
          <w:lang w:val="fr-FR"/>
        </w:rPr>
        <w:tab/>
      </w:r>
      <w:r w:rsidR="26658A7C" w:rsidRPr="002A2EA6">
        <w:rPr>
          <w:lang w:val="fr-FR"/>
        </w:rPr>
        <w:t>Olubunmi Olusanya (Nigéria</w:t>
      </w:r>
      <w:r w:rsidR="6975350C" w:rsidRPr="002A2EA6">
        <w:rPr>
          <w:lang w:val="fr-FR"/>
        </w:rPr>
        <w:t>)</w:t>
      </w:r>
    </w:p>
    <w:p w14:paraId="798C45C6" w14:textId="3F644359" w:rsidR="26658A7C" w:rsidRPr="002A2EA6" w:rsidRDefault="00166E10" w:rsidP="00166E10">
      <w:pPr>
        <w:pStyle w:val="NormalNonumber"/>
        <w:keepNext/>
        <w:rPr>
          <w:lang w:val="fr-FR"/>
        </w:rPr>
      </w:pPr>
      <w:r>
        <w:rPr>
          <w:lang w:val="fr-FR"/>
        </w:rPr>
        <w:tab/>
      </w:r>
      <w:r>
        <w:rPr>
          <w:lang w:val="fr-FR"/>
        </w:rPr>
        <w:tab/>
      </w:r>
      <w:r w:rsidR="26658A7C" w:rsidRPr="002A2EA6">
        <w:rPr>
          <w:lang w:val="fr-FR"/>
        </w:rPr>
        <w:t>A</w:t>
      </w:r>
      <w:r w:rsidR="00FB1027">
        <w:rPr>
          <w:lang w:val="fr-FR"/>
        </w:rPr>
        <w:t>ï</w:t>
      </w:r>
      <w:r w:rsidR="26658A7C" w:rsidRPr="002A2EA6">
        <w:rPr>
          <w:lang w:val="fr-FR"/>
        </w:rPr>
        <w:t>ta Seck (Sénégal)</w:t>
      </w:r>
    </w:p>
    <w:p w14:paraId="2CAB1676" w14:textId="765A00D6" w:rsidR="003B3227" w:rsidRPr="002A2EA6" w:rsidRDefault="00166E10" w:rsidP="00166E10">
      <w:pPr>
        <w:pStyle w:val="NormalNonumber"/>
        <w:keepNext/>
        <w:rPr>
          <w:lang w:val="fr-FR"/>
        </w:rPr>
      </w:pPr>
      <w:r>
        <w:rPr>
          <w:lang w:val="fr-FR"/>
        </w:rPr>
        <w:tab/>
      </w:r>
      <w:r w:rsidR="003B3227" w:rsidRPr="002A2EA6">
        <w:rPr>
          <w:lang w:val="fr-FR"/>
        </w:rPr>
        <w:t>États d</w:t>
      </w:r>
      <w:r w:rsidR="00CA4DAC">
        <w:rPr>
          <w:lang w:val="fr-FR"/>
        </w:rPr>
        <w:t>’</w:t>
      </w:r>
      <w:r w:rsidR="003B3227" w:rsidRPr="002A2EA6">
        <w:rPr>
          <w:lang w:val="fr-FR"/>
        </w:rPr>
        <w:t>Amérique latine et des Caraïbes</w:t>
      </w:r>
      <w:r w:rsidR="00965CBB" w:rsidRPr="002A2EA6">
        <w:rPr>
          <w:lang w:val="fr-FR"/>
        </w:rPr>
        <w:t> </w:t>
      </w:r>
      <w:r w:rsidR="003B3227" w:rsidRPr="002A2EA6">
        <w:rPr>
          <w:lang w:val="fr-FR"/>
        </w:rPr>
        <w:t>:</w:t>
      </w:r>
    </w:p>
    <w:p w14:paraId="3A896EA8" w14:textId="4AA8483B" w:rsidR="003B3227" w:rsidRPr="002A2EA6" w:rsidRDefault="00166E10" w:rsidP="00166E10">
      <w:pPr>
        <w:pStyle w:val="NormalNonumber"/>
        <w:keepNext/>
        <w:rPr>
          <w:lang w:val="es-ES"/>
        </w:rPr>
      </w:pPr>
      <w:r w:rsidRPr="00FD3336">
        <w:rPr>
          <w:lang w:val="fr-FR"/>
        </w:rPr>
        <w:tab/>
      </w:r>
      <w:r w:rsidRPr="00FD3336">
        <w:rPr>
          <w:lang w:val="fr-FR"/>
        </w:rPr>
        <w:tab/>
      </w:r>
      <w:r w:rsidR="003B3227" w:rsidRPr="002A2EA6">
        <w:rPr>
          <w:lang w:val="es-ES"/>
        </w:rPr>
        <w:t>Pedro Piacesi de Souza (Brésil)</w:t>
      </w:r>
    </w:p>
    <w:p w14:paraId="4566E8F0" w14:textId="3BA719B3" w:rsidR="003B3227" w:rsidRPr="002A2EA6" w:rsidRDefault="00166E10" w:rsidP="00166E10">
      <w:pPr>
        <w:pStyle w:val="NormalNonumber"/>
        <w:keepNext/>
        <w:rPr>
          <w:lang w:val="fr-FR"/>
        </w:rPr>
      </w:pPr>
      <w:r w:rsidRPr="00FD3336">
        <w:rPr>
          <w:lang w:val="es-ES"/>
        </w:rPr>
        <w:tab/>
      </w:r>
      <w:r w:rsidRPr="00FD3336">
        <w:rPr>
          <w:lang w:val="es-ES"/>
        </w:rPr>
        <w:tab/>
      </w:r>
      <w:r w:rsidR="003B3227" w:rsidRPr="002A2EA6">
        <w:rPr>
          <w:lang w:val="fr-FR"/>
        </w:rPr>
        <w:t>Gina Griffith (Suriname)</w:t>
      </w:r>
    </w:p>
    <w:p w14:paraId="48463585" w14:textId="07421F60" w:rsidR="26658A7C" w:rsidRPr="002A2EA6" w:rsidRDefault="00166E10" w:rsidP="00166E10">
      <w:pPr>
        <w:pStyle w:val="NormalNonumber"/>
        <w:keepNext/>
        <w:rPr>
          <w:lang w:val="fr-FR"/>
        </w:rPr>
      </w:pPr>
      <w:r>
        <w:rPr>
          <w:lang w:val="fr-FR"/>
        </w:rPr>
        <w:tab/>
      </w:r>
      <w:r w:rsidR="26658A7C" w:rsidRPr="002A2EA6">
        <w:rPr>
          <w:lang w:val="fr-FR"/>
        </w:rPr>
        <w:t>États d</w:t>
      </w:r>
      <w:r w:rsidR="00CA4DAC">
        <w:rPr>
          <w:lang w:val="fr-FR"/>
        </w:rPr>
        <w:t>’</w:t>
      </w:r>
      <w:r w:rsidR="26658A7C" w:rsidRPr="002A2EA6">
        <w:rPr>
          <w:lang w:val="fr-FR"/>
        </w:rPr>
        <w:t>Asie et du Pacifique</w:t>
      </w:r>
      <w:r w:rsidR="00965CBB" w:rsidRPr="002A2EA6">
        <w:rPr>
          <w:lang w:val="fr-FR"/>
        </w:rPr>
        <w:t> </w:t>
      </w:r>
      <w:r w:rsidR="7A7F35F0" w:rsidRPr="002A2EA6">
        <w:rPr>
          <w:lang w:val="fr-FR"/>
        </w:rPr>
        <w:t>:</w:t>
      </w:r>
    </w:p>
    <w:p w14:paraId="7D19328D" w14:textId="1E1F6214" w:rsidR="26658A7C" w:rsidRPr="002A2EA6" w:rsidRDefault="00166E10" w:rsidP="00166E10">
      <w:pPr>
        <w:pStyle w:val="NormalNonumber"/>
        <w:keepNext/>
        <w:rPr>
          <w:lang w:val="fr-FR"/>
        </w:rPr>
      </w:pPr>
      <w:r>
        <w:rPr>
          <w:lang w:val="fr-FR"/>
        </w:rPr>
        <w:tab/>
      </w:r>
      <w:r>
        <w:rPr>
          <w:lang w:val="fr-FR"/>
        </w:rPr>
        <w:tab/>
      </w:r>
      <w:r w:rsidR="26658A7C" w:rsidRPr="002A2EA6">
        <w:rPr>
          <w:lang w:val="fr-FR"/>
        </w:rPr>
        <w:t>Mohsen Naziri Asl (République islamique d</w:t>
      </w:r>
      <w:r w:rsidR="00CA4DAC">
        <w:rPr>
          <w:lang w:val="fr-FR"/>
        </w:rPr>
        <w:t>’</w:t>
      </w:r>
      <w:r w:rsidR="26658A7C" w:rsidRPr="002A2EA6">
        <w:rPr>
          <w:lang w:val="fr-FR"/>
        </w:rPr>
        <w:t>Iran)</w:t>
      </w:r>
    </w:p>
    <w:p w14:paraId="56A4595C" w14:textId="15D4C64A" w:rsidR="26658A7C" w:rsidRPr="002A2EA6" w:rsidRDefault="00166E10" w:rsidP="00166E10">
      <w:pPr>
        <w:pStyle w:val="NormalNonumber"/>
        <w:keepNext/>
        <w:rPr>
          <w:lang w:val="fr-FR"/>
        </w:rPr>
      </w:pPr>
      <w:r>
        <w:rPr>
          <w:lang w:val="fr-FR"/>
        </w:rPr>
        <w:tab/>
      </w:r>
      <w:r>
        <w:rPr>
          <w:lang w:val="fr-FR"/>
        </w:rPr>
        <w:tab/>
      </w:r>
      <w:r w:rsidR="26658A7C" w:rsidRPr="002A2EA6">
        <w:rPr>
          <w:lang w:val="fr-FR"/>
        </w:rPr>
        <w:t>Prasert Tapaneeyangkul (Thaïlande)</w:t>
      </w:r>
    </w:p>
    <w:p w14:paraId="2AEA5287" w14:textId="33C86C63" w:rsidR="26658A7C" w:rsidRPr="002A2EA6" w:rsidRDefault="00166E10" w:rsidP="00166E10">
      <w:pPr>
        <w:pStyle w:val="NormalNonumber"/>
        <w:keepNext/>
        <w:rPr>
          <w:lang w:val="fr-FR"/>
        </w:rPr>
      </w:pPr>
      <w:r>
        <w:rPr>
          <w:lang w:val="fr-FR"/>
        </w:rPr>
        <w:tab/>
      </w:r>
      <w:r w:rsidR="26658A7C" w:rsidRPr="002A2EA6">
        <w:rPr>
          <w:lang w:val="fr-FR"/>
        </w:rPr>
        <w:t>États d</w:t>
      </w:r>
      <w:r w:rsidR="00CA4DAC">
        <w:rPr>
          <w:lang w:val="fr-FR"/>
        </w:rPr>
        <w:t>’</w:t>
      </w:r>
      <w:r w:rsidR="26658A7C" w:rsidRPr="002A2EA6">
        <w:rPr>
          <w:lang w:val="fr-FR"/>
        </w:rPr>
        <w:t>Europe centrale et orientale</w:t>
      </w:r>
      <w:r w:rsidR="00965CBB" w:rsidRPr="002A2EA6">
        <w:rPr>
          <w:lang w:val="fr-FR"/>
        </w:rPr>
        <w:t> </w:t>
      </w:r>
      <w:r w:rsidR="7A7F35F0" w:rsidRPr="002A2EA6">
        <w:rPr>
          <w:lang w:val="fr-FR"/>
        </w:rPr>
        <w:t>:</w:t>
      </w:r>
    </w:p>
    <w:p w14:paraId="007F1431" w14:textId="28749877" w:rsidR="26658A7C" w:rsidRPr="002A2EA6" w:rsidRDefault="00166E10" w:rsidP="00166E10">
      <w:pPr>
        <w:pStyle w:val="NormalNonumber"/>
        <w:keepNext/>
        <w:rPr>
          <w:lang w:val="fr-FR"/>
        </w:rPr>
      </w:pPr>
      <w:r>
        <w:rPr>
          <w:lang w:val="fr-FR"/>
        </w:rPr>
        <w:tab/>
      </w:r>
      <w:r>
        <w:rPr>
          <w:lang w:val="fr-FR"/>
        </w:rPr>
        <w:tab/>
      </w:r>
      <w:r w:rsidR="26658A7C" w:rsidRPr="002A2EA6">
        <w:rPr>
          <w:lang w:val="fr-FR"/>
        </w:rPr>
        <w:t>Anahit Aleksandryan (Arménie)</w:t>
      </w:r>
    </w:p>
    <w:p w14:paraId="75A0B1DA" w14:textId="3EAE205B" w:rsidR="26658A7C" w:rsidRPr="002A2EA6" w:rsidRDefault="00166E10" w:rsidP="00166E10">
      <w:pPr>
        <w:pStyle w:val="NormalNonumber"/>
        <w:keepNext/>
        <w:rPr>
          <w:lang w:val="fr-FR"/>
        </w:rPr>
      </w:pPr>
      <w:r>
        <w:rPr>
          <w:lang w:val="fr-FR"/>
        </w:rPr>
        <w:tab/>
      </w:r>
      <w:r>
        <w:rPr>
          <w:lang w:val="fr-FR"/>
        </w:rPr>
        <w:tab/>
      </w:r>
      <w:r w:rsidR="26658A7C" w:rsidRPr="002A2EA6">
        <w:rPr>
          <w:lang w:val="fr-FR"/>
        </w:rPr>
        <w:t>Kaupo Heinma (Estonie)</w:t>
      </w:r>
    </w:p>
    <w:p w14:paraId="210EF3A1" w14:textId="42A96264" w:rsidR="26658A7C" w:rsidRPr="002A2EA6" w:rsidRDefault="00166E10" w:rsidP="00166E10">
      <w:pPr>
        <w:pStyle w:val="NormalNonumber"/>
        <w:keepNext/>
        <w:rPr>
          <w:lang w:val="fr-FR"/>
        </w:rPr>
      </w:pPr>
      <w:r>
        <w:rPr>
          <w:lang w:val="fr-FR"/>
        </w:rPr>
        <w:tab/>
      </w:r>
      <w:r w:rsidR="26658A7C" w:rsidRPr="002A2EA6">
        <w:rPr>
          <w:lang w:val="fr-FR"/>
        </w:rPr>
        <w:t>États d</w:t>
      </w:r>
      <w:r w:rsidR="00CA4DAC">
        <w:rPr>
          <w:lang w:val="fr-FR"/>
        </w:rPr>
        <w:t>’</w:t>
      </w:r>
      <w:r w:rsidR="26658A7C" w:rsidRPr="002A2EA6">
        <w:rPr>
          <w:lang w:val="fr-FR"/>
        </w:rPr>
        <w:t>Europe occidentale et autres États</w:t>
      </w:r>
      <w:r w:rsidR="00CD6B90" w:rsidRPr="002A2EA6">
        <w:rPr>
          <w:lang w:val="fr-FR"/>
        </w:rPr>
        <w:t> </w:t>
      </w:r>
      <w:r w:rsidR="7A7F35F0" w:rsidRPr="002A2EA6">
        <w:rPr>
          <w:lang w:val="fr-FR"/>
        </w:rPr>
        <w:t>:</w:t>
      </w:r>
    </w:p>
    <w:p w14:paraId="5FE241E8" w14:textId="38383AE2" w:rsidR="26658A7C" w:rsidRPr="00FD3336" w:rsidRDefault="00166E10" w:rsidP="00166E10">
      <w:pPr>
        <w:pStyle w:val="NormalNonumber"/>
        <w:keepNext/>
        <w:rPr>
          <w:lang w:val="fr-FR"/>
        </w:rPr>
      </w:pPr>
      <w:r w:rsidRPr="00FD3336">
        <w:rPr>
          <w:lang w:val="fr-FR"/>
        </w:rPr>
        <w:tab/>
      </w:r>
      <w:r w:rsidRPr="00FD3336">
        <w:rPr>
          <w:lang w:val="fr-FR"/>
        </w:rPr>
        <w:tab/>
      </w:r>
      <w:r w:rsidR="26658A7C" w:rsidRPr="00FD3336">
        <w:rPr>
          <w:lang w:val="fr-FR"/>
        </w:rPr>
        <w:t>Atle Fretheim (Norvège)</w:t>
      </w:r>
    </w:p>
    <w:p w14:paraId="0C8C1D09" w14:textId="77777777" w:rsidR="00166E10" w:rsidRPr="00FD3336" w:rsidRDefault="00166E10" w:rsidP="00166E10">
      <w:pPr>
        <w:pStyle w:val="NormalNonumber"/>
        <w:keepNext/>
        <w:rPr>
          <w:lang w:val="fr-FR"/>
        </w:rPr>
      </w:pPr>
      <w:r w:rsidRPr="00FD3336">
        <w:rPr>
          <w:lang w:val="fr-FR"/>
        </w:rPr>
        <w:tab/>
      </w:r>
      <w:r w:rsidRPr="00FD3336">
        <w:rPr>
          <w:lang w:val="fr-FR"/>
        </w:rPr>
        <w:tab/>
        <w:t>Reginald Hernaus (Pays-Bas)</w:t>
      </w:r>
    </w:p>
    <w:p w14:paraId="457E60B1" w14:textId="56BF245F" w:rsidR="003D0299" w:rsidRPr="002A2EA6" w:rsidRDefault="00C7478E" w:rsidP="00C7478E">
      <w:pPr>
        <w:pStyle w:val="CH3"/>
        <w:rPr>
          <w:sz w:val="22"/>
          <w:szCs w:val="22"/>
          <w:lang w:val="fr-FR"/>
        </w:rPr>
      </w:pPr>
      <w:r w:rsidRPr="00FD3336">
        <w:rPr>
          <w:sz w:val="22"/>
          <w:szCs w:val="22"/>
          <w:lang w:val="fr-FR"/>
        </w:rPr>
        <w:tab/>
      </w:r>
      <w:r w:rsidRPr="002A2EA6">
        <w:rPr>
          <w:sz w:val="22"/>
          <w:szCs w:val="22"/>
          <w:lang w:val="fr-FR"/>
        </w:rPr>
        <w:t>3.</w:t>
      </w:r>
      <w:r w:rsidRPr="002A2EA6">
        <w:rPr>
          <w:sz w:val="22"/>
          <w:szCs w:val="22"/>
          <w:lang w:val="fr-FR"/>
        </w:rPr>
        <w:tab/>
        <w:t>Examen du mécanisme de financement</w:t>
      </w:r>
    </w:p>
    <w:p w14:paraId="421AF38F" w14:textId="0DE63ADD" w:rsidR="1E125903" w:rsidRPr="002A2EA6" w:rsidRDefault="1E125903"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Présentant ce sous-point, la représentante du secrétariat </w:t>
      </w:r>
      <w:r w:rsidR="00F71D91" w:rsidRPr="002A2EA6">
        <w:rPr>
          <w:lang w:val="fr-FR"/>
        </w:rPr>
        <w:t xml:space="preserve">est revenue sur les </w:t>
      </w:r>
      <w:r w:rsidRPr="002A2EA6">
        <w:rPr>
          <w:lang w:val="fr-FR"/>
        </w:rPr>
        <w:t>dispositions de l</w:t>
      </w:r>
      <w:r w:rsidR="00CA4DAC">
        <w:rPr>
          <w:lang w:val="fr-FR"/>
        </w:rPr>
        <w:t>’</w:t>
      </w:r>
      <w:r w:rsidRPr="002A2EA6">
        <w:rPr>
          <w:lang w:val="fr-FR"/>
        </w:rPr>
        <w:t>article</w:t>
      </w:r>
      <w:r w:rsidR="00E17408" w:rsidRPr="002A2EA6">
        <w:rPr>
          <w:lang w:val="fr-FR"/>
        </w:rPr>
        <w:t> </w:t>
      </w:r>
      <w:r w:rsidRPr="002A2EA6">
        <w:rPr>
          <w:lang w:val="fr-FR"/>
        </w:rPr>
        <w:t xml:space="preserve">13 de la Convention et </w:t>
      </w:r>
      <w:r w:rsidR="00F71D91" w:rsidRPr="002A2EA6">
        <w:rPr>
          <w:lang w:val="fr-FR"/>
        </w:rPr>
        <w:t xml:space="preserve">a </w:t>
      </w:r>
      <w:r w:rsidRPr="002A2EA6">
        <w:rPr>
          <w:lang w:val="fr-FR"/>
        </w:rPr>
        <w:t>rappelé qu</w:t>
      </w:r>
      <w:r w:rsidR="00CA4DAC">
        <w:rPr>
          <w:lang w:val="fr-FR"/>
        </w:rPr>
        <w:t>’</w:t>
      </w:r>
      <w:r w:rsidRPr="002A2EA6">
        <w:rPr>
          <w:lang w:val="fr-FR"/>
        </w:rPr>
        <w:t>à sa deuxième</w:t>
      </w:r>
      <w:r w:rsidR="00A01918" w:rsidRPr="002A2EA6">
        <w:rPr>
          <w:lang w:val="fr-FR"/>
        </w:rPr>
        <w:t> </w:t>
      </w:r>
      <w:r w:rsidRPr="002A2EA6">
        <w:rPr>
          <w:lang w:val="fr-FR"/>
        </w:rPr>
        <w:t xml:space="preserve">réunion la Conférence des Parties avait </w:t>
      </w:r>
      <w:r w:rsidR="00F71D91" w:rsidRPr="002A2EA6">
        <w:rPr>
          <w:lang w:val="fr-FR"/>
        </w:rPr>
        <w:t xml:space="preserve">prié le </w:t>
      </w:r>
      <w:r w:rsidRPr="002A2EA6">
        <w:rPr>
          <w:lang w:val="fr-FR"/>
        </w:rPr>
        <w:t>secrétariat de compiler les informations provenant du FEM, du Programme international spécifique, des Parties et d</w:t>
      </w:r>
      <w:r w:rsidR="00CA4DAC">
        <w:rPr>
          <w:lang w:val="fr-FR"/>
        </w:rPr>
        <w:t>’</w:t>
      </w:r>
      <w:r w:rsidRPr="002A2EA6">
        <w:rPr>
          <w:lang w:val="fr-FR"/>
        </w:rPr>
        <w:t>autres sources pertinentes portant sur les questions mentionnées au paragraphe</w:t>
      </w:r>
      <w:r w:rsidR="00C32F54" w:rsidRPr="002A2EA6">
        <w:rPr>
          <w:lang w:val="fr-FR"/>
        </w:rPr>
        <w:t> </w:t>
      </w:r>
      <w:r w:rsidRPr="002A2EA6">
        <w:rPr>
          <w:lang w:val="fr-FR"/>
        </w:rPr>
        <w:t>11 de l</w:t>
      </w:r>
      <w:r w:rsidR="00CA4DAC">
        <w:rPr>
          <w:lang w:val="fr-FR"/>
        </w:rPr>
        <w:t>’</w:t>
      </w:r>
      <w:r w:rsidRPr="002A2EA6">
        <w:rPr>
          <w:lang w:val="fr-FR"/>
        </w:rPr>
        <w:t>article</w:t>
      </w:r>
      <w:r w:rsidR="00E17408" w:rsidRPr="002A2EA6">
        <w:rPr>
          <w:lang w:val="fr-FR"/>
        </w:rPr>
        <w:t> </w:t>
      </w:r>
      <w:r w:rsidRPr="002A2EA6">
        <w:rPr>
          <w:lang w:val="fr-FR"/>
        </w:rPr>
        <w:t>13, ces informations étant nécessaires à l</w:t>
      </w:r>
      <w:r w:rsidR="00CA4DAC">
        <w:rPr>
          <w:lang w:val="fr-FR"/>
        </w:rPr>
        <w:t>’</w:t>
      </w:r>
      <w:r w:rsidRPr="002A2EA6">
        <w:rPr>
          <w:lang w:val="fr-FR"/>
        </w:rPr>
        <w:t>examen du mécanisme de financement de la Convention, et de présenter une synthèse de ces informations pour examen par la</w:t>
      </w:r>
      <w:r w:rsidR="00C166F9">
        <w:rPr>
          <w:lang w:val="fr-FR"/>
        </w:rPr>
        <w:t> </w:t>
      </w:r>
      <w:r w:rsidRPr="002A2EA6">
        <w:rPr>
          <w:lang w:val="fr-FR"/>
        </w:rPr>
        <w:t>Conférence des Parties à sa troisième réunion (UNEP/MC/COP.2/19, par. 120). La Conférence des</w:t>
      </w:r>
      <w:r w:rsidR="00C166F9">
        <w:rPr>
          <w:lang w:val="fr-FR"/>
        </w:rPr>
        <w:t> </w:t>
      </w:r>
      <w:r w:rsidRPr="002A2EA6">
        <w:rPr>
          <w:lang w:val="fr-FR"/>
        </w:rPr>
        <w:t>Parties était, en</w:t>
      </w:r>
      <w:r w:rsidR="00A01918" w:rsidRPr="002A2EA6">
        <w:rPr>
          <w:lang w:val="fr-FR"/>
        </w:rPr>
        <w:t> </w:t>
      </w:r>
      <w:r w:rsidRPr="002A2EA6">
        <w:rPr>
          <w:lang w:val="fr-FR"/>
        </w:rPr>
        <w:t>conséquence, saisie d</w:t>
      </w:r>
      <w:r w:rsidR="00CA4DAC">
        <w:rPr>
          <w:lang w:val="fr-FR"/>
        </w:rPr>
        <w:t>’</w:t>
      </w:r>
      <w:r w:rsidRPr="002A2EA6">
        <w:rPr>
          <w:lang w:val="fr-FR"/>
        </w:rPr>
        <w:t>une note du secrétariat portant sur l</w:t>
      </w:r>
      <w:r w:rsidR="00CA4DAC">
        <w:rPr>
          <w:lang w:val="fr-FR"/>
        </w:rPr>
        <w:t>’</w:t>
      </w:r>
      <w:r w:rsidRPr="002A2EA6">
        <w:rPr>
          <w:lang w:val="fr-FR"/>
        </w:rPr>
        <w:t>examen du mécanisme de financement (UNEP/MC/COP.3/11), qui résumait les informations reçues du FEM et du Conseil d</w:t>
      </w:r>
      <w:r w:rsidR="00CA4DAC">
        <w:rPr>
          <w:lang w:val="fr-FR"/>
        </w:rPr>
        <w:t>’</w:t>
      </w:r>
      <w:r w:rsidRPr="002A2EA6">
        <w:rPr>
          <w:lang w:val="fr-FR"/>
        </w:rPr>
        <w:t>administration du Programme international spécifique. Aucune information sur la question n</w:t>
      </w:r>
      <w:r w:rsidR="00CA4DAC">
        <w:rPr>
          <w:lang w:val="fr-FR"/>
        </w:rPr>
        <w:t>’</w:t>
      </w:r>
      <w:r w:rsidRPr="002A2EA6">
        <w:rPr>
          <w:lang w:val="fr-FR"/>
        </w:rPr>
        <w:t>avait été reçue des Parties ou d</w:t>
      </w:r>
      <w:r w:rsidR="00CA4DAC">
        <w:rPr>
          <w:lang w:val="fr-FR"/>
        </w:rPr>
        <w:t>’</w:t>
      </w:r>
      <w:r w:rsidRPr="002A2EA6">
        <w:rPr>
          <w:lang w:val="fr-FR"/>
        </w:rPr>
        <w:t>autres sources pertinentes.</w:t>
      </w:r>
    </w:p>
    <w:p w14:paraId="052F66B6" w14:textId="0C666359" w:rsidR="1E125903" w:rsidRPr="002A2EA6" w:rsidRDefault="00E06C2A"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1E125903" w:rsidRPr="002A2EA6">
        <w:rPr>
          <w:lang w:val="fr-FR"/>
        </w:rPr>
        <w:t>exprimant au nom d</w:t>
      </w:r>
      <w:r w:rsidR="00CA4DAC">
        <w:rPr>
          <w:lang w:val="fr-FR"/>
        </w:rPr>
        <w:t>’</w:t>
      </w:r>
      <w:r w:rsidR="1E125903" w:rsidRPr="002A2EA6">
        <w:rPr>
          <w:lang w:val="fr-FR"/>
        </w:rPr>
        <w:t xml:space="preserve">un groupe de pays, </w:t>
      </w:r>
      <w:r w:rsidRPr="002A2EA6">
        <w:rPr>
          <w:lang w:val="fr-FR"/>
        </w:rPr>
        <w:t xml:space="preserve">une représentante </w:t>
      </w:r>
      <w:r w:rsidR="1E125903" w:rsidRPr="002A2EA6">
        <w:rPr>
          <w:lang w:val="fr-FR"/>
        </w:rPr>
        <w:t>s</w:t>
      </w:r>
      <w:r w:rsidR="00CA4DAC">
        <w:rPr>
          <w:lang w:val="fr-FR"/>
        </w:rPr>
        <w:t>’</w:t>
      </w:r>
      <w:r w:rsidR="1E125903" w:rsidRPr="002A2EA6">
        <w:rPr>
          <w:lang w:val="fr-FR"/>
        </w:rPr>
        <w:t>est félicitée de la mise en service rapide du mécanisme de financement. Deux</w:t>
      </w:r>
      <w:r w:rsidR="00A01918" w:rsidRPr="002A2EA6">
        <w:rPr>
          <w:lang w:val="fr-FR"/>
        </w:rPr>
        <w:t> </w:t>
      </w:r>
      <w:r w:rsidR="1E125903" w:rsidRPr="002A2EA6">
        <w:rPr>
          <w:lang w:val="fr-FR"/>
        </w:rPr>
        <w:t xml:space="preserve">autres représentantes, </w:t>
      </w:r>
      <w:r w:rsidR="00974EA8" w:rsidRPr="002A2EA6">
        <w:rPr>
          <w:lang w:val="fr-FR"/>
        </w:rPr>
        <w:t xml:space="preserve">qui </w:t>
      </w:r>
      <w:r w:rsidR="1E125903" w:rsidRPr="002A2EA6">
        <w:rPr>
          <w:lang w:val="fr-FR"/>
        </w:rPr>
        <w:t>s</w:t>
      </w:r>
      <w:r w:rsidR="00CA4DAC">
        <w:rPr>
          <w:lang w:val="fr-FR"/>
        </w:rPr>
        <w:t>’</w:t>
      </w:r>
      <w:r w:rsidR="1E125903" w:rsidRPr="002A2EA6">
        <w:rPr>
          <w:lang w:val="fr-FR"/>
        </w:rPr>
        <w:t>exprima</w:t>
      </w:r>
      <w:r w:rsidR="00974EA8" w:rsidRPr="002A2EA6">
        <w:rPr>
          <w:lang w:val="fr-FR"/>
        </w:rPr>
        <w:t>ie</w:t>
      </w:r>
      <w:r w:rsidR="1E125903" w:rsidRPr="002A2EA6">
        <w:rPr>
          <w:lang w:val="fr-FR"/>
        </w:rPr>
        <w:t>nt au nom de groupes de pays, ont réitéré le rôle essentiel du Programme international spécifique pour ces pays, l</w:t>
      </w:r>
      <w:r w:rsidR="00CA4DAC">
        <w:rPr>
          <w:lang w:val="fr-FR"/>
        </w:rPr>
        <w:t>’</w:t>
      </w:r>
      <w:r w:rsidR="1E125903" w:rsidRPr="002A2EA6">
        <w:rPr>
          <w:lang w:val="fr-FR"/>
        </w:rPr>
        <w:t>une d</w:t>
      </w:r>
      <w:r w:rsidR="00CA4DAC">
        <w:rPr>
          <w:lang w:val="fr-FR"/>
        </w:rPr>
        <w:t>’</w:t>
      </w:r>
      <w:r w:rsidR="1E125903" w:rsidRPr="002A2EA6">
        <w:rPr>
          <w:lang w:val="fr-FR"/>
        </w:rPr>
        <w:t xml:space="preserve">elles se félicitant des améliorations apportées à la procédure de présentation des demandes, devenue plus transparente et plus simple dans le courant des deux cycles de dépôt de demandes. </w:t>
      </w:r>
      <w:r w:rsidR="002D3506" w:rsidRPr="002A2EA6">
        <w:rPr>
          <w:lang w:val="fr-FR"/>
        </w:rPr>
        <w:t>Cette</w:t>
      </w:r>
      <w:r w:rsidR="00A01918" w:rsidRPr="002A2EA6">
        <w:rPr>
          <w:lang w:val="fr-FR"/>
        </w:rPr>
        <w:t> </w:t>
      </w:r>
      <w:r w:rsidR="002D3506" w:rsidRPr="002A2EA6">
        <w:rPr>
          <w:lang w:val="fr-FR"/>
        </w:rPr>
        <w:t xml:space="preserve">dernière </w:t>
      </w:r>
      <w:r w:rsidR="1E125903" w:rsidRPr="002A2EA6">
        <w:rPr>
          <w:lang w:val="fr-FR"/>
        </w:rPr>
        <w:t>a</w:t>
      </w:r>
      <w:r w:rsidR="00C32F54" w:rsidRPr="002A2EA6">
        <w:rPr>
          <w:lang w:val="fr-FR"/>
        </w:rPr>
        <w:t> </w:t>
      </w:r>
      <w:r w:rsidR="1E125903" w:rsidRPr="002A2EA6">
        <w:rPr>
          <w:lang w:val="fr-FR"/>
        </w:rPr>
        <w:t xml:space="preserve">également préconisé une </w:t>
      </w:r>
      <w:r w:rsidR="002D3506" w:rsidRPr="002A2EA6">
        <w:rPr>
          <w:lang w:val="fr-FR"/>
        </w:rPr>
        <w:t xml:space="preserve">prorogation </w:t>
      </w:r>
      <w:r w:rsidR="1E125903" w:rsidRPr="002A2EA6">
        <w:rPr>
          <w:lang w:val="fr-FR"/>
        </w:rPr>
        <w:t>du Programme. L</w:t>
      </w:r>
      <w:r w:rsidR="00CA4DAC">
        <w:rPr>
          <w:lang w:val="fr-FR"/>
        </w:rPr>
        <w:t>’</w:t>
      </w:r>
      <w:r w:rsidR="1E125903" w:rsidRPr="002A2EA6">
        <w:rPr>
          <w:lang w:val="fr-FR"/>
        </w:rPr>
        <w:t>autre représentante a souligné qu</w:t>
      </w:r>
      <w:r w:rsidR="00CA4DAC">
        <w:rPr>
          <w:lang w:val="fr-FR"/>
        </w:rPr>
        <w:t>’</w:t>
      </w:r>
      <w:r w:rsidR="1E125903" w:rsidRPr="002A2EA6">
        <w:rPr>
          <w:lang w:val="fr-FR"/>
        </w:rPr>
        <w:t xml:space="preserve">il était clairement </w:t>
      </w:r>
      <w:r w:rsidR="002D3506" w:rsidRPr="002A2EA6">
        <w:rPr>
          <w:lang w:val="fr-FR"/>
        </w:rPr>
        <w:t xml:space="preserve">apparu </w:t>
      </w:r>
      <w:r w:rsidR="1E125903" w:rsidRPr="002A2EA6">
        <w:rPr>
          <w:lang w:val="fr-FR"/>
        </w:rPr>
        <w:t>dès le premier cycle de dépôt de demandes que le Programme ne disposait pas de ressources suffisantes et elle s</w:t>
      </w:r>
      <w:r w:rsidR="00CA4DAC">
        <w:rPr>
          <w:lang w:val="fr-FR"/>
        </w:rPr>
        <w:t>’</w:t>
      </w:r>
      <w:r w:rsidR="1E125903" w:rsidRPr="002A2EA6">
        <w:rPr>
          <w:lang w:val="fr-FR"/>
        </w:rPr>
        <w:t>est inquiétée de son incapacité à répondre à la</w:t>
      </w:r>
      <w:r w:rsidR="00C166F9">
        <w:rPr>
          <w:lang w:val="fr-FR"/>
        </w:rPr>
        <w:t> </w:t>
      </w:r>
      <w:r w:rsidR="1E125903" w:rsidRPr="002A2EA6">
        <w:rPr>
          <w:lang w:val="fr-FR"/>
        </w:rPr>
        <w:t>demande si tôt après sa mise en place.</w:t>
      </w:r>
    </w:p>
    <w:p w14:paraId="67C1A666" w14:textId="68734B17" w:rsidR="1E125903" w:rsidRPr="002A2EA6" w:rsidRDefault="1E125903" w:rsidP="00A056A2">
      <w:pPr>
        <w:pStyle w:val="Normalnumber"/>
        <w:numPr>
          <w:ilvl w:val="0"/>
          <w:numId w:val="42"/>
        </w:numPr>
        <w:tabs>
          <w:tab w:val="clear" w:pos="1814"/>
          <w:tab w:val="left" w:pos="1843"/>
          <w:tab w:val="left" w:pos="1985"/>
        </w:tabs>
        <w:ind w:left="1288" w:hanging="28"/>
        <w:rPr>
          <w:lang w:val="fr-FR"/>
        </w:rPr>
      </w:pPr>
      <w:r w:rsidRPr="002A2EA6">
        <w:rPr>
          <w:lang w:val="fr-FR"/>
        </w:rPr>
        <w:t>Vu l</w:t>
      </w:r>
      <w:r w:rsidR="00CA4DAC">
        <w:rPr>
          <w:lang w:val="fr-FR"/>
        </w:rPr>
        <w:t>’</w:t>
      </w:r>
      <w:r w:rsidRPr="002A2EA6">
        <w:rPr>
          <w:lang w:val="fr-FR"/>
        </w:rPr>
        <w:t>importance de l</w:t>
      </w:r>
      <w:r w:rsidR="00CA4DAC">
        <w:rPr>
          <w:lang w:val="fr-FR"/>
        </w:rPr>
        <w:t>’</w:t>
      </w:r>
      <w:r w:rsidRPr="002A2EA6">
        <w:rPr>
          <w:lang w:val="fr-FR"/>
        </w:rPr>
        <w:t>action à mener pour éliminer le mercure, non seulement au niveau national mais aussi aux niveaux régional et infrarégional, un représentant a proposé que le projet de cadre pour la deuxième</w:t>
      </w:r>
      <w:r w:rsidR="006D2E17" w:rsidRPr="002A2EA6">
        <w:rPr>
          <w:lang w:val="fr-FR"/>
        </w:rPr>
        <w:t> </w:t>
      </w:r>
      <w:r w:rsidRPr="002A2EA6">
        <w:rPr>
          <w:lang w:val="fr-FR"/>
        </w:rPr>
        <w:t>étude du mécanisme de financement, qui serait examiné par la Conférence des</w:t>
      </w:r>
      <w:r w:rsidR="00C166F9">
        <w:rPr>
          <w:lang w:val="fr-FR"/>
        </w:rPr>
        <w:t> </w:t>
      </w:r>
      <w:r w:rsidRPr="002A2EA6">
        <w:rPr>
          <w:lang w:val="fr-FR"/>
        </w:rPr>
        <w:t xml:space="preserve">Parties à sa quatrième réunion, </w:t>
      </w:r>
      <w:r w:rsidR="00A72934" w:rsidRPr="002A2EA6">
        <w:rPr>
          <w:lang w:val="fr-FR"/>
        </w:rPr>
        <w:t xml:space="preserve">porte </w:t>
      </w:r>
      <w:r w:rsidRPr="002A2EA6">
        <w:rPr>
          <w:lang w:val="fr-FR"/>
        </w:rPr>
        <w:t>une attention particulière aux projets régionaux et infrarégionaux.</w:t>
      </w:r>
    </w:p>
    <w:p w14:paraId="3D5F717C" w14:textId="734EF643" w:rsidR="1E125903" w:rsidRPr="002A2EA6" w:rsidRDefault="1E125903"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adopté la décision</w:t>
      </w:r>
      <w:r w:rsidR="00C32F54" w:rsidRPr="002A2EA6">
        <w:rPr>
          <w:lang w:val="fr-FR"/>
        </w:rPr>
        <w:t> </w:t>
      </w:r>
      <w:r w:rsidRPr="002A2EA6">
        <w:rPr>
          <w:lang w:val="fr-FR"/>
        </w:rPr>
        <w:t xml:space="preserve">MC-3/7 </w:t>
      </w:r>
      <w:r w:rsidR="00D77CAF" w:rsidRPr="002A2EA6">
        <w:rPr>
          <w:lang w:val="fr-FR"/>
        </w:rPr>
        <w:t>(P</w:t>
      </w:r>
      <w:r w:rsidR="624B97D5" w:rsidRPr="002A2EA6">
        <w:rPr>
          <w:lang w:val="fr-FR"/>
        </w:rPr>
        <w:t>remier</w:t>
      </w:r>
      <w:r w:rsidR="006D2E17" w:rsidRPr="002A2EA6">
        <w:rPr>
          <w:lang w:val="fr-FR"/>
        </w:rPr>
        <w:t> </w:t>
      </w:r>
      <w:r w:rsidRPr="002A2EA6">
        <w:rPr>
          <w:lang w:val="fr-FR"/>
        </w:rPr>
        <w:t>examen du mécanisme de financement</w:t>
      </w:r>
      <w:r w:rsidR="00D77CAF" w:rsidRPr="002A2EA6">
        <w:rPr>
          <w:lang w:val="fr-FR"/>
        </w:rPr>
        <w:t>)</w:t>
      </w:r>
      <w:r w:rsidRPr="002A2EA6">
        <w:rPr>
          <w:lang w:val="fr-FR"/>
        </w:rPr>
        <w:t xml:space="preserve">, </w:t>
      </w:r>
      <w:r w:rsidR="00906AD9" w:rsidRPr="002A2EA6">
        <w:rPr>
          <w:lang w:val="fr-FR"/>
        </w:rPr>
        <w:t xml:space="preserve">qui </w:t>
      </w:r>
      <w:r w:rsidRPr="002A2EA6">
        <w:rPr>
          <w:lang w:val="fr-FR"/>
        </w:rPr>
        <w:t>figur</w:t>
      </w:r>
      <w:r w:rsidR="00906AD9" w:rsidRPr="002A2EA6">
        <w:rPr>
          <w:lang w:val="fr-FR"/>
        </w:rPr>
        <w:t>e</w:t>
      </w:r>
      <w:r w:rsidRPr="002A2EA6">
        <w:rPr>
          <w:lang w:val="fr-FR"/>
        </w:rPr>
        <w:t xml:space="preserve"> dans l</w:t>
      </w:r>
      <w:r w:rsidR="00CA4DAC">
        <w:rPr>
          <w:lang w:val="fr-FR"/>
        </w:rPr>
        <w:t>’</w:t>
      </w:r>
      <w:r w:rsidRPr="002A2EA6">
        <w:rPr>
          <w:lang w:val="fr-FR"/>
        </w:rPr>
        <w:t>annexe du présent rapport.</w:t>
      </w:r>
    </w:p>
    <w:p w14:paraId="0AF19861" w14:textId="72E8BAE7" w:rsidR="00C7478E" w:rsidRPr="002A2EA6" w:rsidRDefault="00CE52B4" w:rsidP="00CE52B4">
      <w:pPr>
        <w:pStyle w:val="CH2"/>
        <w:rPr>
          <w:sz w:val="22"/>
          <w:szCs w:val="22"/>
          <w:lang w:val="fr-FR"/>
        </w:rPr>
      </w:pPr>
      <w:r w:rsidRPr="002A2EA6">
        <w:rPr>
          <w:sz w:val="22"/>
          <w:szCs w:val="22"/>
          <w:lang w:val="fr-FR"/>
        </w:rPr>
        <w:tab/>
      </w:r>
      <w:bookmarkStart w:id="32" w:name="_Toc39063341"/>
      <w:r w:rsidRPr="002A2EA6">
        <w:rPr>
          <w:sz w:val="22"/>
          <w:szCs w:val="22"/>
          <w:lang w:val="fr-FR"/>
        </w:rPr>
        <w:t>F.</w:t>
      </w:r>
      <w:r w:rsidRPr="002A2EA6">
        <w:rPr>
          <w:sz w:val="22"/>
          <w:szCs w:val="22"/>
          <w:lang w:val="fr-FR"/>
        </w:rPr>
        <w:tab/>
      </w:r>
      <w:r w:rsidR="00C7478E" w:rsidRPr="002A2EA6">
        <w:rPr>
          <w:sz w:val="22"/>
          <w:szCs w:val="22"/>
          <w:lang w:val="fr-FR"/>
        </w:rPr>
        <w:t>Renforcement des capacités, assistance technique et transfert de technologies</w:t>
      </w:r>
      <w:bookmarkEnd w:id="32"/>
    </w:p>
    <w:p w14:paraId="7840199C" w14:textId="55E924F7" w:rsidR="007A237C" w:rsidRPr="002A2EA6" w:rsidRDefault="00B84B51" w:rsidP="00A056A2">
      <w:pPr>
        <w:pStyle w:val="Normalnumber"/>
        <w:numPr>
          <w:ilvl w:val="0"/>
          <w:numId w:val="42"/>
        </w:numPr>
        <w:tabs>
          <w:tab w:val="clear" w:pos="1814"/>
          <w:tab w:val="left" w:pos="1843"/>
          <w:tab w:val="left" w:pos="1985"/>
        </w:tabs>
        <w:ind w:left="1288" w:hanging="28"/>
        <w:rPr>
          <w:lang w:val="fr-FR"/>
        </w:rPr>
      </w:pPr>
      <w:bookmarkStart w:id="33" w:name="_DV_C141"/>
      <w:r w:rsidRPr="002A2EA6">
        <w:rPr>
          <w:lang w:val="fr-FR"/>
        </w:rPr>
        <w:t>Présentant ce point, le représentant du secrétariat</w:t>
      </w:r>
      <w:r w:rsidR="00802D05" w:rsidRPr="002A2EA6">
        <w:rPr>
          <w:lang w:val="fr-FR"/>
        </w:rPr>
        <w:t xml:space="preserve"> a rappelé que, </w:t>
      </w:r>
      <w:r w:rsidR="00197FC0" w:rsidRPr="002A2EA6">
        <w:rPr>
          <w:lang w:val="fr-FR"/>
        </w:rPr>
        <w:t xml:space="preserve">dans </w:t>
      </w:r>
      <w:r w:rsidR="00802D05" w:rsidRPr="002A2EA6">
        <w:rPr>
          <w:lang w:val="fr-FR"/>
        </w:rPr>
        <w:t>la décision </w:t>
      </w:r>
      <w:r w:rsidRPr="002A2EA6">
        <w:rPr>
          <w:lang w:val="fr-FR"/>
        </w:rPr>
        <w:t>MC</w:t>
      </w:r>
      <w:r w:rsidR="00906AD9" w:rsidRPr="002A2EA6">
        <w:rPr>
          <w:lang w:val="fr-FR"/>
        </w:rPr>
        <w:noBreakHyphen/>
      </w:r>
      <w:r w:rsidRPr="002A2EA6">
        <w:rPr>
          <w:lang w:val="fr-FR"/>
        </w:rPr>
        <w:t>2/11 adoptée à sa deuxième</w:t>
      </w:r>
      <w:r w:rsidR="006D2E17" w:rsidRPr="002A2EA6">
        <w:rPr>
          <w:lang w:val="fr-FR"/>
        </w:rPr>
        <w:t> </w:t>
      </w:r>
      <w:r w:rsidRPr="002A2EA6">
        <w:rPr>
          <w:lang w:val="fr-FR"/>
        </w:rPr>
        <w:t>réunion, la Conférence des Parties avait prié le secrétariat de recueillir des</w:t>
      </w:r>
      <w:r w:rsidR="00C166F9">
        <w:rPr>
          <w:lang w:val="fr-FR"/>
        </w:rPr>
        <w:t> </w:t>
      </w:r>
      <w:r w:rsidRPr="002A2EA6">
        <w:rPr>
          <w:lang w:val="fr-FR"/>
        </w:rPr>
        <w:t>informations relatives aux arrangements régionaux, sous</w:t>
      </w:r>
      <w:r w:rsidR="00906AD9" w:rsidRPr="002A2EA6">
        <w:rPr>
          <w:lang w:val="fr-FR"/>
        </w:rPr>
        <w:noBreakHyphen/>
      </w:r>
      <w:r w:rsidRPr="002A2EA6">
        <w:rPr>
          <w:lang w:val="fr-FR"/>
        </w:rPr>
        <w:t>régionaux et nationaux en vigueur en matière de renforcement des capacités et d</w:t>
      </w:r>
      <w:r w:rsidR="00CA4DAC">
        <w:rPr>
          <w:lang w:val="fr-FR"/>
        </w:rPr>
        <w:t>’</w:t>
      </w:r>
      <w:r w:rsidRPr="002A2EA6">
        <w:rPr>
          <w:lang w:val="fr-FR"/>
        </w:rPr>
        <w:t>assistance technique pour aider les Parties à s</w:t>
      </w:r>
      <w:r w:rsidR="00CA4DAC">
        <w:rPr>
          <w:lang w:val="fr-FR"/>
        </w:rPr>
        <w:t>’</w:t>
      </w:r>
      <w:r w:rsidRPr="002A2EA6">
        <w:rPr>
          <w:lang w:val="fr-FR"/>
        </w:rPr>
        <w:t>acquitter des</w:t>
      </w:r>
      <w:r w:rsidR="00C166F9">
        <w:rPr>
          <w:lang w:val="fr-FR"/>
        </w:rPr>
        <w:t> </w:t>
      </w:r>
      <w:r w:rsidRPr="002A2EA6">
        <w:rPr>
          <w:lang w:val="fr-FR"/>
        </w:rPr>
        <w:t>obligations que leur faisait la Convention et de lui faire rapport à ce sujet à sa troisième</w:t>
      </w:r>
      <w:r w:rsidR="00C166F9">
        <w:rPr>
          <w:lang w:val="fr-FR"/>
        </w:rPr>
        <w:t> </w:t>
      </w:r>
      <w:r w:rsidRPr="002A2EA6">
        <w:rPr>
          <w:lang w:val="fr-FR"/>
        </w:rPr>
        <w:t xml:space="preserve">réunion. </w:t>
      </w:r>
      <w:r w:rsidRPr="002A2EA6">
        <w:rPr>
          <w:lang w:val="fr-FR"/>
        </w:rPr>
        <w:lastRenderedPageBreak/>
        <w:t>La</w:t>
      </w:r>
      <w:r w:rsidR="00CE52B4" w:rsidRPr="002A2EA6">
        <w:rPr>
          <w:lang w:val="fr-FR"/>
        </w:rPr>
        <w:t> </w:t>
      </w:r>
      <w:r w:rsidRPr="002A2EA6">
        <w:rPr>
          <w:lang w:val="fr-FR"/>
        </w:rPr>
        <w:t>Conférence des Parties avait souligné dans la même décision qu</w:t>
      </w:r>
      <w:r w:rsidR="00CA4DAC">
        <w:rPr>
          <w:lang w:val="fr-FR"/>
        </w:rPr>
        <w:t>’</w:t>
      </w:r>
      <w:r w:rsidRPr="002A2EA6">
        <w:rPr>
          <w:lang w:val="fr-FR"/>
        </w:rPr>
        <w:t>il importait de recourir, selon qu</w:t>
      </w:r>
      <w:r w:rsidR="00CA4DAC">
        <w:rPr>
          <w:lang w:val="fr-FR"/>
        </w:rPr>
        <w:t>’</w:t>
      </w:r>
      <w:r w:rsidRPr="002A2EA6">
        <w:rPr>
          <w:lang w:val="fr-FR"/>
        </w:rPr>
        <w:t>il</w:t>
      </w:r>
      <w:r w:rsidR="00CE52B4" w:rsidRPr="002A2EA6">
        <w:rPr>
          <w:lang w:val="fr-FR"/>
        </w:rPr>
        <w:t> </w:t>
      </w:r>
      <w:r w:rsidRPr="002A2EA6">
        <w:rPr>
          <w:lang w:val="fr-FR"/>
        </w:rPr>
        <w:t>convenait, à des arrangements régionaux, sous-régionaux et nationaux, y compris des centres régionaux et sous</w:t>
      </w:r>
      <w:r w:rsidR="00906AD9" w:rsidRPr="002A2EA6">
        <w:rPr>
          <w:lang w:val="fr-FR"/>
        </w:rPr>
        <w:noBreakHyphen/>
      </w:r>
      <w:r w:rsidRPr="002A2EA6">
        <w:rPr>
          <w:lang w:val="fr-FR"/>
        </w:rPr>
        <w:t>régionaux existants, en vue de fournir un appui en matière de renforcement des</w:t>
      </w:r>
      <w:r w:rsidR="00CE52B4" w:rsidRPr="002A2EA6">
        <w:rPr>
          <w:lang w:val="fr-FR"/>
        </w:rPr>
        <w:t> </w:t>
      </w:r>
      <w:r w:rsidRPr="002A2EA6">
        <w:rPr>
          <w:lang w:val="fr-FR"/>
        </w:rPr>
        <w:t>capacités et une assistance technique conformément à l</w:t>
      </w:r>
      <w:r w:rsidR="00CA4DAC">
        <w:rPr>
          <w:lang w:val="fr-FR"/>
        </w:rPr>
        <w:t>’</w:t>
      </w:r>
      <w:r w:rsidRPr="002A2EA6">
        <w:rPr>
          <w:lang w:val="fr-FR"/>
        </w:rPr>
        <w:t>article</w:t>
      </w:r>
      <w:r w:rsidR="00E704F0" w:rsidRPr="002A2EA6">
        <w:rPr>
          <w:lang w:val="fr-FR"/>
        </w:rPr>
        <w:t> </w:t>
      </w:r>
      <w:r w:rsidRPr="002A2EA6">
        <w:rPr>
          <w:lang w:val="fr-FR"/>
        </w:rPr>
        <w:t>14 de la Convention. En</w:t>
      </w:r>
      <w:r w:rsidR="00C166F9">
        <w:rPr>
          <w:lang w:val="fr-FR"/>
        </w:rPr>
        <w:t> </w:t>
      </w:r>
      <w:r w:rsidRPr="002A2EA6">
        <w:rPr>
          <w:lang w:val="fr-FR"/>
        </w:rPr>
        <w:t>conséquence, la Conférence des Parties avait été saisie d</w:t>
      </w:r>
      <w:r w:rsidR="00CA4DAC">
        <w:rPr>
          <w:lang w:val="fr-FR"/>
        </w:rPr>
        <w:t>’</w:t>
      </w:r>
      <w:r w:rsidRPr="002A2EA6">
        <w:rPr>
          <w:lang w:val="fr-FR"/>
        </w:rPr>
        <w:t>une note du secrétariat sur la question (UNEP/MC/COP.3/12) et d</w:t>
      </w:r>
      <w:r w:rsidR="00CA4DAC">
        <w:rPr>
          <w:lang w:val="fr-FR"/>
        </w:rPr>
        <w:t>’</w:t>
      </w:r>
      <w:r w:rsidRPr="002A2EA6">
        <w:rPr>
          <w:lang w:val="fr-FR"/>
        </w:rPr>
        <w:t>une compilation des informations reçues (UNEP/MC/COP.3/INF/14).</w:t>
      </w:r>
      <w:bookmarkStart w:id="34" w:name="_DV_C142"/>
      <w:bookmarkEnd w:id="33"/>
    </w:p>
    <w:p w14:paraId="4E23810A" w14:textId="65346548" w:rsidR="007A237C" w:rsidRPr="002A2EA6" w:rsidRDefault="00B84B51" w:rsidP="00A056A2">
      <w:pPr>
        <w:pStyle w:val="Normalnumber"/>
        <w:numPr>
          <w:ilvl w:val="0"/>
          <w:numId w:val="42"/>
        </w:numPr>
        <w:tabs>
          <w:tab w:val="clear" w:pos="1814"/>
          <w:tab w:val="left" w:pos="1843"/>
          <w:tab w:val="left" w:pos="1985"/>
        </w:tabs>
        <w:ind w:left="1288" w:hanging="28"/>
        <w:rPr>
          <w:lang w:val="fr-FR"/>
        </w:rPr>
      </w:pPr>
      <w:bookmarkStart w:id="35" w:name="_DV_C143"/>
      <w:bookmarkEnd w:id="34"/>
      <w:r w:rsidRPr="002A2EA6">
        <w:rPr>
          <w:lang w:val="fr-FR"/>
        </w:rPr>
        <w:t>Un représentant s</w:t>
      </w:r>
      <w:r w:rsidR="00CA4DAC">
        <w:rPr>
          <w:lang w:val="fr-FR"/>
        </w:rPr>
        <w:t>’</w:t>
      </w:r>
      <w:r w:rsidRPr="002A2EA6">
        <w:rPr>
          <w:lang w:val="fr-FR"/>
        </w:rPr>
        <w:t>est interrogé sur l</w:t>
      </w:r>
      <w:r w:rsidR="00CA4DAC">
        <w:rPr>
          <w:lang w:val="fr-FR"/>
        </w:rPr>
        <w:t>’</w:t>
      </w:r>
      <w:r w:rsidRPr="002A2EA6">
        <w:rPr>
          <w:lang w:val="fr-FR"/>
        </w:rPr>
        <w:t xml:space="preserve">omission du terme </w:t>
      </w:r>
      <w:r w:rsidR="00CE52B4" w:rsidRPr="002A2EA6">
        <w:rPr>
          <w:lang w:val="fr-FR"/>
        </w:rPr>
        <w:t>« </w:t>
      </w:r>
      <w:r w:rsidRPr="002A2EA6">
        <w:rPr>
          <w:lang w:val="fr-FR"/>
        </w:rPr>
        <w:t>transfert de technologies</w:t>
      </w:r>
      <w:r w:rsidR="00CE52B4" w:rsidRPr="002A2EA6">
        <w:rPr>
          <w:lang w:val="fr-FR"/>
        </w:rPr>
        <w:t> »</w:t>
      </w:r>
      <w:r w:rsidRPr="002A2EA6">
        <w:rPr>
          <w:lang w:val="fr-FR"/>
        </w:rPr>
        <w:t xml:space="preserve"> dans le</w:t>
      </w:r>
      <w:r w:rsidR="00C166F9">
        <w:rPr>
          <w:lang w:val="fr-FR"/>
        </w:rPr>
        <w:t> </w:t>
      </w:r>
      <w:r w:rsidRPr="002A2EA6">
        <w:rPr>
          <w:lang w:val="fr-FR"/>
        </w:rPr>
        <w:t>titre et le corps du document</w:t>
      </w:r>
      <w:r w:rsidR="0058686F" w:rsidRPr="002A2EA6">
        <w:rPr>
          <w:lang w:val="fr-FR"/>
        </w:rPr>
        <w:t> </w:t>
      </w:r>
      <w:r w:rsidRPr="002A2EA6">
        <w:rPr>
          <w:lang w:val="fr-FR"/>
        </w:rPr>
        <w:t>UNEP/MC/COP.3/12, bien qu</w:t>
      </w:r>
      <w:r w:rsidR="00CA4DAC">
        <w:rPr>
          <w:lang w:val="fr-FR"/>
        </w:rPr>
        <w:t>’</w:t>
      </w:r>
      <w:r w:rsidRPr="002A2EA6">
        <w:rPr>
          <w:lang w:val="fr-FR"/>
        </w:rPr>
        <w:t>il apparaisse dans l</w:t>
      </w:r>
      <w:r w:rsidR="00CA4DAC">
        <w:rPr>
          <w:lang w:val="fr-FR"/>
        </w:rPr>
        <w:t>’</w:t>
      </w:r>
      <w:r w:rsidRPr="002A2EA6">
        <w:rPr>
          <w:lang w:val="fr-FR"/>
        </w:rPr>
        <w:t>article</w:t>
      </w:r>
      <w:r w:rsidR="00E704F0" w:rsidRPr="002A2EA6">
        <w:rPr>
          <w:lang w:val="fr-FR"/>
        </w:rPr>
        <w:t> </w:t>
      </w:r>
      <w:r w:rsidRPr="002A2EA6">
        <w:rPr>
          <w:lang w:val="fr-FR"/>
        </w:rPr>
        <w:t>14. La</w:t>
      </w:r>
      <w:r w:rsidR="00CE52B4" w:rsidRPr="002A2EA6">
        <w:rPr>
          <w:lang w:val="fr-FR"/>
        </w:rPr>
        <w:t> </w:t>
      </w:r>
      <w:r w:rsidRPr="002A2EA6">
        <w:rPr>
          <w:lang w:val="fr-FR"/>
        </w:rPr>
        <w:t>Secrétaire exécutive a répondu que dans sa décision</w:t>
      </w:r>
      <w:r w:rsidR="00E704F0" w:rsidRPr="002A2EA6">
        <w:rPr>
          <w:lang w:val="fr-FR"/>
        </w:rPr>
        <w:t> </w:t>
      </w:r>
      <w:r w:rsidRPr="002A2EA6">
        <w:rPr>
          <w:lang w:val="fr-FR"/>
        </w:rPr>
        <w:t>MC-2/11, la Conférence des Parties s</w:t>
      </w:r>
      <w:r w:rsidR="00CA4DAC">
        <w:rPr>
          <w:lang w:val="fr-FR"/>
        </w:rPr>
        <w:t>’</w:t>
      </w:r>
      <w:r w:rsidRPr="002A2EA6">
        <w:rPr>
          <w:lang w:val="fr-FR"/>
        </w:rPr>
        <w:t>était limité</w:t>
      </w:r>
      <w:r w:rsidR="00CE52B4" w:rsidRPr="002A2EA6">
        <w:rPr>
          <w:lang w:val="fr-FR"/>
        </w:rPr>
        <w:t>e</w:t>
      </w:r>
      <w:r w:rsidRPr="002A2EA6">
        <w:rPr>
          <w:lang w:val="fr-FR"/>
        </w:rPr>
        <w:t xml:space="preserve"> à demander au secrétariat de faire rapport à la réunion en cours sur le renforcement des</w:t>
      </w:r>
      <w:r w:rsidR="00CE52B4" w:rsidRPr="002A2EA6">
        <w:rPr>
          <w:lang w:val="fr-FR"/>
        </w:rPr>
        <w:t> </w:t>
      </w:r>
      <w:r w:rsidRPr="002A2EA6">
        <w:rPr>
          <w:lang w:val="fr-FR"/>
        </w:rPr>
        <w:t>capacités et l</w:t>
      </w:r>
      <w:r w:rsidR="00CA4DAC">
        <w:rPr>
          <w:lang w:val="fr-FR"/>
        </w:rPr>
        <w:t>’</w:t>
      </w:r>
      <w:r w:rsidRPr="002A2EA6">
        <w:rPr>
          <w:lang w:val="fr-FR"/>
        </w:rPr>
        <w:t>assistance technique, et que le secrétariat avait respecté le mandat que lui avaient confié les Parties.</w:t>
      </w:r>
      <w:r w:rsidR="007A237C" w:rsidRPr="002A2EA6">
        <w:t xml:space="preserve"> </w:t>
      </w:r>
      <w:bookmarkStart w:id="36" w:name="_DV_C144"/>
      <w:bookmarkEnd w:id="35"/>
    </w:p>
    <w:p w14:paraId="431A30C7" w14:textId="24883C5E" w:rsidR="007A237C" w:rsidRPr="002A2EA6" w:rsidRDefault="00B84B51" w:rsidP="00A056A2">
      <w:pPr>
        <w:pStyle w:val="Normalnumber"/>
        <w:numPr>
          <w:ilvl w:val="0"/>
          <w:numId w:val="42"/>
        </w:numPr>
        <w:tabs>
          <w:tab w:val="clear" w:pos="1814"/>
          <w:tab w:val="left" w:pos="1843"/>
          <w:tab w:val="left" w:pos="1985"/>
        </w:tabs>
        <w:ind w:left="1288" w:hanging="28"/>
        <w:rPr>
          <w:lang w:val="fr-FR"/>
        </w:rPr>
      </w:pPr>
      <w:bookmarkStart w:id="37" w:name="_DV_C145"/>
      <w:bookmarkEnd w:id="36"/>
      <w:r w:rsidRPr="002A2EA6">
        <w:rPr>
          <w:lang w:val="fr-FR"/>
        </w:rPr>
        <w:t>Au cours du débat qui a suivi, de nombreux représentants ont souligné l</w:t>
      </w:r>
      <w:r w:rsidR="00CA4DAC">
        <w:rPr>
          <w:lang w:val="fr-FR"/>
        </w:rPr>
        <w:t>’</w:t>
      </w:r>
      <w:r w:rsidRPr="002A2EA6">
        <w:rPr>
          <w:lang w:val="fr-FR"/>
        </w:rPr>
        <w:t>importance du</w:t>
      </w:r>
      <w:r w:rsidR="0058686F" w:rsidRPr="002A2EA6">
        <w:rPr>
          <w:lang w:val="fr-FR"/>
        </w:rPr>
        <w:t> </w:t>
      </w:r>
      <w:r w:rsidRPr="002A2EA6">
        <w:rPr>
          <w:lang w:val="fr-FR"/>
        </w:rPr>
        <w:t>renforcement des capacités, de l</w:t>
      </w:r>
      <w:r w:rsidR="00CA4DAC">
        <w:rPr>
          <w:lang w:val="fr-FR"/>
        </w:rPr>
        <w:t>’</w:t>
      </w:r>
      <w:r w:rsidRPr="002A2EA6">
        <w:rPr>
          <w:lang w:val="fr-FR"/>
        </w:rPr>
        <w:t>assistance technique et du transfert de technologies au regard de</w:t>
      </w:r>
      <w:r w:rsidR="0058686F" w:rsidRPr="002A2EA6">
        <w:rPr>
          <w:lang w:val="fr-FR"/>
        </w:rPr>
        <w:t> </w:t>
      </w:r>
      <w:r w:rsidRPr="002A2EA6">
        <w:rPr>
          <w:lang w:val="fr-FR"/>
        </w:rPr>
        <w:t>la</w:t>
      </w:r>
      <w:r w:rsidR="00CE52B4" w:rsidRPr="002A2EA6">
        <w:rPr>
          <w:lang w:val="fr-FR"/>
        </w:rPr>
        <w:t> </w:t>
      </w:r>
      <w:r w:rsidRPr="002A2EA6">
        <w:rPr>
          <w:lang w:val="fr-FR"/>
        </w:rPr>
        <w:t>capacité de toutes les Parties de s</w:t>
      </w:r>
      <w:r w:rsidR="00CA4DAC">
        <w:rPr>
          <w:lang w:val="fr-FR"/>
        </w:rPr>
        <w:t>’</w:t>
      </w:r>
      <w:r w:rsidRPr="002A2EA6">
        <w:rPr>
          <w:lang w:val="fr-FR"/>
        </w:rPr>
        <w:t>acquitter des obligations que leur faisait la Convention. S</w:t>
      </w:r>
      <w:r w:rsidR="00CA4DAC">
        <w:rPr>
          <w:lang w:val="fr-FR"/>
        </w:rPr>
        <w:t>’</w:t>
      </w:r>
      <w:r w:rsidRPr="002A2EA6">
        <w:rPr>
          <w:lang w:val="fr-FR"/>
        </w:rPr>
        <w:t>exprimant au nom d</w:t>
      </w:r>
      <w:r w:rsidR="00CA4DAC">
        <w:rPr>
          <w:lang w:val="fr-FR"/>
        </w:rPr>
        <w:t>’</w:t>
      </w:r>
      <w:r w:rsidRPr="002A2EA6">
        <w:rPr>
          <w:lang w:val="fr-FR"/>
        </w:rPr>
        <w:t>un groupe de pays, un représentant a mis en exergue le rôle des centres régionaux et sous-régionaux dans l</w:t>
      </w:r>
      <w:r w:rsidR="00CA4DAC">
        <w:rPr>
          <w:lang w:val="fr-FR"/>
        </w:rPr>
        <w:t>’</w:t>
      </w:r>
      <w:r w:rsidRPr="002A2EA6">
        <w:rPr>
          <w:lang w:val="fr-FR"/>
        </w:rPr>
        <w:t>amélioration de l</w:t>
      </w:r>
      <w:r w:rsidR="00CA4DAC">
        <w:rPr>
          <w:lang w:val="fr-FR"/>
        </w:rPr>
        <w:t>’</w:t>
      </w:r>
      <w:r w:rsidRPr="002A2EA6">
        <w:rPr>
          <w:lang w:val="fr-FR"/>
        </w:rPr>
        <w:t>assistance technique et du renforcement des</w:t>
      </w:r>
      <w:r w:rsidR="00CE52B4" w:rsidRPr="002A2EA6">
        <w:rPr>
          <w:lang w:val="fr-FR"/>
        </w:rPr>
        <w:t> </w:t>
      </w:r>
      <w:r w:rsidRPr="002A2EA6">
        <w:rPr>
          <w:lang w:val="fr-FR"/>
        </w:rPr>
        <w:t>capacités, tel que prévu dans la décision</w:t>
      </w:r>
      <w:r w:rsidR="00E704F0" w:rsidRPr="002A2EA6">
        <w:rPr>
          <w:lang w:val="fr-FR"/>
        </w:rPr>
        <w:t> </w:t>
      </w:r>
      <w:r w:rsidRPr="002A2EA6">
        <w:rPr>
          <w:lang w:val="fr-FR"/>
        </w:rPr>
        <w:t>MC-2/11. Appuyé par d</w:t>
      </w:r>
      <w:r w:rsidR="00CA4DAC">
        <w:rPr>
          <w:lang w:val="fr-FR"/>
        </w:rPr>
        <w:t>’</w:t>
      </w:r>
      <w:r w:rsidRPr="002A2EA6">
        <w:rPr>
          <w:lang w:val="fr-FR"/>
        </w:rPr>
        <w:t>autres Parties, il a déclaré que le</w:t>
      </w:r>
      <w:r w:rsidR="00CE52B4" w:rsidRPr="002A2EA6">
        <w:rPr>
          <w:lang w:val="fr-FR"/>
        </w:rPr>
        <w:t> </w:t>
      </w:r>
      <w:r w:rsidRPr="002A2EA6">
        <w:rPr>
          <w:lang w:val="fr-FR"/>
        </w:rPr>
        <w:t xml:space="preserve">mandat du secrétariat consistant à recueillir des informations sur ces questions et </w:t>
      </w:r>
      <w:r w:rsidR="00555765" w:rsidRPr="002A2EA6">
        <w:rPr>
          <w:lang w:val="fr-FR"/>
        </w:rPr>
        <w:t xml:space="preserve">à </w:t>
      </w:r>
      <w:r w:rsidRPr="002A2EA6">
        <w:rPr>
          <w:lang w:val="fr-FR"/>
        </w:rPr>
        <w:t>communiquer les conclusions aux Parties devait se prolonger jusqu</w:t>
      </w:r>
      <w:r w:rsidR="00CA4DAC">
        <w:rPr>
          <w:lang w:val="fr-FR"/>
        </w:rPr>
        <w:t>’</w:t>
      </w:r>
      <w:r w:rsidRPr="002A2EA6">
        <w:rPr>
          <w:lang w:val="fr-FR"/>
        </w:rPr>
        <w:t>à la quatrième réunion de la Conférence des</w:t>
      </w:r>
      <w:r w:rsidR="00CE52B4" w:rsidRPr="002A2EA6">
        <w:rPr>
          <w:lang w:val="fr-FR"/>
        </w:rPr>
        <w:t> </w:t>
      </w:r>
      <w:r w:rsidRPr="002A2EA6">
        <w:rPr>
          <w:lang w:val="fr-FR"/>
        </w:rPr>
        <w:t>Parties et que des informations devaient être demandées à la fois aux Parties et aux autres parties prenantes et experts. Un autre représentant s</w:t>
      </w:r>
      <w:r w:rsidR="00CA4DAC">
        <w:rPr>
          <w:lang w:val="fr-FR"/>
        </w:rPr>
        <w:t>’</w:t>
      </w:r>
      <w:r w:rsidRPr="002A2EA6">
        <w:rPr>
          <w:lang w:val="fr-FR"/>
        </w:rPr>
        <w:t>exprimant au nom d</w:t>
      </w:r>
      <w:r w:rsidR="00CA4DAC">
        <w:rPr>
          <w:lang w:val="fr-FR"/>
        </w:rPr>
        <w:t>’</w:t>
      </w:r>
      <w:r w:rsidRPr="002A2EA6">
        <w:rPr>
          <w:lang w:val="fr-FR"/>
        </w:rPr>
        <w:t>un groupe de pays a mis en avant un</w:t>
      </w:r>
      <w:r w:rsidR="00CE52B4" w:rsidRPr="002A2EA6">
        <w:rPr>
          <w:lang w:val="fr-FR"/>
        </w:rPr>
        <w:t> </w:t>
      </w:r>
      <w:r w:rsidRPr="002A2EA6">
        <w:rPr>
          <w:lang w:val="fr-FR"/>
        </w:rPr>
        <w:t>certain nombre de domaines dans lesquels le renforcement des capacités, l</w:t>
      </w:r>
      <w:r w:rsidR="00CA4DAC">
        <w:rPr>
          <w:lang w:val="fr-FR"/>
        </w:rPr>
        <w:t>’</w:t>
      </w:r>
      <w:r w:rsidRPr="002A2EA6">
        <w:rPr>
          <w:lang w:val="fr-FR"/>
        </w:rPr>
        <w:t>assistance technique et le</w:t>
      </w:r>
      <w:r w:rsidR="00CE52B4" w:rsidRPr="002A2EA6">
        <w:rPr>
          <w:lang w:val="fr-FR"/>
        </w:rPr>
        <w:t> </w:t>
      </w:r>
      <w:r w:rsidRPr="002A2EA6">
        <w:rPr>
          <w:lang w:val="fr-FR"/>
        </w:rPr>
        <w:t xml:space="preserve">transfert de technologies </w:t>
      </w:r>
      <w:r w:rsidR="003A6402" w:rsidRPr="002A2EA6">
        <w:rPr>
          <w:lang w:val="fr-FR"/>
        </w:rPr>
        <w:t xml:space="preserve">profiteraient </w:t>
      </w:r>
      <w:r w:rsidR="005B6473" w:rsidRPr="002A2EA6">
        <w:rPr>
          <w:lang w:val="fr-FR"/>
        </w:rPr>
        <w:t xml:space="preserve">aux </w:t>
      </w:r>
      <w:r w:rsidRPr="002A2EA6">
        <w:rPr>
          <w:lang w:val="fr-FR"/>
        </w:rPr>
        <w:t>pays en développement</w:t>
      </w:r>
      <w:r w:rsidR="00D12F35" w:rsidRPr="002A2EA6">
        <w:rPr>
          <w:lang w:val="fr-FR"/>
        </w:rPr>
        <w:t xml:space="preserve">, </w:t>
      </w:r>
      <w:r w:rsidRPr="002A2EA6">
        <w:rPr>
          <w:lang w:val="fr-FR"/>
        </w:rPr>
        <w:t>notamment l</w:t>
      </w:r>
      <w:r w:rsidR="00CA4DAC">
        <w:rPr>
          <w:lang w:val="fr-FR"/>
        </w:rPr>
        <w:t>’</w:t>
      </w:r>
      <w:r w:rsidRPr="002A2EA6">
        <w:rPr>
          <w:lang w:val="fr-FR"/>
        </w:rPr>
        <w:t>élaboration de plans d</w:t>
      </w:r>
      <w:r w:rsidR="00CA4DAC">
        <w:rPr>
          <w:lang w:val="fr-FR"/>
        </w:rPr>
        <w:t>’</w:t>
      </w:r>
      <w:r w:rsidRPr="002A2EA6">
        <w:rPr>
          <w:lang w:val="fr-FR"/>
        </w:rPr>
        <w:t xml:space="preserve">action nationaux, la garantie que les technologies </w:t>
      </w:r>
      <w:r w:rsidR="00EC2D99" w:rsidRPr="002A2EA6">
        <w:rPr>
          <w:lang w:val="fr-FR"/>
        </w:rPr>
        <w:t xml:space="preserve">fournies </w:t>
      </w:r>
      <w:r w:rsidRPr="002A2EA6">
        <w:rPr>
          <w:lang w:val="fr-FR"/>
        </w:rPr>
        <w:t>étaient utiles et à jour, le</w:t>
      </w:r>
      <w:r w:rsidR="00C166F9">
        <w:rPr>
          <w:lang w:val="fr-FR"/>
        </w:rPr>
        <w:t> </w:t>
      </w:r>
      <w:r w:rsidRPr="002A2EA6">
        <w:rPr>
          <w:lang w:val="fr-FR"/>
        </w:rPr>
        <w:t>renforcement de l</w:t>
      </w:r>
      <w:r w:rsidR="00CA4DAC">
        <w:rPr>
          <w:lang w:val="fr-FR"/>
        </w:rPr>
        <w:t>’</w:t>
      </w:r>
      <w:r w:rsidRPr="002A2EA6">
        <w:rPr>
          <w:lang w:val="fr-FR"/>
        </w:rPr>
        <w:t>interface science-politiques et la création de partenariats à tous les niveaux, notamment par la coopération Nord-Sud et Sud-Sud, et la création de synergies entre la Convention de Minamata, les conventions de Bâle, de Rotterdam et de Stockholm, le PNUE et d</w:t>
      </w:r>
      <w:r w:rsidR="00CA4DAC">
        <w:rPr>
          <w:lang w:val="fr-FR"/>
        </w:rPr>
        <w:t>’</w:t>
      </w:r>
      <w:r w:rsidRPr="002A2EA6">
        <w:rPr>
          <w:lang w:val="fr-FR"/>
        </w:rPr>
        <w:t>autres partenaires compétents</w:t>
      </w:r>
      <w:r w:rsidR="00005117" w:rsidRPr="002A2EA6">
        <w:rPr>
          <w:lang w:val="fr-FR"/>
        </w:rPr>
        <w:t xml:space="preserve"> </w:t>
      </w:r>
      <w:r w:rsidRPr="002A2EA6">
        <w:rPr>
          <w:lang w:val="fr-FR"/>
        </w:rPr>
        <w:t xml:space="preserve">pour </w:t>
      </w:r>
      <w:r w:rsidR="00D12F35" w:rsidRPr="002A2EA6">
        <w:rPr>
          <w:lang w:val="fr-FR"/>
        </w:rPr>
        <w:t>s</w:t>
      </w:r>
      <w:r w:rsidR="00CA4DAC">
        <w:rPr>
          <w:lang w:val="fr-FR"/>
        </w:rPr>
        <w:t>’</w:t>
      </w:r>
      <w:r w:rsidR="00D12F35" w:rsidRPr="002A2EA6">
        <w:rPr>
          <w:lang w:val="fr-FR"/>
        </w:rPr>
        <w:t xml:space="preserve">assurer </w:t>
      </w:r>
      <w:r w:rsidRPr="002A2EA6">
        <w:rPr>
          <w:lang w:val="fr-FR"/>
        </w:rPr>
        <w:t xml:space="preserve">que les ressources </w:t>
      </w:r>
      <w:r w:rsidR="00D12F35" w:rsidRPr="002A2EA6">
        <w:rPr>
          <w:lang w:val="fr-FR"/>
        </w:rPr>
        <w:t xml:space="preserve">étaient </w:t>
      </w:r>
      <w:r w:rsidRPr="002A2EA6">
        <w:rPr>
          <w:lang w:val="fr-FR"/>
        </w:rPr>
        <w:t>utilisées de manière rationnelle.</w:t>
      </w:r>
      <w:r w:rsidR="007A237C" w:rsidRPr="002A2EA6">
        <w:t xml:space="preserve"> </w:t>
      </w:r>
      <w:bookmarkStart w:id="38" w:name="_DV_C146"/>
      <w:bookmarkEnd w:id="37"/>
    </w:p>
    <w:p w14:paraId="5ECE1B75" w14:textId="51A2B7A2" w:rsidR="007A237C" w:rsidRPr="002A2EA6" w:rsidRDefault="003D4A59" w:rsidP="00A056A2">
      <w:pPr>
        <w:pStyle w:val="Normalnumber"/>
        <w:numPr>
          <w:ilvl w:val="0"/>
          <w:numId w:val="42"/>
        </w:numPr>
        <w:tabs>
          <w:tab w:val="clear" w:pos="1814"/>
          <w:tab w:val="left" w:pos="1843"/>
          <w:tab w:val="left" w:pos="1985"/>
        </w:tabs>
        <w:ind w:left="1288" w:hanging="28"/>
        <w:rPr>
          <w:lang w:val="fr-FR"/>
        </w:rPr>
      </w:pPr>
      <w:bookmarkStart w:id="39" w:name="_DV_C148"/>
      <w:bookmarkEnd w:id="38"/>
      <w:r w:rsidRPr="002A2EA6">
        <w:rPr>
          <w:lang w:val="fr-FR"/>
        </w:rPr>
        <w:t>Deux représentants ont évoqué le rôle du renforcement des capacités dans la lutte contre le</w:t>
      </w:r>
      <w:r w:rsidR="00CE52B4" w:rsidRPr="002A2EA6">
        <w:rPr>
          <w:lang w:val="fr-FR"/>
        </w:rPr>
        <w:t> </w:t>
      </w:r>
      <w:r w:rsidRPr="002A2EA6">
        <w:rPr>
          <w:lang w:val="fr-FR"/>
        </w:rPr>
        <w:t>commerce illicite et les mouvements transfrontières du mercure. Un représentant a déclaré qu</w:t>
      </w:r>
      <w:r w:rsidR="00CA4DAC">
        <w:rPr>
          <w:lang w:val="fr-FR"/>
        </w:rPr>
        <w:t>’</w:t>
      </w:r>
      <w:r w:rsidRPr="002A2EA6">
        <w:rPr>
          <w:lang w:val="fr-FR"/>
        </w:rPr>
        <w:t>il</w:t>
      </w:r>
      <w:r w:rsidR="0058686F" w:rsidRPr="002A2EA6">
        <w:rPr>
          <w:lang w:val="fr-FR"/>
        </w:rPr>
        <w:t> </w:t>
      </w:r>
      <w:r w:rsidRPr="002A2EA6">
        <w:rPr>
          <w:lang w:val="fr-FR"/>
        </w:rPr>
        <w:t xml:space="preserve">serait utile à cet égard </w:t>
      </w:r>
      <w:r w:rsidR="000E7368" w:rsidRPr="002A2EA6">
        <w:rPr>
          <w:lang w:val="fr-FR"/>
        </w:rPr>
        <w:t xml:space="preserve">que </w:t>
      </w:r>
      <w:r w:rsidRPr="002A2EA6">
        <w:rPr>
          <w:lang w:val="fr-FR"/>
        </w:rPr>
        <w:t>les correspondants, les autorités douanières et d</w:t>
      </w:r>
      <w:r w:rsidR="00CA4DAC">
        <w:rPr>
          <w:lang w:val="fr-FR"/>
        </w:rPr>
        <w:t>’</w:t>
      </w:r>
      <w:r w:rsidRPr="002A2EA6">
        <w:rPr>
          <w:lang w:val="fr-FR"/>
        </w:rPr>
        <w:t>autres entités</w:t>
      </w:r>
      <w:r w:rsidR="000E7368" w:rsidRPr="002A2EA6">
        <w:rPr>
          <w:lang w:val="fr-FR"/>
        </w:rPr>
        <w:t xml:space="preserve"> échangent davantage d</w:t>
      </w:r>
      <w:r w:rsidR="00CA4DAC">
        <w:rPr>
          <w:lang w:val="fr-FR"/>
        </w:rPr>
        <w:t>’</w:t>
      </w:r>
      <w:r w:rsidR="000E7368" w:rsidRPr="002A2EA6">
        <w:rPr>
          <w:lang w:val="fr-FR"/>
        </w:rPr>
        <w:t>informations</w:t>
      </w:r>
      <w:r w:rsidRPr="002A2EA6">
        <w:rPr>
          <w:lang w:val="fr-FR"/>
        </w:rPr>
        <w:t>. Plusieurs représentants ont mentionné la menace pour l</w:t>
      </w:r>
      <w:r w:rsidR="00CA4DAC">
        <w:rPr>
          <w:lang w:val="fr-FR"/>
        </w:rPr>
        <w:t>’</w:t>
      </w:r>
      <w:r w:rsidRPr="002A2EA6">
        <w:rPr>
          <w:lang w:val="fr-FR"/>
        </w:rPr>
        <w:t>environnement et la santé humaine que représentait l</w:t>
      </w:r>
      <w:r w:rsidR="00CA4DAC">
        <w:rPr>
          <w:lang w:val="fr-FR"/>
        </w:rPr>
        <w:t>’</w:t>
      </w:r>
      <w:r w:rsidRPr="002A2EA6">
        <w:rPr>
          <w:lang w:val="fr-FR"/>
        </w:rPr>
        <w:t>exploitation artisanale et à petite échelle d</w:t>
      </w:r>
      <w:r w:rsidR="00CA4DAC">
        <w:rPr>
          <w:lang w:val="fr-FR"/>
        </w:rPr>
        <w:t>’</w:t>
      </w:r>
      <w:r w:rsidRPr="002A2EA6">
        <w:rPr>
          <w:lang w:val="fr-FR"/>
        </w:rPr>
        <w:t>or et</w:t>
      </w:r>
      <w:r w:rsidR="0058686F" w:rsidRPr="002A2EA6">
        <w:rPr>
          <w:lang w:val="fr-FR"/>
        </w:rPr>
        <w:t> </w:t>
      </w:r>
      <w:r w:rsidRPr="002A2EA6">
        <w:rPr>
          <w:lang w:val="fr-FR"/>
        </w:rPr>
        <w:t>affirmé que certains pays avaient besoin de recevoir d</w:t>
      </w:r>
      <w:r w:rsidR="00CA4DAC">
        <w:rPr>
          <w:lang w:val="fr-FR"/>
        </w:rPr>
        <w:t>’</w:t>
      </w:r>
      <w:r w:rsidRPr="002A2EA6">
        <w:rPr>
          <w:lang w:val="fr-FR"/>
        </w:rPr>
        <w:t>urgence une assistance à cet égard, en</w:t>
      </w:r>
      <w:r w:rsidR="00C166F9">
        <w:rPr>
          <w:lang w:val="fr-FR"/>
        </w:rPr>
        <w:t> </w:t>
      </w:r>
      <w:r w:rsidRPr="002A2EA6">
        <w:rPr>
          <w:lang w:val="fr-FR"/>
        </w:rPr>
        <w:t>particulier pour mettre au point et appliquer des technologies de substitution, conformément à</w:t>
      </w:r>
      <w:r w:rsidR="00C166F9">
        <w:rPr>
          <w:lang w:val="fr-FR"/>
        </w:rPr>
        <w:t> </w:t>
      </w:r>
      <w:r w:rsidRPr="002A2EA6">
        <w:rPr>
          <w:lang w:val="fr-FR"/>
        </w:rPr>
        <w:t>l</w:t>
      </w:r>
      <w:r w:rsidR="00CA4DAC">
        <w:rPr>
          <w:lang w:val="fr-FR"/>
        </w:rPr>
        <w:t>’</w:t>
      </w:r>
      <w:r w:rsidRPr="002A2EA6">
        <w:rPr>
          <w:lang w:val="fr-FR"/>
        </w:rPr>
        <w:t>article</w:t>
      </w:r>
      <w:r w:rsidR="00E704F0" w:rsidRPr="002A2EA6">
        <w:rPr>
          <w:lang w:val="fr-FR"/>
        </w:rPr>
        <w:t> </w:t>
      </w:r>
      <w:r w:rsidRPr="002A2EA6">
        <w:rPr>
          <w:lang w:val="fr-FR"/>
        </w:rPr>
        <w:t>7 de la</w:t>
      </w:r>
      <w:r w:rsidR="00CE52B4" w:rsidRPr="002A2EA6">
        <w:rPr>
          <w:lang w:val="fr-FR"/>
        </w:rPr>
        <w:t> </w:t>
      </w:r>
      <w:r w:rsidRPr="002A2EA6">
        <w:rPr>
          <w:lang w:val="fr-FR"/>
        </w:rPr>
        <w:t>Convention. Un représentant a déclaré que le renforcement des capacités, l</w:t>
      </w:r>
      <w:r w:rsidR="00CA4DAC">
        <w:rPr>
          <w:lang w:val="fr-FR"/>
        </w:rPr>
        <w:t>’</w:t>
      </w:r>
      <w:r w:rsidRPr="002A2EA6">
        <w:rPr>
          <w:lang w:val="fr-FR"/>
        </w:rPr>
        <w:t>assistance technique et</w:t>
      </w:r>
      <w:r w:rsidR="00CE52B4" w:rsidRPr="002A2EA6">
        <w:rPr>
          <w:lang w:val="fr-FR"/>
        </w:rPr>
        <w:t> </w:t>
      </w:r>
      <w:r w:rsidRPr="002A2EA6">
        <w:rPr>
          <w:lang w:val="fr-FR"/>
        </w:rPr>
        <w:t xml:space="preserve">le transfert de technologies devaient </w:t>
      </w:r>
      <w:r w:rsidR="00BA7E39" w:rsidRPr="002A2EA6">
        <w:rPr>
          <w:lang w:val="fr-FR"/>
        </w:rPr>
        <w:t xml:space="preserve">répondre aux </w:t>
      </w:r>
      <w:r w:rsidRPr="002A2EA6">
        <w:rPr>
          <w:lang w:val="fr-FR"/>
        </w:rPr>
        <w:t xml:space="preserve">besoins des pays et </w:t>
      </w:r>
      <w:r w:rsidR="00BA7E39" w:rsidRPr="002A2EA6">
        <w:rPr>
          <w:lang w:val="fr-FR"/>
        </w:rPr>
        <w:t>à des</w:t>
      </w:r>
      <w:r w:rsidR="00C166F9">
        <w:rPr>
          <w:lang w:val="fr-FR"/>
        </w:rPr>
        <w:t> </w:t>
      </w:r>
      <w:r w:rsidRPr="002A2EA6">
        <w:rPr>
          <w:lang w:val="fr-FR"/>
        </w:rPr>
        <w:t>objectifs clairs.</w:t>
      </w:r>
    </w:p>
    <w:bookmarkEnd w:id="39"/>
    <w:p w14:paraId="293AEE18" w14:textId="59FD9361" w:rsidR="00C7478E" w:rsidRPr="002A2EA6" w:rsidRDefault="005269B1" w:rsidP="00A056A2">
      <w:pPr>
        <w:pStyle w:val="Normalnumber"/>
        <w:numPr>
          <w:ilvl w:val="0"/>
          <w:numId w:val="42"/>
        </w:numPr>
        <w:tabs>
          <w:tab w:val="clear" w:pos="1814"/>
          <w:tab w:val="left" w:pos="1843"/>
          <w:tab w:val="left" w:pos="1985"/>
        </w:tabs>
        <w:ind w:left="1288" w:hanging="28"/>
      </w:pPr>
      <w:r w:rsidRPr="002A2EA6">
        <w:rPr>
          <w:lang w:val="fr-FR"/>
        </w:rPr>
        <w:t>La représentante de l</w:t>
      </w:r>
      <w:r w:rsidR="00CA4DAC">
        <w:rPr>
          <w:lang w:val="fr-FR"/>
        </w:rPr>
        <w:t>’</w:t>
      </w:r>
      <w:r w:rsidRPr="002A2EA6">
        <w:rPr>
          <w:lang w:val="fr-FR"/>
        </w:rPr>
        <w:t>Union européenne s</w:t>
      </w:r>
      <w:r w:rsidR="00CA4DAC">
        <w:rPr>
          <w:lang w:val="fr-FR"/>
        </w:rPr>
        <w:t>’</w:t>
      </w:r>
      <w:r w:rsidRPr="002A2EA6">
        <w:rPr>
          <w:lang w:val="fr-FR"/>
        </w:rPr>
        <w:t>est félicitée des activités menées par le secrétariat au</w:t>
      </w:r>
      <w:r w:rsidR="0021604D" w:rsidRPr="002A2EA6">
        <w:rPr>
          <w:lang w:val="fr-FR"/>
        </w:rPr>
        <w:t> </w:t>
      </w:r>
      <w:r w:rsidRPr="002A2EA6">
        <w:rPr>
          <w:lang w:val="fr-FR"/>
        </w:rPr>
        <w:t>titre de l</w:t>
      </w:r>
      <w:r w:rsidR="00CA4DAC">
        <w:rPr>
          <w:lang w:val="fr-FR"/>
        </w:rPr>
        <w:t>’</w:t>
      </w:r>
      <w:r w:rsidRPr="002A2EA6">
        <w:rPr>
          <w:lang w:val="fr-FR"/>
        </w:rPr>
        <w:t>article</w:t>
      </w:r>
      <w:r w:rsidR="00E704F0" w:rsidRPr="002A2EA6">
        <w:rPr>
          <w:lang w:val="fr-FR"/>
        </w:rPr>
        <w:t> </w:t>
      </w:r>
      <w:r w:rsidRPr="002A2EA6">
        <w:rPr>
          <w:lang w:val="fr-FR"/>
        </w:rPr>
        <w:t>14 de la Convention et a annoncé que l</w:t>
      </w:r>
      <w:r w:rsidR="00CA4DAC">
        <w:rPr>
          <w:lang w:val="fr-FR"/>
        </w:rPr>
        <w:t>’</w:t>
      </w:r>
      <w:r w:rsidRPr="002A2EA6">
        <w:rPr>
          <w:lang w:val="fr-FR"/>
        </w:rPr>
        <w:t>Union européenne avait fourni au</w:t>
      </w:r>
      <w:r w:rsidR="0021604D" w:rsidRPr="002A2EA6">
        <w:rPr>
          <w:lang w:val="fr-FR"/>
        </w:rPr>
        <w:t> </w:t>
      </w:r>
      <w:r w:rsidRPr="002A2EA6">
        <w:rPr>
          <w:lang w:val="fr-FR"/>
        </w:rPr>
        <w:t>secrétariat 500</w:t>
      </w:r>
      <w:r w:rsidR="00CE52B4" w:rsidRPr="002A2EA6">
        <w:rPr>
          <w:lang w:val="fr-FR"/>
        </w:rPr>
        <w:t> </w:t>
      </w:r>
      <w:r w:rsidRPr="002A2EA6">
        <w:rPr>
          <w:lang w:val="fr-FR"/>
        </w:rPr>
        <w:t>000</w:t>
      </w:r>
      <w:r w:rsidR="00CE52B4" w:rsidRPr="002A2EA6">
        <w:rPr>
          <w:lang w:val="fr-FR"/>
        </w:rPr>
        <w:t> </w:t>
      </w:r>
      <w:r w:rsidRPr="002A2EA6">
        <w:rPr>
          <w:lang w:val="fr-FR"/>
        </w:rPr>
        <w:t>euros aux fins du renforcement des capacités dans les domaines du commerce du mercure et des émissions au niveau sous-régional. L</w:t>
      </w:r>
      <w:r w:rsidR="002C39DB" w:rsidRPr="002A2EA6">
        <w:rPr>
          <w:lang w:val="fr-FR"/>
        </w:rPr>
        <w:t xml:space="preserve">a Secrétaire exécutive </w:t>
      </w:r>
      <w:r w:rsidRPr="002A2EA6">
        <w:rPr>
          <w:lang w:val="fr-FR"/>
        </w:rPr>
        <w:t>a ajouté qu</w:t>
      </w:r>
      <w:r w:rsidR="00CA4DAC">
        <w:rPr>
          <w:lang w:val="fr-FR"/>
        </w:rPr>
        <w:t>’</w:t>
      </w:r>
      <w:r w:rsidRPr="002A2EA6">
        <w:rPr>
          <w:lang w:val="fr-FR"/>
        </w:rPr>
        <w:t>un certain nombre d</w:t>
      </w:r>
      <w:r w:rsidR="00CA4DAC">
        <w:rPr>
          <w:lang w:val="fr-FR"/>
        </w:rPr>
        <w:t>’</w:t>
      </w:r>
      <w:r w:rsidRPr="002A2EA6">
        <w:rPr>
          <w:lang w:val="fr-FR"/>
        </w:rPr>
        <w:t xml:space="preserve">ateliers avaient déjà eu lieu en Amérique latine et en Asie au titre </w:t>
      </w:r>
      <w:r w:rsidR="002C39DB" w:rsidRPr="002A2EA6">
        <w:rPr>
          <w:lang w:val="fr-FR"/>
        </w:rPr>
        <w:t>du projet financé par l</w:t>
      </w:r>
      <w:r w:rsidR="00CA4DAC">
        <w:rPr>
          <w:lang w:val="fr-FR"/>
        </w:rPr>
        <w:t>’</w:t>
      </w:r>
      <w:r w:rsidR="002C39DB" w:rsidRPr="002A2EA6">
        <w:rPr>
          <w:lang w:val="fr-FR"/>
        </w:rPr>
        <w:t>Union européenne. D</w:t>
      </w:r>
      <w:r w:rsidR="00CA4DAC">
        <w:rPr>
          <w:lang w:val="fr-FR"/>
        </w:rPr>
        <w:t>’</w:t>
      </w:r>
      <w:r w:rsidR="002C39DB" w:rsidRPr="002A2EA6">
        <w:rPr>
          <w:lang w:val="fr-FR"/>
        </w:rPr>
        <w:t>autres ateliers et activités de suivi étaient prévus</w:t>
      </w:r>
      <w:r w:rsidRPr="002A2EA6">
        <w:rPr>
          <w:lang w:val="fr-FR"/>
        </w:rPr>
        <w:t>.</w:t>
      </w:r>
    </w:p>
    <w:p w14:paraId="53CDCD9F" w14:textId="7909E1C3" w:rsidR="2B06F3C8" w:rsidRPr="002A2EA6" w:rsidRDefault="00256AB5" w:rsidP="00A056A2">
      <w:pPr>
        <w:pStyle w:val="Normalnumber"/>
        <w:numPr>
          <w:ilvl w:val="0"/>
          <w:numId w:val="42"/>
        </w:numPr>
        <w:tabs>
          <w:tab w:val="clear" w:pos="1814"/>
          <w:tab w:val="left" w:pos="1843"/>
          <w:tab w:val="left" w:pos="1985"/>
        </w:tabs>
        <w:ind w:left="1288" w:hanging="28"/>
        <w:rPr>
          <w:lang w:val="fr-FR"/>
        </w:rPr>
      </w:pPr>
      <w:r w:rsidRPr="002A2EA6">
        <w:rPr>
          <w:lang w:val="fr-FR"/>
        </w:rPr>
        <w:t>S</w:t>
      </w:r>
      <w:r w:rsidR="00CA4DAC">
        <w:rPr>
          <w:lang w:val="fr-FR"/>
        </w:rPr>
        <w:t>’</w:t>
      </w:r>
      <w:r w:rsidR="2B06F3C8" w:rsidRPr="002A2EA6">
        <w:rPr>
          <w:lang w:val="fr-FR"/>
        </w:rPr>
        <w:t>exprimant au nom d</w:t>
      </w:r>
      <w:r w:rsidR="00CA4DAC">
        <w:rPr>
          <w:lang w:val="fr-FR"/>
        </w:rPr>
        <w:t>’</w:t>
      </w:r>
      <w:r w:rsidR="2B06F3C8" w:rsidRPr="002A2EA6">
        <w:rPr>
          <w:lang w:val="fr-FR"/>
        </w:rPr>
        <w:t>un certain nombre de Parties d</w:t>
      </w:r>
      <w:r w:rsidR="00CA4DAC">
        <w:rPr>
          <w:lang w:val="fr-FR"/>
        </w:rPr>
        <w:t>’</w:t>
      </w:r>
      <w:r w:rsidR="2B06F3C8" w:rsidRPr="002A2EA6">
        <w:rPr>
          <w:lang w:val="fr-FR"/>
        </w:rPr>
        <w:t xml:space="preserve">Amérique latine et des Caraïbes, </w:t>
      </w:r>
      <w:r w:rsidRPr="002A2EA6">
        <w:rPr>
          <w:lang w:val="fr-FR"/>
        </w:rPr>
        <w:t>une</w:t>
      </w:r>
      <w:r w:rsidR="00D12EB8" w:rsidRPr="002A2EA6">
        <w:rPr>
          <w:lang w:val="fr-FR"/>
        </w:rPr>
        <w:t> </w:t>
      </w:r>
      <w:r w:rsidRPr="002A2EA6">
        <w:rPr>
          <w:lang w:val="fr-FR"/>
        </w:rPr>
        <w:t xml:space="preserve">représentante </w:t>
      </w:r>
      <w:r w:rsidR="2B06F3C8" w:rsidRPr="002A2EA6">
        <w:rPr>
          <w:lang w:val="fr-FR"/>
        </w:rPr>
        <w:t>a présenté un document de séance contenant un projet de décision intitulé « Article 14</w:t>
      </w:r>
      <w:r w:rsidR="009E425C" w:rsidRPr="002A2EA6">
        <w:rPr>
          <w:lang w:val="fr-FR"/>
        </w:rPr>
        <w:t> </w:t>
      </w:r>
      <w:r w:rsidR="7A7F35F0" w:rsidRPr="002A2EA6">
        <w:rPr>
          <w:lang w:val="fr-FR"/>
        </w:rPr>
        <w:t>:</w:t>
      </w:r>
      <w:r w:rsidR="2B06F3C8" w:rsidRPr="002A2EA6">
        <w:rPr>
          <w:lang w:val="fr-FR"/>
        </w:rPr>
        <w:t xml:space="preserve"> renforcement des capacités, assistance technique et transfert de technologies ». Ce projet de décision soulignait l</w:t>
      </w:r>
      <w:r w:rsidR="00CA4DAC">
        <w:rPr>
          <w:lang w:val="fr-FR"/>
        </w:rPr>
        <w:t>’</w:t>
      </w:r>
      <w:r w:rsidR="2B06F3C8" w:rsidRPr="002A2EA6">
        <w:rPr>
          <w:lang w:val="fr-FR"/>
        </w:rPr>
        <w:t xml:space="preserve">importance </w:t>
      </w:r>
      <w:r w:rsidR="40AE7E7F" w:rsidRPr="002A2EA6">
        <w:rPr>
          <w:lang w:val="fr-FR"/>
        </w:rPr>
        <w:t>d</w:t>
      </w:r>
      <w:r w:rsidR="2B06F3C8" w:rsidRPr="002A2EA6">
        <w:rPr>
          <w:lang w:val="fr-FR"/>
        </w:rPr>
        <w:t xml:space="preserve">es arrangements régionaux, </w:t>
      </w:r>
      <w:r w:rsidR="5AAAEB39" w:rsidRPr="002A2EA6">
        <w:rPr>
          <w:lang w:val="fr-FR"/>
        </w:rPr>
        <w:t>sous-</w:t>
      </w:r>
      <w:r w:rsidR="2B06F3C8" w:rsidRPr="002A2EA6">
        <w:rPr>
          <w:lang w:val="fr-FR"/>
        </w:rPr>
        <w:t>régionaux et nationaux, y</w:t>
      </w:r>
      <w:r w:rsidR="00D12EB8" w:rsidRPr="002A2EA6">
        <w:rPr>
          <w:lang w:val="fr-FR"/>
        </w:rPr>
        <w:t> </w:t>
      </w:r>
      <w:r w:rsidR="2B06F3C8" w:rsidRPr="002A2EA6">
        <w:rPr>
          <w:lang w:val="fr-FR"/>
        </w:rPr>
        <w:t xml:space="preserve">compris des centres régionaux et </w:t>
      </w:r>
      <w:r w:rsidR="6C61F38E" w:rsidRPr="002A2EA6">
        <w:rPr>
          <w:lang w:val="fr-FR"/>
        </w:rPr>
        <w:t>sous-</w:t>
      </w:r>
      <w:r w:rsidR="2B06F3C8" w:rsidRPr="002A2EA6">
        <w:rPr>
          <w:lang w:val="fr-FR"/>
        </w:rPr>
        <w:t xml:space="preserve">régionaux des conventions de Bâle et de Stockholm, </w:t>
      </w:r>
      <w:r w:rsidR="00D93571" w:rsidRPr="002A2EA6">
        <w:rPr>
          <w:lang w:val="fr-FR"/>
        </w:rPr>
        <w:t xml:space="preserve">aux fins des activités de </w:t>
      </w:r>
      <w:r w:rsidR="2B06F3C8" w:rsidRPr="002A2EA6">
        <w:rPr>
          <w:lang w:val="fr-FR"/>
        </w:rPr>
        <w:t xml:space="preserve">renforcement des capacités et </w:t>
      </w:r>
      <w:r w:rsidR="00D93571" w:rsidRPr="002A2EA6">
        <w:rPr>
          <w:lang w:val="fr-FR"/>
        </w:rPr>
        <w:t>d</w:t>
      </w:r>
      <w:r w:rsidR="00CA4DAC">
        <w:rPr>
          <w:lang w:val="fr-FR"/>
        </w:rPr>
        <w:t>’</w:t>
      </w:r>
      <w:r w:rsidR="2B06F3C8" w:rsidRPr="002A2EA6">
        <w:rPr>
          <w:lang w:val="fr-FR"/>
        </w:rPr>
        <w:t>assistance technique au titre de l</w:t>
      </w:r>
      <w:r w:rsidR="00CA4DAC">
        <w:rPr>
          <w:lang w:val="fr-FR"/>
        </w:rPr>
        <w:t>’</w:t>
      </w:r>
      <w:r w:rsidR="2B06F3C8" w:rsidRPr="002A2EA6">
        <w:rPr>
          <w:lang w:val="fr-FR"/>
        </w:rPr>
        <w:t>article</w:t>
      </w:r>
      <w:r w:rsidR="009E425C" w:rsidRPr="002A2EA6">
        <w:rPr>
          <w:lang w:val="fr-FR"/>
        </w:rPr>
        <w:t> </w:t>
      </w:r>
      <w:r w:rsidR="2B06F3C8" w:rsidRPr="002A2EA6">
        <w:rPr>
          <w:lang w:val="fr-FR"/>
        </w:rPr>
        <w:t>14 de la</w:t>
      </w:r>
      <w:r w:rsidR="00D12EB8" w:rsidRPr="002A2EA6">
        <w:rPr>
          <w:lang w:val="fr-FR"/>
        </w:rPr>
        <w:t> </w:t>
      </w:r>
      <w:r w:rsidR="2B06F3C8" w:rsidRPr="002A2EA6">
        <w:rPr>
          <w:lang w:val="fr-FR"/>
        </w:rPr>
        <w:t>Convention et priait le secrétariat d</w:t>
      </w:r>
      <w:r w:rsidR="00CA4DAC">
        <w:rPr>
          <w:lang w:val="fr-FR"/>
        </w:rPr>
        <w:t>’</w:t>
      </w:r>
      <w:r w:rsidR="2B06F3C8" w:rsidRPr="002A2EA6">
        <w:rPr>
          <w:lang w:val="fr-FR"/>
        </w:rPr>
        <w:t xml:space="preserve">entreprendre </w:t>
      </w:r>
      <w:r w:rsidR="7F921C97" w:rsidRPr="002A2EA6">
        <w:rPr>
          <w:lang w:val="fr-FR"/>
        </w:rPr>
        <w:t xml:space="preserve">des </w:t>
      </w:r>
      <w:r w:rsidR="2B06F3C8" w:rsidRPr="002A2EA6">
        <w:rPr>
          <w:lang w:val="fr-FR"/>
        </w:rPr>
        <w:t>activités, notamment en matière de collecte et d</w:t>
      </w:r>
      <w:r w:rsidR="00CA4DAC">
        <w:rPr>
          <w:lang w:val="fr-FR"/>
        </w:rPr>
        <w:t>’</w:t>
      </w:r>
      <w:r w:rsidR="294C2C28" w:rsidRPr="002A2EA6">
        <w:rPr>
          <w:lang w:val="fr-FR"/>
        </w:rPr>
        <w:t>échange</w:t>
      </w:r>
      <w:r w:rsidR="2B06F3C8" w:rsidRPr="002A2EA6">
        <w:rPr>
          <w:lang w:val="fr-FR"/>
        </w:rPr>
        <w:t xml:space="preserve"> d</w:t>
      </w:r>
      <w:r w:rsidR="00CA4DAC">
        <w:rPr>
          <w:lang w:val="fr-FR"/>
        </w:rPr>
        <w:t>’</w:t>
      </w:r>
      <w:r w:rsidR="2B06F3C8" w:rsidRPr="002A2EA6">
        <w:rPr>
          <w:lang w:val="fr-FR"/>
        </w:rPr>
        <w:t xml:space="preserve">informations, </w:t>
      </w:r>
      <w:r w:rsidR="2C0A4528" w:rsidRPr="002A2EA6">
        <w:rPr>
          <w:lang w:val="fr-FR"/>
        </w:rPr>
        <w:t>afin d</w:t>
      </w:r>
      <w:r w:rsidR="00CA4DAC">
        <w:rPr>
          <w:lang w:val="fr-FR"/>
        </w:rPr>
        <w:t>’</w:t>
      </w:r>
      <w:r w:rsidR="2B06F3C8" w:rsidRPr="002A2EA6">
        <w:rPr>
          <w:lang w:val="fr-FR"/>
        </w:rPr>
        <w:t>aider les Parties</w:t>
      </w:r>
      <w:r w:rsidR="13154CB9" w:rsidRPr="002A2EA6">
        <w:rPr>
          <w:lang w:val="fr-FR"/>
        </w:rPr>
        <w:t xml:space="preserve"> </w:t>
      </w:r>
      <w:r w:rsidR="008F04B9" w:rsidRPr="002A2EA6">
        <w:rPr>
          <w:lang w:val="fr-FR"/>
        </w:rPr>
        <w:t>dans ces domaines</w:t>
      </w:r>
      <w:r w:rsidR="2B06F3C8" w:rsidRPr="002A2EA6">
        <w:rPr>
          <w:lang w:val="fr-FR"/>
        </w:rPr>
        <w:t>.</w:t>
      </w:r>
    </w:p>
    <w:p w14:paraId="69744238" w14:textId="4F1A49B0" w:rsidR="5A5C65C0" w:rsidRPr="002A2EA6" w:rsidRDefault="5A5C65C0"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C32F54" w:rsidRPr="002A2EA6">
        <w:rPr>
          <w:lang w:val="fr-FR"/>
        </w:rPr>
        <w:t> </w:t>
      </w:r>
      <w:r w:rsidRPr="002A2EA6">
        <w:rPr>
          <w:lang w:val="fr-FR"/>
        </w:rPr>
        <w:t>MC-3/8</w:t>
      </w:r>
      <w:r w:rsidR="008F04B9" w:rsidRPr="002A2EA6">
        <w:rPr>
          <w:lang w:val="fr-FR"/>
        </w:rPr>
        <w:t xml:space="preserve"> (</w:t>
      </w:r>
      <w:r w:rsidRPr="002A2EA6">
        <w:rPr>
          <w:lang w:val="fr-FR"/>
        </w:rPr>
        <w:t>Article</w:t>
      </w:r>
      <w:r w:rsidR="00D12EB8" w:rsidRPr="002A2EA6">
        <w:rPr>
          <w:lang w:val="fr-FR"/>
        </w:rPr>
        <w:t> </w:t>
      </w:r>
      <w:r w:rsidRPr="002A2EA6">
        <w:rPr>
          <w:lang w:val="fr-FR"/>
        </w:rPr>
        <w:t>14</w:t>
      </w:r>
      <w:r w:rsidR="00D12EB8" w:rsidRPr="002A2EA6">
        <w:rPr>
          <w:lang w:val="fr-FR"/>
        </w:rPr>
        <w:t> </w:t>
      </w:r>
      <w:r w:rsidR="7A7F35F0" w:rsidRPr="002A2EA6">
        <w:rPr>
          <w:lang w:val="fr-FR"/>
        </w:rPr>
        <w:t>:</w:t>
      </w:r>
      <w:r w:rsidRPr="002A2EA6">
        <w:rPr>
          <w:lang w:val="fr-FR"/>
        </w:rPr>
        <w:t xml:space="preserve"> renforcement des capacités, assistance technique et transfert de technologies</w:t>
      </w:r>
      <w:r w:rsidR="008F04B9" w:rsidRPr="002A2EA6">
        <w:rPr>
          <w:lang w:val="fr-FR"/>
        </w:rPr>
        <w:t>)</w:t>
      </w:r>
      <w:r w:rsidRPr="002A2EA6">
        <w:rPr>
          <w:lang w:val="fr-FR"/>
        </w:rPr>
        <w:t>, telle que présentée à l</w:t>
      </w:r>
      <w:r w:rsidR="00CA4DAC">
        <w:rPr>
          <w:lang w:val="fr-FR"/>
        </w:rPr>
        <w:t>’</w:t>
      </w:r>
      <w:r w:rsidRPr="002A2EA6">
        <w:rPr>
          <w:lang w:val="fr-FR"/>
        </w:rPr>
        <w:t>issue de consultations informelles, qui figure à l</w:t>
      </w:r>
      <w:r w:rsidR="00CA4DAC">
        <w:rPr>
          <w:lang w:val="fr-FR"/>
        </w:rPr>
        <w:t>’</w:t>
      </w:r>
      <w:r w:rsidRPr="002A2EA6">
        <w:rPr>
          <w:lang w:val="fr-FR"/>
        </w:rPr>
        <w:t>annexe du présent rapport.</w:t>
      </w:r>
    </w:p>
    <w:p w14:paraId="092C87F0" w14:textId="79DFBE73" w:rsidR="00C7478E" w:rsidRPr="002A2EA6" w:rsidRDefault="00C32F54" w:rsidP="00CE52B4">
      <w:pPr>
        <w:pStyle w:val="CH2"/>
        <w:rPr>
          <w:lang w:val="fr-FR"/>
        </w:rPr>
      </w:pPr>
      <w:r w:rsidRPr="002A2EA6">
        <w:rPr>
          <w:lang w:val="fr-FR"/>
        </w:rPr>
        <w:lastRenderedPageBreak/>
        <w:tab/>
      </w:r>
      <w:bookmarkStart w:id="40" w:name="_Toc39063342"/>
      <w:r w:rsidR="00CE52B4" w:rsidRPr="002A2EA6">
        <w:rPr>
          <w:lang w:val="fr-FR"/>
        </w:rPr>
        <w:t>G.</w:t>
      </w:r>
      <w:r w:rsidR="00CE52B4" w:rsidRPr="002A2EA6">
        <w:rPr>
          <w:lang w:val="fr-FR"/>
        </w:rPr>
        <w:tab/>
      </w:r>
      <w:r w:rsidR="00B65A8A" w:rsidRPr="002A2EA6">
        <w:rPr>
          <w:lang w:val="fr-FR"/>
        </w:rPr>
        <w:t>Comité de mise en œuvre et du respect des obligations</w:t>
      </w:r>
      <w:bookmarkEnd w:id="40"/>
    </w:p>
    <w:p w14:paraId="50FBF89C" w14:textId="7E2EF4DB" w:rsidR="6E08BF05" w:rsidRPr="002A2EA6" w:rsidRDefault="6E08BF05"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point, le représentant du secrétariat a rappelé que l</w:t>
      </w:r>
      <w:r w:rsidR="00CA4DAC">
        <w:rPr>
          <w:lang w:val="fr-FR"/>
        </w:rPr>
        <w:t>’</w:t>
      </w:r>
      <w:r w:rsidRPr="002A2EA6">
        <w:rPr>
          <w:lang w:val="fr-FR"/>
        </w:rPr>
        <w:t>article</w:t>
      </w:r>
      <w:r w:rsidR="00C32F54" w:rsidRPr="002A2EA6">
        <w:rPr>
          <w:lang w:val="fr-FR"/>
        </w:rPr>
        <w:t> </w:t>
      </w:r>
      <w:r w:rsidRPr="002A2EA6">
        <w:rPr>
          <w:lang w:val="fr-FR"/>
        </w:rPr>
        <w:t xml:space="preserve">15 de la Convention </w:t>
      </w:r>
      <w:r w:rsidR="00B530FD" w:rsidRPr="002A2EA6">
        <w:rPr>
          <w:lang w:val="fr-FR"/>
        </w:rPr>
        <w:t xml:space="preserve">instituait </w:t>
      </w:r>
      <w:r w:rsidRPr="002A2EA6">
        <w:rPr>
          <w:lang w:val="fr-FR"/>
        </w:rPr>
        <w:t>un mécanisme comprenant un Comité de mise en œuvre et du respect des obligations</w:t>
      </w:r>
      <w:r w:rsidR="00AB7FF3" w:rsidRPr="002A2EA6">
        <w:rPr>
          <w:lang w:val="fr-FR"/>
        </w:rPr>
        <w:t xml:space="preserve"> – </w:t>
      </w:r>
      <w:r w:rsidRPr="002A2EA6">
        <w:rPr>
          <w:lang w:val="fr-FR"/>
        </w:rPr>
        <w:t>organe</w:t>
      </w:r>
      <w:r w:rsidR="00AB7FF3" w:rsidRPr="002A2EA6">
        <w:rPr>
          <w:lang w:val="fr-FR"/>
        </w:rPr>
        <w:t xml:space="preserve"> </w:t>
      </w:r>
      <w:r w:rsidRPr="002A2EA6">
        <w:rPr>
          <w:lang w:val="fr-FR"/>
        </w:rPr>
        <w:t>subsidiaire de la Conférence des Parties</w:t>
      </w:r>
      <w:r w:rsidR="00AB7FF3" w:rsidRPr="002A2EA6">
        <w:rPr>
          <w:lang w:val="fr-FR"/>
        </w:rPr>
        <w:t xml:space="preserve"> –</w:t>
      </w:r>
      <w:r w:rsidRPr="002A2EA6">
        <w:rPr>
          <w:lang w:val="fr-FR"/>
        </w:rPr>
        <w:t xml:space="preserve"> </w:t>
      </w:r>
      <w:r w:rsidR="00AB7FF3" w:rsidRPr="002A2EA6">
        <w:rPr>
          <w:lang w:val="fr-FR"/>
        </w:rPr>
        <w:t xml:space="preserve">chargé de </w:t>
      </w:r>
      <w:r w:rsidRPr="002A2EA6">
        <w:rPr>
          <w:lang w:val="fr-FR"/>
        </w:rPr>
        <w:t>promouvoir l</w:t>
      </w:r>
      <w:r w:rsidR="00CA4DAC">
        <w:rPr>
          <w:lang w:val="fr-FR"/>
        </w:rPr>
        <w:t>’</w:t>
      </w:r>
      <w:r w:rsidRPr="002A2EA6">
        <w:rPr>
          <w:lang w:val="fr-FR"/>
        </w:rPr>
        <w:t xml:space="preserve">application des dispositions de la Convention et </w:t>
      </w:r>
      <w:r w:rsidR="00AB7FF3" w:rsidRPr="002A2EA6">
        <w:rPr>
          <w:lang w:val="fr-FR"/>
        </w:rPr>
        <w:t xml:space="preserve">de </w:t>
      </w:r>
      <w:r w:rsidRPr="002A2EA6">
        <w:rPr>
          <w:lang w:val="fr-FR"/>
        </w:rPr>
        <w:t>s</w:t>
      </w:r>
      <w:r w:rsidR="00CA4DAC">
        <w:rPr>
          <w:lang w:val="fr-FR"/>
        </w:rPr>
        <w:t>’</w:t>
      </w:r>
      <w:r w:rsidRPr="002A2EA6">
        <w:rPr>
          <w:lang w:val="fr-FR"/>
        </w:rPr>
        <w:t xml:space="preserve">assurer de leur respect. </w:t>
      </w:r>
      <w:r w:rsidR="30F59648" w:rsidRPr="002A2EA6">
        <w:rPr>
          <w:lang w:val="fr-FR"/>
        </w:rPr>
        <w:t>L</w:t>
      </w:r>
      <w:r w:rsidRPr="002A2EA6">
        <w:rPr>
          <w:lang w:val="fr-FR"/>
        </w:rPr>
        <w:t xml:space="preserve">a Conférence des Parties avait, </w:t>
      </w:r>
      <w:r w:rsidR="0DC6F054" w:rsidRPr="002A2EA6">
        <w:rPr>
          <w:lang w:val="fr-FR"/>
        </w:rPr>
        <w:t xml:space="preserve">dans </w:t>
      </w:r>
      <w:r w:rsidRPr="002A2EA6">
        <w:rPr>
          <w:lang w:val="fr-FR"/>
        </w:rPr>
        <w:t>sa</w:t>
      </w:r>
      <w:r w:rsidR="00BD569B" w:rsidRPr="002A2EA6">
        <w:rPr>
          <w:lang w:val="fr-FR"/>
        </w:rPr>
        <w:t> </w:t>
      </w:r>
      <w:r w:rsidRPr="002A2EA6">
        <w:rPr>
          <w:lang w:val="fr-FR"/>
        </w:rPr>
        <w:t>décision</w:t>
      </w:r>
      <w:r w:rsidR="00C32F54" w:rsidRPr="002A2EA6">
        <w:rPr>
          <w:lang w:val="fr-FR"/>
        </w:rPr>
        <w:t> </w:t>
      </w:r>
      <w:r w:rsidRPr="002A2EA6">
        <w:rPr>
          <w:lang w:val="fr-FR"/>
        </w:rPr>
        <w:t>MC</w:t>
      </w:r>
      <w:r w:rsidR="00D12EB8" w:rsidRPr="002A2EA6">
        <w:rPr>
          <w:lang w:val="fr-FR"/>
        </w:rPr>
        <w:noBreakHyphen/>
      </w:r>
      <w:r w:rsidRPr="002A2EA6">
        <w:rPr>
          <w:lang w:val="fr-FR"/>
        </w:rPr>
        <w:t>1/7, élu les 15</w:t>
      </w:r>
      <w:r w:rsidR="00C32F54" w:rsidRPr="002A2EA6">
        <w:rPr>
          <w:lang w:val="fr-FR"/>
        </w:rPr>
        <w:t> </w:t>
      </w:r>
      <w:r w:rsidRPr="002A2EA6">
        <w:rPr>
          <w:lang w:val="fr-FR"/>
        </w:rPr>
        <w:t xml:space="preserve">premiers membres du Comité. Conformément à son </w:t>
      </w:r>
      <w:r w:rsidR="00AB7FF3" w:rsidRPr="002A2EA6">
        <w:rPr>
          <w:lang w:val="fr-FR"/>
        </w:rPr>
        <w:t>R</w:t>
      </w:r>
      <w:r w:rsidRPr="002A2EA6">
        <w:rPr>
          <w:lang w:val="fr-FR"/>
        </w:rPr>
        <w:t>èglement intérieur, la Conférence des Parties réélirait 10</w:t>
      </w:r>
      <w:r w:rsidR="00C32F54" w:rsidRPr="002A2EA6">
        <w:rPr>
          <w:lang w:val="fr-FR"/>
        </w:rPr>
        <w:t> </w:t>
      </w:r>
      <w:r w:rsidRPr="002A2EA6">
        <w:rPr>
          <w:lang w:val="fr-FR"/>
        </w:rPr>
        <w:t xml:space="preserve">membres choisis parmi les premiers membres du Comité pour un nouveau mandat et </w:t>
      </w:r>
      <w:r w:rsidR="00CF0FDB" w:rsidRPr="002A2EA6">
        <w:rPr>
          <w:lang w:val="fr-FR"/>
        </w:rPr>
        <w:t>cinq</w:t>
      </w:r>
      <w:r w:rsidR="0035646B" w:rsidRPr="002A2EA6">
        <w:rPr>
          <w:lang w:val="fr-FR"/>
        </w:rPr>
        <w:t> </w:t>
      </w:r>
      <w:r w:rsidRPr="002A2EA6">
        <w:rPr>
          <w:lang w:val="fr-FR"/>
        </w:rPr>
        <w:t xml:space="preserve">nouveaux membres pour </w:t>
      </w:r>
      <w:r w:rsidR="00CF0FDB" w:rsidRPr="002A2EA6">
        <w:rPr>
          <w:lang w:val="fr-FR"/>
        </w:rPr>
        <w:t>deux</w:t>
      </w:r>
      <w:r w:rsidR="0035646B" w:rsidRPr="002A2EA6">
        <w:rPr>
          <w:lang w:val="fr-FR"/>
        </w:rPr>
        <w:t> </w:t>
      </w:r>
      <w:r w:rsidRPr="002A2EA6">
        <w:rPr>
          <w:lang w:val="fr-FR"/>
        </w:rPr>
        <w:t xml:space="preserve">mandats. Une note du secrétariat sur les travaux du Comité de mise en œuvre et du respect des obligations (UNEP/MC/COP.3/13) </w:t>
      </w:r>
      <w:r w:rsidR="00E8EE8C" w:rsidRPr="002A2EA6">
        <w:rPr>
          <w:lang w:val="fr-FR"/>
        </w:rPr>
        <w:t>reproduisait</w:t>
      </w:r>
      <w:r w:rsidRPr="002A2EA6">
        <w:rPr>
          <w:lang w:val="fr-FR"/>
        </w:rPr>
        <w:t xml:space="preserve"> en annexe le rapport de la deuxième</w:t>
      </w:r>
      <w:r w:rsidR="00CF0FDB" w:rsidRPr="002A2EA6">
        <w:rPr>
          <w:lang w:val="fr-FR"/>
        </w:rPr>
        <w:t> </w:t>
      </w:r>
      <w:r w:rsidRPr="002A2EA6">
        <w:rPr>
          <w:lang w:val="fr-FR"/>
        </w:rPr>
        <w:t>réunion du Comité, tenue à Genève les 3 et 4</w:t>
      </w:r>
      <w:r w:rsidR="00C32F54" w:rsidRPr="002A2EA6">
        <w:rPr>
          <w:lang w:val="fr-FR"/>
        </w:rPr>
        <w:t> </w:t>
      </w:r>
      <w:r w:rsidRPr="002A2EA6">
        <w:rPr>
          <w:lang w:val="fr-FR"/>
        </w:rPr>
        <w:t>juin 2019. Les</w:t>
      </w:r>
      <w:r w:rsidR="00C32F54" w:rsidRPr="002A2EA6">
        <w:rPr>
          <w:lang w:val="fr-FR"/>
        </w:rPr>
        <w:t> </w:t>
      </w:r>
      <w:r w:rsidRPr="002A2EA6">
        <w:rPr>
          <w:lang w:val="fr-FR"/>
        </w:rPr>
        <w:t xml:space="preserve">appendices </w:t>
      </w:r>
      <w:r w:rsidR="0F76955D" w:rsidRPr="002A2EA6">
        <w:rPr>
          <w:lang w:val="fr-FR"/>
        </w:rPr>
        <w:t>de</w:t>
      </w:r>
      <w:r w:rsidRPr="002A2EA6">
        <w:rPr>
          <w:lang w:val="fr-FR"/>
        </w:rPr>
        <w:t xml:space="preserve"> ce rapport contenaient le projet de mandat du Comité</w:t>
      </w:r>
      <w:r w:rsidR="00FD485C">
        <w:rPr>
          <w:lang w:val="fr-FR"/>
        </w:rPr>
        <w:t>,</w:t>
      </w:r>
      <w:r w:rsidRPr="002A2EA6">
        <w:rPr>
          <w:lang w:val="fr-FR"/>
        </w:rPr>
        <w:t xml:space="preserve"> un projet de décision </w:t>
      </w:r>
      <w:r w:rsidR="0035646B" w:rsidRPr="002A2EA6">
        <w:rPr>
          <w:lang w:val="fr-FR"/>
        </w:rPr>
        <w:t xml:space="preserve">concernant </w:t>
      </w:r>
      <w:r w:rsidR="6411CF3E" w:rsidRPr="002A2EA6">
        <w:rPr>
          <w:lang w:val="fr-FR"/>
        </w:rPr>
        <w:t>l</w:t>
      </w:r>
      <w:r w:rsidR="00CA4DAC">
        <w:rPr>
          <w:lang w:val="fr-FR"/>
        </w:rPr>
        <w:t>’</w:t>
      </w:r>
      <w:r w:rsidR="6411CF3E" w:rsidRPr="002A2EA6">
        <w:rPr>
          <w:lang w:val="fr-FR"/>
        </w:rPr>
        <w:t xml:space="preserve">adoption de </w:t>
      </w:r>
      <w:r w:rsidRPr="002A2EA6">
        <w:rPr>
          <w:lang w:val="fr-FR"/>
        </w:rPr>
        <w:t xml:space="preserve">ce mandat et </w:t>
      </w:r>
      <w:r w:rsidR="32140708" w:rsidRPr="002A2EA6">
        <w:rPr>
          <w:lang w:val="fr-FR"/>
        </w:rPr>
        <w:t>d</w:t>
      </w:r>
      <w:r w:rsidR="00CA4DAC">
        <w:rPr>
          <w:lang w:val="fr-FR"/>
        </w:rPr>
        <w:t>’</w:t>
      </w:r>
      <w:r w:rsidRPr="002A2EA6">
        <w:rPr>
          <w:lang w:val="fr-FR"/>
        </w:rPr>
        <w:t>un modèle pour les communications écrites transmises par les Parties concernant leur respect des dispositions</w:t>
      </w:r>
      <w:r w:rsidR="00681F00">
        <w:rPr>
          <w:lang w:val="fr-FR"/>
        </w:rPr>
        <w:t>, ainsi que le projet de modèle lui-même</w:t>
      </w:r>
      <w:r w:rsidRPr="002A2EA6">
        <w:rPr>
          <w:lang w:val="fr-FR"/>
        </w:rPr>
        <w:t>.</w:t>
      </w:r>
    </w:p>
    <w:p w14:paraId="5ABEB888" w14:textId="79B6AAEB" w:rsidR="6E08BF05" w:rsidRPr="002A2EA6" w:rsidRDefault="6E08BF05" w:rsidP="00A056A2">
      <w:pPr>
        <w:pStyle w:val="Normalnumber"/>
        <w:numPr>
          <w:ilvl w:val="0"/>
          <w:numId w:val="42"/>
        </w:numPr>
        <w:tabs>
          <w:tab w:val="clear" w:pos="1814"/>
          <w:tab w:val="left" w:pos="1843"/>
          <w:tab w:val="left" w:pos="1985"/>
        </w:tabs>
        <w:ind w:left="1288" w:hanging="28"/>
        <w:rPr>
          <w:lang w:val="fr-FR"/>
        </w:rPr>
      </w:pPr>
      <w:r w:rsidRPr="002A2EA6">
        <w:rPr>
          <w:lang w:val="fr-FR"/>
        </w:rPr>
        <w:t>Mme</w:t>
      </w:r>
      <w:r w:rsidR="009E425C" w:rsidRPr="002A2EA6">
        <w:rPr>
          <w:lang w:val="fr-FR"/>
        </w:rPr>
        <w:t> </w:t>
      </w:r>
      <w:r w:rsidRPr="002A2EA6">
        <w:rPr>
          <w:lang w:val="fr-FR"/>
        </w:rPr>
        <w:t xml:space="preserve">Claudia Sorina Dumitru (Roumanie), Présidente du Comité de mise en œuvre et du respect des obligations, a rendu </w:t>
      </w:r>
      <w:r w:rsidR="004D2F94" w:rsidRPr="002A2EA6">
        <w:rPr>
          <w:lang w:val="fr-FR"/>
        </w:rPr>
        <w:t xml:space="preserve">compte </w:t>
      </w:r>
      <w:r w:rsidRPr="002A2EA6">
        <w:rPr>
          <w:lang w:val="fr-FR"/>
        </w:rPr>
        <w:t>des travaux menés par le Comité à sa deuxième</w:t>
      </w:r>
      <w:r w:rsidR="00EB1D79" w:rsidRPr="002A2EA6">
        <w:rPr>
          <w:lang w:val="fr-FR"/>
        </w:rPr>
        <w:t> </w:t>
      </w:r>
      <w:r w:rsidRPr="002A2EA6">
        <w:rPr>
          <w:lang w:val="fr-FR"/>
        </w:rPr>
        <w:t>réunion. Au nombre des questions examinées à cette réunion figuraient</w:t>
      </w:r>
      <w:r w:rsidR="00C32F54" w:rsidRPr="002A2EA6">
        <w:rPr>
          <w:lang w:val="fr-FR"/>
        </w:rPr>
        <w:t> </w:t>
      </w:r>
      <w:r w:rsidR="7A7F35F0" w:rsidRPr="002A2EA6">
        <w:rPr>
          <w:lang w:val="fr-FR"/>
        </w:rPr>
        <w:t>:</w:t>
      </w:r>
      <w:r w:rsidRPr="002A2EA6">
        <w:rPr>
          <w:lang w:val="fr-FR"/>
        </w:rPr>
        <w:t xml:space="preserve"> le mandat du Comité</w:t>
      </w:r>
      <w:r w:rsidR="00C32F54" w:rsidRPr="002A2EA6">
        <w:rPr>
          <w:lang w:val="fr-FR"/>
        </w:rPr>
        <w:t> </w:t>
      </w:r>
      <w:r w:rsidR="631BDA25" w:rsidRPr="002A2EA6">
        <w:rPr>
          <w:lang w:val="fr-FR"/>
        </w:rPr>
        <w:t>;</w:t>
      </w:r>
      <w:r w:rsidRPr="002A2EA6">
        <w:rPr>
          <w:lang w:val="fr-FR"/>
        </w:rPr>
        <w:t xml:space="preserve"> des</w:t>
      </w:r>
      <w:r w:rsidR="00C166F9">
        <w:rPr>
          <w:lang w:val="fr-FR"/>
        </w:rPr>
        <w:t> </w:t>
      </w:r>
      <w:r w:rsidRPr="002A2EA6">
        <w:rPr>
          <w:lang w:val="fr-FR"/>
        </w:rPr>
        <w:t>orientations relatives aux communications écrites transmises par une Partie concernant son respect des</w:t>
      </w:r>
      <w:r w:rsidR="00EB1D79" w:rsidRPr="002A2EA6">
        <w:rPr>
          <w:lang w:val="fr-FR"/>
        </w:rPr>
        <w:t> </w:t>
      </w:r>
      <w:r w:rsidRPr="002A2EA6">
        <w:rPr>
          <w:lang w:val="fr-FR"/>
        </w:rPr>
        <w:t>dispositions</w:t>
      </w:r>
      <w:r w:rsidR="00C32F54" w:rsidRPr="002A2EA6">
        <w:rPr>
          <w:lang w:val="fr-FR"/>
        </w:rPr>
        <w:t> </w:t>
      </w:r>
      <w:r w:rsidR="631BDA25" w:rsidRPr="002A2EA6">
        <w:rPr>
          <w:lang w:val="fr-FR"/>
        </w:rPr>
        <w:t>;</w:t>
      </w:r>
      <w:r w:rsidRPr="002A2EA6">
        <w:rPr>
          <w:lang w:val="fr-FR"/>
        </w:rPr>
        <w:t xml:space="preserve"> une mise à jour concernant les rapports nationaux communiqués en application de l</w:t>
      </w:r>
      <w:r w:rsidR="00CA4DAC">
        <w:rPr>
          <w:lang w:val="fr-FR"/>
        </w:rPr>
        <w:t>’</w:t>
      </w:r>
      <w:r w:rsidRPr="002A2EA6">
        <w:rPr>
          <w:lang w:val="fr-FR"/>
        </w:rPr>
        <w:t>article</w:t>
      </w:r>
      <w:r w:rsidR="009E425C" w:rsidRPr="002A2EA6">
        <w:rPr>
          <w:lang w:val="fr-FR"/>
        </w:rPr>
        <w:t> </w:t>
      </w:r>
      <w:r w:rsidRPr="002A2EA6">
        <w:rPr>
          <w:lang w:val="fr-FR"/>
        </w:rPr>
        <w:t>21</w:t>
      </w:r>
      <w:r w:rsidR="00C32F54" w:rsidRPr="002A2EA6">
        <w:rPr>
          <w:lang w:val="fr-FR"/>
        </w:rPr>
        <w:t> </w:t>
      </w:r>
      <w:r w:rsidR="631BDA25" w:rsidRPr="002A2EA6">
        <w:rPr>
          <w:lang w:val="fr-FR"/>
        </w:rPr>
        <w:t>;</w:t>
      </w:r>
      <w:r w:rsidRPr="002A2EA6">
        <w:rPr>
          <w:lang w:val="fr-FR"/>
        </w:rPr>
        <w:t xml:space="preserve"> les notifications soumises par les Parties en application du paragraphe</w:t>
      </w:r>
      <w:r w:rsidR="00C32F54" w:rsidRPr="002A2EA6">
        <w:rPr>
          <w:lang w:val="fr-FR"/>
        </w:rPr>
        <w:t> </w:t>
      </w:r>
      <w:r w:rsidRPr="002A2EA6">
        <w:rPr>
          <w:lang w:val="fr-FR"/>
        </w:rPr>
        <w:t>9 de l</w:t>
      </w:r>
      <w:r w:rsidR="00CA4DAC">
        <w:rPr>
          <w:lang w:val="fr-FR"/>
        </w:rPr>
        <w:t>’</w:t>
      </w:r>
      <w:r w:rsidRPr="002A2EA6">
        <w:rPr>
          <w:lang w:val="fr-FR"/>
        </w:rPr>
        <w:t>article 3</w:t>
      </w:r>
      <w:r w:rsidR="00C32F54" w:rsidRPr="002A2EA6">
        <w:rPr>
          <w:lang w:val="fr-FR"/>
        </w:rPr>
        <w:t> </w:t>
      </w:r>
      <w:r w:rsidR="631BDA25" w:rsidRPr="002A2EA6">
        <w:rPr>
          <w:lang w:val="fr-FR"/>
        </w:rPr>
        <w:t>;</w:t>
      </w:r>
      <w:r w:rsidRPr="002A2EA6">
        <w:rPr>
          <w:lang w:val="fr-FR"/>
        </w:rPr>
        <w:t xml:space="preserve"> des informations et recommandations fournies conformément à l</w:t>
      </w:r>
      <w:r w:rsidR="00CA4DAC">
        <w:rPr>
          <w:lang w:val="fr-FR"/>
        </w:rPr>
        <w:t>’</w:t>
      </w:r>
      <w:r w:rsidRPr="002A2EA6">
        <w:rPr>
          <w:lang w:val="fr-FR"/>
        </w:rPr>
        <w:t>article</w:t>
      </w:r>
      <w:r w:rsidR="00C32F54" w:rsidRPr="002A2EA6">
        <w:rPr>
          <w:lang w:val="fr-FR"/>
        </w:rPr>
        <w:t> </w:t>
      </w:r>
      <w:r w:rsidRPr="002A2EA6">
        <w:rPr>
          <w:lang w:val="fr-FR"/>
        </w:rPr>
        <w:t>15 pouvant être utilisées pour la réalisation de l</w:t>
      </w:r>
      <w:r w:rsidR="00CA4DAC">
        <w:rPr>
          <w:lang w:val="fr-FR"/>
        </w:rPr>
        <w:t>’</w:t>
      </w:r>
      <w:r w:rsidRPr="002A2EA6">
        <w:rPr>
          <w:lang w:val="fr-FR"/>
        </w:rPr>
        <w:t>évaluation de l</w:t>
      </w:r>
      <w:r w:rsidR="00CA4DAC">
        <w:rPr>
          <w:lang w:val="fr-FR"/>
        </w:rPr>
        <w:t>’</w:t>
      </w:r>
      <w:r w:rsidRPr="002A2EA6">
        <w:rPr>
          <w:lang w:val="fr-FR"/>
        </w:rPr>
        <w:t>efficacité visée à l</w:t>
      </w:r>
      <w:r w:rsidR="00CA4DAC">
        <w:rPr>
          <w:lang w:val="fr-FR"/>
        </w:rPr>
        <w:t>’</w:t>
      </w:r>
      <w:r w:rsidRPr="002A2EA6">
        <w:rPr>
          <w:lang w:val="fr-FR"/>
        </w:rPr>
        <w:t>article</w:t>
      </w:r>
      <w:r w:rsidR="00C32F54" w:rsidRPr="002A2EA6">
        <w:rPr>
          <w:lang w:val="fr-FR"/>
        </w:rPr>
        <w:t> </w:t>
      </w:r>
      <w:r w:rsidRPr="002A2EA6">
        <w:rPr>
          <w:lang w:val="fr-FR"/>
        </w:rPr>
        <w:t>22</w:t>
      </w:r>
      <w:r w:rsidR="00C32F54" w:rsidRPr="002A2EA6">
        <w:rPr>
          <w:lang w:val="fr-FR"/>
        </w:rPr>
        <w:t> </w:t>
      </w:r>
      <w:r w:rsidR="631BDA25" w:rsidRPr="002A2EA6">
        <w:rPr>
          <w:lang w:val="fr-FR"/>
        </w:rPr>
        <w:t>;</w:t>
      </w:r>
      <w:r w:rsidRPr="002A2EA6">
        <w:rPr>
          <w:lang w:val="fr-FR"/>
        </w:rPr>
        <w:t xml:space="preserve"> le programme de travail du Comité de mise en œuvre et du respect des obligations. Le Comité a</w:t>
      </w:r>
      <w:r w:rsidR="533D4BB5" w:rsidRPr="002A2EA6">
        <w:rPr>
          <w:lang w:val="fr-FR"/>
        </w:rPr>
        <w:t>vait</w:t>
      </w:r>
      <w:r w:rsidRPr="002A2EA6">
        <w:rPr>
          <w:lang w:val="fr-FR"/>
        </w:rPr>
        <w:t xml:space="preserve"> décidé que sa troisième</w:t>
      </w:r>
      <w:r w:rsidR="00A24124" w:rsidRPr="002A2EA6">
        <w:rPr>
          <w:lang w:val="fr-FR"/>
        </w:rPr>
        <w:t> </w:t>
      </w:r>
      <w:r w:rsidRPr="002A2EA6">
        <w:rPr>
          <w:lang w:val="fr-FR"/>
        </w:rPr>
        <w:t>réunion, d</w:t>
      </w:r>
      <w:r w:rsidR="00CA4DAC">
        <w:rPr>
          <w:lang w:val="fr-FR"/>
        </w:rPr>
        <w:t>’</w:t>
      </w:r>
      <w:r w:rsidRPr="002A2EA6">
        <w:rPr>
          <w:lang w:val="fr-FR"/>
        </w:rPr>
        <w:t xml:space="preserve">une durée de trois jours, se tiendrait </w:t>
      </w:r>
      <w:r w:rsidR="005E5877">
        <w:rPr>
          <w:lang w:val="fr-FR"/>
        </w:rPr>
        <w:t xml:space="preserve">en présentiel </w:t>
      </w:r>
      <w:r w:rsidRPr="002A2EA6">
        <w:rPr>
          <w:lang w:val="fr-FR"/>
        </w:rPr>
        <w:t>à Genève au premier</w:t>
      </w:r>
      <w:r w:rsidR="00332613" w:rsidRPr="002A2EA6">
        <w:rPr>
          <w:lang w:val="fr-FR"/>
        </w:rPr>
        <w:t> </w:t>
      </w:r>
      <w:r w:rsidRPr="002A2EA6">
        <w:rPr>
          <w:lang w:val="fr-FR"/>
        </w:rPr>
        <w:t>trimestre de l</w:t>
      </w:r>
      <w:r w:rsidR="00CA4DAC">
        <w:rPr>
          <w:lang w:val="fr-FR"/>
        </w:rPr>
        <w:t>’</w:t>
      </w:r>
      <w:r w:rsidRPr="002A2EA6">
        <w:rPr>
          <w:lang w:val="fr-FR"/>
        </w:rPr>
        <w:t>année</w:t>
      </w:r>
      <w:r w:rsidR="00C32F54" w:rsidRPr="002A2EA6">
        <w:rPr>
          <w:lang w:val="fr-FR"/>
        </w:rPr>
        <w:t> </w:t>
      </w:r>
      <w:r w:rsidRPr="002A2EA6">
        <w:rPr>
          <w:lang w:val="fr-FR"/>
        </w:rPr>
        <w:t>2021.</w:t>
      </w:r>
    </w:p>
    <w:p w14:paraId="5C0E1A43" w14:textId="77170998" w:rsidR="6E08BF05" w:rsidRPr="002A2EA6" w:rsidRDefault="6E08BF05"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plusieurs représentants ont déclaré que le projet de mandat et le projet de modèle pour les communications écrites transmises par les Parties concernant leur respect des dispositions constituaient une base solide pour les futurs travaux du Comité de mise en œuvre et du respect des obligations. S</w:t>
      </w:r>
      <w:r w:rsidR="00CA4DAC">
        <w:rPr>
          <w:lang w:val="fr-FR"/>
        </w:rPr>
        <w:t>’</w:t>
      </w:r>
      <w:r w:rsidRPr="002A2EA6">
        <w:rPr>
          <w:lang w:val="fr-FR"/>
        </w:rPr>
        <w:t>agissant du mandat du Comité, deux représentants, dont une représentante qui s</w:t>
      </w:r>
      <w:r w:rsidR="00CA4DAC">
        <w:rPr>
          <w:lang w:val="fr-FR"/>
        </w:rPr>
        <w:t>’</w:t>
      </w:r>
      <w:r w:rsidRPr="002A2EA6">
        <w:rPr>
          <w:lang w:val="fr-FR"/>
        </w:rPr>
        <w:t>exprimait au nom d</w:t>
      </w:r>
      <w:r w:rsidR="00CA4DAC">
        <w:rPr>
          <w:lang w:val="fr-FR"/>
        </w:rPr>
        <w:t>’</w:t>
      </w:r>
      <w:r w:rsidRPr="002A2EA6">
        <w:rPr>
          <w:lang w:val="fr-FR"/>
        </w:rPr>
        <w:t>un groupe de pays, ont proposé d</w:t>
      </w:r>
      <w:r w:rsidR="00CA4DAC">
        <w:rPr>
          <w:lang w:val="fr-FR"/>
        </w:rPr>
        <w:t>’</w:t>
      </w:r>
      <w:r w:rsidRPr="002A2EA6">
        <w:rPr>
          <w:lang w:val="fr-FR"/>
        </w:rPr>
        <w:t>apporter certaines modifications au texte. Un autre représentant a objecté aux modifications proposées</w:t>
      </w:r>
      <w:r w:rsidR="001C0231" w:rsidRPr="002A2EA6">
        <w:rPr>
          <w:lang w:val="fr-FR"/>
        </w:rPr>
        <w:t xml:space="preserve"> parce que celles</w:t>
      </w:r>
      <w:r w:rsidR="00C166F9">
        <w:rPr>
          <w:lang w:val="fr-FR"/>
        </w:rPr>
        <w:noBreakHyphen/>
      </w:r>
      <w:r w:rsidR="001C0231" w:rsidRPr="002A2EA6">
        <w:rPr>
          <w:lang w:val="fr-FR"/>
        </w:rPr>
        <w:t xml:space="preserve">ci avaient des </w:t>
      </w:r>
      <w:r w:rsidRPr="002A2EA6">
        <w:rPr>
          <w:lang w:val="fr-FR"/>
        </w:rPr>
        <w:t>connotations juridiques et qu</w:t>
      </w:r>
      <w:r w:rsidR="00CA4DAC">
        <w:rPr>
          <w:lang w:val="fr-FR"/>
        </w:rPr>
        <w:t>’</w:t>
      </w:r>
      <w:r w:rsidRPr="002A2EA6">
        <w:rPr>
          <w:lang w:val="fr-FR"/>
        </w:rPr>
        <w:t>elles n</w:t>
      </w:r>
      <w:r w:rsidR="00CA4DAC">
        <w:rPr>
          <w:lang w:val="fr-FR"/>
        </w:rPr>
        <w:t>’</w:t>
      </w:r>
      <w:r w:rsidRPr="002A2EA6">
        <w:rPr>
          <w:lang w:val="fr-FR"/>
        </w:rPr>
        <w:t>avaient pas été présentées en temps voulu à la</w:t>
      </w:r>
      <w:r w:rsidR="00332613" w:rsidRPr="002A2EA6">
        <w:rPr>
          <w:lang w:val="fr-FR"/>
        </w:rPr>
        <w:t> </w:t>
      </w:r>
      <w:r w:rsidRPr="002A2EA6">
        <w:rPr>
          <w:lang w:val="fr-FR"/>
        </w:rPr>
        <w:t>Conférence des Parties. Une autre représentante, intervenant au nom d</w:t>
      </w:r>
      <w:r w:rsidR="00CA4DAC">
        <w:rPr>
          <w:lang w:val="fr-FR"/>
        </w:rPr>
        <w:t>’</w:t>
      </w:r>
      <w:r w:rsidRPr="002A2EA6">
        <w:rPr>
          <w:lang w:val="fr-FR"/>
        </w:rPr>
        <w:t>un groupe de pays, a dit que</w:t>
      </w:r>
      <w:r w:rsidR="00332613" w:rsidRPr="002A2EA6">
        <w:rPr>
          <w:lang w:val="fr-FR"/>
        </w:rPr>
        <w:t> </w:t>
      </w:r>
      <w:r w:rsidRPr="002A2EA6">
        <w:rPr>
          <w:lang w:val="fr-FR"/>
        </w:rPr>
        <w:t>davantage de temps était nécessaire pour examiner les modifications suggérées.</w:t>
      </w:r>
    </w:p>
    <w:p w14:paraId="0369C66A" w14:textId="00349841" w:rsidR="6E08BF05" w:rsidRPr="002A2EA6" w:rsidRDefault="6E08BF05"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Selon </w:t>
      </w:r>
      <w:r w:rsidR="350FF222" w:rsidRPr="002A2EA6">
        <w:rPr>
          <w:lang w:val="fr-FR"/>
        </w:rPr>
        <w:t xml:space="preserve">plusieurs </w:t>
      </w:r>
      <w:r w:rsidRPr="002A2EA6">
        <w:rPr>
          <w:lang w:val="fr-FR"/>
        </w:rPr>
        <w:t>représentants,</w:t>
      </w:r>
      <w:r w:rsidR="00BB3D8A" w:rsidRPr="002A2EA6">
        <w:rPr>
          <w:lang w:val="fr-FR"/>
        </w:rPr>
        <w:t xml:space="preserve"> </w:t>
      </w:r>
      <w:r w:rsidRPr="002A2EA6">
        <w:rPr>
          <w:lang w:val="fr-FR"/>
        </w:rPr>
        <w:t>l</w:t>
      </w:r>
      <w:r w:rsidR="00CA4DAC">
        <w:rPr>
          <w:lang w:val="fr-FR"/>
        </w:rPr>
        <w:t>’</w:t>
      </w:r>
      <w:r w:rsidRPr="002A2EA6">
        <w:rPr>
          <w:lang w:val="fr-FR"/>
        </w:rPr>
        <w:t>adoption du mandat du Comité à la réunion en cours était une priorité absolue. Certains étaient favorables à un examen plus poussé du texte, selon des</w:t>
      </w:r>
      <w:r w:rsidR="00713E45" w:rsidRPr="002A2EA6">
        <w:rPr>
          <w:lang w:val="fr-FR"/>
        </w:rPr>
        <w:t> </w:t>
      </w:r>
      <w:r w:rsidR="00C146BB" w:rsidRPr="002A2EA6">
        <w:rPr>
          <w:lang w:val="fr-FR"/>
        </w:rPr>
        <w:t xml:space="preserve">procédures </w:t>
      </w:r>
      <w:r w:rsidRPr="002A2EA6">
        <w:rPr>
          <w:lang w:val="fr-FR"/>
        </w:rPr>
        <w:t>revêtant un caractère plus ou moins officiel, tandis que beaucoup d</w:t>
      </w:r>
      <w:r w:rsidR="00CA4DAC">
        <w:rPr>
          <w:lang w:val="fr-FR"/>
        </w:rPr>
        <w:t>’</w:t>
      </w:r>
      <w:r w:rsidRPr="002A2EA6">
        <w:rPr>
          <w:lang w:val="fr-FR"/>
        </w:rPr>
        <w:t>autres ont préconisé qu</w:t>
      </w:r>
      <w:r w:rsidR="00CA4DAC">
        <w:rPr>
          <w:lang w:val="fr-FR"/>
        </w:rPr>
        <w:t>’</w:t>
      </w:r>
      <w:r w:rsidRPr="002A2EA6">
        <w:rPr>
          <w:lang w:val="fr-FR"/>
        </w:rPr>
        <w:t>il soit adopté sans aucune autre modification. Aucun accord n</w:t>
      </w:r>
      <w:r w:rsidR="00CA4DAC">
        <w:rPr>
          <w:lang w:val="fr-FR"/>
        </w:rPr>
        <w:t>’</w:t>
      </w:r>
      <w:r w:rsidRPr="002A2EA6">
        <w:rPr>
          <w:lang w:val="fr-FR"/>
        </w:rPr>
        <w:t xml:space="preserve">étant intervenu sur </w:t>
      </w:r>
      <w:r w:rsidR="00C57858" w:rsidRPr="002A2EA6">
        <w:rPr>
          <w:lang w:val="fr-FR"/>
        </w:rPr>
        <w:t>les</w:t>
      </w:r>
      <w:r w:rsidR="00713E45" w:rsidRPr="002A2EA6">
        <w:rPr>
          <w:lang w:val="fr-FR"/>
        </w:rPr>
        <w:t> </w:t>
      </w:r>
      <w:r w:rsidR="00C57858" w:rsidRPr="002A2EA6">
        <w:rPr>
          <w:lang w:val="fr-FR"/>
        </w:rPr>
        <w:t>modalités d</w:t>
      </w:r>
      <w:r w:rsidR="00CA4DAC">
        <w:rPr>
          <w:lang w:val="fr-FR"/>
        </w:rPr>
        <w:t>’</w:t>
      </w:r>
      <w:r w:rsidR="00C57858" w:rsidRPr="002A2EA6">
        <w:rPr>
          <w:lang w:val="fr-FR"/>
        </w:rPr>
        <w:t xml:space="preserve">examen des </w:t>
      </w:r>
      <w:r w:rsidRPr="002A2EA6">
        <w:rPr>
          <w:lang w:val="fr-FR"/>
        </w:rPr>
        <w:t>modifications qu</w:t>
      </w:r>
      <w:r w:rsidR="00CA4DAC">
        <w:rPr>
          <w:lang w:val="fr-FR"/>
        </w:rPr>
        <w:t>’</w:t>
      </w:r>
      <w:r w:rsidRPr="002A2EA6">
        <w:rPr>
          <w:lang w:val="fr-FR"/>
        </w:rPr>
        <w:t>il était proposé d</w:t>
      </w:r>
      <w:r w:rsidR="00CA4DAC">
        <w:rPr>
          <w:lang w:val="fr-FR"/>
        </w:rPr>
        <w:t>’</w:t>
      </w:r>
      <w:r w:rsidRPr="002A2EA6">
        <w:rPr>
          <w:lang w:val="fr-FR"/>
        </w:rPr>
        <w:t>apporter au mandat du Comité, le</w:t>
      </w:r>
      <w:r w:rsidR="00713E45" w:rsidRPr="002A2EA6">
        <w:rPr>
          <w:lang w:val="fr-FR"/>
        </w:rPr>
        <w:t> </w:t>
      </w:r>
      <w:r w:rsidRPr="002A2EA6">
        <w:rPr>
          <w:lang w:val="fr-FR"/>
        </w:rPr>
        <w:t>Président a invité les Parties intéressées à se consulter de manière informelle.</w:t>
      </w:r>
    </w:p>
    <w:p w14:paraId="40810DD2" w14:textId="7330D771" w:rsidR="6E08BF05" w:rsidRPr="002A2EA6" w:rsidRDefault="59CF35D1"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issue de</w:t>
      </w:r>
      <w:r w:rsidR="368267C6" w:rsidRPr="002A2EA6">
        <w:rPr>
          <w:lang w:val="fr-FR"/>
        </w:rPr>
        <w:t>s</w:t>
      </w:r>
      <w:r w:rsidRPr="002A2EA6">
        <w:rPr>
          <w:lang w:val="fr-FR"/>
        </w:rPr>
        <w:t xml:space="preserve"> consultations informelles</w:t>
      </w:r>
      <w:r w:rsidR="6E08BF05" w:rsidRPr="002A2EA6">
        <w:rPr>
          <w:lang w:val="fr-FR"/>
        </w:rPr>
        <w:t xml:space="preserve">, la Conférence des Parties </w:t>
      </w:r>
      <w:r w:rsidR="00E82C64" w:rsidRPr="002A2EA6">
        <w:rPr>
          <w:lang w:val="fr-FR"/>
        </w:rPr>
        <w:t xml:space="preserve">a décidé </w:t>
      </w:r>
      <w:r w:rsidR="6E08BF05" w:rsidRPr="002A2EA6">
        <w:rPr>
          <w:lang w:val="fr-FR"/>
        </w:rPr>
        <w:t>de renvoyer la</w:t>
      </w:r>
      <w:r w:rsidR="00713E45" w:rsidRPr="002A2EA6">
        <w:rPr>
          <w:lang w:val="fr-FR"/>
        </w:rPr>
        <w:t> </w:t>
      </w:r>
      <w:r w:rsidR="6E08BF05" w:rsidRPr="002A2EA6">
        <w:rPr>
          <w:lang w:val="fr-FR"/>
        </w:rPr>
        <w:t xml:space="preserve">question du mandat au </w:t>
      </w:r>
      <w:r w:rsidR="00E82C64" w:rsidRPr="002A2EA6">
        <w:rPr>
          <w:lang w:val="fr-FR"/>
        </w:rPr>
        <w:t>G</w:t>
      </w:r>
      <w:r w:rsidR="6E08BF05" w:rsidRPr="002A2EA6">
        <w:rPr>
          <w:lang w:val="fr-FR"/>
        </w:rPr>
        <w:t xml:space="preserve">roupe des </w:t>
      </w:r>
      <w:r w:rsidR="00E82C64" w:rsidRPr="002A2EA6">
        <w:rPr>
          <w:lang w:val="fr-FR"/>
        </w:rPr>
        <w:t>A</w:t>
      </w:r>
      <w:r w:rsidR="6E08BF05" w:rsidRPr="002A2EA6">
        <w:rPr>
          <w:lang w:val="fr-FR"/>
        </w:rPr>
        <w:t>mis de la présidence</w:t>
      </w:r>
      <w:r w:rsidR="00E82C64" w:rsidRPr="002A2EA6">
        <w:rPr>
          <w:lang w:val="fr-FR"/>
        </w:rPr>
        <w:t xml:space="preserve"> de sorte que celui-ci l</w:t>
      </w:r>
      <w:r w:rsidR="00CA4DAC">
        <w:rPr>
          <w:lang w:val="fr-FR"/>
        </w:rPr>
        <w:t>’</w:t>
      </w:r>
      <w:r w:rsidR="00E82C64" w:rsidRPr="002A2EA6">
        <w:rPr>
          <w:lang w:val="fr-FR"/>
        </w:rPr>
        <w:t>examine plus avant</w:t>
      </w:r>
      <w:r w:rsidR="6E08BF05" w:rsidRPr="002A2EA6">
        <w:rPr>
          <w:lang w:val="fr-FR"/>
        </w:rPr>
        <w:t>.</w:t>
      </w:r>
    </w:p>
    <w:p w14:paraId="2F1A80DA" w14:textId="2BDAB40A" w:rsidR="08D39E00" w:rsidRPr="002A2EA6" w:rsidRDefault="08D39E00"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ensuite élu les membres suivants au Comité de mise en œuvre et du</w:t>
      </w:r>
      <w:r w:rsidR="00713E45" w:rsidRPr="002A2EA6">
        <w:rPr>
          <w:lang w:val="fr-FR"/>
        </w:rPr>
        <w:t> </w:t>
      </w:r>
      <w:r w:rsidRPr="002A2EA6">
        <w:rPr>
          <w:lang w:val="fr-FR"/>
        </w:rPr>
        <w:t>respect des obligations</w:t>
      </w:r>
      <w:r w:rsidR="00C32F54" w:rsidRPr="002A2EA6">
        <w:rPr>
          <w:lang w:val="fr-FR"/>
        </w:rPr>
        <w:t> </w:t>
      </w:r>
      <w:r w:rsidR="7A7F35F0" w:rsidRPr="002A2EA6">
        <w:rPr>
          <w:lang w:val="fr-FR"/>
        </w:rPr>
        <w:t>:</w:t>
      </w:r>
    </w:p>
    <w:p w14:paraId="279935F2" w14:textId="4DACC692" w:rsidR="08D39E00" w:rsidRPr="002A2EA6" w:rsidRDefault="00081EA1" w:rsidP="00081EA1">
      <w:pPr>
        <w:pStyle w:val="NormalNonumber"/>
      </w:pPr>
      <w:r w:rsidRPr="002A2EA6">
        <w:tab/>
      </w:r>
      <w:r w:rsidR="08D39E00" w:rsidRPr="002A2EA6">
        <w:t>États d</w:t>
      </w:r>
      <w:r w:rsidR="00CA4DAC">
        <w:t>’</w:t>
      </w:r>
      <w:r w:rsidR="08D39E00" w:rsidRPr="002A2EA6">
        <w:t>Afrique</w:t>
      </w:r>
      <w:r w:rsidR="009E425C" w:rsidRPr="002A2EA6">
        <w:t> </w:t>
      </w:r>
      <w:r w:rsidR="7A7F35F0" w:rsidRPr="002A2EA6">
        <w:t>:</w:t>
      </w:r>
    </w:p>
    <w:p w14:paraId="19FC1F5C" w14:textId="547DDE58" w:rsidR="08D39E00" w:rsidRPr="002A2EA6" w:rsidRDefault="00081EA1" w:rsidP="00081EA1">
      <w:pPr>
        <w:pStyle w:val="NormalNonumber"/>
      </w:pPr>
      <w:r w:rsidRPr="002A2EA6">
        <w:tab/>
      </w:r>
      <w:r w:rsidRPr="002A2EA6">
        <w:tab/>
      </w:r>
      <w:r w:rsidR="08D39E00" w:rsidRPr="002A2EA6">
        <w:t>Hanitriniaina Liliane Randrianomenjanahary (Madagascar)</w:t>
      </w:r>
    </w:p>
    <w:p w14:paraId="3E1C24FE" w14:textId="38907446" w:rsidR="08D39E00" w:rsidRPr="002A2EA6" w:rsidRDefault="00081EA1" w:rsidP="00081EA1">
      <w:pPr>
        <w:pStyle w:val="NormalNonumber"/>
      </w:pPr>
      <w:r w:rsidRPr="002A2EA6">
        <w:tab/>
      </w:r>
      <w:r w:rsidRPr="002A2EA6">
        <w:tab/>
      </w:r>
      <w:r w:rsidR="08D39E00" w:rsidRPr="002A2EA6">
        <w:t>Mohamed Abdulai Kamara (Sierra Leone)</w:t>
      </w:r>
    </w:p>
    <w:p w14:paraId="37AAB9E5" w14:textId="6609B138" w:rsidR="08D39E00" w:rsidRPr="002A2EA6" w:rsidRDefault="00081EA1" w:rsidP="00081EA1">
      <w:pPr>
        <w:pStyle w:val="NormalNonumber"/>
      </w:pPr>
      <w:r w:rsidRPr="002A2EA6">
        <w:tab/>
      </w:r>
      <w:r w:rsidRPr="002A2EA6">
        <w:tab/>
      </w:r>
      <w:r w:rsidR="08D39E00" w:rsidRPr="002A2EA6">
        <w:t>Christopher Kanema (Zambie)</w:t>
      </w:r>
    </w:p>
    <w:p w14:paraId="26F17D91" w14:textId="62043F81" w:rsidR="00CA788B" w:rsidRPr="002A2EA6" w:rsidRDefault="00081EA1" w:rsidP="00081EA1">
      <w:pPr>
        <w:pStyle w:val="NormalNonumber"/>
      </w:pPr>
      <w:r w:rsidRPr="002A2EA6">
        <w:tab/>
      </w:r>
      <w:r w:rsidR="00CA788B" w:rsidRPr="002A2EA6">
        <w:t>États d</w:t>
      </w:r>
      <w:r w:rsidR="00CA4DAC">
        <w:t>’</w:t>
      </w:r>
      <w:r w:rsidR="00CA788B" w:rsidRPr="002A2EA6">
        <w:t>Amérique latine et des Caraïbes :</w:t>
      </w:r>
    </w:p>
    <w:p w14:paraId="196ADECC" w14:textId="1160E248" w:rsidR="00CA788B" w:rsidRPr="002A2EA6" w:rsidRDefault="00081EA1" w:rsidP="00081EA1">
      <w:pPr>
        <w:pStyle w:val="NormalNonumber"/>
        <w:rPr>
          <w:lang w:val="es-ES"/>
        </w:rPr>
      </w:pPr>
      <w:r w:rsidRPr="002A2EA6">
        <w:tab/>
      </w:r>
      <w:r w:rsidRPr="002A2EA6">
        <w:tab/>
      </w:r>
      <w:r w:rsidR="00CA788B" w:rsidRPr="002A2EA6">
        <w:rPr>
          <w:lang w:val="es-ES"/>
        </w:rPr>
        <w:t xml:space="preserve">Paulina </w:t>
      </w:r>
      <w:r w:rsidR="0024614B" w:rsidRPr="002A2EA6">
        <w:rPr>
          <w:lang w:val="es-ES"/>
        </w:rPr>
        <w:t>Riquelme</w:t>
      </w:r>
      <w:r w:rsidR="00CA788B" w:rsidRPr="002A2EA6">
        <w:rPr>
          <w:lang w:val="es-ES"/>
        </w:rPr>
        <w:t xml:space="preserve"> (Chili)</w:t>
      </w:r>
    </w:p>
    <w:p w14:paraId="33F1F7A6" w14:textId="3432B96F" w:rsidR="00CA788B" w:rsidRPr="002A2EA6" w:rsidRDefault="00081EA1" w:rsidP="00081EA1">
      <w:pPr>
        <w:pStyle w:val="NormalNonumber"/>
        <w:rPr>
          <w:lang w:val="es-ES"/>
        </w:rPr>
      </w:pPr>
      <w:r w:rsidRPr="002A2EA6">
        <w:rPr>
          <w:lang w:val="es-ES"/>
        </w:rPr>
        <w:tab/>
      </w:r>
      <w:r w:rsidRPr="002A2EA6">
        <w:rPr>
          <w:lang w:val="es-ES"/>
        </w:rPr>
        <w:tab/>
      </w:r>
      <w:r w:rsidR="00CA788B" w:rsidRPr="002A2EA6">
        <w:rPr>
          <w:lang w:val="es-ES"/>
        </w:rPr>
        <w:t>José Antonio Piedra Montoya (Équateur)</w:t>
      </w:r>
    </w:p>
    <w:p w14:paraId="1F51FA06" w14:textId="49C4B380" w:rsidR="00CA788B" w:rsidRPr="002A2EA6" w:rsidRDefault="00081EA1" w:rsidP="00081EA1">
      <w:pPr>
        <w:pStyle w:val="NormalNonumber"/>
        <w:rPr>
          <w:lang w:val="es-ES"/>
        </w:rPr>
      </w:pPr>
      <w:r w:rsidRPr="002A2EA6">
        <w:rPr>
          <w:lang w:val="es-ES"/>
        </w:rPr>
        <w:tab/>
      </w:r>
      <w:r w:rsidRPr="002A2EA6">
        <w:rPr>
          <w:lang w:val="es-ES"/>
        </w:rPr>
        <w:tab/>
      </w:r>
      <w:r w:rsidR="00CA788B" w:rsidRPr="002A2EA6">
        <w:rPr>
          <w:lang w:val="es-ES"/>
        </w:rPr>
        <w:t>Arturo Gavilán García (Mexique)</w:t>
      </w:r>
    </w:p>
    <w:p w14:paraId="3E23717A" w14:textId="598A09C3" w:rsidR="08D39E00" w:rsidRPr="002A2EA6" w:rsidRDefault="00081EA1" w:rsidP="001B51BA">
      <w:pPr>
        <w:pStyle w:val="NormalNonumber"/>
        <w:keepNext/>
      </w:pPr>
      <w:r w:rsidRPr="002A2EA6">
        <w:rPr>
          <w:lang w:val="es-ES"/>
        </w:rPr>
        <w:tab/>
      </w:r>
      <w:r w:rsidR="08D39E00" w:rsidRPr="002A2EA6">
        <w:t>États d</w:t>
      </w:r>
      <w:r w:rsidR="00CA4DAC">
        <w:t>’</w:t>
      </w:r>
      <w:r w:rsidR="08D39E00" w:rsidRPr="002A2EA6">
        <w:t>Asie et du Pacifique</w:t>
      </w:r>
      <w:r w:rsidR="00C32F54" w:rsidRPr="002A2EA6">
        <w:t> </w:t>
      </w:r>
      <w:r w:rsidR="7A7F35F0" w:rsidRPr="002A2EA6">
        <w:t>:</w:t>
      </w:r>
    </w:p>
    <w:p w14:paraId="02989E1E" w14:textId="10EE96AF" w:rsidR="08D39E00" w:rsidRPr="002A2EA6" w:rsidRDefault="00081EA1" w:rsidP="00081EA1">
      <w:pPr>
        <w:pStyle w:val="NormalNonumber"/>
      </w:pPr>
      <w:r w:rsidRPr="002A2EA6">
        <w:tab/>
      </w:r>
      <w:r w:rsidRPr="002A2EA6">
        <w:tab/>
      </w:r>
      <w:r w:rsidR="08D39E00" w:rsidRPr="002A2EA6">
        <w:t>Haijun Chen (Chine)</w:t>
      </w:r>
    </w:p>
    <w:p w14:paraId="6617E1AB" w14:textId="1BA8E9EB" w:rsidR="08D39E00" w:rsidRPr="002A2EA6" w:rsidRDefault="00081EA1" w:rsidP="00081EA1">
      <w:pPr>
        <w:pStyle w:val="NormalNonumber"/>
      </w:pPr>
      <w:r w:rsidRPr="002A2EA6">
        <w:lastRenderedPageBreak/>
        <w:tab/>
      </w:r>
      <w:r w:rsidRPr="002A2EA6">
        <w:tab/>
      </w:r>
      <w:r w:rsidR="08D39E00" w:rsidRPr="002A2EA6">
        <w:t>Itsuki Kuroda (Japon)</w:t>
      </w:r>
    </w:p>
    <w:p w14:paraId="37D95BBD" w14:textId="4CD5984E" w:rsidR="08D39E00" w:rsidRPr="00FA6C76" w:rsidRDefault="00081EA1" w:rsidP="00081EA1">
      <w:pPr>
        <w:pStyle w:val="NormalNonumber"/>
        <w:rPr>
          <w:lang w:val="fr-FR"/>
        </w:rPr>
      </w:pPr>
      <w:r w:rsidRPr="002A2EA6">
        <w:tab/>
      </w:r>
      <w:r w:rsidRPr="002A2EA6">
        <w:tab/>
      </w:r>
      <w:r w:rsidR="08D39E00" w:rsidRPr="00FA6C76">
        <w:rPr>
          <w:lang w:val="fr-FR"/>
        </w:rPr>
        <w:t>Ahmad Al Qatarneh (Jordanie)</w:t>
      </w:r>
    </w:p>
    <w:p w14:paraId="3AEE2209" w14:textId="282F5CB5" w:rsidR="08D39E00" w:rsidRPr="002A2EA6" w:rsidRDefault="00081EA1" w:rsidP="00081EA1">
      <w:pPr>
        <w:pStyle w:val="NormalNonumber"/>
      </w:pPr>
      <w:r w:rsidRPr="00FA6C76">
        <w:rPr>
          <w:lang w:val="fr-FR"/>
        </w:rPr>
        <w:tab/>
      </w:r>
      <w:r w:rsidR="08D39E00" w:rsidRPr="002A2EA6">
        <w:t>États d</w:t>
      </w:r>
      <w:r w:rsidR="00CA4DAC">
        <w:t>’</w:t>
      </w:r>
      <w:r w:rsidR="08D39E00" w:rsidRPr="002A2EA6">
        <w:t>Europe centrale et orientale</w:t>
      </w:r>
      <w:r w:rsidR="00C32F54" w:rsidRPr="002A2EA6">
        <w:t> </w:t>
      </w:r>
      <w:r w:rsidR="7A7F35F0" w:rsidRPr="002A2EA6">
        <w:t>:</w:t>
      </w:r>
    </w:p>
    <w:p w14:paraId="3A0232B5" w14:textId="31CFEAF2" w:rsidR="08D39E00" w:rsidRPr="002A2EA6" w:rsidRDefault="00081EA1" w:rsidP="00081EA1">
      <w:pPr>
        <w:pStyle w:val="NormalNonumber"/>
      </w:pPr>
      <w:r w:rsidRPr="002A2EA6">
        <w:tab/>
      </w:r>
      <w:r w:rsidRPr="002A2EA6">
        <w:tab/>
      </w:r>
      <w:r w:rsidR="08D39E00" w:rsidRPr="002A2EA6">
        <w:t xml:space="preserve">Dubravka Marija </w:t>
      </w:r>
      <w:r w:rsidR="00791327" w:rsidRPr="002A2EA6">
        <w:t>Kreković</w:t>
      </w:r>
      <w:r w:rsidR="08D39E00" w:rsidRPr="002A2EA6">
        <w:t xml:space="preserve"> (Croatie)</w:t>
      </w:r>
    </w:p>
    <w:p w14:paraId="1889E10D" w14:textId="7519E5C5" w:rsidR="08D39E00" w:rsidRPr="002A2EA6" w:rsidRDefault="00081EA1" w:rsidP="00081EA1">
      <w:pPr>
        <w:pStyle w:val="NormalNonumber"/>
      </w:pPr>
      <w:r w:rsidRPr="002A2EA6">
        <w:tab/>
      </w:r>
      <w:r w:rsidRPr="002A2EA6">
        <w:tab/>
      </w:r>
      <w:r w:rsidR="08D39E00" w:rsidRPr="002A2EA6">
        <w:t>Svetlana Bolocan (République de Moldova)</w:t>
      </w:r>
    </w:p>
    <w:p w14:paraId="004BF93C" w14:textId="32170874" w:rsidR="08D39E00" w:rsidRPr="002A2EA6" w:rsidRDefault="00081EA1" w:rsidP="00081EA1">
      <w:pPr>
        <w:pStyle w:val="NormalNonumber"/>
      </w:pPr>
      <w:r w:rsidRPr="002A2EA6">
        <w:tab/>
      </w:r>
      <w:r w:rsidRPr="002A2EA6">
        <w:tab/>
      </w:r>
      <w:r w:rsidR="08D39E00" w:rsidRPr="002A2EA6">
        <w:t>Claudia Sorina Dumitru (Roumanie)</w:t>
      </w:r>
    </w:p>
    <w:p w14:paraId="2EFBC879" w14:textId="0E671928" w:rsidR="08D39E00" w:rsidRPr="002A2EA6" w:rsidRDefault="00081EA1" w:rsidP="00081EA1">
      <w:pPr>
        <w:pStyle w:val="NormalNonumber"/>
      </w:pPr>
      <w:r w:rsidRPr="002A2EA6">
        <w:tab/>
      </w:r>
      <w:r w:rsidR="08D39E00" w:rsidRPr="002A2EA6">
        <w:t>États d</w:t>
      </w:r>
      <w:r w:rsidR="00CA4DAC">
        <w:t>’</w:t>
      </w:r>
      <w:r w:rsidR="08D39E00" w:rsidRPr="002A2EA6">
        <w:t>Europe occidentale et autres États</w:t>
      </w:r>
      <w:r w:rsidR="00C32F54" w:rsidRPr="002A2EA6">
        <w:t> </w:t>
      </w:r>
      <w:r w:rsidR="7A7F35F0" w:rsidRPr="002A2EA6">
        <w:t>:</w:t>
      </w:r>
    </w:p>
    <w:p w14:paraId="031206F2" w14:textId="48BCFFA4" w:rsidR="002742E9" w:rsidRPr="002A2EA6" w:rsidRDefault="002742E9" w:rsidP="002742E9">
      <w:pPr>
        <w:pStyle w:val="NormalNonumber"/>
      </w:pPr>
      <w:r w:rsidRPr="002A2EA6">
        <w:tab/>
      </w:r>
      <w:r w:rsidRPr="002A2EA6">
        <w:tab/>
        <w:t>Gene Smilansky (États-Unis d</w:t>
      </w:r>
      <w:r w:rsidR="00CA4DAC">
        <w:t>’</w:t>
      </w:r>
      <w:r w:rsidRPr="002A2EA6">
        <w:t>Amérique)</w:t>
      </w:r>
    </w:p>
    <w:p w14:paraId="57A6FEF8" w14:textId="2CB90003" w:rsidR="08D39E00" w:rsidRPr="002A2EA6" w:rsidRDefault="00081EA1" w:rsidP="00081EA1">
      <w:pPr>
        <w:pStyle w:val="NormalNonumber"/>
      </w:pPr>
      <w:r w:rsidRPr="002A2EA6">
        <w:tab/>
      </w:r>
      <w:r w:rsidRPr="002A2EA6">
        <w:tab/>
      </w:r>
      <w:r w:rsidR="08D39E00" w:rsidRPr="002A2EA6">
        <w:t>Karoliina Anttonen (Finlande)</w:t>
      </w:r>
    </w:p>
    <w:p w14:paraId="2A337379" w14:textId="1AD5F4E7" w:rsidR="08D39E00" w:rsidRPr="002A2EA6" w:rsidRDefault="00081EA1" w:rsidP="00081EA1">
      <w:pPr>
        <w:pStyle w:val="NormalNonumber"/>
      </w:pPr>
      <w:r w:rsidRPr="002A2EA6">
        <w:tab/>
      </w:r>
      <w:r w:rsidRPr="002A2EA6">
        <w:tab/>
      </w:r>
      <w:r w:rsidR="08D39E00" w:rsidRPr="002A2EA6">
        <w:t>Janine van Aalst (Pays-Bas)</w:t>
      </w:r>
    </w:p>
    <w:p w14:paraId="7C5B5081" w14:textId="671459AF" w:rsidR="47A496B9" w:rsidRPr="002A2EA6" w:rsidRDefault="47A496B9"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La Conférence des Parties a également approuvé le </w:t>
      </w:r>
      <w:r w:rsidR="001A04E4" w:rsidRPr="002A2EA6">
        <w:rPr>
          <w:rFonts w:eastAsia="SimSun"/>
          <w:lang w:val="fr-FR"/>
        </w:rPr>
        <w:t>modèle pour les communications écrites transmises par les Parties concernant leur respect des dispositions (alinéa a) du paragraphe 4 de l</w:t>
      </w:r>
      <w:r w:rsidR="00CA4DAC">
        <w:rPr>
          <w:rFonts w:eastAsia="SimSun"/>
          <w:lang w:val="fr-FR"/>
        </w:rPr>
        <w:t>’</w:t>
      </w:r>
      <w:r w:rsidR="001A04E4" w:rsidRPr="002A2EA6">
        <w:rPr>
          <w:rFonts w:eastAsia="SimSun"/>
          <w:lang w:val="fr-FR"/>
        </w:rPr>
        <w:t>article 15)</w:t>
      </w:r>
      <w:r w:rsidRPr="002A2EA6">
        <w:rPr>
          <w:lang w:val="fr-FR"/>
        </w:rPr>
        <w:t xml:space="preserve">, </w:t>
      </w:r>
      <w:r w:rsidR="6D7BE2E1" w:rsidRPr="002A2EA6">
        <w:rPr>
          <w:lang w:val="fr-FR"/>
        </w:rPr>
        <w:t>qui figure dans</w:t>
      </w:r>
      <w:r w:rsidRPr="002A2EA6">
        <w:rPr>
          <w:lang w:val="fr-FR"/>
        </w:rPr>
        <w:t xml:space="preserve"> l</w:t>
      </w:r>
      <w:r w:rsidR="00CA4DAC">
        <w:rPr>
          <w:lang w:val="fr-FR"/>
        </w:rPr>
        <w:t>’</w:t>
      </w:r>
      <w:r w:rsidRPr="002A2EA6">
        <w:rPr>
          <w:lang w:val="fr-FR"/>
        </w:rPr>
        <w:t>appendice</w:t>
      </w:r>
      <w:r w:rsidR="00C32F54" w:rsidRPr="002A2EA6">
        <w:rPr>
          <w:lang w:val="fr-FR"/>
        </w:rPr>
        <w:t> </w:t>
      </w:r>
      <w:r w:rsidRPr="002A2EA6">
        <w:rPr>
          <w:lang w:val="fr-FR"/>
        </w:rPr>
        <w:t>III de l</w:t>
      </w:r>
      <w:r w:rsidR="00CA4DAC">
        <w:rPr>
          <w:lang w:val="fr-FR"/>
        </w:rPr>
        <w:t>’</w:t>
      </w:r>
      <w:r w:rsidRPr="002A2EA6">
        <w:rPr>
          <w:lang w:val="fr-FR"/>
        </w:rPr>
        <w:t>annexe du document</w:t>
      </w:r>
      <w:r w:rsidR="00C4027E" w:rsidRPr="002A2EA6">
        <w:rPr>
          <w:lang w:val="fr-FR"/>
        </w:rPr>
        <w:t> </w:t>
      </w:r>
      <w:r w:rsidRPr="002A2EA6">
        <w:rPr>
          <w:lang w:val="fr-FR"/>
        </w:rPr>
        <w:t>UNEP/MC/COP.3/13.</w:t>
      </w:r>
    </w:p>
    <w:p w14:paraId="51CE99C6" w14:textId="3433BA3A" w:rsidR="47A496B9" w:rsidRPr="002A2EA6" w:rsidRDefault="47A496B9" w:rsidP="00A056A2">
      <w:pPr>
        <w:pStyle w:val="Normalnumber"/>
        <w:numPr>
          <w:ilvl w:val="0"/>
          <w:numId w:val="42"/>
        </w:numPr>
        <w:tabs>
          <w:tab w:val="clear" w:pos="1814"/>
          <w:tab w:val="left" w:pos="1843"/>
          <w:tab w:val="left" w:pos="1985"/>
        </w:tabs>
        <w:ind w:left="1288" w:hanging="28"/>
        <w:rPr>
          <w:lang w:val="fr-FR"/>
        </w:rPr>
      </w:pPr>
      <w:r w:rsidRPr="002A2EA6">
        <w:rPr>
          <w:lang w:val="fr-FR"/>
        </w:rPr>
        <w:t>Par ailleurs, la Conférence des Parties a approuvé le mandat, tel qu</w:t>
      </w:r>
      <w:r w:rsidR="00CA4DAC">
        <w:rPr>
          <w:lang w:val="fr-FR"/>
        </w:rPr>
        <w:t>’</w:t>
      </w:r>
      <w:r w:rsidRPr="002A2EA6">
        <w:rPr>
          <w:lang w:val="fr-FR"/>
        </w:rPr>
        <w:t>amendé et adopté dans la</w:t>
      </w:r>
      <w:r w:rsidR="00C4027E" w:rsidRPr="002A2EA6">
        <w:rPr>
          <w:lang w:val="fr-FR"/>
        </w:rPr>
        <w:t> </w:t>
      </w:r>
      <w:r w:rsidRPr="002A2EA6">
        <w:rPr>
          <w:lang w:val="fr-FR"/>
        </w:rPr>
        <w:t>décision</w:t>
      </w:r>
      <w:r w:rsidR="00C32F54" w:rsidRPr="002A2EA6">
        <w:rPr>
          <w:lang w:val="fr-FR"/>
        </w:rPr>
        <w:t> </w:t>
      </w:r>
      <w:r w:rsidRPr="002A2EA6">
        <w:rPr>
          <w:lang w:val="fr-FR"/>
        </w:rPr>
        <w:t xml:space="preserve">MC-3/9 </w:t>
      </w:r>
      <w:r w:rsidR="00025785" w:rsidRPr="002A2EA6">
        <w:rPr>
          <w:lang w:val="fr-FR"/>
        </w:rPr>
        <w:t>(</w:t>
      </w:r>
      <w:r w:rsidRPr="002A2EA6">
        <w:rPr>
          <w:lang w:val="fr-FR"/>
        </w:rPr>
        <w:t>Comité de mise en œuvre et du respect des obligations</w:t>
      </w:r>
      <w:r w:rsidR="00C32F54" w:rsidRPr="002A2EA6">
        <w:rPr>
          <w:lang w:val="fr-FR"/>
        </w:rPr>
        <w:t> </w:t>
      </w:r>
      <w:r w:rsidR="7A7F35F0" w:rsidRPr="002A2EA6">
        <w:rPr>
          <w:lang w:val="fr-FR"/>
        </w:rPr>
        <w:t>:</w:t>
      </w:r>
      <w:r w:rsidRPr="002A2EA6">
        <w:rPr>
          <w:lang w:val="fr-FR"/>
        </w:rPr>
        <w:t xml:space="preserve"> mandat et modèle pour les communications écrites transmises par les Parties concernant leur respect des dispositions</w:t>
      </w:r>
      <w:r w:rsidR="00025785" w:rsidRPr="002A2EA6">
        <w:rPr>
          <w:lang w:val="fr-FR"/>
        </w:rPr>
        <w:t>)</w:t>
      </w:r>
      <w:r w:rsidRPr="002A2EA6">
        <w:rPr>
          <w:lang w:val="fr-FR"/>
        </w:rPr>
        <w:t xml:space="preserve">, telle que présentée par le </w:t>
      </w:r>
      <w:r w:rsidR="00025785" w:rsidRPr="002A2EA6">
        <w:rPr>
          <w:lang w:val="fr-FR"/>
        </w:rPr>
        <w:t>G</w:t>
      </w:r>
      <w:r w:rsidRPr="002A2EA6">
        <w:rPr>
          <w:lang w:val="fr-FR"/>
        </w:rPr>
        <w:t xml:space="preserve">roupe des </w:t>
      </w:r>
      <w:r w:rsidR="00025785" w:rsidRPr="002A2EA6">
        <w:rPr>
          <w:lang w:val="fr-FR"/>
        </w:rPr>
        <w:t>A</w:t>
      </w:r>
      <w:r w:rsidRPr="002A2EA6">
        <w:rPr>
          <w:lang w:val="fr-FR"/>
        </w:rPr>
        <w:t>mis de la présidence, qui figure dans l</w:t>
      </w:r>
      <w:r w:rsidR="00CA4DAC">
        <w:rPr>
          <w:lang w:val="fr-FR"/>
        </w:rPr>
        <w:t>’</w:t>
      </w:r>
      <w:r w:rsidRPr="002A2EA6">
        <w:rPr>
          <w:lang w:val="fr-FR"/>
        </w:rPr>
        <w:t>annexe du présent rapport.</w:t>
      </w:r>
    </w:p>
    <w:p w14:paraId="08B8091F" w14:textId="13B952FF" w:rsidR="00B65A8A" w:rsidRPr="002A2EA6" w:rsidRDefault="00CE52B4" w:rsidP="00CE52B4">
      <w:pPr>
        <w:pStyle w:val="CH2"/>
        <w:rPr>
          <w:lang w:val="fr-FR"/>
        </w:rPr>
      </w:pPr>
      <w:r w:rsidRPr="002A2EA6">
        <w:rPr>
          <w:lang w:val="fr-FR"/>
        </w:rPr>
        <w:tab/>
      </w:r>
      <w:bookmarkStart w:id="41" w:name="_Toc39063343"/>
      <w:r w:rsidRPr="002A2EA6">
        <w:rPr>
          <w:lang w:val="fr-FR"/>
        </w:rPr>
        <w:t>H.</w:t>
      </w:r>
      <w:r w:rsidRPr="002A2EA6">
        <w:rPr>
          <w:lang w:val="fr-FR"/>
        </w:rPr>
        <w:tab/>
      </w:r>
      <w:r w:rsidR="00B65A8A" w:rsidRPr="002A2EA6">
        <w:rPr>
          <w:lang w:val="fr-FR"/>
        </w:rPr>
        <w:t>Évaluation de l</w:t>
      </w:r>
      <w:r w:rsidR="00CA4DAC">
        <w:rPr>
          <w:lang w:val="fr-FR"/>
        </w:rPr>
        <w:t>’</w:t>
      </w:r>
      <w:r w:rsidR="00B65A8A" w:rsidRPr="002A2EA6">
        <w:rPr>
          <w:lang w:val="fr-FR"/>
        </w:rPr>
        <w:t>efficacité</w:t>
      </w:r>
      <w:bookmarkEnd w:id="41"/>
    </w:p>
    <w:p w14:paraId="39ACAB19" w14:textId="4C85C04C" w:rsidR="00293AA4"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point, la représentante du secrétariat a rappelé que l</w:t>
      </w:r>
      <w:r w:rsidR="00CA4DAC">
        <w:rPr>
          <w:lang w:val="fr-FR"/>
        </w:rPr>
        <w:t>’</w:t>
      </w:r>
      <w:r w:rsidRPr="002A2EA6">
        <w:rPr>
          <w:lang w:val="fr-FR"/>
        </w:rPr>
        <w:t>article 22 de la Convention prévoyait l</w:t>
      </w:r>
      <w:r w:rsidR="00CA4DAC">
        <w:rPr>
          <w:lang w:val="fr-FR"/>
        </w:rPr>
        <w:t>’</w:t>
      </w:r>
      <w:r w:rsidRPr="002A2EA6">
        <w:rPr>
          <w:lang w:val="fr-FR"/>
        </w:rPr>
        <w:t>évaluation de son efficacité. Elle a passé en revue les mesures prises par la Conférence des</w:t>
      </w:r>
      <w:r w:rsidR="00CE52B4" w:rsidRPr="002A2EA6">
        <w:rPr>
          <w:lang w:val="fr-FR"/>
        </w:rPr>
        <w:t> </w:t>
      </w:r>
      <w:r w:rsidRPr="002A2EA6">
        <w:rPr>
          <w:lang w:val="fr-FR"/>
        </w:rPr>
        <w:t>Parties, à ses première et deuxième réunions et au cours de la période intersessions précédant la</w:t>
      </w:r>
      <w:r w:rsidR="00CE52B4" w:rsidRPr="002A2EA6">
        <w:rPr>
          <w:lang w:val="fr-FR"/>
        </w:rPr>
        <w:t> </w:t>
      </w:r>
      <w:r w:rsidRPr="002A2EA6">
        <w:rPr>
          <w:lang w:val="fr-FR"/>
        </w:rPr>
        <w:t>troisième réunion, pour élaborer ce processus, y compris les modalités d</w:t>
      </w:r>
      <w:r w:rsidR="00CA4DAC">
        <w:rPr>
          <w:lang w:val="fr-FR"/>
        </w:rPr>
        <w:t>’</w:t>
      </w:r>
      <w:r w:rsidRPr="002A2EA6">
        <w:rPr>
          <w:lang w:val="fr-FR"/>
        </w:rPr>
        <w:t xml:space="preserve">obtention de données de surveillance comparables sur </w:t>
      </w:r>
      <w:r w:rsidR="000A024D" w:rsidRPr="002A2EA6">
        <w:rPr>
          <w:lang w:val="fr-FR"/>
        </w:rPr>
        <w:t>l</w:t>
      </w:r>
      <w:r w:rsidRPr="002A2EA6">
        <w:rPr>
          <w:lang w:val="fr-FR"/>
        </w:rPr>
        <w:t>es mouvements du mercure dans l</w:t>
      </w:r>
      <w:r w:rsidR="00CA4DAC">
        <w:rPr>
          <w:lang w:val="fr-FR"/>
        </w:rPr>
        <w:t>’</w:t>
      </w:r>
      <w:r w:rsidRPr="002A2EA6">
        <w:rPr>
          <w:lang w:val="fr-FR"/>
        </w:rPr>
        <w:t>environnement</w:t>
      </w:r>
      <w:r w:rsidR="000A024D" w:rsidRPr="002A2EA6">
        <w:rPr>
          <w:lang w:val="fr-FR"/>
        </w:rPr>
        <w:t xml:space="preserve"> et</w:t>
      </w:r>
      <w:r w:rsidRPr="002A2EA6">
        <w:rPr>
          <w:lang w:val="fr-FR"/>
        </w:rPr>
        <w:t xml:space="preserve"> les tendances des</w:t>
      </w:r>
      <w:r w:rsidR="00CE52B4" w:rsidRPr="002A2EA6">
        <w:rPr>
          <w:lang w:val="fr-FR"/>
        </w:rPr>
        <w:t> </w:t>
      </w:r>
      <w:r w:rsidRPr="002A2EA6">
        <w:rPr>
          <w:lang w:val="fr-FR"/>
        </w:rPr>
        <w:t xml:space="preserve">concentrations de mercure et de composés du mercure </w:t>
      </w:r>
      <w:r w:rsidR="000A024D" w:rsidRPr="002A2EA6">
        <w:rPr>
          <w:lang w:val="fr-FR"/>
        </w:rPr>
        <w:t>mesur</w:t>
      </w:r>
      <w:r w:rsidRPr="002A2EA6">
        <w:rPr>
          <w:lang w:val="fr-FR"/>
        </w:rPr>
        <w:t>ées dans les milieux biotiques et chez</w:t>
      </w:r>
      <w:r w:rsidR="00CE52B4" w:rsidRPr="002A2EA6">
        <w:rPr>
          <w:lang w:val="fr-FR"/>
        </w:rPr>
        <w:t> </w:t>
      </w:r>
      <w:r w:rsidRPr="002A2EA6">
        <w:rPr>
          <w:lang w:val="fr-FR"/>
        </w:rPr>
        <w:t xml:space="preserve">les populations vulnérables, et </w:t>
      </w:r>
      <w:r w:rsidR="000A024D" w:rsidRPr="002A2EA6">
        <w:rPr>
          <w:lang w:val="fr-FR"/>
        </w:rPr>
        <w:t>s</w:t>
      </w:r>
      <w:r w:rsidRPr="002A2EA6">
        <w:rPr>
          <w:lang w:val="fr-FR"/>
        </w:rPr>
        <w:t>ur le mandat du Comité d</w:t>
      </w:r>
      <w:r w:rsidR="00CA4DAC">
        <w:rPr>
          <w:lang w:val="fr-FR"/>
        </w:rPr>
        <w:t>’</w:t>
      </w:r>
      <w:r w:rsidRPr="002A2EA6">
        <w:rPr>
          <w:lang w:val="fr-FR"/>
        </w:rPr>
        <w:t>évaluation de l</w:t>
      </w:r>
      <w:r w:rsidR="00CA4DAC">
        <w:rPr>
          <w:lang w:val="fr-FR"/>
        </w:rPr>
        <w:t>’</w:t>
      </w:r>
      <w:r w:rsidRPr="002A2EA6">
        <w:rPr>
          <w:lang w:val="fr-FR"/>
        </w:rPr>
        <w:t>efficacité. Elle a appelé l</w:t>
      </w:r>
      <w:r w:rsidR="00CA4DAC">
        <w:rPr>
          <w:lang w:val="fr-FR"/>
        </w:rPr>
        <w:t>’</w:t>
      </w:r>
      <w:r w:rsidRPr="002A2EA6">
        <w:rPr>
          <w:lang w:val="fr-FR"/>
        </w:rPr>
        <w:t xml:space="preserve">attention </w:t>
      </w:r>
      <w:r w:rsidR="3AE941D2" w:rsidRPr="002A2EA6">
        <w:rPr>
          <w:lang w:val="fr-FR"/>
        </w:rPr>
        <w:t xml:space="preserve">des participants </w:t>
      </w:r>
      <w:r w:rsidRPr="002A2EA6">
        <w:rPr>
          <w:lang w:val="fr-FR"/>
        </w:rPr>
        <w:t>sur les informations figurant dans la note du secrétariat sur la question (UNEP/MC/COP.3/14</w:t>
      </w:r>
      <w:r w:rsidR="009E425C" w:rsidRPr="002A2EA6">
        <w:rPr>
          <w:lang w:val="fr-FR"/>
        </w:rPr>
        <w:t> </w:t>
      </w:r>
      <w:r w:rsidR="631BDA25" w:rsidRPr="002A2EA6">
        <w:rPr>
          <w:lang w:val="fr-FR"/>
        </w:rPr>
        <w:t>;</w:t>
      </w:r>
      <w:r w:rsidRPr="002A2EA6">
        <w:rPr>
          <w:lang w:val="fr-FR"/>
        </w:rPr>
        <w:t xml:space="preserve"> UNEP/MC/COP.3/14/Add.1)</w:t>
      </w:r>
      <w:r w:rsidR="451FEA7A" w:rsidRPr="002A2EA6">
        <w:rPr>
          <w:lang w:val="fr-FR"/>
        </w:rPr>
        <w:t>, qui contenait le rapport du groupe spécial d</w:t>
      </w:r>
      <w:r w:rsidR="00CA4DAC">
        <w:rPr>
          <w:lang w:val="fr-FR"/>
        </w:rPr>
        <w:t>’</w:t>
      </w:r>
      <w:r w:rsidR="451FEA7A" w:rsidRPr="002A2EA6">
        <w:rPr>
          <w:lang w:val="fr-FR"/>
        </w:rPr>
        <w:t xml:space="preserve">experts techniques </w:t>
      </w:r>
      <w:r w:rsidR="7AB40458" w:rsidRPr="002A2EA6">
        <w:rPr>
          <w:lang w:val="fr-FR"/>
        </w:rPr>
        <w:t>sur l</w:t>
      </w:r>
      <w:r w:rsidR="00CA4DAC">
        <w:rPr>
          <w:lang w:val="fr-FR"/>
        </w:rPr>
        <w:t>’</w:t>
      </w:r>
      <w:r w:rsidR="7AB40458" w:rsidRPr="002A2EA6">
        <w:rPr>
          <w:lang w:val="fr-FR"/>
        </w:rPr>
        <w:t>évaluation de l</w:t>
      </w:r>
      <w:r w:rsidR="00CA4DAC">
        <w:rPr>
          <w:lang w:val="fr-FR"/>
        </w:rPr>
        <w:t>’</w:t>
      </w:r>
      <w:r w:rsidR="7AB40458" w:rsidRPr="002A2EA6">
        <w:rPr>
          <w:lang w:val="fr-FR"/>
        </w:rPr>
        <w:t>efficacité relatif au projet de cadre pour l</w:t>
      </w:r>
      <w:r w:rsidR="00CA4DAC">
        <w:rPr>
          <w:lang w:val="fr-FR"/>
        </w:rPr>
        <w:t>’</w:t>
      </w:r>
      <w:r w:rsidR="7AB40458" w:rsidRPr="002A2EA6">
        <w:rPr>
          <w:lang w:val="fr-FR"/>
        </w:rPr>
        <w:t>évaluation de l</w:t>
      </w:r>
      <w:r w:rsidR="00CA4DAC">
        <w:rPr>
          <w:lang w:val="fr-FR"/>
        </w:rPr>
        <w:t>’</w:t>
      </w:r>
      <w:r w:rsidR="7AB40458" w:rsidRPr="002A2EA6">
        <w:rPr>
          <w:lang w:val="fr-FR"/>
        </w:rPr>
        <w:t>efficacité de la Convention de Minamata sur le mercure</w:t>
      </w:r>
      <w:r w:rsidR="008D5D32">
        <w:rPr>
          <w:lang w:val="fr-FR"/>
        </w:rPr>
        <w:t xml:space="preserve"> et </w:t>
      </w:r>
      <w:r w:rsidRPr="002A2EA6">
        <w:rPr>
          <w:lang w:val="fr-FR"/>
        </w:rPr>
        <w:t>les informations techniques compilées par le groupe pour l</w:t>
      </w:r>
      <w:r w:rsidR="00CA4DAC">
        <w:rPr>
          <w:lang w:val="fr-FR"/>
        </w:rPr>
        <w:t>’</w:t>
      </w:r>
      <w:r w:rsidRPr="002A2EA6">
        <w:rPr>
          <w:lang w:val="fr-FR"/>
        </w:rPr>
        <w:t>aider dans son examen de la question</w:t>
      </w:r>
      <w:r w:rsidR="00ED38AC">
        <w:rPr>
          <w:lang w:val="fr-FR"/>
        </w:rPr>
        <w:t xml:space="preserve">, ainsi que </w:t>
      </w:r>
      <w:r w:rsidR="008D5D32">
        <w:rPr>
          <w:lang w:val="fr-FR"/>
        </w:rPr>
        <w:t>les informations de référence sur la</w:t>
      </w:r>
      <w:r w:rsidR="005B5028">
        <w:rPr>
          <w:lang w:val="fr-FR"/>
        </w:rPr>
        <w:t> </w:t>
      </w:r>
      <w:r w:rsidR="008D5D32">
        <w:rPr>
          <w:lang w:val="fr-FR"/>
        </w:rPr>
        <w:t>surveillance du mercure</w:t>
      </w:r>
      <w:r w:rsidRPr="002A2EA6">
        <w:rPr>
          <w:lang w:val="fr-FR"/>
        </w:rPr>
        <w:t xml:space="preserve"> (UNEP/MC/COP.3/INF/15).</w:t>
      </w:r>
    </w:p>
    <w:p w14:paraId="302CA497" w14:textId="35CF99B8" w:rsidR="00293AA4"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À la suite de cette présentation, les coprésidents du groupe spécial d</w:t>
      </w:r>
      <w:r w:rsidR="00CA4DAC">
        <w:rPr>
          <w:lang w:val="fr-FR"/>
        </w:rPr>
        <w:t>’</w:t>
      </w:r>
      <w:r w:rsidRPr="002A2EA6">
        <w:rPr>
          <w:lang w:val="fr-FR"/>
        </w:rPr>
        <w:t>experts techniques, Kateřina Šebková (Tchéquie) et Mohamed Khashashneh (Jordanie), ont rendu compte des travaux du</w:t>
      </w:r>
      <w:r w:rsidR="00C32F54" w:rsidRPr="002A2EA6">
        <w:rPr>
          <w:lang w:val="fr-FR"/>
        </w:rPr>
        <w:t> </w:t>
      </w:r>
      <w:r w:rsidRPr="002A2EA6">
        <w:rPr>
          <w:lang w:val="fr-FR"/>
        </w:rPr>
        <w:t xml:space="preserve">groupe. Ils ont donné des précisions sur la méthode suivie pour élaborer la proposition </w:t>
      </w:r>
      <w:r w:rsidR="000A024D" w:rsidRPr="002A2EA6">
        <w:rPr>
          <w:lang w:val="fr-FR"/>
        </w:rPr>
        <w:t>concernant le</w:t>
      </w:r>
      <w:r w:rsidR="00CE52B4" w:rsidRPr="002A2EA6">
        <w:rPr>
          <w:lang w:val="fr-FR"/>
        </w:rPr>
        <w:t> </w:t>
      </w:r>
      <w:r w:rsidRPr="002A2EA6">
        <w:rPr>
          <w:lang w:val="fr-FR"/>
        </w:rPr>
        <w:t>cadre d</w:t>
      </w:r>
      <w:r w:rsidR="00CA4DAC">
        <w:rPr>
          <w:lang w:val="fr-FR"/>
        </w:rPr>
        <w:t>’</w:t>
      </w:r>
      <w:r w:rsidRPr="002A2EA6">
        <w:rPr>
          <w:lang w:val="fr-FR"/>
        </w:rPr>
        <w:t>évaluation de l</w:t>
      </w:r>
      <w:r w:rsidR="00CA4DAC">
        <w:rPr>
          <w:lang w:val="fr-FR"/>
        </w:rPr>
        <w:t>’</w:t>
      </w:r>
      <w:r w:rsidRPr="002A2EA6">
        <w:rPr>
          <w:lang w:val="fr-FR"/>
        </w:rPr>
        <w:t xml:space="preserve">efficacité et </w:t>
      </w:r>
      <w:r w:rsidR="000A024D" w:rsidRPr="002A2EA6">
        <w:rPr>
          <w:lang w:val="fr-FR"/>
        </w:rPr>
        <w:t>l</w:t>
      </w:r>
      <w:r w:rsidRPr="002A2EA6">
        <w:rPr>
          <w:lang w:val="fr-FR"/>
        </w:rPr>
        <w:t>es arrangements mondiaux en matière de surveillance au titre de la Convention. La quasi-totalité des questions soulevées avaient été réglées ou incorporées dans le</w:t>
      </w:r>
      <w:r w:rsidR="00CE52B4" w:rsidRPr="002A2EA6">
        <w:rPr>
          <w:lang w:val="fr-FR"/>
        </w:rPr>
        <w:t> </w:t>
      </w:r>
      <w:r w:rsidRPr="002A2EA6">
        <w:rPr>
          <w:lang w:val="fr-FR"/>
        </w:rPr>
        <w:t>rapport</w:t>
      </w:r>
      <w:r w:rsidR="631BDA25" w:rsidRPr="002A2EA6">
        <w:rPr>
          <w:lang w:val="fr-FR"/>
        </w:rPr>
        <w:t xml:space="preserve"> ;</w:t>
      </w:r>
      <w:r w:rsidRPr="002A2EA6">
        <w:rPr>
          <w:lang w:val="fr-FR"/>
        </w:rPr>
        <w:t xml:space="preserve"> toutefois, les </w:t>
      </w:r>
      <w:r w:rsidR="00BF2148" w:rsidRPr="002A2EA6">
        <w:rPr>
          <w:lang w:val="fr-FR"/>
        </w:rPr>
        <w:t xml:space="preserve">avis </w:t>
      </w:r>
      <w:r w:rsidRPr="002A2EA6">
        <w:rPr>
          <w:lang w:val="fr-FR"/>
        </w:rPr>
        <w:t>divergeaient</w:t>
      </w:r>
      <w:r w:rsidR="00BF2148" w:rsidRPr="002A2EA6">
        <w:rPr>
          <w:lang w:val="fr-FR"/>
        </w:rPr>
        <w:t xml:space="preserve"> encore </w:t>
      </w:r>
      <w:r w:rsidR="00447447" w:rsidRPr="002A2EA6">
        <w:rPr>
          <w:lang w:val="fr-FR"/>
        </w:rPr>
        <w:t>sur certains points</w:t>
      </w:r>
      <w:r w:rsidRPr="002A2EA6">
        <w:rPr>
          <w:lang w:val="fr-FR"/>
        </w:rPr>
        <w:t>. Ces derniers étaient surlignés en</w:t>
      </w:r>
      <w:r w:rsidR="00CE52B4" w:rsidRPr="002A2EA6">
        <w:rPr>
          <w:lang w:val="fr-FR"/>
        </w:rPr>
        <w:t xml:space="preserve"> </w:t>
      </w:r>
      <w:r w:rsidRPr="002A2EA6">
        <w:rPr>
          <w:lang w:val="fr-FR"/>
        </w:rPr>
        <w:t>gris dans les documents de travail du groupe. Le rapport du groupe spécial d</w:t>
      </w:r>
      <w:r w:rsidR="00CA4DAC">
        <w:rPr>
          <w:lang w:val="fr-FR"/>
        </w:rPr>
        <w:t>’</w:t>
      </w:r>
      <w:r w:rsidRPr="002A2EA6">
        <w:rPr>
          <w:lang w:val="fr-FR"/>
        </w:rPr>
        <w:t xml:space="preserve">experts techniques présentait également les modalités de surveillance proposées. </w:t>
      </w:r>
      <w:r w:rsidR="004A3C92" w:rsidRPr="002A2EA6">
        <w:rPr>
          <w:lang w:val="fr-FR"/>
        </w:rPr>
        <w:t>Pr</w:t>
      </w:r>
      <w:r w:rsidRPr="002A2EA6">
        <w:rPr>
          <w:lang w:val="fr-FR"/>
        </w:rPr>
        <w:t xml:space="preserve">enant </w:t>
      </w:r>
      <w:r w:rsidR="004A3C92" w:rsidRPr="002A2EA6">
        <w:rPr>
          <w:lang w:val="fr-FR"/>
        </w:rPr>
        <w:t xml:space="preserve">en </w:t>
      </w:r>
      <w:r w:rsidRPr="002A2EA6">
        <w:rPr>
          <w:lang w:val="fr-FR"/>
        </w:rPr>
        <w:t xml:space="preserve">compte </w:t>
      </w:r>
      <w:r w:rsidR="004A3C92" w:rsidRPr="002A2EA6">
        <w:rPr>
          <w:lang w:val="fr-FR"/>
        </w:rPr>
        <w:t>l</w:t>
      </w:r>
      <w:r w:rsidRPr="002A2EA6">
        <w:rPr>
          <w:lang w:val="fr-FR"/>
        </w:rPr>
        <w:t xml:space="preserve">es possibilités offertes par les connaissances actuelles, </w:t>
      </w:r>
      <w:r w:rsidR="004A3C92" w:rsidRPr="002A2EA6">
        <w:rPr>
          <w:lang w:val="fr-FR"/>
        </w:rPr>
        <w:t>l</w:t>
      </w:r>
      <w:r w:rsidRPr="002A2EA6">
        <w:rPr>
          <w:lang w:val="fr-FR"/>
        </w:rPr>
        <w:t>es activités de surveillance et de recherche en cours</w:t>
      </w:r>
      <w:r w:rsidR="004A3C92" w:rsidRPr="002A2EA6">
        <w:rPr>
          <w:lang w:val="fr-FR"/>
        </w:rPr>
        <w:t>,</w:t>
      </w:r>
      <w:r w:rsidRPr="002A2EA6">
        <w:rPr>
          <w:lang w:val="fr-FR"/>
        </w:rPr>
        <w:t xml:space="preserve"> et </w:t>
      </w:r>
      <w:r w:rsidR="004A3C92" w:rsidRPr="002A2EA6">
        <w:rPr>
          <w:lang w:val="fr-FR"/>
        </w:rPr>
        <w:t>l</w:t>
      </w:r>
      <w:r w:rsidRPr="002A2EA6">
        <w:rPr>
          <w:lang w:val="fr-FR"/>
        </w:rPr>
        <w:t>es</w:t>
      </w:r>
      <w:r w:rsidR="00CE52B4" w:rsidRPr="002A2EA6">
        <w:rPr>
          <w:lang w:val="fr-FR"/>
        </w:rPr>
        <w:t> </w:t>
      </w:r>
      <w:r w:rsidRPr="002A2EA6">
        <w:rPr>
          <w:lang w:val="fr-FR"/>
        </w:rPr>
        <w:t>besoins de la Convention, le groupe avait identifié cinq</w:t>
      </w:r>
      <w:r w:rsidR="00A85CD8" w:rsidRPr="002A2EA6">
        <w:rPr>
          <w:lang w:val="fr-FR"/>
        </w:rPr>
        <w:t> </w:t>
      </w:r>
      <w:r w:rsidRPr="002A2EA6">
        <w:rPr>
          <w:lang w:val="fr-FR"/>
        </w:rPr>
        <w:t xml:space="preserve">éléments clefs </w:t>
      </w:r>
      <w:r w:rsidR="005A41D0" w:rsidRPr="002A2EA6">
        <w:rPr>
          <w:lang w:val="fr-FR"/>
        </w:rPr>
        <w:t xml:space="preserve">pour les arrangements en matière </w:t>
      </w:r>
      <w:r w:rsidRPr="002A2EA6">
        <w:rPr>
          <w:lang w:val="fr-FR"/>
        </w:rPr>
        <w:t xml:space="preserve">de surveillance </w:t>
      </w:r>
      <w:r w:rsidR="005A41D0" w:rsidRPr="002A2EA6">
        <w:rPr>
          <w:lang w:val="fr-FR"/>
        </w:rPr>
        <w:t xml:space="preserve">dans le cadre </w:t>
      </w:r>
      <w:r w:rsidRPr="002A2EA6">
        <w:rPr>
          <w:lang w:val="fr-FR"/>
        </w:rPr>
        <w:t>de la Convention de Minamata. Il s</w:t>
      </w:r>
      <w:r w:rsidR="00CA4DAC">
        <w:rPr>
          <w:lang w:val="fr-FR"/>
        </w:rPr>
        <w:t>’</w:t>
      </w:r>
      <w:r w:rsidRPr="002A2EA6">
        <w:rPr>
          <w:lang w:val="fr-FR"/>
        </w:rPr>
        <w:t>agissait, premièrement, des</w:t>
      </w:r>
      <w:r w:rsidR="00CE52B4" w:rsidRPr="002A2EA6">
        <w:rPr>
          <w:lang w:val="fr-FR"/>
        </w:rPr>
        <w:t> </w:t>
      </w:r>
      <w:r w:rsidRPr="002A2EA6">
        <w:rPr>
          <w:lang w:val="fr-FR"/>
        </w:rPr>
        <w:t xml:space="preserve">données sur le mercure </w:t>
      </w:r>
      <w:r w:rsidR="00485DCC" w:rsidRPr="002A2EA6">
        <w:rPr>
          <w:lang w:val="fr-FR"/>
        </w:rPr>
        <w:t xml:space="preserve">issues </w:t>
      </w:r>
      <w:r w:rsidRPr="002A2EA6">
        <w:rPr>
          <w:lang w:val="fr-FR"/>
        </w:rPr>
        <w:t>de programmes de surveillance de la santé humaine et de l</w:t>
      </w:r>
      <w:r w:rsidR="00CA4DAC">
        <w:rPr>
          <w:lang w:val="fr-FR"/>
        </w:rPr>
        <w:t>’</w:t>
      </w:r>
      <w:r w:rsidRPr="002A2EA6">
        <w:rPr>
          <w:lang w:val="fr-FR"/>
        </w:rPr>
        <w:t>environnement qui avaient une couverture mondiale et contenaient des données de base représentatives de toutes les régions</w:t>
      </w:r>
      <w:r w:rsidR="00A85CD8" w:rsidRPr="002A2EA6">
        <w:rPr>
          <w:lang w:val="fr-FR"/>
        </w:rPr>
        <w:t> </w:t>
      </w:r>
      <w:r w:rsidR="631BDA25" w:rsidRPr="002A2EA6">
        <w:rPr>
          <w:lang w:val="fr-FR"/>
        </w:rPr>
        <w:t>;</w:t>
      </w:r>
      <w:r w:rsidRPr="002A2EA6">
        <w:rPr>
          <w:lang w:val="fr-FR"/>
        </w:rPr>
        <w:t xml:space="preserve"> deuxièmement, des outils favorisant l</w:t>
      </w:r>
      <w:r w:rsidR="00CA4DAC">
        <w:rPr>
          <w:lang w:val="fr-FR"/>
        </w:rPr>
        <w:t>’</w:t>
      </w:r>
      <w:r w:rsidRPr="002A2EA6">
        <w:rPr>
          <w:lang w:val="fr-FR"/>
        </w:rPr>
        <w:t>harmonisation des</w:t>
      </w:r>
      <w:r w:rsidR="00CE52B4" w:rsidRPr="002A2EA6">
        <w:rPr>
          <w:lang w:val="fr-FR"/>
        </w:rPr>
        <w:t> </w:t>
      </w:r>
      <w:r w:rsidRPr="002A2EA6">
        <w:rPr>
          <w:lang w:val="fr-FR"/>
        </w:rPr>
        <w:t>données</w:t>
      </w:r>
      <w:r w:rsidR="00A85CD8" w:rsidRPr="002A2EA6">
        <w:rPr>
          <w:lang w:val="fr-FR"/>
        </w:rPr>
        <w:t> </w:t>
      </w:r>
      <w:r w:rsidR="631BDA25" w:rsidRPr="002A2EA6">
        <w:rPr>
          <w:lang w:val="fr-FR"/>
        </w:rPr>
        <w:t>;</w:t>
      </w:r>
      <w:r w:rsidRPr="002A2EA6">
        <w:rPr>
          <w:lang w:val="fr-FR"/>
        </w:rPr>
        <w:t xml:space="preserve"> troisièmement, </w:t>
      </w:r>
      <w:r w:rsidR="00102459" w:rsidRPr="002A2EA6">
        <w:rPr>
          <w:lang w:val="fr-FR"/>
        </w:rPr>
        <w:t>d</w:t>
      </w:r>
      <w:r w:rsidR="00A14916" w:rsidRPr="002A2EA6">
        <w:rPr>
          <w:lang w:val="fr-FR"/>
        </w:rPr>
        <w:t>es</w:t>
      </w:r>
      <w:r w:rsidRPr="002A2EA6">
        <w:rPr>
          <w:lang w:val="fr-FR"/>
        </w:rPr>
        <w:t xml:space="preserve"> compétences requises pour rassembler et compiler des données harmonisées </w:t>
      </w:r>
      <w:r w:rsidR="005A41D0" w:rsidRPr="002A2EA6">
        <w:rPr>
          <w:lang w:val="fr-FR"/>
        </w:rPr>
        <w:t>assurant</w:t>
      </w:r>
      <w:r w:rsidRPr="002A2EA6">
        <w:rPr>
          <w:lang w:val="fr-FR"/>
        </w:rPr>
        <w:t xml:space="preserve"> la comparabilité et la cohérence des données de surveillance du mercure sur le</w:t>
      </w:r>
      <w:r w:rsidR="00CE52B4" w:rsidRPr="002A2EA6">
        <w:rPr>
          <w:lang w:val="fr-FR"/>
        </w:rPr>
        <w:t> </w:t>
      </w:r>
      <w:r w:rsidRPr="002A2EA6">
        <w:rPr>
          <w:lang w:val="fr-FR"/>
        </w:rPr>
        <w:t>long terme</w:t>
      </w:r>
      <w:r w:rsidR="00A85CD8" w:rsidRPr="002A2EA6">
        <w:rPr>
          <w:lang w:val="fr-FR"/>
        </w:rPr>
        <w:t> </w:t>
      </w:r>
      <w:r w:rsidR="631BDA25" w:rsidRPr="002A2EA6">
        <w:rPr>
          <w:lang w:val="fr-FR"/>
        </w:rPr>
        <w:t>;</w:t>
      </w:r>
      <w:r w:rsidRPr="002A2EA6">
        <w:rPr>
          <w:lang w:val="fr-FR"/>
        </w:rPr>
        <w:t xml:space="preserve"> quatrièmement, des capacités de modélisation</w:t>
      </w:r>
      <w:r w:rsidR="631BDA25" w:rsidRPr="002A2EA6">
        <w:rPr>
          <w:lang w:val="fr-FR"/>
        </w:rPr>
        <w:t xml:space="preserve"> ;</w:t>
      </w:r>
      <w:r w:rsidRPr="002A2EA6">
        <w:rPr>
          <w:lang w:val="fr-FR"/>
        </w:rPr>
        <w:t xml:space="preserve"> cinquièmement, d</w:t>
      </w:r>
      <w:r w:rsidR="00CA4DAC">
        <w:rPr>
          <w:lang w:val="fr-FR"/>
        </w:rPr>
        <w:t>’</w:t>
      </w:r>
      <w:r w:rsidRPr="002A2EA6">
        <w:rPr>
          <w:lang w:val="fr-FR"/>
        </w:rPr>
        <w:t>un rapport périodique de surveillance à l</w:t>
      </w:r>
      <w:r w:rsidR="00CA4DAC">
        <w:rPr>
          <w:lang w:val="fr-FR"/>
        </w:rPr>
        <w:t>’</w:t>
      </w:r>
      <w:r w:rsidRPr="002A2EA6">
        <w:rPr>
          <w:lang w:val="fr-FR"/>
        </w:rPr>
        <w:t>échelle mondiale des concentrations de mercure et des tendances.</w:t>
      </w:r>
    </w:p>
    <w:p w14:paraId="3BB30BC6" w14:textId="5D7299C3" w:rsidR="00293AA4"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Tout en reconnaissant </w:t>
      </w:r>
      <w:r w:rsidR="00337738" w:rsidRPr="002A2EA6">
        <w:rPr>
          <w:lang w:val="fr-FR"/>
        </w:rPr>
        <w:t xml:space="preserve">que les </w:t>
      </w:r>
      <w:r w:rsidRPr="002A2EA6">
        <w:rPr>
          <w:lang w:val="fr-FR"/>
        </w:rPr>
        <w:t xml:space="preserve">activités </w:t>
      </w:r>
      <w:r w:rsidR="009F0977" w:rsidRPr="002A2EA6">
        <w:rPr>
          <w:lang w:val="fr-FR"/>
        </w:rPr>
        <w:t xml:space="preserve">en cours </w:t>
      </w:r>
      <w:r w:rsidRPr="002A2EA6">
        <w:rPr>
          <w:lang w:val="fr-FR"/>
        </w:rPr>
        <w:t xml:space="preserve">qui avaient été examinées </w:t>
      </w:r>
      <w:r w:rsidR="009F0977" w:rsidRPr="002A2EA6">
        <w:rPr>
          <w:lang w:val="fr-FR"/>
        </w:rPr>
        <w:t>n</w:t>
      </w:r>
      <w:r w:rsidR="00CA4DAC">
        <w:rPr>
          <w:lang w:val="fr-FR"/>
        </w:rPr>
        <w:t>’</w:t>
      </w:r>
      <w:r w:rsidR="009F0977" w:rsidRPr="002A2EA6">
        <w:rPr>
          <w:lang w:val="fr-FR"/>
        </w:rPr>
        <w:t>avaient pas toutes été harmonisées dans la même mesure et qu</w:t>
      </w:r>
      <w:r w:rsidR="00CA4DAC">
        <w:rPr>
          <w:lang w:val="fr-FR"/>
        </w:rPr>
        <w:t>’</w:t>
      </w:r>
      <w:r w:rsidR="009F0977" w:rsidRPr="002A2EA6">
        <w:rPr>
          <w:lang w:val="fr-FR"/>
        </w:rPr>
        <w:t xml:space="preserve">il manquait certaines </w:t>
      </w:r>
      <w:r w:rsidRPr="002A2EA6">
        <w:rPr>
          <w:lang w:val="fr-FR"/>
        </w:rPr>
        <w:t xml:space="preserve">données, </w:t>
      </w:r>
      <w:r w:rsidR="002138C8" w:rsidRPr="002A2EA6">
        <w:rPr>
          <w:lang w:val="fr-FR"/>
        </w:rPr>
        <w:t xml:space="preserve">les coprésidents </w:t>
      </w:r>
      <w:r w:rsidRPr="002A2EA6">
        <w:rPr>
          <w:lang w:val="fr-FR"/>
        </w:rPr>
        <w:t>ont souligné qu</w:t>
      </w:r>
      <w:r w:rsidR="00CA4DAC">
        <w:rPr>
          <w:lang w:val="fr-FR"/>
        </w:rPr>
        <w:t>’</w:t>
      </w:r>
      <w:r w:rsidR="00AB43CB" w:rsidRPr="002A2EA6">
        <w:rPr>
          <w:lang w:val="fr-FR"/>
        </w:rPr>
        <w:t xml:space="preserve">il était indispensable de disposer </w:t>
      </w:r>
      <w:r w:rsidRPr="002A2EA6">
        <w:rPr>
          <w:lang w:val="fr-FR"/>
        </w:rPr>
        <w:t xml:space="preserve">de données de surveillance </w:t>
      </w:r>
      <w:r w:rsidR="005A41D0" w:rsidRPr="002A2EA6">
        <w:rPr>
          <w:lang w:val="fr-FR"/>
        </w:rPr>
        <w:t xml:space="preserve">représentatives </w:t>
      </w:r>
      <w:r w:rsidRPr="002A2EA6">
        <w:rPr>
          <w:lang w:val="fr-FR"/>
        </w:rPr>
        <w:t>pour évaluer les</w:t>
      </w:r>
      <w:r w:rsidR="00CE52B4" w:rsidRPr="002A2EA6">
        <w:rPr>
          <w:lang w:val="fr-FR"/>
        </w:rPr>
        <w:t> </w:t>
      </w:r>
      <w:r w:rsidRPr="002A2EA6">
        <w:rPr>
          <w:lang w:val="fr-FR"/>
        </w:rPr>
        <w:t xml:space="preserve">concentrations de mercure et les tendances en la matière au niveau mondial et </w:t>
      </w:r>
      <w:r w:rsidR="00AB43CB" w:rsidRPr="002A2EA6">
        <w:rPr>
          <w:lang w:val="fr-FR"/>
        </w:rPr>
        <w:t xml:space="preserve">que ces données </w:t>
      </w:r>
      <w:r w:rsidRPr="002A2EA6">
        <w:rPr>
          <w:lang w:val="fr-FR"/>
        </w:rPr>
        <w:t>constituai</w:t>
      </w:r>
      <w:r w:rsidR="00AB43CB" w:rsidRPr="002A2EA6">
        <w:rPr>
          <w:lang w:val="fr-FR"/>
        </w:rPr>
        <w:t>en</w:t>
      </w:r>
      <w:r w:rsidRPr="002A2EA6">
        <w:rPr>
          <w:lang w:val="fr-FR"/>
        </w:rPr>
        <w:t>t un</w:t>
      </w:r>
      <w:r w:rsidR="00CE52B4" w:rsidRPr="002A2EA6">
        <w:rPr>
          <w:lang w:val="fr-FR"/>
        </w:rPr>
        <w:t> </w:t>
      </w:r>
      <w:r w:rsidRPr="002A2EA6">
        <w:rPr>
          <w:lang w:val="fr-FR"/>
        </w:rPr>
        <w:t>élément essentiel de l</w:t>
      </w:r>
      <w:r w:rsidR="00CA4DAC">
        <w:rPr>
          <w:lang w:val="fr-FR"/>
        </w:rPr>
        <w:t>’</w:t>
      </w:r>
      <w:r w:rsidRPr="002A2EA6">
        <w:rPr>
          <w:lang w:val="fr-FR"/>
        </w:rPr>
        <w:t>évaluation de l</w:t>
      </w:r>
      <w:r w:rsidR="00CA4DAC">
        <w:rPr>
          <w:lang w:val="fr-FR"/>
        </w:rPr>
        <w:t>’</w:t>
      </w:r>
      <w:r w:rsidRPr="002A2EA6">
        <w:rPr>
          <w:lang w:val="fr-FR"/>
        </w:rPr>
        <w:t>efficacité prévue à l</w:t>
      </w:r>
      <w:r w:rsidR="00CA4DAC">
        <w:rPr>
          <w:lang w:val="fr-FR"/>
        </w:rPr>
        <w:t>’</w:t>
      </w:r>
      <w:r w:rsidRPr="002A2EA6">
        <w:rPr>
          <w:lang w:val="fr-FR"/>
        </w:rPr>
        <w:t xml:space="preserve">article 22. Remerciant tous </w:t>
      </w:r>
      <w:r w:rsidRPr="002A2EA6">
        <w:rPr>
          <w:lang w:val="fr-FR"/>
        </w:rPr>
        <w:lastRenderedPageBreak/>
        <w:t>ceux qui avaient contribué à l</w:t>
      </w:r>
      <w:r w:rsidR="00CA4DAC">
        <w:rPr>
          <w:lang w:val="fr-FR"/>
        </w:rPr>
        <w:t>’</w:t>
      </w:r>
      <w:r w:rsidRPr="002A2EA6">
        <w:rPr>
          <w:lang w:val="fr-FR"/>
        </w:rPr>
        <w:t>élaboration et à l</w:t>
      </w:r>
      <w:r w:rsidR="00CA4DAC">
        <w:rPr>
          <w:lang w:val="fr-FR"/>
        </w:rPr>
        <w:t>’</w:t>
      </w:r>
      <w:r w:rsidRPr="002A2EA6">
        <w:rPr>
          <w:lang w:val="fr-FR"/>
        </w:rPr>
        <w:t>examen du rapport, ils ont présenté les modalités de surveillance proposées pour examen et adoption éventuelle à la réunion en cours.</w:t>
      </w:r>
    </w:p>
    <w:p w14:paraId="7CBE4A70" w14:textId="27183681" w:rsidR="003D0299"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un certain nombre de représentants ont souligné l</w:t>
      </w:r>
      <w:r w:rsidR="00CA4DAC">
        <w:rPr>
          <w:lang w:val="fr-FR"/>
        </w:rPr>
        <w:t>’</w:t>
      </w:r>
      <w:r w:rsidRPr="002A2EA6">
        <w:rPr>
          <w:lang w:val="fr-FR"/>
        </w:rPr>
        <w:t>importance de l</w:t>
      </w:r>
      <w:r w:rsidR="00CA4DAC">
        <w:rPr>
          <w:lang w:val="fr-FR"/>
        </w:rPr>
        <w:t>’</w:t>
      </w:r>
      <w:r w:rsidRPr="002A2EA6">
        <w:rPr>
          <w:lang w:val="fr-FR"/>
        </w:rPr>
        <w:t>évaluation de l</w:t>
      </w:r>
      <w:r w:rsidR="00CA4DAC">
        <w:rPr>
          <w:lang w:val="fr-FR"/>
        </w:rPr>
        <w:t>’</w:t>
      </w:r>
      <w:r w:rsidRPr="002A2EA6">
        <w:rPr>
          <w:lang w:val="fr-FR"/>
        </w:rPr>
        <w:t>efficacité pour le bon fonctionnement de la Convention de Minamata et l</w:t>
      </w:r>
      <w:r w:rsidR="00CA4DAC">
        <w:rPr>
          <w:lang w:val="fr-FR"/>
        </w:rPr>
        <w:t>’</w:t>
      </w:r>
      <w:r w:rsidRPr="002A2EA6">
        <w:rPr>
          <w:lang w:val="fr-FR"/>
        </w:rPr>
        <w:t>application de ses dispositions par les Parties. Une représentante a indiqué qu</w:t>
      </w:r>
      <w:r w:rsidR="00CA4DAC">
        <w:rPr>
          <w:lang w:val="fr-FR"/>
        </w:rPr>
        <w:t>’</w:t>
      </w:r>
      <w:r w:rsidRPr="002A2EA6">
        <w:rPr>
          <w:lang w:val="fr-FR"/>
        </w:rPr>
        <w:t>un processus fiable d</w:t>
      </w:r>
      <w:r w:rsidR="00CA4DAC">
        <w:rPr>
          <w:lang w:val="fr-FR"/>
        </w:rPr>
        <w:t>’</w:t>
      </w:r>
      <w:r w:rsidRPr="002A2EA6">
        <w:rPr>
          <w:lang w:val="fr-FR"/>
        </w:rPr>
        <w:t>évaluation de l</w:t>
      </w:r>
      <w:r w:rsidR="00CA4DAC">
        <w:rPr>
          <w:lang w:val="fr-FR"/>
        </w:rPr>
        <w:t>’</w:t>
      </w:r>
      <w:r w:rsidRPr="002A2EA6">
        <w:rPr>
          <w:lang w:val="fr-FR"/>
        </w:rPr>
        <w:t>efficacité était nécessaire pour mesurer l</w:t>
      </w:r>
      <w:r w:rsidR="00CA4DAC">
        <w:rPr>
          <w:lang w:val="fr-FR"/>
        </w:rPr>
        <w:t>’</w:t>
      </w:r>
      <w:r w:rsidRPr="002A2EA6">
        <w:rPr>
          <w:lang w:val="fr-FR"/>
        </w:rPr>
        <w:t xml:space="preserve">efficacité </w:t>
      </w:r>
      <w:r w:rsidR="001375FF" w:rsidRPr="002A2EA6">
        <w:rPr>
          <w:lang w:val="fr-FR"/>
        </w:rPr>
        <w:t>de la Convention</w:t>
      </w:r>
      <w:r w:rsidRPr="002A2EA6">
        <w:rPr>
          <w:lang w:val="fr-FR"/>
        </w:rPr>
        <w:t xml:space="preserve"> et qu</w:t>
      </w:r>
      <w:r w:rsidR="00CA4DAC">
        <w:rPr>
          <w:lang w:val="fr-FR"/>
        </w:rPr>
        <w:t>’</w:t>
      </w:r>
      <w:r w:rsidRPr="002A2EA6">
        <w:rPr>
          <w:lang w:val="fr-FR"/>
        </w:rPr>
        <w:t xml:space="preserve">il était essentiel de progresser sur cette question lors de la réunion en cours. Il fallait mettre </w:t>
      </w:r>
      <w:r w:rsidR="00D82469" w:rsidRPr="002A2EA6">
        <w:rPr>
          <w:lang w:val="fr-FR"/>
        </w:rPr>
        <w:t>de côté</w:t>
      </w:r>
      <w:r w:rsidRPr="002A2EA6">
        <w:rPr>
          <w:lang w:val="fr-FR"/>
        </w:rPr>
        <w:t xml:space="preserve"> suffisamment de </w:t>
      </w:r>
      <w:r w:rsidR="00D82469" w:rsidRPr="002A2EA6">
        <w:rPr>
          <w:lang w:val="fr-FR"/>
        </w:rPr>
        <w:t>ressources</w:t>
      </w:r>
      <w:r w:rsidRPr="002A2EA6">
        <w:rPr>
          <w:lang w:val="fr-FR"/>
        </w:rPr>
        <w:t xml:space="preserve"> dans le</w:t>
      </w:r>
      <w:r w:rsidR="00CE52B4" w:rsidRPr="002A2EA6">
        <w:rPr>
          <w:lang w:val="fr-FR"/>
        </w:rPr>
        <w:t> </w:t>
      </w:r>
      <w:r w:rsidRPr="002A2EA6">
        <w:rPr>
          <w:lang w:val="fr-FR"/>
        </w:rPr>
        <w:t>cadre du Fonds général d</w:t>
      </w:r>
      <w:r w:rsidR="00CA4DAC">
        <w:rPr>
          <w:lang w:val="fr-FR"/>
        </w:rPr>
        <w:t>’</w:t>
      </w:r>
      <w:r w:rsidRPr="002A2EA6">
        <w:rPr>
          <w:lang w:val="fr-FR"/>
        </w:rPr>
        <w:t xml:space="preserve">affectation spéciale pour assurer la </w:t>
      </w:r>
      <w:r w:rsidR="00084E4D" w:rsidRPr="002A2EA6">
        <w:rPr>
          <w:lang w:val="fr-FR"/>
        </w:rPr>
        <w:t xml:space="preserve">rigueur </w:t>
      </w:r>
      <w:r w:rsidRPr="002A2EA6">
        <w:rPr>
          <w:lang w:val="fr-FR"/>
        </w:rPr>
        <w:t>du processus.</w:t>
      </w:r>
    </w:p>
    <w:p w14:paraId="40A9784B" w14:textId="24D30792" w:rsidR="003D0299"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Plusieurs représentants ont salué les travaux menés par le groupe spécial d</w:t>
      </w:r>
      <w:r w:rsidR="00CA4DAC">
        <w:rPr>
          <w:lang w:val="fr-FR"/>
        </w:rPr>
        <w:t>’</w:t>
      </w:r>
      <w:r w:rsidRPr="002A2EA6">
        <w:rPr>
          <w:lang w:val="fr-FR"/>
        </w:rPr>
        <w:t>experts techniques sur l</w:t>
      </w:r>
      <w:r w:rsidR="00CA4DAC">
        <w:rPr>
          <w:lang w:val="fr-FR"/>
        </w:rPr>
        <w:t>’</w:t>
      </w:r>
      <w:r w:rsidRPr="002A2EA6">
        <w:rPr>
          <w:lang w:val="fr-FR"/>
        </w:rPr>
        <w:t>évaluation de l</w:t>
      </w:r>
      <w:r w:rsidR="00CA4DAC">
        <w:rPr>
          <w:lang w:val="fr-FR"/>
        </w:rPr>
        <w:t>’</w:t>
      </w:r>
      <w:r w:rsidRPr="002A2EA6">
        <w:rPr>
          <w:lang w:val="fr-FR"/>
        </w:rPr>
        <w:t>efficacité chargé d</w:t>
      </w:r>
      <w:r w:rsidR="00CA4DAC">
        <w:rPr>
          <w:lang w:val="fr-FR"/>
        </w:rPr>
        <w:t>’</w:t>
      </w:r>
      <w:r w:rsidRPr="002A2EA6">
        <w:rPr>
          <w:lang w:val="fr-FR"/>
        </w:rPr>
        <w:t>élaborer le projet de cadre d</w:t>
      </w:r>
      <w:r w:rsidR="00CA4DAC">
        <w:rPr>
          <w:lang w:val="fr-FR"/>
        </w:rPr>
        <w:t>’</w:t>
      </w:r>
      <w:r w:rsidRPr="002A2EA6">
        <w:rPr>
          <w:lang w:val="fr-FR"/>
        </w:rPr>
        <w:t>évaluation de l</w:t>
      </w:r>
      <w:r w:rsidR="00CA4DAC">
        <w:rPr>
          <w:lang w:val="fr-FR"/>
        </w:rPr>
        <w:t>’</w:t>
      </w:r>
      <w:r w:rsidRPr="002A2EA6">
        <w:rPr>
          <w:lang w:val="fr-FR"/>
        </w:rPr>
        <w:t>efficacité de</w:t>
      </w:r>
      <w:r w:rsidR="00CE52B4" w:rsidRPr="002A2EA6">
        <w:rPr>
          <w:lang w:val="fr-FR"/>
        </w:rPr>
        <w:t> </w:t>
      </w:r>
      <w:r w:rsidRPr="002A2EA6">
        <w:rPr>
          <w:lang w:val="fr-FR"/>
        </w:rPr>
        <w:t>la</w:t>
      </w:r>
      <w:r w:rsidR="00CE52B4" w:rsidRPr="002A2EA6">
        <w:rPr>
          <w:lang w:val="fr-FR"/>
        </w:rPr>
        <w:t> </w:t>
      </w:r>
      <w:r w:rsidRPr="002A2EA6">
        <w:rPr>
          <w:lang w:val="fr-FR"/>
        </w:rPr>
        <w:t>Convention de Minamata sur le mercure. Le rapport du secrétariat publié sous la</w:t>
      </w:r>
      <w:r w:rsidR="00CE52B4" w:rsidRPr="002A2EA6">
        <w:rPr>
          <w:lang w:val="fr-FR"/>
        </w:rPr>
        <w:t> </w:t>
      </w:r>
      <w:r w:rsidRPr="002A2EA6">
        <w:rPr>
          <w:lang w:val="fr-FR"/>
        </w:rPr>
        <w:t>cote</w:t>
      </w:r>
      <w:r w:rsidR="00CE52B4" w:rsidRPr="002A2EA6">
        <w:rPr>
          <w:lang w:val="fr-FR"/>
        </w:rPr>
        <w:t> </w:t>
      </w:r>
      <w:r w:rsidRPr="002A2EA6">
        <w:rPr>
          <w:lang w:val="fr-FR"/>
        </w:rPr>
        <w:t xml:space="preserve">UNEP/MC/COP.3/14 et son additif ont été considérés </w:t>
      </w:r>
      <w:r w:rsidR="00084E4D" w:rsidRPr="002A2EA6">
        <w:rPr>
          <w:lang w:val="fr-FR"/>
        </w:rPr>
        <w:t xml:space="preserve">par la majorité des représentants </w:t>
      </w:r>
      <w:r w:rsidRPr="002A2EA6">
        <w:rPr>
          <w:lang w:val="fr-FR"/>
        </w:rPr>
        <w:t>comme une bonne base pour la</w:t>
      </w:r>
      <w:r w:rsidR="00CE52B4" w:rsidRPr="002A2EA6">
        <w:rPr>
          <w:lang w:val="fr-FR"/>
        </w:rPr>
        <w:t> </w:t>
      </w:r>
      <w:r w:rsidRPr="002A2EA6">
        <w:rPr>
          <w:lang w:val="fr-FR"/>
        </w:rPr>
        <w:t>poursuite des débats sur la question</w:t>
      </w:r>
      <w:r w:rsidR="00F9515A" w:rsidRPr="002A2EA6">
        <w:rPr>
          <w:lang w:val="fr-FR"/>
        </w:rPr>
        <w:t>. S</w:t>
      </w:r>
      <w:r w:rsidR="00CA4DAC">
        <w:rPr>
          <w:lang w:val="fr-FR"/>
        </w:rPr>
        <w:t>’</w:t>
      </w:r>
      <w:r w:rsidRPr="002A2EA6">
        <w:rPr>
          <w:lang w:val="fr-FR"/>
        </w:rPr>
        <w:t>exprimant au nom d</w:t>
      </w:r>
      <w:r w:rsidR="00CA4DAC">
        <w:rPr>
          <w:lang w:val="fr-FR"/>
        </w:rPr>
        <w:t>’</w:t>
      </w:r>
      <w:r w:rsidRPr="002A2EA6">
        <w:rPr>
          <w:lang w:val="fr-FR"/>
        </w:rPr>
        <w:t xml:space="preserve">un groupe de pays, </w:t>
      </w:r>
      <w:r w:rsidR="00F9515A" w:rsidRPr="002A2EA6">
        <w:rPr>
          <w:lang w:val="fr-FR"/>
        </w:rPr>
        <w:t xml:space="preserve">une représentante </w:t>
      </w:r>
      <w:r w:rsidRPr="002A2EA6">
        <w:rPr>
          <w:lang w:val="fr-FR"/>
        </w:rPr>
        <w:t>a appuyé un certain nombre d</w:t>
      </w:r>
      <w:r w:rsidR="00CA4DAC">
        <w:rPr>
          <w:lang w:val="fr-FR"/>
        </w:rPr>
        <w:t>’</w:t>
      </w:r>
      <w:r w:rsidRPr="002A2EA6">
        <w:rPr>
          <w:lang w:val="fr-FR"/>
        </w:rPr>
        <w:t>éléments proposés par le groupe spécial d</w:t>
      </w:r>
      <w:r w:rsidR="00CA4DAC">
        <w:rPr>
          <w:lang w:val="fr-FR"/>
        </w:rPr>
        <w:t>’</w:t>
      </w:r>
      <w:r w:rsidRPr="002A2EA6">
        <w:rPr>
          <w:lang w:val="fr-FR"/>
        </w:rPr>
        <w:t>experts techniques, notamment le projet de mandat du comité d</w:t>
      </w:r>
      <w:r w:rsidR="00CA4DAC">
        <w:rPr>
          <w:lang w:val="fr-FR"/>
        </w:rPr>
        <w:t>’</w:t>
      </w:r>
      <w:r w:rsidRPr="002A2EA6">
        <w:rPr>
          <w:lang w:val="fr-FR"/>
        </w:rPr>
        <w:t>évaluation de l</w:t>
      </w:r>
      <w:r w:rsidR="00CA4DAC">
        <w:rPr>
          <w:lang w:val="fr-FR"/>
        </w:rPr>
        <w:t>’</w:t>
      </w:r>
      <w:r w:rsidRPr="002A2EA6">
        <w:rPr>
          <w:lang w:val="fr-FR"/>
        </w:rPr>
        <w:t>efficacité, les arrangements mondiaux en matière de surveillance proposés conformément à l</w:t>
      </w:r>
      <w:r w:rsidR="00CA4DAC">
        <w:rPr>
          <w:lang w:val="fr-FR"/>
        </w:rPr>
        <w:t>’</w:t>
      </w:r>
      <w:r w:rsidRPr="002A2EA6">
        <w:rPr>
          <w:lang w:val="fr-FR"/>
        </w:rPr>
        <w:t>article 22 de la Convention, le projet de mandat du groupe de surveillance et la proposition visant à confier au groupe de surveillance l</w:t>
      </w:r>
      <w:r w:rsidR="00CA4DAC">
        <w:rPr>
          <w:lang w:val="fr-FR"/>
        </w:rPr>
        <w:t>’</w:t>
      </w:r>
      <w:r w:rsidRPr="002A2EA6">
        <w:rPr>
          <w:lang w:val="fr-FR"/>
        </w:rPr>
        <w:t>élaboration d</w:t>
      </w:r>
      <w:r w:rsidR="00CA4DAC">
        <w:rPr>
          <w:lang w:val="fr-FR"/>
        </w:rPr>
        <w:t>’</w:t>
      </w:r>
      <w:r w:rsidRPr="002A2EA6">
        <w:rPr>
          <w:lang w:val="fr-FR"/>
        </w:rPr>
        <w:t xml:space="preserve">orientations </w:t>
      </w:r>
      <w:r w:rsidR="00236CDF" w:rsidRPr="002A2EA6">
        <w:rPr>
          <w:lang w:val="fr-FR"/>
        </w:rPr>
        <w:t>à l</w:t>
      </w:r>
      <w:r w:rsidR="00CA4DAC">
        <w:rPr>
          <w:lang w:val="fr-FR"/>
        </w:rPr>
        <w:t>’</w:t>
      </w:r>
      <w:r w:rsidR="00236CDF" w:rsidRPr="002A2EA6">
        <w:rPr>
          <w:lang w:val="fr-FR"/>
        </w:rPr>
        <w:t>intention</w:t>
      </w:r>
      <w:r w:rsidRPr="002A2EA6">
        <w:rPr>
          <w:lang w:val="fr-FR"/>
        </w:rPr>
        <w:t xml:space="preserve"> </w:t>
      </w:r>
      <w:r w:rsidR="00B82895" w:rsidRPr="002A2EA6">
        <w:rPr>
          <w:lang w:val="fr-FR"/>
        </w:rPr>
        <w:t xml:space="preserve">des </w:t>
      </w:r>
      <w:r w:rsidRPr="002A2EA6">
        <w:rPr>
          <w:lang w:val="fr-FR"/>
        </w:rPr>
        <w:t xml:space="preserve">Parties, </w:t>
      </w:r>
      <w:r w:rsidR="00236CDF" w:rsidRPr="002A2EA6">
        <w:rPr>
          <w:lang w:val="fr-FR"/>
        </w:rPr>
        <w:t>y compris d</w:t>
      </w:r>
      <w:r w:rsidRPr="002A2EA6">
        <w:rPr>
          <w:lang w:val="fr-FR"/>
        </w:rPr>
        <w:t xml:space="preserve">es </w:t>
      </w:r>
      <w:r w:rsidR="00900122" w:rsidRPr="002A2EA6">
        <w:rPr>
          <w:lang w:val="fr-FR"/>
        </w:rPr>
        <w:t>procédures normalisées</w:t>
      </w:r>
      <w:r w:rsidR="00236CDF" w:rsidRPr="002A2EA6">
        <w:rPr>
          <w:lang w:val="fr-FR"/>
        </w:rPr>
        <w:t>, pour la</w:t>
      </w:r>
      <w:r w:rsidR="009D28CB" w:rsidRPr="002A2EA6">
        <w:rPr>
          <w:lang w:val="fr-FR"/>
        </w:rPr>
        <w:t> </w:t>
      </w:r>
      <w:r w:rsidR="00236CDF" w:rsidRPr="002A2EA6">
        <w:rPr>
          <w:lang w:val="fr-FR"/>
        </w:rPr>
        <w:t>surveillance du mercure</w:t>
      </w:r>
      <w:r w:rsidRPr="002A2EA6">
        <w:rPr>
          <w:lang w:val="fr-FR"/>
        </w:rPr>
        <w:t>.</w:t>
      </w:r>
    </w:p>
    <w:p w14:paraId="583D5D2B" w14:textId="2431D9BC" w:rsidR="00293AA4"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Plusieurs représentants ont évoqué des éléments des conclusions du groupe spécial d</w:t>
      </w:r>
      <w:r w:rsidR="00CA4DAC">
        <w:rPr>
          <w:lang w:val="fr-FR"/>
        </w:rPr>
        <w:t>’</w:t>
      </w:r>
      <w:r w:rsidRPr="002A2EA6">
        <w:rPr>
          <w:lang w:val="fr-FR"/>
        </w:rPr>
        <w:t>experts techniques qui justifieraient d</w:t>
      </w:r>
      <w:r w:rsidR="00CA4DAC">
        <w:rPr>
          <w:lang w:val="fr-FR"/>
        </w:rPr>
        <w:t>’</w:t>
      </w:r>
      <w:r w:rsidRPr="002A2EA6">
        <w:rPr>
          <w:lang w:val="fr-FR"/>
        </w:rPr>
        <w:t>engager des débats plus approfondis sur les indicateurs mis au point, le</w:t>
      </w:r>
      <w:r w:rsidR="00CE52B4" w:rsidRPr="002A2EA6">
        <w:rPr>
          <w:lang w:val="fr-FR"/>
        </w:rPr>
        <w:t> </w:t>
      </w:r>
      <w:r w:rsidRPr="002A2EA6">
        <w:rPr>
          <w:lang w:val="fr-FR"/>
        </w:rPr>
        <w:t>nombre d</w:t>
      </w:r>
      <w:r w:rsidR="00CA4DAC">
        <w:rPr>
          <w:lang w:val="fr-FR"/>
        </w:rPr>
        <w:t>’</w:t>
      </w:r>
      <w:r w:rsidRPr="002A2EA6">
        <w:rPr>
          <w:lang w:val="fr-FR"/>
        </w:rPr>
        <w:t>experts que chaque région des Nations Unies désignerait pour siéger au comité d</w:t>
      </w:r>
      <w:r w:rsidR="00CA4DAC">
        <w:rPr>
          <w:lang w:val="fr-FR"/>
        </w:rPr>
        <w:t>’</w:t>
      </w:r>
      <w:r w:rsidRPr="002A2EA6">
        <w:rPr>
          <w:lang w:val="fr-FR"/>
        </w:rPr>
        <w:t>évaluation de l</w:t>
      </w:r>
      <w:r w:rsidR="00CA4DAC">
        <w:rPr>
          <w:lang w:val="fr-FR"/>
        </w:rPr>
        <w:t>’</w:t>
      </w:r>
      <w:r w:rsidRPr="002A2EA6">
        <w:rPr>
          <w:lang w:val="fr-FR"/>
        </w:rPr>
        <w:t>efficacité et au groupe de surveillance, le calendrier et le contenu du rapport d</w:t>
      </w:r>
      <w:r w:rsidR="00CA4DAC">
        <w:rPr>
          <w:lang w:val="fr-FR"/>
        </w:rPr>
        <w:t>’</w:t>
      </w:r>
      <w:r w:rsidRPr="002A2EA6">
        <w:rPr>
          <w:lang w:val="fr-FR"/>
        </w:rPr>
        <w:t>attribution, et le rôle potentiel du renforcement des capacités, de l</w:t>
      </w:r>
      <w:r w:rsidR="00CA4DAC">
        <w:rPr>
          <w:lang w:val="fr-FR"/>
        </w:rPr>
        <w:t>’</w:t>
      </w:r>
      <w:r w:rsidRPr="002A2EA6">
        <w:rPr>
          <w:lang w:val="fr-FR"/>
        </w:rPr>
        <w:t xml:space="preserve">assistance technique et du transfert de technologies </w:t>
      </w:r>
      <w:r w:rsidR="007201A7" w:rsidRPr="002A2EA6">
        <w:rPr>
          <w:lang w:val="fr-FR"/>
        </w:rPr>
        <w:t xml:space="preserve">prévus </w:t>
      </w:r>
      <w:r w:rsidRPr="002A2EA6">
        <w:rPr>
          <w:lang w:val="fr-FR"/>
        </w:rPr>
        <w:t>à l</w:t>
      </w:r>
      <w:r w:rsidR="00CA4DAC">
        <w:rPr>
          <w:lang w:val="fr-FR"/>
        </w:rPr>
        <w:t>’</w:t>
      </w:r>
      <w:r w:rsidRPr="002A2EA6">
        <w:rPr>
          <w:lang w:val="fr-FR"/>
        </w:rPr>
        <w:t xml:space="preserve">article 14. À cet égard, un représentant, </w:t>
      </w:r>
      <w:r w:rsidR="00B20A7F" w:rsidRPr="002A2EA6">
        <w:rPr>
          <w:lang w:val="fr-FR"/>
        </w:rPr>
        <w:t xml:space="preserve">qui </w:t>
      </w:r>
      <w:r w:rsidRPr="002A2EA6">
        <w:rPr>
          <w:lang w:val="fr-FR"/>
        </w:rPr>
        <w:t>s</w:t>
      </w:r>
      <w:r w:rsidR="00CA4DAC">
        <w:rPr>
          <w:lang w:val="fr-FR"/>
        </w:rPr>
        <w:t>’</w:t>
      </w:r>
      <w:r w:rsidRPr="002A2EA6">
        <w:rPr>
          <w:lang w:val="fr-FR"/>
        </w:rPr>
        <w:t>exprima</w:t>
      </w:r>
      <w:r w:rsidR="00B20A7F" w:rsidRPr="002A2EA6">
        <w:rPr>
          <w:lang w:val="fr-FR"/>
        </w:rPr>
        <w:t>i</w:t>
      </w:r>
      <w:r w:rsidRPr="002A2EA6">
        <w:rPr>
          <w:lang w:val="fr-FR"/>
        </w:rPr>
        <w:t>t au nom d</w:t>
      </w:r>
      <w:r w:rsidR="00CA4DAC">
        <w:rPr>
          <w:lang w:val="fr-FR"/>
        </w:rPr>
        <w:t>’</w:t>
      </w:r>
      <w:r w:rsidRPr="002A2EA6">
        <w:rPr>
          <w:lang w:val="fr-FR"/>
        </w:rPr>
        <w:t>un groupe de pays, a déclaré que l</w:t>
      </w:r>
      <w:r w:rsidR="00CA4DAC">
        <w:rPr>
          <w:lang w:val="fr-FR"/>
        </w:rPr>
        <w:t>’</w:t>
      </w:r>
      <w:r w:rsidRPr="002A2EA6">
        <w:rPr>
          <w:lang w:val="fr-FR"/>
        </w:rPr>
        <w:t>évaluation de l</w:t>
      </w:r>
      <w:r w:rsidR="00CA4DAC">
        <w:rPr>
          <w:lang w:val="fr-FR"/>
        </w:rPr>
        <w:t>’</w:t>
      </w:r>
      <w:r w:rsidRPr="002A2EA6">
        <w:rPr>
          <w:lang w:val="fr-FR"/>
        </w:rPr>
        <w:t>efficacité constituait la clef de voûte de la</w:t>
      </w:r>
      <w:r w:rsidR="00CE52B4" w:rsidRPr="002A2EA6">
        <w:rPr>
          <w:lang w:val="fr-FR"/>
        </w:rPr>
        <w:t> </w:t>
      </w:r>
      <w:r w:rsidRPr="002A2EA6">
        <w:rPr>
          <w:lang w:val="fr-FR"/>
        </w:rPr>
        <w:t>Convention pour sa région et qu</w:t>
      </w:r>
      <w:r w:rsidR="00CA4DAC">
        <w:rPr>
          <w:lang w:val="fr-FR"/>
        </w:rPr>
        <w:t>’</w:t>
      </w:r>
      <w:r w:rsidRPr="002A2EA6">
        <w:rPr>
          <w:lang w:val="fr-FR"/>
        </w:rPr>
        <w:t>il fallait allouer des ressources suffisantes pour en assurer la</w:t>
      </w:r>
      <w:r w:rsidR="00CE52B4" w:rsidRPr="002A2EA6">
        <w:rPr>
          <w:lang w:val="fr-FR"/>
        </w:rPr>
        <w:t> </w:t>
      </w:r>
      <w:r w:rsidRPr="002A2EA6">
        <w:rPr>
          <w:lang w:val="fr-FR"/>
        </w:rPr>
        <w:t>réalisation. Une représentante a souligné qu</w:t>
      </w:r>
      <w:r w:rsidR="00CA4DAC">
        <w:rPr>
          <w:lang w:val="fr-FR"/>
        </w:rPr>
        <w:t>’</w:t>
      </w:r>
      <w:r w:rsidR="14D198CC" w:rsidRPr="002A2EA6">
        <w:rPr>
          <w:lang w:val="fr-FR"/>
        </w:rPr>
        <w:t>afin</w:t>
      </w:r>
      <w:r w:rsidRPr="002A2EA6">
        <w:rPr>
          <w:lang w:val="fr-FR"/>
        </w:rPr>
        <w:t xml:space="preserve"> de pouvoir tirer des conclusions précises et faisant autorité</w:t>
      </w:r>
      <w:r w:rsidR="6D186E72" w:rsidRPr="002A2EA6">
        <w:rPr>
          <w:lang w:val="fr-FR"/>
        </w:rPr>
        <w:t xml:space="preserve">, les données utilisées dans le rapport devraient être tirées des données officielles ou, </w:t>
      </w:r>
      <w:r w:rsidR="77B66CD1" w:rsidRPr="002A2EA6">
        <w:rPr>
          <w:lang w:val="fr-FR"/>
        </w:rPr>
        <w:t>en l</w:t>
      </w:r>
      <w:r w:rsidR="000C4B0B" w:rsidRPr="002A2EA6">
        <w:rPr>
          <w:lang w:val="fr-FR"/>
        </w:rPr>
        <w:t>eur</w:t>
      </w:r>
      <w:r w:rsidR="009D28CB" w:rsidRPr="002A2EA6">
        <w:rPr>
          <w:lang w:val="fr-FR"/>
        </w:rPr>
        <w:t> </w:t>
      </w:r>
      <w:r w:rsidR="77B66CD1" w:rsidRPr="002A2EA6">
        <w:rPr>
          <w:lang w:val="fr-FR"/>
        </w:rPr>
        <w:t>absence</w:t>
      </w:r>
      <w:r w:rsidR="6D186E72" w:rsidRPr="002A2EA6">
        <w:rPr>
          <w:lang w:val="fr-FR"/>
        </w:rPr>
        <w:t xml:space="preserve">, </w:t>
      </w:r>
      <w:r w:rsidR="000C4B0B" w:rsidRPr="002A2EA6">
        <w:rPr>
          <w:lang w:val="fr-FR"/>
        </w:rPr>
        <w:t xml:space="preserve">de données </w:t>
      </w:r>
      <w:r w:rsidR="6D186E72" w:rsidRPr="002A2EA6">
        <w:rPr>
          <w:lang w:val="fr-FR"/>
        </w:rPr>
        <w:t>appr</w:t>
      </w:r>
      <w:r w:rsidR="046E0C9A" w:rsidRPr="002A2EA6">
        <w:rPr>
          <w:lang w:val="fr-FR"/>
        </w:rPr>
        <w:t>ouvées par le gouvernement</w:t>
      </w:r>
      <w:r w:rsidRPr="002A2EA6">
        <w:rPr>
          <w:lang w:val="fr-FR"/>
        </w:rPr>
        <w:t>. Un autre représentant a déclaré que la</w:t>
      </w:r>
      <w:r w:rsidR="009D28CB" w:rsidRPr="002A2EA6">
        <w:rPr>
          <w:lang w:val="fr-FR"/>
        </w:rPr>
        <w:t> </w:t>
      </w:r>
      <w:r w:rsidRPr="002A2EA6">
        <w:rPr>
          <w:lang w:val="fr-FR"/>
        </w:rPr>
        <w:t xml:space="preserve">gestion écologiquement rationnelle des déchets </w:t>
      </w:r>
      <w:r w:rsidR="000C4B0B" w:rsidRPr="002A2EA6">
        <w:rPr>
          <w:lang w:val="fr-FR"/>
        </w:rPr>
        <w:t xml:space="preserve">gagnerait en </w:t>
      </w:r>
      <w:r w:rsidRPr="002A2EA6">
        <w:rPr>
          <w:lang w:val="fr-FR"/>
        </w:rPr>
        <w:t>importance avec l</w:t>
      </w:r>
      <w:r w:rsidR="00CA4DAC">
        <w:rPr>
          <w:lang w:val="fr-FR"/>
        </w:rPr>
        <w:t>’</w:t>
      </w:r>
      <w:r w:rsidRPr="002A2EA6">
        <w:rPr>
          <w:lang w:val="fr-FR"/>
        </w:rPr>
        <w:t>élimination progressive des produits contenant du mercure et que le rapport sur les déchets était donc essentiel pour évaluer l</w:t>
      </w:r>
      <w:r w:rsidR="00CA4DAC">
        <w:rPr>
          <w:lang w:val="fr-FR"/>
        </w:rPr>
        <w:t>’</w:t>
      </w:r>
      <w:r w:rsidRPr="002A2EA6">
        <w:rPr>
          <w:lang w:val="fr-FR"/>
        </w:rPr>
        <w:t>efficacité des articles 9 et</w:t>
      </w:r>
      <w:r w:rsidR="00C32F54" w:rsidRPr="002A2EA6">
        <w:rPr>
          <w:lang w:val="fr-FR"/>
        </w:rPr>
        <w:t> </w:t>
      </w:r>
      <w:r w:rsidRPr="002A2EA6">
        <w:rPr>
          <w:lang w:val="fr-FR"/>
        </w:rPr>
        <w:t>11.</w:t>
      </w:r>
      <w:r w:rsidR="00563B3D" w:rsidRPr="002A2EA6">
        <w:rPr>
          <w:lang w:val="fr-FR"/>
        </w:rPr>
        <w:t xml:space="preserve"> S</w:t>
      </w:r>
      <w:r w:rsidR="00CA4DAC">
        <w:rPr>
          <w:lang w:val="fr-FR"/>
        </w:rPr>
        <w:t>’</w:t>
      </w:r>
      <w:r w:rsidRPr="002A2EA6">
        <w:rPr>
          <w:lang w:val="fr-FR"/>
        </w:rPr>
        <w:t>exprimant au nom d</w:t>
      </w:r>
      <w:r w:rsidR="00CA4DAC">
        <w:rPr>
          <w:lang w:val="fr-FR"/>
        </w:rPr>
        <w:t>’</w:t>
      </w:r>
      <w:r w:rsidRPr="002A2EA6">
        <w:rPr>
          <w:lang w:val="fr-FR"/>
        </w:rPr>
        <w:t xml:space="preserve">un groupe de pays, </w:t>
      </w:r>
      <w:r w:rsidR="00563B3D" w:rsidRPr="002A2EA6">
        <w:rPr>
          <w:lang w:val="fr-FR"/>
        </w:rPr>
        <w:t xml:space="preserve">un représentant </w:t>
      </w:r>
      <w:r w:rsidRPr="002A2EA6">
        <w:rPr>
          <w:lang w:val="fr-FR"/>
        </w:rPr>
        <w:t>a souligné l</w:t>
      </w:r>
      <w:r w:rsidR="00CA4DAC">
        <w:rPr>
          <w:lang w:val="fr-FR"/>
        </w:rPr>
        <w:t>’</w:t>
      </w:r>
      <w:r w:rsidRPr="002A2EA6">
        <w:rPr>
          <w:lang w:val="fr-FR"/>
        </w:rPr>
        <w:t>importance de la surveillance des concentrations de mercure dans les systèmes aquatiques d</w:t>
      </w:r>
      <w:r w:rsidR="00CA4DAC">
        <w:rPr>
          <w:lang w:val="fr-FR"/>
        </w:rPr>
        <w:t>’</w:t>
      </w:r>
      <w:r w:rsidRPr="002A2EA6">
        <w:rPr>
          <w:lang w:val="fr-FR"/>
        </w:rPr>
        <w:t>eau douce, tandis qu</w:t>
      </w:r>
      <w:r w:rsidR="00CA4DAC">
        <w:rPr>
          <w:lang w:val="fr-FR"/>
        </w:rPr>
        <w:t>’</w:t>
      </w:r>
      <w:r w:rsidRPr="002A2EA6">
        <w:rPr>
          <w:lang w:val="fr-FR"/>
        </w:rPr>
        <w:t xml:space="preserve">une représentante a </w:t>
      </w:r>
      <w:r w:rsidR="00280967" w:rsidRPr="002A2EA6">
        <w:rPr>
          <w:lang w:val="fr-FR"/>
        </w:rPr>
        <w:t>relevé l</w:t>
      </w:r>
      <w:r w:rsidR="00CA4DAC">
        <w:rPr>
          <w:lang w:val="fr-FR"/>
        </w:rPr>
        <w:t>’</w:t>
      </w:r>
      <w:r w:rsidR="00280967" w:rsidRPr="002A2EA6">
        <w:rPr>
          <w:lang w:val="fr-FR"/>
        </w:rPr>
        <w:t xml:space="preserve">intérêt </w:t>
      </w:r>
      <w:r w:rsidRPr="002A2EA6">
        <w:rPr>
          <w:lang w:val="fr-FR"/>
        </w:rPr>
        <w:t>de la surveillance biologique du mercure pour les petits États insulaires en développement.</w:t>
      </w:r>
    </w:p>
    <w:p w14:paraId="2A7725A6" w14:textId="6D5F570E" w:rsidR="003D0299"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Des représentants d</w:t>
      </w:r>
      <w:r w:rsidR="00CA4DAC">
        <w:rPr>
          <w:lang w:val="fr-FR"/>
        </w:rPr>
        <w:t>’</w:t>
      </w:r>
      <w:r w:rsidRPr="002A2EA6">
        <w:rPr>
          <w:lang w:val="fr-FR"/>
        </w:rPr>
        <w:t>organisations non gouvernementales ont appelé l</w:t>
      </w:r>
      <w:r w:rsidR="00CA4DAC">
        <w:rPr>
          <w:lang w:val="fr-FR"/>
        </w:rPr>
        <w:t>’</w:t>
      </w:r>
      <w:r w:rsidRPr="002A2EA6">
        <w:rPr>
          <w:lang w:val="fr-FR"/>
        </w:rPr>
        <w:t xml:space="preserve">attention </w:t>
      </w:r>
      <w:r w:rsidR="00280967" w:rsidRPr="002A2EA6">
        <w:rPr>
          <w:lang w:val="fr-FR"/>
        </w:rPr>
        <w:t xml:space="preserve">des participants </w:t>
      </w:r>
      <w:r w:rsidRPr="002A2EA6">
        <w:rPr>
          <w:lang w:val="fr-FR"/>
        </w:rPr>
        <w:t>sur plusieurs questions préoccupantes, notamment le danger inhérent à de fortes teneurs en mercure dans les eaux douces et la nécessité d</w:t>
      </w:r>
      <w:r w:rsidR="00CA4DAC">
        <w:rPr>
          <w:lang w:val="fr-FR"/>
        </w:rPr>
        <w:t>’</w:t>
      </w:r>
      <w:r w:rsidRPr="002A2EA6">
        <w:rPr>
          <w:lang w:val="fr-FR"/>
        </w:rPr>
        <w:t>aligner les études sur la pollution par le mercure sur l</w:t>
      </w:r>
      <w:r w:rsidR="00CA4DAC">
        <w:rPr>
          <w:lang w:val="fr-FR"/>
        </w:rPr>
        <w:t>’</w:t>
      </w:r>
      <w:r w:rsidRPr="002A2EA6">
        <w:rPr>
          <w:lang w:val="fr-FR"/>
        </w:rPr>
        <w:t>objectif de développement durable</w:t>
      </w:r>
      <w:r w:rsidR="008B687E" w:rsidRPr="002A2EA6">
        <w:rPr>
          <w:lang w:val="fr-FR"/>
        </w:rPr>
        <w:t> </w:t>
      </w:r>
      <w:r w:rsidRPr="002A2EA6">
        <w:rPr>
          <w:lang w:val="fr-FR"/>
        </w:rPr>
        <w:t>6 relatif à l</w:t>
      </w:r>
      <w:r w:rsidR="00CA4DAC">
        <w:rPr>
          <w:lang w:val="fr-FR"/>
        </w:rPr>
        <w:t>’</w:t>
      </w:r>
      <w:r w:rsidRPr="002A2EA6">
        <w:rPr>
          <w:lang w:val="fr-FR"/>
        </w:rPr>
        <w:t xml:space="preserve">eau </w:t>
      </w:r>
      <w:r w:rsidR="00052037">
        <w:rPr>
          <w:lang w:val="fr-FR"/>
        </w:rPr>
        <w:t>potable</w:t>
      </w:r>
      <w:r w:rsidR="00C32F54" w:rsidRPr="002A2EA6">
        <w:rPr>
          <w:lang w:val="fr-FR"/>
        </w:rPr>
        <w:t> </w:t>
      </w:r>
      <w:r w:rsidR="631BDA25" w:rsidRPr="002A2EA6">
        <w:rPr>
          <w:lang w:val="fr-FR"/>
        </w:rPr>
        <w:t>;</w:t>
      </w:r>
      <w:r w:rsidRPr="002A2EA6">
        <w:rPr>
          <w:lang w:val="fr-FR"/>
        </w:rPr>
        <w:t xml:space="preserve"> et l</w:t>
      </w:r>
      <w:r w:rsidR="00CA4DAC">
        <w:rPr>
          <w:lang w:val="fr-FR"/>
        </w:rPr>
        <w:t>’</w:t>
      </w:r>
      <w:r w:rsidRPr="002A2EA6">
        <w:rPr>
          <w:lang w:val="fr-FR"/>
        </w:rPr>
        <w:t>accumulation du mercure transporté sur de longues distances dans l</w:t>
      </w:r>
      <w:r w:rsidR="00CA4DAC">
        <w:rPr>
          <w:lang w:val="fr-FR"/>
        </w:rPr>
        <w:t>’</w:t>
      </w:r>
      <w:r w:rsidRPr="002A2EA6">
        <w:rPr>
          <w:lang w:val="fr-FR"/>
        </w:rPr>
        <w:t>environnement arctique, qui nécessite de nouvelles activités de surveillance et de recherche pour déterminer les niveaux d</w:t>
      </w:r>
      <w:r w:rsidR="00CA4DAC">
        <w:rPr>
          <w:lang w:val="fr-FR"/>
        </w:rPr>
        <w:t>’</w:t>
      </w:r>
      <w:r w:rsidRPr="002A2EA6">
        <w:rPr>
          <w:lang w:val="fr-FR"/>
        </w:rPr>
        <w:t>exposition et surveiller les tendances.</w:t>
      </w:r>
    </w:p>
    <w:p w14:paraId="391D539A" w14:textId="2A27C1C0" w:rsidR="003D0299"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du PNUE a indiqué que l</w:t>
      </w:r>
      <w:r w:rsidR="00CA4DAC">
        <w:rPr>
          <w:lang w:val="fr-FR"/>
        </w:rPr>
        <w:t>’</w:t>
      </w:r>
      <w:r w:rsidRPr="002A2EA6">
        <w:rPr>
          <w:lang w:val="fr-FR"/>
        </w:rPr>
        <w:t>organisation, en collaboration avec ses partenaires</w:t>
      </w:r>
      <w:r w:rsidR="1B7FD24E" w:rsidRPr="002A2EA6">
        <w:rPr>
          <w:lang w:val="fr-FR"/>
        </w:rPr>
        <w:t>, y</w:t>
      </w:r>
      <w:r w:rsidR="00C32F54" w:rsidRPr="002A2EA6">
        <w:rPr>
          <w:lang w:val="fr-FR"/>
        </w:rPr>
        <w:t> </w:t>
      </w:r>
      <w:r w:rsidR="1B7FD24E" w:rsidRPr="002A2EA6">
        <w:rPr>
          <w:lang w:val="fr-FR"/>
        </w:rPr>
        <w:t>compris l</w:t>
      </w:r>
      <w:r w:rsidR="00CA4DAC">
        <w:rPr>
          <w:lang w:val="fr-FR"/>
        </w:rPr>
        <w:t>’</w:t>
      </w:r>
      <w:r w:rsidR="1B7FD24E" w:rsidRPr="002A2EA6">
        <w:rPr>
          <w:lang w:val="fr-FR"/>
        </w:rPr>
        <w:t>OMS,</w:t>
      </w:r>
      <w:r w:rsidRPr="002A2EA6">
        <w:rPr>
          <w:lang w:val="fr-FR"/>
        </w:rPr>
        <w:t xml:space="preserve"> et avec </w:t>
      </w:r>
      <w:r w:rsidR="00B7400A" w:rsidRPr="002A2EA6">
        <w:rPr>
          <w:lang w:val="fr-FR"/>
        </w:rPr>
        <w:t xml:space="preserve">le concours </w:t>
      </w:r>
      <w:r w:rsidRPr="002A2EA6">
        <w:rPr>
          <w:lang w:val="fr-FR"/>
        </w:rPr>
        <w:t xml:space="preserve">du FEM, avait élaboré un plan </w:t>
      </w:r>
      <w:r w:rsidR="00D37639" w:rsidRPr="002A2EA6">
        <w:rPr>
          <w:lang w:val="fr-FR"/>
        </w:rPr>
        <w:t xml:space="preserve">de </w:t>
      </w:r>
      <w:r w:rsidRPr="002A2EA6">
        <w:rPr>
          <w:lang w:val="fr-FR"/>
        </w:rPr>
        <w:t>surveillance mondiale de l</w:t>
      </w:r>
      <w:r w:rsidR="00CA4DAC">
        <w:rPr>
          <w:lang w:val="fr-FR"/>
        </w:rPr>
        <w:t>’</w:t>
      </w:r>
      <w:r w:rsidRPr="002A2EA6">
        <w:rPr>
          <w:lang w:val="fr-FR"/>
        </w:rPr>
        <w:t>exposition humaine au mercure et des concentrations de mercure dans l</w:t>
      </w:r>
      <w:r w:rsidR="00CA4DAC">
        <w:rPr>
          <w:lang w:val="fr-FR"/>
        </w:rPr>
        <w:t>’</w:t>
      </w:r>
      <w:r w:rsidRPr="002A2EA6">
        <w:rPr>
          <w:lang w:val="fr-FR"/>
        </w:rPr>
        <w:t>environnement, comme indiqué dans le document</w:t>
      </w:r>
      <w:r w:rsidR="00D8601E" w:rsidRPr="002A2EA6">
        <w:rPr>
          <w:lang w:val="fr-FR"/>
        </w:rPr>
        <w:t> </w:t>
      </w:r>
      <w:r w:rsidRPr="002A2EA6">
        <w:rPr>
          <w:lang w:val="fr-FR"/>
        </w:rPr>
        <w:t xml:space="preserve">UNEP/MC/COP.3/INF/19. Il a également </w:t>
      </w:r>
      <w:r w:rsidR="00D37639" w:rsidRPr="002A2EA6">
        <w:rPr>
          <w:lang w:val="fr-FR"/>
        </w:rPr>
        <w:t xml:space="preserve">évoqué </w:t>
      </w:r>
      <w:r w:rsidRPr="002A2EA6">
        <w:rPr>
          <w:lang w:val="fr-FR"/>
        </w:rPr>
        <w:t>l</w:t>
      </w:r>
      <w:r w:rsidR="00CA4DAC">
        <w:rPr>
          <w:lang w:val="fr-FR"/>
        </w:rPr>
        <w:t>’</w:t>
      </w:r>
      <w:r w:rsidRPr="002A2EA6">
        <w:rPr>
          <w:lang w:val="fr-FR"/>
        </w:rPr>
        <w:t xml:space="preserve">Évaluation mondiale du mercure réalisée par le PNUE en 2018, dans laquelle </w:t>
      </w:r>
      <w:r w:rsidR="00D37639" w:rsidRPr="002A2EA6">
        <w:rPr>
          <w:lang w:val="fr-FR"/>
        </w:rPr>
        <w:t xml:space="preserve">avaient </w:t>
      </w:r>
      <w:r w:rsidRPr="002A2EA6">
        <w:rPr>
          <w:lang w:val="fr-FR"/>
        </w:rPr>
        <w:t>été données des estimations sur les</w:t>
      </w:r>
      <w:r w:rsidR="00D8601E" w:rsidRPr="002A2EA6">
        <w:rPr>
          <w:lang w:val="fr-FR"/>
        </w:rPr>
        <w:t> </w:t>
      </w:r>
      <w:r w:rsidRPr="002A2EA6">
        <w:rPr>
          <w:lang w:val="fr-FR"/>
        </w:rPr>
        <w:t>émissions de mercure par secteur et par pays.</w:t>
      </w:r>
    </w:p>
    <w:p w14:paraId="75D9A531" w14:textId="4C05F984" w:rsidR="009573BC"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 xml:space="preserve">issue des débats, la Conférence des Parties </w:t>
      </w:r>
      <w:r w:rsidR="0086734C" w:rsidRPr="002A2EA6">
        <w:rPr>
          <w:lang w:val="fr-FR"/>
        </w:rPr>
        <w:t xml:space="preserve">a décidé </w:t>
      </w:r>
      <w:r w:rsidRPr="002A2EA6">
        <w:rPr>
          <w:lang w:val="fr-FR"/>
        </w:rPr>
        <w:t>de créer un groupe de contact</w:t>
      </w:r>
      <w:r w:rsidR="21391B72" w:rsidRPr="002A2EA6">
        <w:rPr>
          <w:lang w:val="fr-FR"/>
        </w:rPr>
        <w:t xml:space="preserve"> sur l</w:t>
      </w:r>
      <w:r w:rsidR="00CA4DAC">
        <w:rPr>
          <w:lang w:val="fr-FR"/>
        </w:rPr>
        <w:t>’</w:t>
      </w:r>
      <w:r w:rsidR="21391B72" w:rsidRPr="002A2EA6">
        <w:rPr>
          <w:lang w:val="fr-FR"/>
        </w:rPr>
        <w:t>évaluation de l</w:t>
      </w:r>
      <w:r w:rsidR="00CA4DAC">
        <w:rPr>
          <w:lang w:val="fr-FR"/>
        </w:rPr>
        <w:t>’</w:t>
      </w:r>
      <w:r w:rsidR="21391B72" w:rsidRPr="002A2EA6">
        <w:rPr>
          <w:lang w:val="fr-FR"/>
        </w:rPr>
        <w:t>efficacité</w:t>
      </w:r>
      <w:r w:rsidRPr="002A2EA6">
        <w:rPr>
          <w:lang w:val="fr-FR"/>
        </w:rPr>
        <w:t>, coprésidé par Kateřina</w:t>
      </w:r>
      <w:r w:rsidR="00D8601E" w:rsidRPr="002A2EA6">
        <w:rPr>
          <w:lang w:val="fr-FR"/>
        </w:rPr>
        <w:t> </w:t>
      </w:r>
      <w:r w:rsidRPr="002A2EA6">
        <w:rPr>
          <w:lang w:val="fr-FR"/>
        </w:rPr>
        <w:t>Šebková</w:t>
      </w:r>
      <w:r w:rsidR="00D8601E" w:rsidRPr="002A2EA6">
        <w:rPr>
          <w:lang w:val="fr-FR"/>
        </w:rPr>
        <w:t xml:space="preserve"> </w:t>
      </w:r>
      <w:r w:rsidRPr="002A2EA6">
        <w:rPr>
          <w:lang w:val="fr-FR"/>
        </w:rPr>
        <w:t>(Tchéquie) et Teeraporn</w:t>
      </w:r>
      <w:r w:rsidR="00D8601E" w:rsidRPr="002A2EA6">
        <w:rPr>
          <w:lang w:val="fr-FR"/>
        </w:rPr>
        <w:t> </w:t>
      </w:r>
      <w:r w:rsidRPr="002A2EA6">
        <w:rPr>
          <w:lang w:val="fr-FR"/>
        </w:rPr>
        <w:t>Wiriwutikorn (Thaïlande)</w:t>
      </w:r>
      <w:r w:rsidR="00E14DC6">
        <w:rPr>
          <w:lang w:val="fr-FR"/>
        </w:rPr>
        <w:t xml:space="preserve"> </w:t>
      </w:r>
      <w:r w:rsidR="00E14DC6" w:rsidDel="0081262B">
        <w:rPr>
          <w:lang w:val="fr-FR"/>
        </w:rPr>
        <w:t xml:space="preserve">et </w:t>
      </w:r>
      <w:r w:rsidR="00E14DC6">
        <w:rPr>
          <w:lang w:val="fr-FR"/>
        </w:rPr>
        <w:t>chargé</w:t>
      </w:r>
      <w:r w:rsidRPr="002A2EA6">
        <w:rPr>
          <w:lang w:val="fr-FR"/>
        </w:rPr>
        <w:t xml:space="preserve"> de régler toutes les questions en suspens relatives au projet de cadre pour l</w:t>
      </w:r>
      <w:r w:rsidR="00CA4DAC">
        <w:rPr>
          <w:lang w:val="fr-FR"/>
        </w:rPr>
        <w:t>’</w:t>
      </w:r>
      <w:r w:rsidRPr="002A2EA6">
        <w:rPr>
          <w:lang w:val="fr-FR"/>
        </w:rPr>
        <w:t>évaluation de l</w:t>
      </w:r>
      <w:r w:rsidR="00CA4DAC">
        <w:rPr>
          <w:lang w:val="fr-FR"/>
        </w:rPr>
        <w:t>’</w:t>
      </w:r>
      <w:r w:rsidRPr="002A2EA6">
        <w:rPr>
          <w:lang w:val="fr-FR"/>
        </w:rPr>
        <w:t>efficacité</w:t>
      </w:r>
      <w:r w:rsidR="009E425C" w:rsidRPr="002A2EA6">
        <w:rPr>
          <w:lang w:val="fr-FR"/>
        </w:rPr>
        <w:t> </w:t>
      </w:r>
      <w:r w:rsidR="631BDA25" w:rsidRPr="002A2EA6">
        <w:rPr>
          <w:lang w:val="fr-FR"/>
        </w:rPr>
        <w:t>;</w:t>
      </w:r>
      <w:r w:rsidRPr="002A2EA6">
        <w:rPr>
          <w:lang w:val="fr-FR"/>
        </w:rPr>
        <w:t xml:space="preserve"> de parvenir à un accord sur les travaux à mener entre les</w:t>
      </w:r>
      <w:r w:rsidR="00D8601E" w:rsidRPr="002A2EA6">
        <w:rPr>
          <w:lang w:val="fr-FR"/>
        </w:rPr>
        <w:t> </w:t>
      </w:r>
      <w:r w:rsidRPr="002A2EA6">
        <w:rPr>
          <w:lang w:val="fr-FR"/>
        </w:rPr>
        <w:t>troisième et quatrième</w:t>
      </w:r>
      <w:r w:rsidR="00C32F54" w:rsidRPr="002A2EA6">
        <w:rPr>
          <w:lang w:val="fr-FR"/>
        </w:rPr>
        <w:t> </w:t>
      </w:r>
      <w:r w:rsidRPr="002A2EA6">
        <w:rPr>
          <w:lang w:val="fr-FR"/>
        </w:rPr>
        <w:t>réunions de la Conférence des Parties</w:t>
      </w:r>
      <w:r w:rsidR="009E425C" w:rsidRPr="002A2EA6">
        <w:rPr>
          <w:lang w:val="fr-FR"/>
        </w:rPr>
        <w:t> </w:t>
      </w:r>
      <w:r w:rsidR="631BDA25" w:rsidRPr="002A2EA6">
        <w:rPr>
          <w:lang w:val="fr-FR"/>
        </w:rPr>
        <w:t>;</w:t>
      </w:r>
      <w:r w:rsidRPr="002A2EA6">
        <w:rPr>
          <w:lang w:val="fr-FR"/>
        </w:rPr>
        <w:t xml:space="preserve"> et, en se fondant sur le projet de décision figurant à l</w:t>
      </w:r>
      <w:r w:rsidR="00CA4DAC">
        <w:rPr>
          <w:lang w:val="fr-FR"/>
        </w:rPr>
        <w:t>’</w:t>
      </w:r>
      <w:r w:rsidRPr="002A2EA6">
        <w:rPr>
          <w:lang w:val="fr-FR"/>
        </w:rPr>
        <w:t>annexe I du document UNEP/MC/COP.3/14, d</w:t>
      </w:r>
      <w:r w:rsidR="00CA4DAC">
        <w:rPr>
          <w:lang w:val="fr-FR"/>
        </w:rPr>
        <w:t>’</w:t>
      </w:r>
      <w:r w:rsidRPr="002A2EA6">
        <w:rPr>
          <w:lang w:val="fr-FR"/>
        </w:rPr>
        <w:t>établir une version révisée du projet de décision sur les dispositions relatives à la première</w:t>
      </w:r>
      <w:r w:rsidR="0081558F" w:rsidRPr="002A2EA6">
        <w:rPr>
          <w:lang w:val="fr-FR"/>
        </w:rPr>
        <w:t> </w:t>
      </w:r>
      <w:r w:rsidRPr="002A2EA6">
        <w:rPr>
          <w:lang w:val="fr-FR"/>
        </w:rPr>
        <w:t>évaluation de l</w:t>
      </w:r>
      <w:r w:rsidR="00CA4DAC">
        <w:rPr>
          <w:lang w:val="fr-FR"/>
        </w:rPr>
        <w:t>’</w:t>
      </w:r>
      <w:r w:rsidRPr="002A2EA6">
        <w:rPr>
          <w:lang w:val="fr-FR"/>
        </w:rPr>
        <w:t>efficacité de la</w:t>
      </w:r>
      <w:r w:rsidR="0081558F" w:rsidRPr="002A2EA6">
        <w:rPr>
          <w:lang w:val="fr-FR"/>
        </w:rPr>
        <w:t> </w:t>
      </w:r>
      <w:r w:rsidRPr="002A2EA6">
        <w:rPr>
          <w:lang w:val="fr-FR"/>
        </w:rPr>
        <w:t>Convention de Minamata, y</w:t>
      </w:r>
      <w:r w:rsidR="00BE13DE">
        <w:rPr>
          <w:lang w:val="fr-FR"/>
        </w:rPr>
        <w:t> </w:t>
      </w:r>
      <w:r w:rsidRPr="002A2EA6">
        <w:rPr>
          <w:lang w:val="fr-FR"/>
        </w:rPr>
        <w:t>compris la</w:t>
      </w:r>
      <w:r w:rsidR="00CE52B4" w:rsidRPr="002A2EA6">
        <w:rPr>
          <w:lang w:val="fr-FR"/>
        </w:rPr>
        <w:t> </w:t>
      </w:r>
      <w:r w:rsidRPr="002A2EA6">
        <w:rPr>
          <w:lang w:val="fr-FR"/>
        </w:rPr>
        <w:t>description du cadre, le mandat du comité qui sera</w:t>
      </w:r>
      <w:r w:rsidR="0057216B" w:rsidRPr="002A2EA6">
        <w:rPr>
          <w:lang w:val="fr-FR"/>
        </w:rPr>
        <w:t>it</w:t>
      </w:r>
      <w:r w:rsidRPr="002A2EA6">
        <w:rPr>
          <w:lang w:val="fr-FR"/>
        </w:rPr>
        <w:t xml:space="preserve"> créé pour réaliser l</w:t>
      </w:r>
      <w:r w:rsidR="00CA4DAC">
        <w:rPr>
          <w:lang w:val="fr-FR"/>
        </w:rPr>
        <w:t>’</w:t>
      </w:r>
      <w:r w:rsidRPr="002A2EA6">
        <w:rPr>
          <w:lang w:val="fr-FR"/>
        </w:rPr>
        <w:t>évaluation de l</w:t>
      </w:r>
      <w:r w:rsidR="00CA4DAC">
        <w:rPr>
          <w:lang w:val="fr-FR"/>
        </w:rPr>
        <w:t>’</w:t>
      </w:r>
      <w:r w:rsidRPr="002A2EA6">
        <w:rPr>
          <w:lang w:val="fr-FR"/>
        </w:rPr>
        <w:t>efficacité, les arrangements mondiaux en matière de surveillance et une</w:t>
      </w:r>
      <w:r w:rsidR="0081558F" w:rsidRPr="002A2EA6">
        <w:rPr>
          <w:lang w:val="fr-FR"/>
        </w:rPr>
        <w:t> </w:t>
      </w:r>
      <w:r w:rsidRPr="002A2EA6">
        <w:rPr>
          <w:lang w:val="fr-FR"/>
        </w:rPr>
        <w:t xml:space="preserve">description des rapports à établir </w:t>
      </w:r>
      <w:r w:rsidR="000B3034" w:rsidRPr="002A2EA6">
        <w:rPr>
          <w:lang w:val="fr-FR"/>
        </w:rPr>
        <w:t>à l</w:t>
      </w:r>
      <w:r w:rsidR="00CA4DAC">
        <w:rPr>
          <w:lang w:val="fr-FR"/>
        </w:rPr>
        <w:t>’</w:t>
      </w:r>
      <w:r w:rsidR="000B3034" w:rsidRPr="002A2EA6">
        <w:rPr>
          <w:lang w:val="fr-FR"/>
        </w:rPr>
        <w:t xml:space="preserve">intention du </w:t>
      </w:r>
      <w:r w:rsidRPr="002A2EA6">
        <w:rPr>
          <w:lang w:val="fr-FR"/>
        </w:rPr>
        <w:t>comité.</w:t>
      </w:r>
    </w:p>
    <w:p w14:paraId="375BE35C" w14:textId="4170227B" w:rsidR="481E26CA" w:rsidRPr="002A2EA6" w:rsidRDefault="481E26CA" w:rsidP="0090074E">
      <w:pPr>
        <w:pStyle w:val="Normalnumber"/>
        <w:keepNext/>
        <w:keepLines/>
        <w:numPr>
          <w:ilvl w:val="0"/>
          <w:numId w:val="42"/>
        </w:numPr>
        <w:tabs>
          <w:tab w:val="clear" w:pos="1814"/>
          <w:tab w:val="left" w:pos="1843"/>
          <w:tab w:val="left" w:pos="1985"/>
        </w:tabs>
        <w:ind w:left="1287" w:hanging="28"/>
        <w:rPr>
          <w:lang w:val="fr-FR"/>
        </w:rPr>
      </w:pPr>
      <w:r w:rsidRPr="002A2EA6">
        <w:rPr>
          <w:lang w:val="fr-FR"/>
        </w:rPr>
        <w:lastRenderedPageBreak/>
        <w:t>À l</w:t>
      </w:r>
      <w:r w:rsidR="00CA4DAC">
        <w:rPr>
          <w:lang w:val="fr-FR"/>
        </w:rPr>
        <w:t>’</w:t>
      </w:r>
      <w:r w:rsidRPr="002A2EA6">
        <w:rPr>
          <w:lang w:val="fr-FR"/>
        </w:rPr>
        <w:t>issue des travaux menés par le groupe de contact sur l</w:t>
      </w:r>
      <w:r w:rsidR="00CA4DAC">
        <w:rPr>
          <w:lang w:val="fr-FR"/>
        </w:rPr>
        <w:t>’</w:t>
      </w:r>
      <w:r w:rsidRPr="002A2EA6">
        <w:rPr>
          <w:lang w:val="fr-FR"/>
        </w:rPr>
        <w:t>évaluation de l</w:t>
      </w:r>
      <w:r w:rsidR="00CA4DAC">
        <w:rPr>
          <w:lang w:val="fr-FR"/>
        </w:rPr>
        <w:t>’</w:t>
      </w:r>
      <w:r w:rsidRPr="002A2EA6">
        <w:rPr>
          <w:lang w:val="fr-FR"/>
        </w:rPr>
        <w:t>efficacité en vue d</w:t>
      </w:r>
      <w:r w:rsidR="00CA4DAC">
        <w:rPr>
          <w:lang w:val="fr-FR"/>
        </w:rPr>
        <w:t>’</w:t>
      </w:r>
      <w:r w:rsidRPr="002A2EA6">
        <w:rPr>
          <w:lang w:val="fr-FR"/>
        </w:rPr>
        <w:t>élaborer un projet de décision pour examen par la Conférence des Parties et par suite de consultations informelles approfondies, le Président a présenté à la Conférence des Parties, pour examen, un projet de décision sur les modalités de la première évaluation de l</w:t>
      </w:r>
      <w:r w:rsidR="00CA4DAC">
        <w:rPr>
          <w:lang w:val="fr-FR"/>
        </w:rPr>
        <w:t>’</w:t>
      </w:r>
      <w:r w:rsidRPr="002A2EA6">
        <w:rPr>
          <w:lang w:val="fr-FR"/>
        </w:rPr>
        <w:t>efficacité de la</w:t>
      </w:r>
      <w:r w:rsidR="000F2E9F" w:rsidRPr="002A2EA6">
        <w:rPr>
          <w:lang w:val="fr-FR"/>
        </w:rPr>
        <w:t> </w:t>
      </w:r>
      <w:r w:rsidRPr="002A2EA6">
        <w:rPr>
          <w:lang w:val="fr-FR"/>
        </w:rPr>
        <w:t>Convention. Par la suite, la Conférence des Parties a adopté la décision</w:t>
      </w:r>
      <w:r w:rsidR="00C32F54" w:rsidRPr="002A2EA6">
        <w:rPr>
          <w:lang w:val="fr-FR"/>
        </w:rPr>
        <w:t> </w:t>
      </w:r>
      <w:r w:rsidRPr="002A2EA6">
        <w:rPr>
          <w:lang w:val="fr-FR"/>
        </w:rPr>
        <w:t>MC</w:t>
      </w:r>
      <w:r w:rsidR="001A0333" w:rsidRPr="002A2EA6">
        <w:rPr>
          <w:lang w:val="fr-FR"/>
        </w:rPr>
        <w:noBreakHyphen/>
      </w:r>
      <w:r w:rsidRPr="002A2EA6">
        <w:rPr>
          <w:lang w:val="fr-FR"/>
        </w:rPr>
        <w:t xml:space="preserve">3/10 </w:t>
      </w:r>
      <w:r w:rsidR="00993949" w:rsidRPr="002A2EA6">
        <w:rPr>
          <w:lang w:val="fr-FR"/>
        </w:rPr>
        <w:t>(M</w:t>
      </w:r>
      <w:r w:rsidRPr="002A2EA6">
        <w:rPr>
          <w:lang w:val="fr-FR"/>
        </w:rPr>
        <w:t>odalités de la</w:t>
      </w:r>
      <w:r w:rsidR="000F2E9F" w:rsidRPr="002A2EA6">
        <w:rPr>
          <w:lang w:val="fr-FR"/>
        </w:rPr>
        <w:t> </w:t>
      </w:r>
      <w:r w:rsidRPr="002A2EA6">
        <w:rPr>
          <w:lang w:val="fr-FR"/>
        </w:rPr>
        <w:t>première</w:t>
      </w:r>
      <w:r w:rsidR="000F2E9F" w:rsidRPr="002A2EA6">
        <w:rPr>
          <w:lang w:val="fr-FR"/>
        </w:rPr>
        <w:t> </w:t>
      </w:r>
      <w:r w:rsidRPr="002A2EA6">
        <w:rPr>
          <w:lang w:val="fr-FR"/>
        </w:rPr>
        <w:t>évaluation de l</w:t>
      </w:r>
      <w:r w:rsidR="00CA4DAC">
        <w:rPr>
          <w:lang w:val="fr-FR"/>
        </w:rPr>
        <w:t>’</w:t>
      </w:r>
      <w:r w:rsidRPr="002A2EA6">
        <w:rPr>
          <w:lang w:val="fr-FR"/>
        </w:rPr>
        <w:t>efficacité de la Convention</w:t>
      </w:r>
      <w:r w:rsidR="00934F8C" w:rsidRPr="002A2EA6">
        <w:rPr>
          <w:lang w:val="fr-FR"/>
        </w:rPr>
        <w:t xml:space="preserve"> de Minamata</w:t>
      </w:r>
      <w:r w:rsidR="001C4AE5">
        <w:rPr>
          <w:lang w:val="fr-FR"/>
        </w:rPr>
        <w:t xml:space="preserve"> sur le mercure</w:t>
      </w:r>
      <w:r w:rsidR="00993949" w:rsidRPr="002A2EA6">
        <w:rPr>
          <w:lang w:val="fr-FR"/>
        </w:rPr>
        <w:t>)</w:t>
      </w:r>
      <w:r w:rsidRPr="002A2EA6">
        <w:rPr>
          <w:lang w:val="fr-FR"/>
        </w:rPr>
        <w:t>, qui figure dans l</w:t>
      </w:r>
      <w:r w:rsidR="00CA4DAC">
        <w:rPr>
          <w:lang w:val="fr-FR"/>
        </w:rPr>
        <w:t>’</w:t>
      </w:r>
      <w:r w:rsidRPr="002A2EA6">
        <w:rPr>
          <w:lang w:val="fr-FR"/>
        </w:rPr>
        <w:t>annexe du</w:t>
      </w:r>
      <w:r w:rsidR="000F2E9F" w:rsidRPr="002A2EA6">
        <w:rPr>
          <w:lang w:val="fr-FR"/>
        </w:rPr>
        <w:t> </w:t>
      </w:r>
      <w:r w:rsidRPr="002A2EA6">
        <w:rPr>
          <w:lang w:val="fr-FR"/>
        </w:rPr>
        <w:t>présent rapport.</w:t>
      </w:r>
    </w:p>
    <w:p w14:paraId="02F61A71" w14:textId="36476274" w:rsidR="003D0299" w:rsidRPr="002A2EA6" w:rsidRDefault="00CE52B4" w:rsidP="00CE52B4">
      <w:pPr>
        <w:pStyle w:val="CH2"/>
        <w:rPr>
          <w:lang w:val="fr-FR"/>
        </w:rPr>
      </w:pPr>
      <w:r w:rsidRPr="002A2EA6">
        <w:rPr>
          <w:lang w:val="fr-FR"/>
        </w:rPr>
        <w:tab/>
      </w:r>
      <w:bookmarkStart w:id="42" w:name="_Toc39063344"/>
      <w:r w:rsidRPr="002A2EA6">
        <w:rPr>
          <w:lang w:val="fr-FR"/>
        </w:rPr>
        <w:t>I.</w:t>
      </w:r>
      <w:r w:rsidRPr="002A2EA6">
        <w:rPr>
          <w:lang w:val="fr-FR"/>
        </w:rPr>
        <w:tab/>
      </w:r>
      <w:r w:rsidR="00F273CE" w:rsidRPr="002A2EA6">
        <w:rPr>
          <w:lang w:val="fr-FR"/>
        </w:rPr>
        <w:t>Règles de gestion financière</w:t>
      </w:r>
      <w:bookmarkEnd w:id="42"/>
    </w:p>
    <w:p w14:paraId="29078CE0" w14:textId="6AB9FAA5" w:rsidR="003D0299"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point, la représentante du secrétariat a rappelé que par sa décision MC</w:t>
      </w:r>
      <w:r w:rsidR="00485104" w:rsidRPr="002A2EA6">
        <w:rPr>
          <w:lang w:val="fr-FR"/>
        </w:rPr>
        <w:noBreakHyphen/>
      </w:r>
      <w:r w:rsidRPr="002A2EA6">
        <w:rPr>
          <w:lang w:val="fr-FR"/>
        </w:rPr>
        <w:t>1/10, la</w:t>
      </w:r>
      <w:r w:rsidR="00CE52B4" w:rsidRPr="002A2EA6">
        <w:rPr>
          <w:lang w:val="fr-FR"/>
        </w:rPr>
        <w:t> </w:t>
      </w:r>
      <w:r w:rsidRPr="002A2EA6">
        <w:rPr>
          <w:lang w:val="fr-FR"/>
        </w:rPr>
        <w:t>Conférence des Parties avait, à sa première réunion, adopté ses règles de gestion financière et celles de tout organe subsidiaire qu</w:t>
      </w:r>
      <w:r w:rsidR="00CA4DAC">
        <w:rPr>
          <w:lang w:val="fr-FR"/>
        </w:rPr>
        <w:t>’</w:t>
      </w:r>
      <w:r w:rsidRPr="002A2EA6">
        <w:rPr>
          <w:lang w:val="fr-FR"/>
        </w:rPr>
        <w:t>elle pourrait créer, ainsi que les dispositions financières régissant le</w:t>
      </w:r>
      <w:r w:rsidR="00CE52B4" w:rsidRPr="002A2EA6">
        <w:rPr>
          <w:lang w:val="fr-FR"/>
        </w:rPr>
        <w:t> </w:t>
      </w:r>
      <w:r w:rsidRPr="002A2EA6">
        <w:rPr>
          <w:lang w:val="fr-FR"/>
        </w:rPr>
        <w:t>fonctionnement du secrétariat. Le texte de l</w:t>
      </w:r>
      <w:r w:rsidR="00CA4DAC">
        <w:rPr>
          <w:lang w:val="fr-FR"/>
        </w:rPr>
        <w:t>’</w:t>
      </w:r>
      <w:r w:rsidRPr="002A2EA6">
        <w:rPr>
          <w:lang w:val="fr-FR"/>
        </w:rPr>
        <w:t>alinéa e) du paragraphe 3 de l</w:t>
      </w:r>
      <w:r w:rsidR="00CA4DAC">
        <w:rPr>
          <w:lang w:val="fr-FR"/>
        </w:rPr>
        <w:t>’</w:t>
      </w:r>
      <w:r w:rsidRPr="002A2EA6">
        <w:rPr>
          <w:lang w:val="fr-FR"/>
        </w:rPr>
        <w:t>article 5 des règles de gestion financière et des paragraphes 2 et</w:t>
      </w:r>
      <w:r w:rsidR="00C32F54" w:rsidRPr="002A2EA6">
        <w:rPr>
          <w:lang w:val="fr-FR"/>
        </w:rPr>
        <w:t> </w:t>
      </w:r>
      <w:r w:rsidRPr="002A2EA6">
        <w:rPr>
          <w:lang w:val="fr-FR"/>
        </w:rPr>
        <w:t>5 de l</w:t>
      </w:r>
      <w:r w:rsidR="00CA4DAC">
        <w:rPr>
          <w:lang w:val="fr-FR"/>
        </w:rPr>
        <w:t>’</w:t>
      </w:r>
      <w:r w:rsidRPr="002A2EA6">
        <w:rPr>
          <w:lang w:val="fr-FR"/>
        </w:rPr>
        <w:t>annexe des règles de gestion financière est resté entre crochets. À sa deuxième réunion, la Conférence avait décidé de reporter l</w:t>
      </w:r>
      <w:r w:rsidR="00CA4DAC">
        <w:rPr>
          <w:lang w:val="fr-FR"/>
        </w:rPr>
        <w:t>’</w:t>
      </w:r>
      <w:r w:rsidRPr="002A2EA6">
        <w:rPr>
          <w:lang w:val="fr-FR"/>
        </w:rPr>
        <w:t>examen de la question</w:t>
      </w:r>
      <w:r w:rsidR="00203C7D" w:rsidRPr="002A2EA6">
        <w:rPr>
          <w:lang w:val="fr-FR"/>
        </w:rPr>
        <w:t xml:space="preserve"> à sa troisième réunion</w:t>
      </w:r>
      <w:r w:rsidRPr="002A2EA6">
        <w:rPr>
          <w:lang w:val="fr-FR"/>
        </w:rPr>
        <w:t xml:space="preserve">. La représentante du secrétariat a </w:t>
      </w:r>
      <w:r w:rsidR="00B07D9A" w:rsidRPr="002A2EA6">
        <w:rPr>
          <w:lang w:val="fr-FR"/>
        </w:rPr>
        <w:t xml:space="preserve">rappelé </w:t>
      </w:r>
      <w:r w:rsidRPr="002A2EA6">
        <w:rPr>
          <w:lang w:val="fr-FR"/>
        </w:rPr>
        <w:t>les informations pertinentes figurant dans la note du secrétariat sur la question (UNEP/MC/COP.3/15).</w:t>
      </w:r>
    </w:p>
    <w:p w14:paraId="6E7E34D5" w14:textId="336D4232" w:rsidR="003D0299"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examiné en premier lieu l</w:t>
      </w:r>
      <w:r w:rsidR="00CA4DAC">
        <w:rPr>
          <w:lang w:val="fr-FR"/>
        </w:rPr>
        <w:t>’</w:t>
      </w:r>
      <w:r w:rsidRPr="002A2EA6">
        <w:rPr>
          <w:lang w:val="fr-FR"/>
        </w:rPr>
        <w:t>alinéa e) du paragraphe 3 de l</w:t>
      </w:r>
      <w:r w:rsidR="00CA4DAC">
        <w:rPr>
          <w:lang w:val="fr-FR"/>
        </w:rPr>
        <w:t>’</w:t>
      </w:r>
      <w:r w:rsidRPr="002A2EA6">
        <w:rPr>
          <w:lang w:val="fr-FR"/>
        </w:rPr>
        <w:t xml:space="preserve">article 5. Plusieurs représentants se sont opposés à la suppression des crochets. </w:t>
      </w:r>
      <w:r w:rsidR="00B07D9A" w:rsidRPr="002A2EA6">
        <w:rPr>
          <w:lang w:val="fr-FR"/>
        </w:rPr>
        <w:t>De la même façon, u</w:t>
      </w:r>
      <w:r w:rsidRPr="002A2EA6">
        <w:rPr>
          <w:lang w:val="fr-FR"/>
        </w:rPr>
        <w:t xml:space="preserve">n autre représentant </w:t>
      </w:r>
      <w:r w:rsidR="00B07D9A" w:rsidRPr="002A2EA6">
        <w:rPr>
          <w:lang w:val="fr-FR"/>
        </w:rPr>
        <w:t xml:space="preserve">a rejeté </w:t>
      </w:r>
      <w:r w:rsidRPr="002A2EA6">
        <w:rPr>
          <w:lang w:val="fr-FR"/>
        </w:rPr>
        <w:t>la proposition visant à supprimer les crochets encadrant le texte de l</w:t>
      </w:r>
      <w:r w:rsidR="00CA4DAC">
        <w:rPr>
          <w:lang w:val="fr-FR"/>
        </w:rPr>
        <w:t>’</w:t>
      </w:r>
      <w:r w:rsidRPr="002A2EA6">
        <w:rPr>
          <w:lang w:val="fr-FR"/>
        </w:rPr>
        <w:t>annexe.</w:t>
      </w:r>
    </w:p>
    <w:p w14:paraId="3926446B" w14:textId="50901FCC" w:rsidR="00293AA4"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donc décidé de reporter à sa quatrième</w:t>
      </w:r>
      <w:r w:rsidR="00566DE7" w:rsidRPr="002A2EA6">
        <w:rPr>
          <w:lang w:val="fr-FR"/>
        </w:rPr>
        <w:t> </w:t>
      </w:r>
      <w:r w:rsidRPr="002A2EA6">
        <w:rPr>
          <w:lang w:val="fr-FR"/>
        </w:rPr>
        <w:t>réunion l</w:t>
      </w:r>
      <w:r w:rsidR="00CA4DAC">
        <w:rPr>
          <w:lang w:val="fr-FR"/>
        </w:rPr>
        <w:t>’</w:t>
      </w:r>
      <w:r w:rsidRPr="002A2EA6">
        <w:rPr>
          <w:lang w:val="fr-FR"/>
        </w:rPr>
        <w:t>examen du texte de l</w:t>
      </w:r>
      <w:r w:rsidR="00CA4DAC">
        <w:rPr>
          <w:lang w:val="fr-FR"/>
        </w:rPr>
        <w:t>’</w:t>
      </w:r>
      <w:r w:rsidRPr="002A2EA6">
        <w:rPr>
          <w:lang w:val="fr-FR"/>
        </w:rPr>
        <w:t>article 5 et de l</w:t>
      </w:r>
      <w:r w:rsidR="00CA4DAC">
        <w:rPr>
          <w:lang w:val="fr-FR"/>
        </w:rPr>
        <w:t>’</w:t>
      </w:r>
      <w:r w:rsidRPr="002A2EA6">
        <w:rPr>
          <w:lang w:val="fr-FR"/>
        </w:rPr>
        <w:t>annexe aux règles de gestion financière se trouvant entre crochets.</w:t>
      </w:r>
    </w:p>
    <w:p w14:paraId="26B28817" w14:textId="020174F6" w:rsidR="00F273CE" w:rsidRPr="002A2EA6" w:rsidRDefault="00293AA4"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Rappelant </w:t>
      </w:r>
      <w:r w:rsidR="00F47BC3" w:rsidRPr="002A2EA6">
        <w:rPr>
          <w:lang w:val="fr-FR"/>
        </w:rPr>
        <w:t xml:space="preserve">que cette </w:t>
      </w:r>
      <w:r w:rsidRPr="002A2EA6">
        <w:rPr>
          <w:lang w:val="fr-FR"/>
        </w:rPr>
        <w:t xml:space="preserve">situation </w:t>
      </w:r>
      <w:r w:rsidR="00F47BC3" w:rsidRPr="002A2EA6">
        <w:rPr>
          <w:lang w:val="fr-FR"/>
        </w:rPr>
        <w:t>s</w:t>
      </w:r>
      <w:r w:rsidR="00CA4DAC">
        <w:rPr>
          <w:lang w:val="fr-FR"/>
        </w:rPr>
        <w:t>’</w:t>
      </w:r>
      <w:r w:rsidR="00F47BC3" w:rsidRPr="002A2EA6">
        <w:rPr>
          <w:lang w:val="fr-FR"/>
        </w:rPr>
        <w:t>était déjà produite dans le cadre de l</w:t>
      </w:r>
      <w:r w:rsidR="00CA4DAC">
        <w:rPr>
          <w:lang w:val="fr-FR"/>
        </w:rPr>
        <w:t>’</w:t>
      </w:r>
      <w:r w:rsidR="00F47BC3" w:rsidRPr="002A2EA6">
        <w:rPr>
          <w:lang w:val="fr-FR"/>
        </w:rPr>
        <w:t xml:space="preserve">examen </w:t>
      </w:r>
      <w:r w:rsidRPr="002A2EA6">
        <w:rPr>
          <w:lang w:val="fr-FR"/>
        </w:rPr>
        <w:t>du point 3 de l</w:t>
      </w:r>
      <w:r w:rsidR="00CA4DAC">
        <w:rPr>
          <w:lang w:val="fr-FR"/>
        </w:rPr>
        <w:t>’</w:t>
      </w:r>
      <w:r w:rsidRPr="002A2EA6">
        <w:rPr>
          <w:lang w:val="fr-FR"/>
        </w:rPr>
        <w:t xml:space="preserve">ordre du jour, </w:t>
      </w:r>
      <w:r w:rsidR="005C1065" w:rsidRPr="002A2EA6">
        <w:rPr>
          <w:lang w:val="fr-FR"/>
        </w:rPr>
        <w:t xml:space="preserve">à propos du </w:t>
      </w:r>
      <w:r w:rsidRPr="002A2EA6">
        <w:rPr>
          <w:lang w:val="fr-FR"/>
        </w:rPr>
        <w:t xml:space="preserve">règlement intérieur, le Président a </w:t>
      </w:r>
      <w:r w:rsidR="005C1065" w:rsidRPr="002A2EA6">
        <w:rPr>
          <w:lang w:val="fr-FR"/>
        </w:rPr>
        <w:t xml:space="preserve">de nouveau averti </w:t>
      </w:r>
      <w:r w:rsidRPr="002A2EA6">
        <w:rPr>
          <w:lang w:val="fr-FR"/>
        </w:rPr>
        <w:t xml:space="preserve">que continuer </w:t>
      </w:r>
      <w:r w:rsidR="00AD6762" w:rsidRPr="002A2EA6">
        <w:rPr>
          <w:lang w:val="fr-FR"/>
        </w:rPr>
        <w:t xml:space="preserve">à </w:t>
      </w:r>
      <w:r w:rsidRPr="002A2EA6">
        <w:rPr>
          <w:lang w:val="fr-FR"/>
        </w:rPr>
        <w:t>reporter l</w:t>
      </w:r>
      <w:r w:rsidR="00CA4DAC">
        <w:rPr>
          <w:lang w:val="fr-FR"/>
        </w:rPr>
        <w:t>’</w:t>
      </w:r>
      <w:r w:rsidRPr="002A2EA6">
        <w:rPr>
          <w:lang w:val="fr-FR"/>
        </w:rPr>
        <w:t>examen de ces</w:t>
      </w:r>
      <w:r w:rsidR="002C39DB" w:rsidRPr="002A2EA6">
        <w:rPr>
          <w:lang w:val="fr-FR"/>
        </w:rPr>
        <w:t> </w:t>
      </w:r>
      <w:r w:rsidRPr="002A2EA6">
        <w:rPr>
          <w:lang w:val="fr-FR"/>
        </w:rPr>
        <w:t xml:space="preserve">questions </w:t>
      </w:r>
      <w:r w:rsidR="0078740A" w:rsidRPr="002A2EA6">
        <w:rPr>
          <w:lang w:val="fr-FR"/>
        </w:rPr>
        <w:t xml:space="preserve">créait un </w:t>
      </w:r>
      <w:r w:rsidR="005A4FD2" w:rsidRPr="002A2EA6">
        <w:rPr>
          <w:lang w:val="fr-FR"/>
        </w:rPr>
        <w:t xml:space="preserve">passif </w:t>
      </w:r>
      <w:r w:rsidRPr="002A2EA6">
        <w:rPr>
          <w:lang w:val="fr-FR"/>
        </w:rPr>
        <w:t xml:space="preserve">dans des domaines </w:t>
      </w:r>
      <w:r w:rsidR="002C39DB" w:rsidRPr="002A2EA6">
        <w:rPr>
          <w:lang w:val="fr-FR"/>
        </w:rPr>
        <w:t xml:space="preserve">importants </w:t>
      </w:r>
      <w:r w:rsidRPr="002A2EA6">
        <w:rPr>
          <w:lang w:val="fr-FR"/>
        </w:rPr>
        <w:t>de la</w:t>
      </w:r>
      <w:r w:rsidR="002C39DB" w:rsidRPr="002A2EA6">
        <w:rPr>
          <w:lang w:val="fr-FR"/>
        </w:rPr>
        <w:t> </w:t>
      </w:r>
      <w:r w:rsidRPr="002A2EA6">
        <w:rPr>
          <w:lang w:val="fr-FR"/>
        </w:rPr>
        <w:t>Convention.</w:t>
      </w:r>
    </w:p>
    <w:p w14:paraId="26D85EBE" w14:textId="4D00061B" w:rsidR="00F273CE" w:rsidRPr="002A2EA6" w:rsidRDefault="00CE52B4" w:rsidP="00CE52B4">
      <w:pPr>
        <w:pStyle w:val="CH2"/>
        <w:rPr>
          <w:lang w:val="fr-FR"/>
        </w:rPr>
      </w:pPr>
      <w:r w:rsidRPr="002A2EA6">
        <w:rPr>
          <w:lang w:val="fr-FR"/>
        </w:rPr>
        <w:tab/>
      </w:r>
      <w:bookmarkStart w:id="43" w:name="_Toc39063345"/>
      <w:r w:rsidRPr="002A2EA6">
        <w:rPr>
          <w:lang w:val="fr-FR"/>
        </w:rPr>
        <w:t>J.</w:t>
      </w:r>
      <w:r w:rsidRPr="002A2EA6">
        <w:rPr>
          <w:lang w:val="fr-FR"/>
        </w:rPr>
        <w:tab/>
      </w:r>
      <w:r w:rsidR="00F273CE" w:rsidRPr="002A2EA6">
        <w:rPr>
          <w:lang w:val="fr-FR"/>
        </w:rPr>
        <w:t>Secrétariat</w:t>
      </w:r>
      <w:bookmarkEnd w:id="43"/>
    </w:p>
    <w:p w14:paraId="7DA1D2C1" w14:textId="24674812" w:rsidR="003D0299"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Présentant ce point au nom de la Directrice exécutive du PNUE, </w:t>
      </w:r>
      <w:r w:rsidR="0075356A" w:rsidRPr="002A2EA6">
        <w:rPr>
          <w:lang w:val="fr-FR"/>
        </w:rPr>
        <w:t>Mme </w:t>
      </w:r>
      <w:r w:rsidRPr="002A2EA6">
        <w:rPr>
          <w:lang w:val="fr-FR"/>
        </w:rPr>
        <w:t>Sonja Leighton</w:t>
      </w:r>
      <w:r w:rsidR="0075356A" w:rsidRPr="002A2EA6">
        <w:rPr>
          <w:lang w:val="fr-FR"/>
        </w:rPr>
        <w:noBreakHyphen/>
      </w:r>
      <w:r w:rsidRPr="002A2EA6">
        <w:rPr>
          <w:lang w:val="fr-FR"/>
        </w:rPr>
        <w:t>Kone, Directrice de la Division des services internes du PNUE, a rappelé qu</w:t>
      </w:r>
      <w:r w:rsidR="00AD6762" w:rsidRPr="002A2EA6">
        <w:rPr>
          <w:lang w:val="fr-FR"/>
        </w:rPr>
        <w:t>e</w:t>
      </w:r>
      <w:r w:rsidRPr="002A2EA6">
        <w:rPr>
          <w:lang w:val="fr-FR"/>
        </w:rPr>
        <w:t xml:space="preserve"> la</w:t>
      </w:r>
      <w:r w:rsidR="00CE52B4" w:rsidRPr="002A2EA6">
        <w:rPr>
          <w:lang w:val="fr-FR"/>
        </w:rPr>
        <w:t> </w:t>
      </w:r>
      <w:r w:rsidRPr="002A2EA6">
        <w:rPr>
          <w:lang w:val="fr-FR"/>
        </w:rPr>
        <w:t>Conférence des Parties avait</w:t>
      </w:r>
      <w:r w:rsidR="0057216B" w:rsidRPr="002A2EA6">
        <w:rPr>
          <w:lang w:val="fr-FR"/>
        </w:rPr>
        <w:t>, dans sa décision MC-2/7</w:t>
      </w:r>
      <w:r w:rsidR="00AD6762" w:rsidRPr="002A2EA6">
        <w:rPr>
          <w:lang w:val="fr-FR"/>
        </w:rPr>
        <w:t xml:space="preserve"> </w:t>
      </w:r>
      <w:r w:rsidR="009719AE">
        <w:rPr>
          <w:lang w:val="fr-FR"/>
        </w:rPr>
        <w:t>(</w:t>
      </w:r>
      <w:r w:rsidR="009719AE">
        <w:t>Coopération entre le secrétariat de la Convention de Minamata et le Secrétariat des conventions de Bâle, de Rotterdam et de Stockholm</w:t>
      </w:r>
      <w:r w:rsidR="00D65A76">
        <w:rPr>
          <w:lang w:val="fr-FR"/>
        </w:rPr>
        <w:t xml:space="preserve">) </w:t>
      </w:r>
      <w:r w:rsidR="00AD6762" w:rsidRPr="002A2EA6">
        <w:rPr>
          <w:lang w:val="fr-FR"/>
        </w:rPr>
        <w:t>adoptée à la deuxième</w:t>
      </w:r>
      <w:r w:rsidR="009B7298">
        <w:rPr>
          <w:lang w:val="fr-FR"/>
        </w:rPr>
        <w:t> </w:t>
      </w:r>
      <w:r w:rsidR="00AD6762" w:rsidRPr="002A2EA6">
        <w:rPr>
          <w:lang w:val="fr-FR"/>
        </w:rPr>
        <w:t>réunion</w:t>
      </w:r>
      <w:r w:rsidR="0057216B" w:rsidRPr="002A2EA6">
        <w:rPr>
          <w:lang w:val="fr-FR"/>
        </w:rPr>
        <w:t xml:space="preserve">, </w:t>
      </w:r>
      <w:r w:rsidRPr="002A2EA6">
        <w:rPr>
          <w:lang w:val="fr-FR"/>
        </w:rPr>
        <w:t>prié la Directrice exécutive du PNUE de soumettre une proposition relative à un cadre stable pour le</w:t>
      </w:r>
      <w:r w:rsidR="009B7298">
        <w:rPr>
          <w:lang w:val="fr-FR"/>
        </w:rPr>
        <w:t> </w:t>
      </w:r>
      <w:r w:rsidRPr="002A2EA6">
        <w:rPr>
          <w:lang w:val="fr-FR"/>
        </w:rPr>
        <w:t xml:space="preserve">partage des services </w:t>
      </w:r>
      <w:r w:rsidR="002C39DB" w:rsidRPr="002A2EA6">
        <w:rPr>
          <w:lang w:val="fr-FR"/>
        </w:rPr>
        <w:t>entre le secrétariat de la Convention de Minamata et le Secrétariat des</w:t>
      </w:r>
      <w:r w:rsidR="009B7298">
        <w:rPr>
          <w:lang w:val="fr-FR"/>
        </w:rPr>
        <w:t> </w:t>
      </w:r>
      <w:r w:rsidR="002C39DB" w:rsidRPr="002A2EA6">
        <w:rPr>
          <w:lang w:val="fr-FR"/>
        </w:rPr>
        <w:t>conventions de Bâle, de Rotterdam et de Stockholm</w:t>
      </w:r>
      <w:r w:rsidRPr="002A2EA6">
        <w:rPr>
          <w:lang w:val="fr-FR"/>
        </w:rPr>
        <w:t>. En</w:t>
      </w:r>
      <w:r w:rsidR="00CE52B4" w:rsidRPr="002A2EA6">
        <w:rPr>
          <w:lang w:val="fr-FR"/>
        </w:rPr>
        <w:t> </w:t>
      </w:r>
      <w:r w:rsidRPr="002A2EA6">
        <w:rPr>
          <w:lang w:val="fr-FR"/>
        </w:rPr>
        <w:t>concertation avec la Secrétaire exécutive de la Convention de Minamata et avec le concours du Secrétaire exécutif des conventions de Bâle, de Rotterdam et de Stockholm, le PNUE avait élaboré une</w:t>
      </w:r>
      <w:r w:rsidR="002C39DB" w:rsidRPr="002A2EA6">
        <w:rPr>
          <w:lang w:val="fr-FR"/>
        </w:rPr>
        <w:t> </w:t>
      </w:r>
      <w:r w:rsidRPr="002A2EA6">
        <w:rPr>
          <w:lang w:val="fr-FR"/>
        </w:rPr>
        <w:t>proposition qui évaluait les domaines de synergies possibles et l</w:t>
      </w:r>
      <w:r w:rsidR="00CA4DAC">
        <w:rPr>
          <w:lang w:val="fr-FR"/>
        </w:rPr>
        <w:t>’</w:t>
      </w:r>
      <w:r w:rsidRPr="002A2EA6">
        <w:rPr>
          <w:lang w:val="fr-FR"/>
        </w:rPr>
        <w:t>efficacité de l</w:t>
      </w:r>
      <w:r w:rsidR="00CA4DAC">
        <w:rPr>
          <w:lang w:val="fr-FR"/>
        </w:rPr>
        <w:t>’</w:t>
      </w:r>
      <w:r w:rsidRPr="002A2EA6">
        <w:rPr>
          <w:lang w:val="fr-FR"/>
        </w:rPr>
        <w:t>exécution des</w:t>
      </w:r>
      <w:r w:rsidR="002C39DB" w:rsidRPr="002A2EA6">
        <w:rPr>
          <w:lang w:val="fr-FR"/>
        </w:rPr>
        <w:t> </w:t>
      </w:r>
      <w:r w:rsidRPr="002A2EA6">
        <w:rPr>
          <w:lang w:val="fr-FR"/>
        </w:rPr>
        <w:t>mandats respectifs, comme décidé par les</w:t>
      </w:r>
      <w:r w:rsidR="003D1D27">
        <w:rPr>
          <w:lang w:val="fr-FR"/>
        </w:rPr>
        <w:t> </w:t>
      </w:r>
      <w:r w:rsidRPr="002A2EA6">
        <w:rPr>
          <w:lang w:val="fr-FR"/>
        </w:rPr>
        <w:t>conférences des Parties.</w:t>
      </w:r>
      <w:r w:rsidR="00672169" w:rsidRPr="002A2EA6">
        <w:rPr>
          <w:lang w:val="fr-FR"/>
        </w:rPr>
        <w:t xml:space="preserve"> P</w:t>
      </w:r>
      <w:r w:rsidRPr="002A2EA6">
        <w:rPr>
          <w:lang w:val="fr-FR"/>
        </w:rPr>
        <w:t>résentée dans le</w:t>
      </w:r>
      <w:r w:rsidR="00CE52B4" w:rsidRPr="002A2EA6">
        <w:rPr>
          <w:lang w:val="fr-FR"/>
        </w:rPr>
        <w:t> </w:t>
      </w:r>
      <w:r w:rsidRPr="002A2EA6">
        <w:rPr>
          <w:lang w:val="fr-FR"/>
        </w:rPr>
        <w:t>document</w:t>
      </w:r>
      <w:r w:rsidR="009E5608" w:rsidRPr="002A2EA6">
        <w:rPr>
          <w:lang w:val="fr-FR"/>
        </w:rPr>
        <w:t> </w:t>
      </w:r>
      <w:r w:rsidRPr="002A2EA6">
        <w:rPr>
          <w:lang w:val="fr-FR"/>
        </w:rPr>
        <w:t xml:space="preserve">UNEP/MC/COP.3/16, </w:t>
      </w:r>
      <w:r w:rsidR="00672169" w:rsidRPr="002A2EA6">
        <w:rPr>
          <w:lang w:val="fr-FR"/>
        </w:rPr>
        <w:t xml:space="preserve">cette proposition </w:t>
      </w:r>
      <w:r w:rsidRPr="002A2EA6">
        <w:rPr>
          <w:lang w:val="fr-FR"/>
        </w:rPr>
        <w:t>adhérait à cinq</w:t>
      </w:r>
      <w:r w:rsidR="009E5608" w:rsidRPr="002A2EA6">
        <w:rPr>
          <w:lang w:val="fr-FR"/>
        </w:rPr>
        <w:t> </w:t>
      </w:r>
      <w:r w:rsidRPr="002A2EA6">
        <w:rPr>
          <w:lang w:val="fr-FR"/>
        </w:rPr>
        <w:t>principes fondamentaux</w:t>
      </w:r>
      <w:r w:rsidR="001E7366" w:rsidRPr="002A2EA6">
        <w:rPr>
          <w:lang w:val="fr-FR"/>
        </w:rPr>
        <w:t> </w:t>
      </w:r>
      <w:r w:rsidR="7A7F35F0" w:rsidRPr="002A2EA6">
        <w:rPr>
          <w:lang w:val="fr-FR"/>
        </w:rPr>
        <w:t>:</w:t>
      </w:r>
      <w:r w:rsidRPr="002A2EA6">
        <w:rPr>
          <w:lang w:val="fr-FR"/>
        </w:rPr>
        <w:t xml:space="preserve"> l</w:t>
      </w:r>
      <w:r w:rsidR="00CA4DAC">
        <w:rPr>
          <w:lang w:val="fr-FR"/>
        </w:rPr>
        <w:t>’</w:t>
      </w:r>
      <w:r w:rsidRPr="002A2EA6">
        <w:rPr>
          <w:lang w:val="fr-FR"/>
        </w:rPr>
        <w:t xml:space="preserve">utilisation </w:t>
      </w:r>
      <w:r w:rsidR="00E07CCF" w:rsidRPr="002A2EA6">
        <w:rPr>
          <w:lang w:val="fr-FR"/>
        </w:rPr>
        <w:t xml:space="preserve">rationnelle </w:t>
      </w:r>
      <w:r w:rsidRPr="002A2EA6">
        <w:rPr>
          <w:lang w:val="fr-FR"/>
        </w:rPr>
        <w:t>des</w:t>
      </w:r>
      <w:r w:rsidR="00CE52B4" w:rsidRPr="002A2EA6">
        <w:rPr>
          <w:lang w:val="fr-FR"/>
        </w:rPr>
        <w:t> </w:t>
      </w:r>
      <w:r w:rsidRPr="002A2EA6">
        <w:rPr>
          <w:lang w:val="fr-FR"/>
        </w:rPr>
        <w:t>ressources</w:t>
      </w:r>
      <w:r w:rsidR="001E7366" w:rsidRPr="002A2EA6">
        <w:rPr>
          <w:lang w:val="fr-FR"/>
        </w:rPr>
        <w:t> </w:t>
      </w:r>
      <w:r w:rsidR="631BDA25" w:rsidRPr="002A2EA6">
        <w:rPr>
          <w:lang w:val="fr-FR"/>
        </w:rPr>
        <w:t>;</w:t>
      </w:r>
      <w:r w:rsidRPr="002A2EA6">
        <w:rPr>
          <w:lang w:val="fr-FR"/>
        </w:rPr>
        <w:t xml:space="preserve"> l</w:t>
      </w:r>
      <w:r w:rsidR="00CA4DAC">
        <w:rPr>
          <w:lang w:val="fr-FR"/>
        </w:rPr>
        <w:t>’</w:t>
      </w:r>
      <w:r w:rsidRPr="002A2EA6">
        <w:rPr>
          <w:lang w:val="fr-FR"/>
        </w:rPr>
        <w:t>autonomie des</w:t>
      </w:r>
      <w:r w:rsidR="003D1D27">
        <w:rPr>
          <w:lang w:val="fr-FR"/>
        </w:rPr>
        <w:t> </w:t>
      </w:r>
      <w:r w:rsidRPr="002A2EA6">
        <w:rPr>
          <w:lang w:val="fr-FR"/>
        </w:rPr>
        <w:t>secrétariats et la responsabilité des chefs de secrétariat</w:t>
      </w:r>
      <w:r w:rsidR="001E7366" w:rsidRPr="002A2EA6">
        <w:rPr>
          <w:lang w:val="fr-FR"/>
        </w:rPr>
        <w:t> </w:t>
      </w:r>
      <w:r w:rsidR="631BDA25" w:rsidRPr="002A2EA6">
        <w:rPr>
          <w:lang w:val="fr-FR"/>
        </w:rPr>
        <w:t>;</w:t>
      </w:r>
      <w:r w:rsidRPr="002A2EA6">
        <w:rPr>
          <w:lang w:val="fr-FR"/>
        </w:rPr>
        <w:t xml:space="preserve"> la</w:t>
      </w:r>
      <w:r w:rsidR="00CE52B4" w:rsidRPr="002A2EA6">
        <w:rPr>
          <w:lang w:val="fr-FR"/>
        </w:rPr>
        <w:t> </w:t>
      </w:r>
      <w:r w:rsidRPr="002A2EA6">
        <w:rPr>
          <w:lang w:val="fr-FR"/>
        </w:rPr>
        <w:t>souplesse et la prévisibilité</w:t>
      </w:r>
      <w:r w:rsidR="001E7366" w:rsidRPr="002A2EA6">
        <w:rPr>
          <w:lang w:val="fr-FR"/>
        </w:rPr>
        <w:t> </w:t>
      </w:r>
      <w:r w:rsidR="631BDA25" w:rsidRPr="002A2EA6">
        <w:rPr>
          <w:lang w:val="fr-FR"/>
        </w:rPr>
        <w:t>;</w:t>
      </w:r>
      <w:r w:rsidRPr="002A2EA6">
        <w:rPr>
          <w:lang w:val="fr-FR"/>
        </w:rPr>
        <w:t xml:space="preserve"> le</w:t>
      </w:r>
      <w:r w:rsidR="003D1D27">
        <w:rPr>
          <w:lang w:val="fr-FR"/>
        </w:rPr>
        <w:t> </w:t>
      </w:r>
      <w:r w:rsidRPr="002A2EA6">
        <w:rPr>
          <w:lang w:val="fr-FR"/>
        </w:rPr>
        <w:t>recouvrement intégral des coûts</w:t>
      </w:r>
      <w:r w:rsidR="001E7366" w:rsidRPr="002A2EA6">
        <w:rPr>
          <w:lang w:val="fr-FR"/>
        </w:rPr>
        <w:t> </w:t>
      </w:r>
      <w:r w:rsidR="631BDA25" w:rsidRPr="002A2EA6">
        <w:rPr>
          <w:lang w:val="fr-FR"/>
        </w:rPr>
        <w:t>;</w:t>
      </w:r>
      <w:r w:rsidRPr="002A2EA6">
        <w:rPr>
          <w:lang w:val="fr-FR"/>
        </w:rPr>
        <w:t xml:space="preserve"> le respect des règles et </w:t>
      </w:r>
      <w:r w:rsidR="00E07CCF" w:rsidRPr="002A2EA6">
        <w:rPr>
          <w:lang w:val="fr-FR"/>
        </w:rPr>
        <w:t>règlements</w:t>
      </w:r>
      <w:r w:rsidRPr="002A2EA6">
        <w:rPr>
          <w:lang w:val="fr-FR"/>
        </w:rPr>
        <w:t xml:space="preserve"> </w:t>
      </w:r>
      <w:r w:rsidR="00E07CCF" w:rsidRPr="002A2EA6">
        <w:rPr>
          <w:lang w:val="fr-FR"/>
        </w:rPr>
        <w:t xml:space="preserve">applicables </w:t>
      </w:r>
      <w:r w:rsidR="002C39DB" w:rsidRPr="002A2EA6">
        <w:rPr>
          <w:lang w:val="fr-FR"/>
        </w:rPr>
        <w:t>de l</w:t>
      </w:r>
      <w:r w:rsidR="00CA4DAC">
        <w:rPr>
          <w:lang w:val="fr-FR"/>
        </w:rPr>
        <w:t>’</w:t>
      </w:r>
      <w:r w:rsidR="002C39DB" w:rsidRPr="002A2EA6">
        <w:rPr>
          <w:lang w:val="fr-FR"/>
        </w:rPr>
        <w:t>O</w:t>
      </w:r>
      <w:r w:rsidR="00E07CCF" w:rsidRPr="002A2EA6">
        <w:rPr>
          <w:lang w:val="fr-FR"/>
        </w:rPr>
        <w:t>NU</w:t>
      </w:r>
      <w:r w:rsidRPr="002A2EA6">
        <w:rPr>
          <w:lang w:val="fr-FR"/>
        </w:rPr>
        <w:t xml:space="preserve">. </w:t>
      </w:r>
      <w:r w:rsidR="000C0657">
        <w:rPr>
          <w:lang w:val="fr-FR"/>
        </w:rPr>
        <w:t>Selon</w:t>
      </w:r>
      <w:r w:rsidR="003D1D27">
        <w:rPr>
          <w:lang w:val="fr-FR"/>
        </w:rPr>
        <w:t> </w:t>
      </w:r>
      <w:r w:rsidRPr="002A2EA6">
        <w:rPr>
          <w:lang w:val="fr-FR"/>
        </w:rPr>
        <w:t>ces principes, trois</w:t>
      </w:r>
      <w:r w:rsidR="009E5608" w:rsidRPr="002A2EA6">
        <w:rPr>
          <w:lang w:val="fr-FR"/>
        </w:rPr>
        <w:t> </w:t>
      </w:r>
      <w:r w:rsidRPr="002A2EA6">
        <w:rPr>
          <w:lang w:val="fr-FR"/>
        </w:rPr>
        <w:t xml:space="preserve">solutions avaient été </w:t>
      </w:r>
      <w:r w:rsidR="00CE5AE2" w:rsidRPr="002A2EA6">
        <w:rPr>
          <w:lang w:val="fr-FR"/>
        </w:rPr>
        <w:t>dégagées</w:t>
      </w:r>
      <w:r w:rsidRPr="002A2EA6">
        <w:rPr>
          <w:lang w:val="fr-FR"/>
        </w:rPr>
        <w:t>. La</w:t>
      </w:r>
      <w:r w:rsidR="00CE52B4" w:rsidRPr="002A2EA6">
        <w:rPr>
          <w:lang w:val="fr-FR"/>
        </w:rPr>
        <w:t> </w:t>
      </w:r>
      <w:r w:rsidRPr="002A2EA6">
        <w:rPr>
          <w:lang w:val="fr-FR"/>
        </w:rPr>
        <w:t xml:space="preserve">première </w:t>
      </w:r>
      <w:r w:rsidR="00CE5AE2" w:rsidRPr="002A2EA6">
        <w:rPr>
          <w:lang w:val="fr-FR"/>
        </w:rPr>
        <w:t xml:space="preserve">consistait à mettre </w:t>
      </w:r>
      <w:r w:rsidRPr="002A2EA6">
        <w:rPr>
          <w:lang w:val="fr-FR"/>
        </w:rPr>
        <w:t>en place un groupe mixte qui fournirait des services aux</w:t>
      </w:r>
      <w:r w:rsidR="002C39DB" w:rsidRPr="002A2EA6">
        <w:rPr>
          <w:lang w:val="fr-FR"/>
        </w:rPr>
        <w:t> </w:t>
      </w:r>
      <w:r w:rsidRPr="002A2EA6">
        <w:rPr>
          <w:lang w:val="fr-FR"/>
        </w:rPr>
        <w:t>deux</w:t>
      </w:r>
      <w:r w:rsidR="002C39DB" w:rsidRPr="002A2EA6">
        <w:rPr>
          <w:lang w:val="fr-FR"/>
        </w:rPr>
        <w:t> </w:t>
      </w:r>
      <w:r w:rsidRPr="002A2EA6">
        <w:rPr>
          <w:lang w:val="fr-FR"/>
        </w:rPr>
        <w:t>secrétariats, chacun des secrétariats allouant des ressources à ce nouveau groupe</w:t>
      </w:r>
      <w:r w:rsidR="631BDA25" w:rsidRPr="002A2EA6">
        <w:rPr>
          <w:lang w:val="fr-FR"/>
        </w:rPr>
        <w:t xml:space="preserve"> ;</w:t>
      </w:r>
      <w:r w:rsidRPr="002A2EA6">
        <w:rPr>
          <w:lang w:val="fr-FR"/>
        </w:rPr>
        <w:t xml:space="preserve"> la</w:t>
      </w:r>
      <w:r w:rsidR="002C39DB" w:rsidRPr="002A2EA6">
        <w:rPr>
          <w:lang w:val="fr-FR"/>
        </w:rPr>
        <w:t> </w:t>
      </w:r>
      <w:r w:rsidRPr="002A2EA6">
        <w:rPr>
          <w:lang w:val="fr-FR"/>
        </w:rPr>
        <w:t>deuxième</w:t>
      </w:r>
      <w:r w:rsidR="002C39DB" w:rsidRPr="002A2EA6">
        <w:rPr>
          <w:lang w:val="fr-FR"/>
        </w:rPr>
        <w:t> </w:t>
      </w:r>
      <w:r w:rsidR="00FE3F9E" w:rsidRPr="002A2EA6">
        <w:rPr>
          <w:lang w:val="fr-FR"/>
        </w:rPr>
        <w:t xml:space="preserve">consistait à détacher des </w:t>
      </w:r>
      <w:r w:rsidRPr="002A2EA6">
        <w:rPr>
          <w:lang w:val="fr-FR"/>
        </w:rPr>
        <w:t xml:space="preserve">membres du personnel </w:t>
      </w:r>
      <w:r w:rsidR="002C39DB" w:rsidRPr="002A2EA6">
        <w:rPr>
          <w:lang w:val="fr-FR"/>
        </w:rPr>
        <w:t xml:space="preserve">du secrétariat </w:t>
      </w:r>
      <w:r w:rsidR="43CEEAC9" w:rsidRPr="002A2EA6">
        <w:rPr>
          <w:lang w:val="fr-FR"/>
        </w:rPr>
        <w:t>de</w:t>
      </w:r>
      <w:r w:rsidRPr="002A2EA6">
        <w:rPr>
          <w:lang w:val="fr-FR"/>
        </w:rPr>
        <w:t xml:space="preserve"> la Convention de Minamata auprès </w:t>
      </w:r>
      <w:r w:rsidR="002C39DB" w:rsidRPr="002A2EA6">
        <w:rPr>
          <w:lang w:val="fr-FR"/>
        </w:rPr>
        <w:t xml:space="preserve">du Secrétariat </w:t>
      </w:r>
      <w:r w:rsidRPr="002A2EA6">
        <w:rPr>
          <w:lang w:val="fr-FR"/>
        </w:rPr>
        <w:t xml:space="preserve">des </w:t>
      </w:r>
      <w:r w:rsidR="001E7366" w:rsidRPr="002A2EA6">
        <w:rPr>
          <w:lang w:val="fr-FR"/>
        </w:rPr>
        <w:t>c</w:t>
      </w:r>
      <w:r w:rsidRPr="002A2EA6">
        <w:rPr>
          <w:lang w:val="fr-FR"/>
        </w:rPr>
        <w:t xml:space="preserve">onventions de Bâle, de Rotterdam et de Stockholm, afin que </w:t>
      </w:r>
      <w:r w:rsidR="00FE3F9E" w:rsidRPr="002A2EA6">
        <w:rPr>
          <w:lang w:val="fr-FR"/>
        </w:rPr>
        <w:t>ce</w:t>
      </w:r>
      <w:r w:rsidR="00CF1FDE" w:rsidRPr="002A2EA6">
        <w:rPr>
          <w:lang w:val="fr-FR"/>
        </w:rPr>
        <w:t> </w:t>
      </w:r>
      <w:r w:rsidR="00FE3F9E" w:rsidRPr="002A2EA6">
        <w:rPr>
          <w:lang w:val="fr-FR"/>
        </w:rPr>
        <w:t xml:space="preserve">dernier </w:t>
      </w:r>
      <w:r w:rsidRPr="002A2EA6">
        <w:rPr>
          <w:lang w:val="fr-FR"/>
        </w:rPr>
        <w:t xml:space="preserve">puisse </w:t>
      </w:r>
      <w:r w:rsidR="00FE3F9E" w:rsidRPr="002A2EA6">
        <w:rPr>
          <w:lang w:val="fr-FR"/>
        </w:rPr>
        <w:t xml:space="preserve">assurer </w:t>
      </w:r>
      <w:r w:rsidRPr="002A2EA6">
        <w:rPr>
          <w:lang w:val="fr-FR"/>
        </w:rPr>
        <w:t xml:space="preserve">des services au </w:t>
      </w:r>
      <w:r w:rsidR="00D540E6" w:rsidRPr="002A2EA6">
        <w:rPr>
          <w:lang w:val="fr-FR"/>
        </w:rPr>
        <w:t>secrétariat</w:t>
      </w:r>
      <w:r w:rsidRPr="002A2EA6">
        <w:rPr>
          <w:lang w:val="fr-FR"/>
        </w:rPr>
        <w:t xml:space="preserve"> de laConvention de Minamata</w:t>
      </w:r>
      <w:r w:rsidR="001E7366" w:rsidRPr="002A2EA6">
        <w:rPr>
          <w:lang w:val="fr-FR"/>
        </w:rPr>
        <w:t> </w:t>
      </w:r>
      <w:r w:rsidR="631BDA25" w:rsidRPr="002A2EA6">
        <w:rPr>
          <w:lang w:val="fr-FR"/>
        </w:rPr>
        <w:t>;</w:t>
      </w:r>
      <w:r w:rsidRPr="002A2EA6">
        <w:rPr>
          <w:lang w:val="fr-FR"/>
        </w:rPr>
        <w:t xml:space="preserve"> la</w:t>
      </w:r>
      <w:r w:rsidR="00CF1FDE" w:rsidRPr="002A2EA6">
        <w:rPr>
          <w:lang w:val="fr-FR"/>
        </w:rPr>
        <w:t> </w:t>
      </w:r>
      <w:r w:rsidRPr="002A2EA6">
        <w:rPr>
          <w:lang w:val="fr-FR"/>
        </w:rPr>
        <w:t xml:space="preserve">troisième </w:t>
      </w:r>
      <w:r w:rsidR="00F23581" w:rsidRPr="002A2EA6">
        <w:rPr>
          <w:lang w:val="fr-FR"/>
        </w:rPr>
        <w:t>consistait à s</w:t>
      </w:r>
      <w:r w:rsidR="00CA4DAC">
        <w:rPr>
          <w:lang w:val="fr-FR"/>
        </w:rPr>
        <w:t>’</w:t>
      </w:r>
      <w:r w:rsidR="00F23581" w:rsidRPr="002A2EA6">
        <w:rPr>
          <w:lang w:val="fr-FR"/>
        </w:rPr>
        <w:t xml:space="preserve">assurer </w:t>
      </w:r>
      <w:r w:rsidRPr="002A2EA6">
        <w:rPr>
          <w:lang w:val="fr-FR"/>
        </w:rPr>
        <w:t>de</w:t>
      </w:r>
      <w:r w:rsidR="00F23581" w:rsidRPr="002A2EA6">
        <w:rPr>
          <w:lang w:val="fr-FR"/>
        </w:rPr>
        <w:t>s</w:t>
      </w:r>
      <w:r w:rsidRPr="002A2EA6">
        <w:rPr>
          <w:lang w:val="fr-FR"/>
        </w:rPr>
        <w:t xml:space="preserve"> services sur la base du recouvrement des coûts. </w:t>
      </w:r>
      <w:r w:rsidR="00F23581" w:rsidRPr="002A2EA6">
        <w:rPr>
          <w:lang w:val="fr-FR"/>
        </w:rPr>
        <w:t>D</w:t>
      </w:r>
      <w:r w:rsidR="00CA4DAC">
        <w:rPr>
          <w:lang w:val="fr-FR"/>
        </w:rPr>
        <w:t>’</w:t>
      </w:r>
      <w:r w:rsidR="00F23581" w:rsidRPr="002A2EA6">
        <w:rPr>
          <w:lang w:val="fr-FR"/>
        </w:rPr>
        <w:t xml:space="preserve">après </w:t>
      </w:r>
      <w:r w:rsidRPr="002A2EA6">
        <w:rPr>
          <w:lang w:val="fr-FR"/>
        </w:rPr>
        <w:t>une</w:t>
      </w:r>
      <w:r w:rsidR="002C39DB" w:rsidRPr="002A2EA6">
        <w:rPr>
          <w:lang w:val="fr-FR"/>
        </w:rPr>
        <w:t> </w:t>
      </w:r>
      <w:r w:rsidRPr="002A2EA6">
        <w:rPr>
          <w:lang w:val="fr-FR"/>
        </w:rPr>
        <w:t>projection des</w:t>
      </w:r>
      <w:r w:rsidR="009174D5" w:rsidRPr="002A2EA6">
        <w:rPr>
          <w:lang w:val="fr-FR"/>
        </w:rPr>
        <w:t> </w:t>
      </w:r>
      <w:r w:rsidRPr="002A2EA6">
        <w:rPr>
          <w:lang w:val="fr-FR"/>
        </w:rPr>
        <w:t xml:space="preserve">données financières </w:t>
      </w:r>
      <w:r w:rsidR="00F23581" w:rsidRPr="002A2EA6">
        <w:rPr>
          <w:lang w:val="fr-FR"/>
        </w:rPr>
        <w:t xml:space="preserve">correspondant </w:t>
      </w:r>
      <w:r w:rsidRPr="002A2EA6">
        <w:rPr>
          <w:lang w:val="fr-FR"/>
        </w:rPr>
        <w:t>à ces</w:t>
      </w:r>
      <w:r w:rsidR="003D1D27">
        <w:rPr>
          <w:lang w:val="fr-FR"/>
        </w:rPr>
        <w:t> </w:t>
      </w:r>
      <w:r w:rsidRPr="002A2EA6">
        <w:rPr>
          <w:lang w:val="fr-FR"/>
        </w:rPr>
        <w:t>trois</w:t>
      </w:r>
      <w:r w:rsidR="003D1D27">
        <w:rPr>
          <w:lang w:val="fr-FR"/>
        </w:rPr>
        <w:t> </w:t>
      </w:r>
      <w:r w:rsidRPr="002A2EA6">
        <w:rPr>
          <w:lang w:val="fr-FR"/>
        </w:rPr>
        <w:t>solutions, le modèle fondé sur le</w:t>
      </w:r>
      <w:r w:rsidR="002C39DB" w:rsidRPr="002A2EA6">
        <w:rPr>
          <w:lang w:val="fr-FR"/>
        </w:rPr>
        <w:t> </w:t>
      </w:r>
      <w:r w:rsidRPr="002A2EA6">
        <w:rPr>
          <w:lang w:val="fr-FR"/>
        </w:rPr>
        <w:t>recouvrement des coûts a semblé être le plus avantageux et a donc été recommandé par le PNUE.</w:t>
      </w:r>
    </w:p>
    <w:p w14:paraId="37BB5D8D" w14:textId="04256793" w:rsidR="00186B0A"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Le représentant du Secrétariat des </w:t>
      </w:r>
      <w:r w:rsidR="009174D5" w:rsidRPr="002A2EA6">
        <w:rPr>
          <w:lang w:val="fr-FR"/>
        </w:rPr>
        <w:t>c</w:t>
      </w:r>
      <w:r w:rsidRPr="002A2EA6">
        <w:rPr>
          <w:lang w:val="fr-FR"/>
        </w:rPr>
        <w:t>onventions de Bâle, de Rotterdam et de Stockholm et la</w:t>
      </w:r>
      <w:r w:rsidR="00CE52B4" w:rsidRPr="002A2EA6">
        <w:rPr>
          <w:lang w:val="fr-FR"/>
        </w:rPr>
        <w:t> </w:t>
      </w:r>
      <w:r w:rsidRPr="002A2EA6">
        <w:rPr>
          <w:lang w:val="fr-FR"/>
        </w:rPr>
        <w:t xml:space="preserve">représentante du </w:t>
      </w:r>
      <w:r w:rsidR="00D540E6" w:rsidRPr="002A2EA6">
        <w:rPr>
          <w:lang w:val="fr-FR"/>
        </w:rPr>
        <w:t>secrétariat</w:t>
      </w:r>
      <w:r w:rsidRPr="002A2EA6">
        <w:rPr>
          <w:lang w:val="fr-FR"/>
        </w:rPr>
        <w:t xml:space="preserve"> de la Convention de Minamata ont ensuite </w:t>
      </w:r>
      <w:r w:rsidR="00541FAB" w:rsidRPr="002A2EA6">
        <w:rPr>
          <w:lang w:val="fr-FR"/>
        </w:rPr>
        <w:t xml:space="preserve">décrit </w:t>
      </w:r>
      <w:r w:rsidRPr="002A2EA6">
        <w:rPr>
          <w:lang w:val="fr-FR"/>
        </w:rPr>
        <w:t>quelques</w:t>
      </w:r>
      <w:r w:rsidR="00541FAB" w:rsidRPr="002A2EA6">
        <w:rPr>
          <w:lang w:val="fr-FR"/>
        </w:rPr>
        <w:noBreakHyphen/>
      </w:r>
      <w:r w:rsidRPr="002A2EA6">
        <w:rPr>
          <w:lang w:val="fr-FR"/>
        </w:rPr>
        <w:t>unes des</w:t>
      </w:r>
      <w:r w:rsidR="009174D5" w:rsidRPr="002A2EA6">
        <w:rPr>
          <w:lang w:val="fr-FR"/>
        </w:rPr>
        <w:t> </w:t>
      </w:r>
      <w:r w:rsidRPr="002A2EA6">
        <w:rPr>
          <w:lang w:val="fr-FR"/>
        </w:rPr>
        <w:t xml:space="preserve">activités de coopération ayant pris place à ce jour, </w:t>
      </w:r>
      <w:r w:rsidR="00541FAB" w:rsidRPr="002A2EA6">
        <w:rPr>
          <w:lang w:val="fr-FR"/>
        </w:rPr>
        <w:t xml:space="preserve">qui sont </w:t>
      </w:r>
      <w:r w:rsidRPr="002A2EA6">
        <w:rPr>
          <w:lang w:val="fr-FR"/>
        </w:rPr>
        <w:t>décrites dans les</w:t>
      </w:r>
      <w:r w:rsidR="00CE52B4" w:rsidRPr="002A2EA6">
        <w:rPr>
          <w:lang w:val="fr-FR"/>
        </w:rPr>
        <w:t> </w:t>
      </w:r>
      <w:r w:rsidRPr="002A2EA6">
        <w:rPr>
          <w:lang w:val="fr-FR"/>
        </w:rPr>
        <w:t>documents</w:t>
      </w:r>
      <w:r w:rsidR="00CE52B4" w:rsidRPr="002A2EA6">
        <w:rPr>
          <w:lang w:val="fr-FR"/>
        </w:rPr>
        <w:t> </w:t>
      </w:r>
      <w:r w:rsidRPr="002A2EA6">
        <w:rPr>
          <w:lang w:val="fr-FR"/>
        </w:rPr>
        <w:t>UNEP/MC/COP.3/INF/6 et UNEP/MC/COP.3/19.</w:t>
      </w:r>
    </w:p>
    <w:p w14:paraId="2A00B42E" w14:textId="122984ED" w:rsidR="00186B0A"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La représentante de l</w:t>
      </w:r>
      <w:r w:rsidR="00CA4DAC">
        <w:rPr>
          <w:lang w:val="fr-FR"/>
        </w:rPr>
        <w:t>’</w:t>
      </w:r>
      <w:r w:rsidRPr="002A2EA6">
        <w:rPr>
          <w:lang w:val="fr-FR"/>
        </w:rPr>
        <w:t xml:space="preserve">Union européenne a présenté un document de séance contenant un projet de décision visant à améliorer la coopération entre le </w:t>
      </w:r>
      <w:r w:rsidR="00D540E6" w:rsidRPr="002A2EA6">
        <w:rPr>
          <w:lang w:val="fr-FR"/>
        </w:rPr>
        <w:t>secrétariat</w:t>
      </w:r>
      <w:r w:rsidRPr="002A2EA6">
        <w:rPr>
          <w:lang w:val="fr-FR"/>
        </w:rPr>
        <w:t xml:space="preserve"> de la Convention de Minamata et le</w:t>
      </w:r>
      <w:r w:rsidR="00CE52B4" w:rsidRPr="002A2EA6">
        <w:rPr>
          <w:lang w:val="fr-FR"/>
        </w:rPr>
        <w:t> </w:t>
      </w:r>
      <w:r w:rsidRPr="002A2EA6">
        <w:rPr>
          <w:lang w:val="fr-FR"/>
        </w:rPr>
        <w:t xml:space="preserve">Secrétariat des </w:t>
      </w:r>
      <w:r w:rsidR="002C0D58" w:rsidRPr="002A2EA6">
        <w:rPr>
          <w:lang w:val="fr-FR"/>
        </w:rPr>
        <w:t>c</w:t>
      </w:r>
      <w:r w:rsidRPr="002A2EA6">
        <w:rPr>
          <w:lang w:val="fr-FR"/>
        </w:rPr>
        <w:t>onventions de Bâle, de Rotterdam et de Stockholm, présenté par le Congo, le</w:t>
      </w:r>
      <w:r w:rsidR="00CE52B4" w:rsidRPr="002A2EA6">
        <w:rPr>
          <w:lang w:val="fr-FR"/>
        </w:rPr>
        <w:t> </w:t>
      </w:r>
      <w:r w:rsidRPr="002A2EA6">
        <w:rPr>
          <w:lang w:val="fr-FR"/>
        </w:rPr>
        <w:t>Costa</w:t>
      </w:r>
      <w:r w:rsidR="00CE52B4" w:rsidRPr="002A2EA6">
        <w:rPr>
          <w:lang w:val="fr-FR"/>
        </w:rPr>
        <w:t> </w:t>
      </w:r>
      <w:r w:rsidRPr="002A2EA6">
        <w:rPr>
          <w:lang w:val="fr-FR"/>
        </w:rPr>
        <w:t>Rica, le Gabon, le Mali, la Norvège, le Sénégal, la Suisse, la Thaïlande et l</w:t>
      </w:r>
      <w:r w:rsidR="00CA4DAC">
        <w:rPr>
          <w:lang w:val="fr-FR"/>
        </w:rPr>
        <w:t>’</w:t>
      </w:r>
      <w:r w:rsidRPr="002A2EA6">
        <w:rPr>
          <w:lang w:val="fr-FR"/>
        </w:rPr>
        <w:t>Union</w:t>
      </w:r>
      <w:r w:rsidR="00CE52B4" w:rsidRPr="002A2EA6">
        <w:rPr>
          <w:lang w:val="fr-FR"/>
        </w:rPr>
        <w:t> </w:t>
      </w:r>
      <w:r w:rsidRPr="002A2EA6">
        <w:rPr>
          <w:lang w:val="fr-FR"/>
        </w:rPr>
        <w:t xml:space="preserve">européenne et ses États membres. Ce projet de décision, </w:t>
      </w:r>
      <w:r w:rsidR="00C664A0" w:rsidRPr="002A2EA6">
        <w:rPr>
          <w:lang w:val="fr-FR"/>
        </w:rPr>
        <w:t xml:space="preserve">qui </w:t>
      </w:r>
      <w:r w:rsidRPr="002A2EA6">
        <w:rPr>
          <w:lang w:val="fr-FR"/>
        </w:rPr>
        <w:t>s</w:t>
      </w:r>
      <w:r w:rsidR="00CA4DAC">
        <w:rPr>
          <w:lang w:val="fr-FR"/>
        </w:rPr>
        <w:t>’</w:t>
      </w:r>
      <w:r w:rsidRPr="002A2EA6">
        <w:rPr>
          <w:lang w:val="fr-FR"/>
        </w:rPr>
        <w:t>inspir</w:t>
      </w:r>
      <w:r w:rsidR="00C664A0" w:rsidRPr="002A2EA6">
        <w:rPr>
          <w:lang w:val="fr-FR"/>
        </w:rPr>
        <w:t>e</w:t>
      </w:r>
      <w:r w:rsidRPr="002A2EA6">
        <w:rPr>
          <w:lang w:val="fr-FR"/>
        </w:rPr>
        <w:t xml:space="preserve"> du projet de dispositif présenté par la</w:t>
      </w:r>
      <w:r w:rsidR="00391A9C" w:rsidRPr="002A2EA6">
        <w:rPr>
          <w:lang w:val="fr-FR"/>
        </w:rPr>
        <w:t> </w:t>
      </w:r>
      <w:r w:rsidRPr="002A2EA6">
        <w:rPr>
          <w:lang w:val="fr-FR"/>
        </w:rPr>
        <w:t xml:space="preserve">Directrice exécutive du PNUE (UNEP/MC/COP.3/16), recommandait notamment </w:t>
      </w:r>
      <w:r w:rsidR="0057216B" w:rsidRPr="002A2EA6">
        <w:rPr>
          <w:lang w:val="fr-FR"/>
        </w:rPr>
        <w:t>à</w:t>
      </w:r>
      <w:r w:rsidRPr="002A2EA6">
        <w:rPr>
          <w:lang w:val="fr-FR"/>
        </w:rPr>
        <w:t xml:space="preserve"> </w:t>
      </w:r>
      <w:r w:rsidRPr="002A2EA6">
        <w:rPr>
          <w:lang w:val="fr-FR"/>
        </w:rPr>
        <w:lastRenderedPageBreak/>
        <w:t>la</w:t>
      </w:r>
      <w:r w:rsidR="00CE52B4" w:rsidRPr="002A2EA6">
        <w:rPr>
          <w:lang w:val="fr-FR"/>
        </w:rPr>
        <w:t> </w:t>
      </w:r>
      <w:r w:rsidRPr="002A2EA6">
        <w:rPr>
          <w:lang w:val="fr-FR"/>
        </w:rPr>
        <w:t xml:space="preserve">Convention de Minamata </w:t>
      </w:r>
      <w:r w:rsidR="0057216B" w:rsidRPr="002A2EA6">
        <w:rPr>
          <w:lang w:val="fr-FR"/>
        </w:rPr>
        <w:t>de continuer à se</w:t>
      </w:r>
      <w:r w:rsidRPr="002A2EA6">
        <w:rPr>
          <w:lang w:val="fr-FR"/>
        </w:rPr>
        <w:t xml:space="preserve"> procure</w:t>
      </w:r>
      <w:r w:rsidR="0057216B" w:rsidRPr="002A2EA6">
        <w:rPr>
          <w:lang w:val="fr-FR"/>
        </w:rPr>
        <w:t>r</w:t>
      </w:r>
      <w:r w:rsidRPr="002A2EA6">
        <w:rPr>
          <w:lang w:val="fr-FR"/>
        </w:rPr>
        <w:t xml:space="preserve"> des services auprès du Secrétariat des conventions de Bâle, de Rotterdam et de Stockholm sur la base du recouvrement des coûts</w:t>
      </w:r>
      <w:r w:rsidR="006B6112" w:rsidRPr="002A2EA6">
        <w:rPr>
          <w:lang w:val="fr-FR"/>
        </w:rPr>
        <w:t> </w:t>
      </w:r>
      <w:r w:rsidR="631BDA25" w:rsidRPr="002A2EA6">
        <w:rPr>
          <w:lang w:val="fr-FR"/>
        </w:rPr>
        <w:t>;</w:t>
      </w:r>
      <w:r w:rsidRPr="002A2EA6">
        <w:rPr>
          <w:lang w:val="fr-FR"/>
        </w:rPr>
        <w:t xml:space="preserve"> de</w:t>
      </w:r>
      <w:r w:rsidR="0090074E">
        <w:rPr>
          <w:lang w:val="fr-FR"/>
        </w:rPr>
        <w:t> </w:t>
      </w:r>
      <w:r w:rsidRPr="002A2EA6">
        <w:rPr>
          <w:lang w:val="fr-FR"/>
        </w:rPr>
        <w:t>revitaliser l</w:t>
      </w:r>
      <w:r w:rsidR="00CA4DAC">
        <w:rPr>
          <w:lang w:val="fr-FR"/>
        </w:rPr>
        <w:t>’</w:t>
      </w:r>
      <w:r w:rsidRPr="002A2EA6">
        <w:rPr>
          <w:lang w:val="fr-FR"/>
        </w:rPr>
        <w:t xml:space="preserve">équipe spéciale </w:t>
      </w:r>
      <w:r w:rsidR="002747A7">
        <w:rPr>
          <w:lang w:val="fr-FR"/>
        </w:rPr>
        <w:t xml:space="preserve">commune aux </w:t>
      </w:r>
      <w:r w:rsidRPr="002A2EA6">
        <w:rPr>
          <w:lang w:val="fr-FR"/>
        </w:rPr>
        <w:t xml:space="preserve">deux secrétariats et </w:t>
      </w:r>
      <w:r w:rsidR="00872562">
        <w:rPr>
          <w:lang w:val="fr-FR"/>
        </w:rPr>
        <w:t xml:space="preserve">au </w:t>
      </w:r>
      <w:r w:rsidRPr="002A2EA6">
        <w:rPr>
          <w:lang w:val="fr-FR"/>
        </w:rPr>
        <w:t>Service « Produits chimiques et Santé » du PNUE</w:t>
      </w:r>
      <w:r w:rsidR="001E7366" w:rsidRPr="002A2EA6">
        <w:rPr>
          <w:lang w:val="fr-FR"/>
        </w:rPr>
        <w:t> </w:t>
      </w:r>
      <w:r w:rsidR="631BDA25" w:rsidRPr="002A2EA6">
        <w:rPr>
          <w:lang w:val="fr-FR"/>
        </w:rPr>
        <w:t>;</w:t>
      </w:r>
      <w:r w:rsidRPr="002A2EA6">
        <w:rPr>
          <w:lang w:val="fr-FR"/>
        </w:rPr>
        <w:t xml:space="preserve"> et de créer des groupes de travail intersecrétariats, placés sous l</w:t>
      </w:r>
      <w:r w:rsidR="00CA4DAC">
        <w:rPr>
          <w:lang w:val="fr-FR"/>
        </w:rPr>
        <w:t>’</w:t>
      </w:r>
      <w:r w:rsidRPr="002A2EA6">
        <w:rPr>
          <w:lang w:val="fr-FR"/>
        </w:rPr>
        <w:t>égide de l</w:t>
      </w:r>
      <w:r w:rsidR="00CA4DAC">
        <w:rPr>
          <w:lang w:val="fr-FR"/>
        </w:rPr>
        <w:t>’</w:t>
      </w:r>
      <w:r w:rsidRPr="002A2EA6">
        <w:rPr>
          <w:lang w:val="fr-FR"/>
        </w:rPr>
        <w:t>équipe spéciale, qui se</w:t>
      </w:r>
      <w:r w:rsidR="006B6112" w:rsidRPr="002A2EA6">
        <w:rPr>
          <w:lang w:val="fr-FR"/>
        </w:rPr>
        <w:t> </w:t>
      </w:r>
      <w:r w:rsidRPr="002A2EA6">
        <w:rPr>
          <w:lang w:val="fr-FR"/>
        </w:rPr>
        <w:t>chargeraient de l</w:t>
      </w:r>
      <w:r w:rsidR="00CA4DAC">
        <w:rPr>
          <w:lang w:val="fr-FR"/>
        </w:rPr>
        <w:t>’</w:t>
      </w:r>
      <w:r w:rsidRPr="002A2EA6">
        <w:rPr>
          <w:lang w:val="fr-FR"/>
        </w:rPr>
        <w:t xml:space="preserve">examen de questions de fond ou de </w:t>
      </w:r>
      <w:r w:rsidR="00E3411A" w:rsidRPr="002A2EA6">
        <w:rPr>
          <w:lang w:val="fr-FR"/>
        </w:rPr>
        <w:t xml:space="preserve">certaines </w:t>
      </w:r>
      <w:r w:rsidRPr="002A2EA6">
        <w:rPr>
          <w:lang w:val="fr-FR"/>
        </w:rPr>
        <w:t>questions administratives.</w:t>
      </w:r>
    </w:p>
    <w:p w14:paraId="07403DF7" w14:textId="20098D56" w:rsidR="003D0299"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Au cours du débat qui a suivi, </w:t>
      </w:r>
      <w:r w:rsidR="00E3411A" w:rsidRPr="002A2EA6">
        <w:rPr>
          <w:lang w:val="fr-FR"/>
        </w:rPr>
        <w:t xml:space="preserve">bon nombre </w:t>
      </w:r>
      <w:r w:rsidRPr="002A2EA6">
        <w:rPr>
          <w:lang w:val="fr-FR"/>
        </w:rPr>
        <w:t xml:space="preserve">de représentants ont remercié la Directrice exécutive </w:t>
      </w:r>
      <w:r w:rsidR="00E3411A" w:rsidRPr="002A2EA6">
        <w:rPr>
          <w:lang w:val="fr-FR"/>
        </w:rPr>
        <w:t xml:space="preserve">de </w:t>
      </w:r>
      <w:r w:rsidRPr="002A2EA6">
        <w:rPr>
          <w:lang w:val="fr-FR"/>
        </w:rPr>
        <w:t xml:space="preserve">sa proposition et remercié également les auteurs du document de séance </w:t>
      </w:r>
      <w:r w:rsidR="00E3411A" w:rsidRPr="002A2EA6">
        <w:rPr>
          <w:lang w:val="fr-FR"/>
        </w:rPr>
        <w:t xml:space="preserve">de </w:t>
      </w:r>
      <w:r w:rsidRPr="002A2EA6">
        <w:rPr>
          <w:lang w:val="fr-FR"/>
        </w:rPr>
        <w:t>leur proposition. Un</w:t>
      </w:r>
      <w:r w:rsidR="00B37511" w:rsidRPr="002A2EA6">
        <w:rPr>
          <w:lang w:val="fr-FR"/>
        </w:rPr>
        <w:t> </w:t>
      </w:r>
      <w:r w:rsidRPr="002A2EA6">
        <w:rPr>
          <w:lang w:val="fr-FR"/>
        </w:rPr>
        <w:t>grand nombre de représentants, dont l</w:t>
      </w:r>
      <w:r w:rsidR="00CA4DAC">
        <w:rPr>
          <w:lang w:val="fr-FR"/>
        </w:rPr>
        <w:t>’</w:t>
      </w:r>
      <w:r w:rsidRPr="002A2EA6">
        <w:rPr>
          <w:lang w:val="fr-FR"/>
        </w:rPr>
        <w:t>un s</w:t>
      </w:r>
      <w:r w:rsidR="00CA4DAC">
        <w:rPr>
          <w:lang w:val="fr-FR"/>
        </w:rPr>
        <w:t>’</w:t>
      </w:r>
      <w:r w:rsidRPr="002A2EA6">
        <w:rPr>
          <w:lang w:val="fr-FR"/>
        </w:rPr>
        <w:t>exprimait au nom d</w:t>
      </w:r>
      <w:r w:rsidR="00CA4DAC">
        <w:rPr>
          <w:lang w:val="fr-FR"/>
        </w:rPr>
        <w:t>’</w:t>
      </w:r>
      <w:r w:rsidRPr="002A2EA6">
        <w:rPr>
          <w:lang w:val="fr-FR"/>
        </w:rPr>
        <w:t>un groupe de pays, se</w:t>
      </w:r>
      <w:r w:rsidR="00C166F9">
        <w:rPr>
          <w:lang w:val="fr-FR"/>
        </w:rPr>
        <w:t> </w:t>
      </w:r>
      <w:r w:rsidRPr="002A2EA6">
        <w:rPr>
          <w:lang w:val="fr-FR"/>
        </w:rPr>
        <w:t>sont dits favorables au projet de décision présenté dans le document de séance, soulignant qu</w:t>
      </w:r>
      <w:r w:rsidR="00CA4DAC">
        <w:rPr>
          <w:lang w:val="fr-FR"/>
        </w:rPr>
        <w:t>’</w:t>
      </w:r>
      <w:r w:rsidRPr="002A2EA6">
        <w:rPr>
          <w:lang w:val="fr-FR"/>
        </w:rPr>
        <w:t>il</w:t>
      </w:r>
      <w:r w:rsidR="00C166F9">
        <w:rPr>
          <w:lang w:val="fr-FR"/>
        </w:rPr>
        <w:t> </w:t>
      </w:r>
      <w:r w:rsidRPr="002A2EA6">
        <w:rPr>
          <w:lang w:val="fr-FR"/>
        </w:rPr>
        <w:t>offrait un cadre pratique et stable à l</w:t>
      </w:r>
      <w:r w:rsidR="00CA4DAC">
        <w:rPr>
          <w:lang w:val="fr-FR"/>
        </w:rPr>
        <w:t>’</w:t>
      </w:r>
      <w:r w:rsidRPr="002A2EA6">
        <w:rPr>
          <w:lang w:val="fr-FR"/>
        </w:rPr>
        <w:t>amélioration de la collaboration et de la coopération entre les deux</w:t>
      </w:r>
      <w:r w:rsidR="00B37511" w:rsidRPr="002A2EA6">
        <w:rPr>
          <w:lang w:val="fr-FR"/>
        </w:rPr>
        <w:t> </w:t>
      </w:r>
      <w:r w:rsidRPr="002A2EA6">
        <w:rPr>
          <w:lang w:val="fr-FR"/>
        </w:rPr>
        <w:t>secrétariats par-delà l</w:t>
      </w:r>
      <w:r w:rsidR="00CA4DAC">
        <w:rPr>
          <w:lang w:val="fr-FR"/>
        </w:rPr>
        <w:t>’</w:t>
      </w:r>
      <w:r w:rsidRPr="002A2EA6">
        <w:rPr>
          <w:lang w:val="fr-FR"/>
        </w:rPr>
        <w:t>organisation des réunions et l</w:t>
      </w:r>
      <w:r w:rsidR="00CA4DAC">
        <w:rPr>
          <w:lang w:val="fr-FR"/>
        </w:rPr>
        <w:t>’</w:t>
      </w:r>
      <w:r w:rsidRPr="002A2EA6">
        <w:rPr>
          <w:lang w:val="fr-FR"/>
        </w:rPr>
        <w:t>achat de services, tout en respectant l</w:t>
      </w:r>
      <w:r w:rsidR="00CA4DAC">
        <w:rPr>
          <w:lang w:val="fr-FR"/>
        </w:rPr>
        <w:t>’</w:t>
      </w:r>
      <w:r w:rsidRPr="002A2EA6">
        <w:rPr>
          <w:lang w:val="fr-FR"/>
        </w:rPr>
        <w:t>autonomie juridique de chacun des secrétariats.</w:t>
      </w:r>
    </w:p>
    <w:p w14:paraId="40FE4FEF" w14:textId="799C6AE7" w:rsidR="003D0299"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Plusieurs autres représentants ont dit avoir besoin de temps pour examiner le projet de décision proposé. Deux</w:t>
      </w:r>
      <w:r w:rsidR="00B37511" w:rsidRPr="002A2EA6">
        <w:rPr>
          <w:lang w:val="fr-FR"/>
        </w:rPr>
        <w:t> </w:t>
      </w:r>
      <w:r w:rsidRPr="002A2EA6">
        <w:rPr>
          <w:lang w:val="fr-FR"/>
        </w:rPr>
        <w:t>représentants étaient en faveur d</w:t>
      </w:r>
      <w:r w:rsidR="00CA4DAC">
        <w:rPr>
          <w:lang w:val="fr-FR"/>
        </w:rPr>
        <w:t>’</w:t>
      </w:r>
      <w:r w:rsidRPr="002A2EA6">
        <w:rPr>
          <w:lang w:val="fr-FR"/>
        </w:rPr>
        <w:t>une décision qui serait axée sur l</w:t>
      </w:r>
      <w:r w:rsidR="00CA4DAC">
        <w:rPr>
          <w:lang w:val="fr-FR"/>
        </w:rPr>
        <w:t>’</w:t>
      </w:r>
      <w:r w:rsidRPr="002A2EA6">
        <w:rPr>
          <w:lang w:val="fr-FR"/>
        </w:rPr>
        <w:t>achat de services par la Convention de Minamata, sans pour autant entraîner de surcoûts pour les Parties à cette convention, et qui permettrait aux deux</w:t>
      </w:r>
      <w:r w:rsidR="00B37511" w:rsidRPr="002A2EA6">
        <w:rPr>
          <w:lang w:val="fr-FR"/>
        </w:rPr>
        <w:t> </w:t>
      </w:r>
      <w:r w:rsidRPr="002A2EA6">
        <w:rPr>
          <w:lang w:val="fr-FR"/>
        </w:rPr>
        <w:t>secrétariats de conserver leur autonomie juridique</w:t>
      </w:r>
      <w:r w:rsidR="001E7366" w:rsidRPr="002A2EA6">
        <w:rPr>
          <w:lang w:val="fr-FR"/>
        </w:rPr>
        <w:t> </w:t>
      </w:r>
      <w:r w:rsidR="631BDA25" w:rsidRPr="002A2EA6">
        <w:rPr>
          <w:lang w:val="fr-FR"/>
        </w:rPr>
        <w:t>;</w:t>
      </w:r>
      <w:r w:rsidRPr="002A2EA6">
        <w:rPr>
          <w:lang w:val="fr-FR"/>
        </w:rPr>
        <w:t xml:space="preserve"> l</w:t>
      </w:r>
      <w:r w:rsidR="00CA4DAC">
        <w:rPr>
          <w:lang w:val="fr-FR"/>
        </w:rPr>
        <w:t>’</w:t>
      </w:r>
      <w:r w:rsidRPr="002A2EA6">
        <w:rPr>
          <w:lang w:val="fr-FR"/>
        </w:rPr>
        <w:t>un d</w:t>
      </w:r>
      <w:r w:rsidR="00CA4DAC">
        <w:rPr>
          <w:lang w:val="fr-FR"/>
        </w:rPr>
        <w:t>’</w:t>
      </w:r>
      <w:r w:rsidRPr="002A2EA6">
        <w:rPr>
          <w:lang w:val="fr-FR"/>
        </w:rPr>
        <w:t>eux s</w:t>
      </w:r>
      <w:r w:rsidR="00CA4DAC">
        <w:rPr>
          <w:lang w:val="fr-FR"/>
        </w:rPr>
        <w:t>’</w:t>
      </w:r>
      <w:r w:rsidRPr="002A2EA6">
        <w:rPr>
          <w:lang w:val="fr-FR"/>
        </w:rPr>
        <w:t xml:space="preserve">est inquiété du fait que le projet de décision proposé couvrait des </w:t>
      </w:r>
      <w:r w:rsidR="002C39DB" w:rsidRPr="002A2EA6">
        <w:rPr>
          <w:lang w:val="fr-FR"/>
        </w:rPr>
        <w:t>services tels</w:t>
      </w:r>
      <w:r w:rsidRPr="002A2EA6">
        <w:rPr>
          <w:lang w:val="fr-FR"/>
        </w:rPr>
        <w:t xml:space="preserve"> que la fourniture de conseils juridiques. Un troisième représentant a estimé que la Convention de Minamata devait être dotée d</w:t>
      </w:r>
      <w:r w:rsidR="00CA4DAC">
        <w:rPr>
          <w:lang w:val="fr-FR"/>
        </w:rPr>
        <w:t>’</w:t>
      </w:r>
      <w:r w:rsidRPr="002A2EA6">
        <w:rPr>
          <w:lang w:val="fr-FR"/>
        </w:rPr>
        <w:t>un secrétariat fort et indépendant qui n</w:t>
      </w:r>
      <w:r w:rsidR="00CA4DAC">
        <w:rPr>
          <w:lang w:val="fr-FR"/>
        </w:rPr>
        <w:t>’</w:t>
      </w:r>
      <w:r w:rsidRPr="002A2EA6">
        <w:rPr>
          <w:lang w:val="fr-FR"/>
        </w:rPr>
        <w:t>aurait à répondre qu</w:t>
      </w:r>
      <w:r w:rsidR="00CA4DAC">
        <w:rPr>
          <w:lang w:val="fr-FR"/>
        </w:rPr>
        <w:t>’</w:t>
      </w:r>
      <w:r w:rsidRPr="002A2EA6">
        <w:rPr>
          <w:lang w:val="fr-FR"/>
        </w:rPr>
        <w:t xml:space="preserve">aux Parties à </w:t>
      </w:r>
      <w:r w:rsidR="00A03B8A" w:rsidRPr="002A2EA6">
        <w:rPr>
          <w:lang w:val="fr-FR"/>
        </w:rPr>
        <w:t>la C</w:t>
      </w:r>
      <w:r w:rsidRPr="002A2EA6">
        <w:rPr>
          <w:lang w:val="fr-FR"/>
        </w:rPr>
        <w:t>onvention</w:t>
      </w:r>
      <w:r w:rsidR="00A03B8A" w:rsidRPr="002A2EA6">
        <w:rPr>
          <w:lang w:val="fr-FR"/>
        </w:rPr>
        <w:t xml:space="preserve"> de</w:t>
      </w:r>
      <w:r w:rsidR="00B37511" w:rsidRPr="002A2EA6">
        <w:rPr>
          <w:lang w:val="fr-FR"/>
        </w:rPr>
        <w:t> </w:t>
      </w:r>
      <w:r w:rsidR="00A03B8A" w:rsidRPr="002A2EA6">
        <w:rPr>
          <w:lang w:val="fr-FR"/>
        </w:rPr>
        <w:t>Minamata</w:t>
      </w:r>
      <w:r w:rsidRPr="002A2EA6">
        <w:rPr>
          <w:lang w:val="fr-FR"/>
        </w:rPr>
        <w:t>.</w:t>
      </w:r>
    </w:p>
    <w:p w14:paraId="5F5B2500" w14:textId="064FC5B7" w:rsidR="00186B0A"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L</w:t>
      </w:r>
      <w:r w:rsidR="00CA4DAC">
        <w:rPr>
          <w:lang w:val="fr-FR"/>
        </w:rPr>
        <w:t>’</w:t>
      </w:r>
      <w:r w:rsidRPr="002A2EA6">
        <w:rPr>
          <w:lang w:val="fr-FR"/>
        </w:rPr>
        <w:t xml:space="preserve">un des auteurs du document de séance a rappelé que le but du projet de décision était de mettre en place un cadre stable pour permettre aux deux secrétariats de coopérer </w:t>
      </w:r>
      <w:r w:rsidR="009359B9" w:rsidRPr="002A2EA6">
        <w:rPr>
          <w:lang w:val="fr-FR"/>
        </w:rPr>
        <w:t>dans tous les</w:t>
      </w:r>
      <w:r w:rsidR="00B37511" w:rsidRPr="002A2EA6">
        <w:rPr>
          <w:lang w:val="fr-FR"/>
        </w:rPr>
        <w:t> </w:t>
      </w:r>
      <w:r w:rsidR="009359B9" w:rsidRPr="002A2EA6">
        <w:rPr>
          <w:lang w:val="fr-FR"/>
        </w:rPr>
        <w:t>domaines d</w:t>
      </w:r>
      <w:r w:rsidR="00CA4DAC">
        <w:rPr>
          <w:lang w:val="fr-FR"/>
        </w:rPr>
        <w:t>’</w:t>
      </w:r>
      <w:r w:rsidR="009359B9" w:rsidRPr="002A2EA6">
        <w:rPr>
          <w:lang w:val="fr-FR"/>
        </w:rPr>
        <w:t>intérêt</w:t>
      </w:r>
      <w:r w:rsidRPr="002A2EA6">
        <w:rPr>
          <w:lang w:val="fr-FR"/>
        </w:rPr>
        <w:t xml:space="preserve"> et d</w:t>
      </w:r>
      <w:r w:rsidR="00CA4DAC">
        <w:rPr>
          <w:lang w:val="fr-FR"/>
        </w:rPr>
        <w:t>’</w:t>
      </w:r>
      <w:r w:rsidRPr="002A2EA6">
        <w:rPr>
          <w:lang w:val="fr-FR"/>
        </w:rPr>
        <w:t xml:space="preserve">utiliser les ressources le plus </w:t>
      </w:r>
      <w:r w:rsidR="009359B9" w:rsidRPr="002A2EA6">
        <w:rPr>
          <w:lang w:val="fr-FR"/>
        </w:rPr>
        <w:t xml:space="preserve">rationnellement </w:t>
      </w:r>
      <w:r w:rsidRPr="002A2EA6">
        <w:rPr>
          <w:lang w:val="fr-FR"/>
        </w:rPr>
        <w:t>possible. Un autre auteur, notant que le projet de décision était pratique et faisait usage des outils et mandats existants, a fait observer, par exemple, que le Service « Produits chimiques et Santé » du PNUE et les</w:t>
      </w:r>
      <w:r w:rsidR="00CE52B4" w:rsidRPr="002A2EA6">
        <w:rPr>
          <w:lang w:val="fr-FR"/>
        </w:rPr>
        <w:t> </w:t>
      </w:r>
      <w:r w:rsidRPr="002A2EA6">
        <w:rPr>
          <w:lang w:val="fr-FR"/>
        </w:rPr>
        <w:t>deux</w:t>
      </w:r>
      <w:r w:rsidR="00CE52B4" w:rsidRPr="002A2EA6">
        <w:rPr>
          <w:lang w:val="fr-FR"/>
        </w:rPr>
        <w:t> </w:t>
      </w:r>
      <w:r w:rsidRPr="002A2EA6">
        <w:rPr>
          <w:lang w:val="fr-FR"/>
        </w:rPr>
        <w:t>secrétariats avaient déjà reçu de leurs organes directeurs les mandats nécessaires pour renforcer leur collaboration mutuelle.</w:t>
      </w:r>
    </w:p>
    <w:p w14:paraId="2F9745FB" w14:textId="2F803867" w:rsidR="00186B0A" w:rsidRPr="002A2EA6" w:rsidRDefault="00186B0A" w:rsidP="00A056A2">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 xml:space="preserve">issue du débat, la Conférence des Parties </w:t>
      </w:r>
      <w:r w:rsidR="0083044C" w:rsidRPr="002A2EA6">
        <w:rPr>
          <w:lang w:val="fr-FR"/>
        </w:rPr>
        <w:t xml:space="preserve">a décidé de créer </w:t>
      </w:r>
      <w:r w:rsidRPr="002A2EA6">
        <w:rPr>
          <w:lang w:val="fr-FR"/>
        </w:rPr>
        <w:t xml:space="preserve">un </w:t>
      </w:r>
      <w:r w:rsidR="0083044C" w:rsidRPr="002A2EA6">
        <w:rPr>
          <w:lang w:val="fr-FR"/>
        </w:rPr>
        <w:t>G</w:t>
      </w:r>
      <w:r w:rsidRPr="002A2EA6">
        <w:rPr>
          <w:lang w:val="fr-FR"/>
        </w:rPr>
        <w:t xml:space="preserve">roupe des </w:t>
      </w:r>
      <w:r w:rsidR="0083044C" w:rsidRPr="002A2EA6">
        <w:rPr>
          <w:lang w:val="fr-FR"/>
        </w:rPr>
        <w:t>A</w:t>
      </w:r>
      <w:r w:rsidRPr="002A2EA6">
        <w:rPr>
          <w:lang w:val="fr-FR"/>
        </w:rPr>
        <w:t>mis d</w:t>
      </w:r>
      <w:r w:rsidR="0057216B" w:rsidRPr="002A2EA6">
        <w:rPr>
          <w:lang w:val="fr-FR"/>
        </w:rPr>
        <w:t>e la</w:t>
      </w:r>
      <w:r w:rsidR="00CE52B4" w:rsidRPr="002A2EA6">
        <w:rPr>
          <w:lang w:val="fr-FR"/>
        </w:rPr>
        <w:t> </w:t>
      </w:r>
      <w:r w:rsidR="0057216B" w:rsidRPr="002A2EA6">
        <w:rPr>
          <w:lang w:val="fr-FR"/>
        </w:rPr>
        <w:t>présidence</w:t>
      </w:r>
      <w:r w:rsidRPr="002A2EA6">
        <w:rPr>
          <w:lang w:val="fr-FR"/>
        </w:rPr>
        <w:t xml:space="preserve">, ouvert </w:t>
      </w:r>
      <w:r w:rsidR="00E03DCC" w:rsidRPr="002A2EA6">
        <w:rPr>
          <w:lang w:val="fr-FR"/>
        </w:rPr>
        <w:t xml:space="preserve">uniquement </w:t>
      </w:r>
      <w:r w:rsidRPr="002A2EA6">
        <w:rPr>
          <w:lang w:val="fr-FR"/>
        </w:rPr>
        <w:t xml:space="preserve">aux Parties et animé par </w:t>
      </w:r>
      <w:r w:rsidR="0075356A" w:rsidRPr="002A2EA6">
        <w:rPr>
          <w:lang w:val="fr-FR"/>
        </w:rPr>
        <w:t>Mme </w:t>
      </w:r>
      <w:r w:rsidRPr="002A2EA6">
        <w:rPr>
          <w:lang w:val="fr-FR"/>
        </w:rPr>
        <w:t xml:space="preserve">Nina Cromnier (Suède), </w:t>
      </w:r>
      <w:r w:rsidR="1FAAEA99" w:rsidRPr="002A2EA6">
        <w:rPr>
          <w:lang w:val="fr-FR"/>
        </w:rPr>
        <w:t xml:space="preserve">chargé </w:t>
      </w:r>
      <w:r w:rsidR="4BDC6A1B" w:rsidRPr="002A2EA6">
        <w:rPr>
          <w:lang w:val="fr-FR"/>
        </w:rPr>
        <w:t xml:space="preserve">de </w:t>
      </w:r>
      <w:r w:rsidRPr="002A2EA6">
        <w:rPr>
          <w:lang w:val="fr-FR"/>
        </w:rPr>
        <w:t>poursuivre l</w:t>
      </w:r>
      <w:r w:rsidR="00CA4DAC">
        <w:rPr>
          <w:lang w:val="fr-FR"/>
        </w:rPr>
        <w:t>’</w:t>
      </w:r>
      <w:r w:rsidRPr="002A2EA6">
        <w:rPr>
          <w:lang w:val="fr-FR"/>
        </w:rPr>
        <w:t>examen de la question</w:t>
      </w:r>
      <w:r w:rsidR="5B1FC152" w:rsidRPr="002A2EA6">
        <w:rPr>
          <w:lang w:val="fr-FR"/>
        </w:rPr>
        <w:t>,</w:t>
      </w:r>
      <w:r w:rsidRPr="002A2EA6">
        <w:rPr>
          <w:lang w:val="fr-FR"/>
        </w:rPr>
        <w:t xml:space="preserve"> </w:t>
      </w:r>
      <w:r w:rsidR="0054707B" w:rsidRPr="002A2EA6">
        <w:rPr>
          <w:lang w:val="fr-FR"/>
        </w:rPr>
        <w:t xml:space="preserve">à la lumière </w:t>
      </w:r>
      <w:r w:rsidR="646AFF1B" w:rsidRPr="002A2EA6">
        <w:rPr>
          <w:lang w:val="fr-FR"/>
        </w:rPr>
        <w:t xml:space="preserve">de </w:t>
      </w:r>
      <w:r w:rsidRPr="002A2EA6">
        <w:rPr>
          <w:lang w:val="fr-FR"/>
        </w:rPr>
        <w:t xml:space="preserve">la proposition </w:t>
      </w:r>
      <w:r w:rsidR="00FC6709" w:rsidRPr="002A2EA6">
        <w:rPr>
          <w:lang w:val="fr-FR"/>
        </w:rPr>
        <w:t xml:space="preserve">de </w:t>
      </w:r>
      <w:r w:rsidRPr="002A2EA6">
        <w:rPr>
          <w:lang w:val="fr-FR"/>
        </w:rPr>
        <w:t>la Directrice exécutive du PNUE</w:t>
      </w:r>
      <w:r w:rsidR="0A4ED20A" w:rsidRPr="002A2EA6">
        <w:rPr>
          <w:lang w:val="fr-FR"/>
        </w:rPr>
        <w:t xml:space="preserve"> et</w:t>
      </w:r>
      <w:r w:rsidRPr="002A2EA6">
        <w:rPr>
          <w:lang w:val="fr-FR"/>
        </w:rPr>
        <w:t xml:space="preserve"> </w:t>
      </w:r>
      <w:r w:rsidR="35674C93" w:rsidRPr="002A2EA6">
        <w:rPr>
          <w:lang w:val="fr-FR"/>
        </w:rPr>
        <w:t>du</w:t>
      </w:r>
      <w:r w:rsidRPr="002A2EA6">
        <w:rPr>
          <w:lang w:val="fr-FR"/>
        </w:rPr>
        <w:t xml:space="preserve"> document de séance </w:t>
      </w:r>
      <w:r w:rsidR="4F8C95DD" w:rsidRPr="002A2EA6">
        <w:rPr>
          <w:lang w:val="fr-FR"/>
        </w:rPr>
        <w:t>correspondant</w:t>
      </w:r>
      <w:r w:rsidR="6362F2C7" w:rsidRPr="002A2EA6">
        <w:rPr>
          <w:lang w:val="fr-FR"/>
        </w:rPr>
        <w:t>,</w:t>
      </w:r>
      <w:r w:rsidRPr="002A2EA6">
        <w:rPr>
          <w:lang w:val="fr-FR"/>
        </w:rPr>
        <w:t xml:space="preserve"> e</w:t>
      </w:r>
      <w:r w:rsidR="04AD747D" w:rsidRPr="002A2EA6">
        <w:rPr>
          <w:lang w:val="fr-FR"/>
        </w:rPr>
        <w:t>t</w:t>
      </w:r>
      <w:r w:rsidRPr="002A2EA6">
        <w:rPr>
          <w:lang w:val="fr-FR"/>
        </w:rPr>
        <w:t xml:space="preserve"> </w:t>
      </w:r>
      <w:r w:rsidR="2EF272D8" w:rsidRPr="002A2EA6">
        <w:rPr>
          <w:lang w:val="fr-FR"/>
        </w:rPr>
        <w:t>de</w:t>
      </w:r>
      <w:r w:rsidR="6E2E6291" w:rsidRPr="002A2EA6">
        <w:rPr>
          <w:lang w:val="fr-FR"/>
        </w:rPr>
        <w:t xml:space="preserve"> lui</w:t>
      </w:r>
      <w:r w:rsidR="2EF272D8" w:rsidRPr="002A2EA6">
        <w:rPr>
          <w:lang w:val="fr-FR"/>
        </w:rPr>
        <w:t xml:space="preserve"> </w:t>
      </w:r>
      <w:r w:rsidRPr="002A2EA6">
        <w:rPr>
          <w:lang w:val="fr-FR"/>
        </w:rPr>
        <w:t xml:space="preserve">présenter un projet de décision révisé pour </w:t>
      </w:r>
      <w:r w:rsidR="73709246" w:rsidRPr="002A2EA6">
        <w:rPr>
          <w:lang w:val="fr-FR"/>
        </w:rPr>
        <w:t>qu</w:t>
      </w:r>
      <w:r w:rsidR="00CA4DAC">
        <w:rPr>
          <w:lang w:val="fr-FR"/>
        </w:rPr>
        <w:t>’</w:t>
      </w:r>
      <w:r w:rsidR="73709246" w:rsidRPr="002A2EA6">
        <w:rPr>
          <w:lang w:val="fr-FR"/>
        </w:rPr>
        <w:t>elle</w:t>
      </w:r>
      <w:r w:rsidR="004763DA" w:rsidRPr="002A2EA6">
        <w:rPr>
          <w:lang w:val="fr-FR"/>
        </w:rPr>
        <w:t> </w:t>
      </w:r>
      <w:r w:rsidR="73709246" w:rsidRPr="002A2EA6">
        <w:rPr>
          <w:lang w:val="fr-FR"/>
        </w:rPr>
        <w:t>l</w:t>
      </w:r>
      <w:r w:rsidR="00CA4DAC">
        <w:rPr>
          <w:lang w:val="fr-FR"/>
        </w:rPr>
        <w:t>’</w:t>
      </w:r>
      <w:r w:rsidR="73709246" w:rsidRPr="002A2EA6">
        <w:rPr>
          <w:lang w:val="fr-FR"/>
        </w:rPr>
        <w:t>examine</w:t>
      </w:r>
      <w:r w:rsidRPr="002A2EA6">
        <w:rPr>
          <w:lang w:val="fr-FR"/>
        </w:rPr>
        <w:t>.</w:t>
      </w:r>
    </w:p>
    <w:p w14:paraId="027769E6" w14:textId="6151A266" w:rsidR="080BD8F3" w:rsidRPr="002A2EA6" w:rsidRDefault="080BD8F3" w:rsidP="00A056A2">
      <w:pPr>
        <w:pStyle w:val="Normalnumber"/>
        <w:numPr>
          <w:ilvl w:val="0"/>
          <w:numId w:val="42"/>
        </w:numPr>
        <w:tabs>
          <w:tab w:val="clear" w:pos="1814"/>
          <w:tab w:val="left" w:pos="1843"/>
          <w:tab w:val="left" w:pos="1985"/>
        </w:tabs>
        <w:ind w:left="1288" w:hanging="28"/>
        <w:rPr>
          <w:lang w:val="fr-FR"/>
        </w:rPr>
      </w:pPr>
      <w:r w:rsidRPr="002A2EA6">
        <w:rPr>
          <w:lang w:val="fr-FR"/>
        </w:rPr>
        <w:t>Par la suite, la Conférence des Parties a adopté la décision</w:t>
      </w:r>
      <w:r w:rsidR="001E7366" w:rsidRPr="002A2EA6">
        <w:rPr>
          <w:lang w:val="fr-FR"/>
        </w:rPr>
        <w:t> </w:t>
      </w:r>
      <w:r w:rsidRPr="002A2EA6">
        <w:rPr>
          <w:lang w:val="fr-FR"/>
        </w:rPr>
        <w:t xml:space="preserve">MC-3/11 </w:t>
      </w:r>
      <w:r w:rsidR="00FC6709" w:rsidRPr="002A2EA6">
        <w:rPr>
          <w:lang w:val="fr-FR"/>
        </w:rPr>
        <w:t>(R</w:t>
      </w:r>
      <w:r w:rsidRPr="002A2EA6">
        <w:rPr>
          <w:lang w:val="fr-FR"/>
        </w:rPr>
        <w:t>enforcement de la</w:t>
      </w:r>
      <w:r w:rsidR="004763DA" w:rsidRPr="002A2EA6">
        <w:rPr>
          <w:lang w:val="fr-FR"/>
        </w:rPr>
        <w:t> </w:t>
      </w:r>
      <w:r w:rsidRPr="002A2EA6">
        <w:rPr>
          <w:lang w:val="fr-FR"/>
        </w:rPr>
        <w:t>coopération entre le secrétariat de la Convention de Minamat</w:t>
      </w:r>
      <w:r w:rsidR="26EC71A4" w:rsidRPr="002A2EA6">
        <w:rPr>
          <w:lang w:val="fr-FR"/>
        </w:rPr>
        <w:t xml:space="preserve">a </w:t>
      </w:r>
      <w:r w:rsidRPr="002A2EA6">
        <w:rPr>
          <w:lang w:val="fr-FR"/>
        </w:rPr>
        <w:t xml:space="preserve">et le Secrétariat des </w:t>
      </w:r>
      <w:r w:rsidR="002C0D58" w:rsidRPr="002A2EA6">
        <w:rPr>
          <w:lang w:val="fr-FR"/>
        </w:rPr>
        <w:t>c</w:t>
      </w:r>
      <w:r w:rsidRPr="002A2EA6">
        <w:rPr>
          <w:lang w:val="fr-FR"/>
        </w:rPr>
        <w:t>onventions de Bâle, de Rotterdam et de Stockholm</w:t>
      </w:r>
      <w:r w:rsidR="00FC6709" w:rsidRPr="002A2EA6">
        <w:rPr>
          <w:lang w:val="fr-FR"/>
        </w:rPr>
        <w:t>)</w:t>
      </w:r>
      <w:r w:rsidRPr="002A2EA6">
        <w:rPr>
          <w:lang w:val="fr-FR"/>
        </w:rPr>
        <w:t xml:space="preserve">, telle que présentée par le </w:t>
      </w:r>
      <w:r w:rsidR="00FC6709" w:rsidRPr="002A2EA6">
        <w:rPr>
          <w:lang w:val="fr-FR"/>
        </w:rPr>
        <w:t>G</w:t>
      </w:r>
      <w:r w:rsidRPr="002A2EA6">
        <w:rPr>
          <w:lang w:val="fr-FR"/>
        </w:rPr>
        <w:t xml:space="preserve">roupe des </w:t>
      </w:r>
      <w:r w:rsidR="00FC6709" w:rsidRPr="002A2EA6">
        <w:rPr>
          <w:lang w:val="fr-FR"/>
        </w:rPr>
        <w:t>A</w:t>
      </w:r>
      <w:r w:rsidRPr="002A2EA6">
        <w:rPr>
          <w:lang w:val="fr-FR"/>
        </w:rPr>
        <w:t>mis de la présidence, qui</w:t>
      </w:r>
      <w:r w:rsidR="0090074E">
        <w:rPr>
          <w:lang w:val="fr-FR"/>
        </w:rPr>
        <w:t> </w:t>
      </w:r>
      <w:r w:rsidRPr="002A2EA6">
        <w:rPr>
          <w:lang w:val="fr-FR"/>
        </w:rPr>
        <w:t>figure dans l</w:t>
      </w:r>
      <w:r w:rsidR="00CA4DAC">
        <w:rPr>
          <w:lang w:val="fr-FR"/>
        </w:rPr>
        <w:t>’</w:t>
      </w:r>
      <w:r w:rsidRPr="002A2EA6">
        <w:rPr>
          <w:lang w:val="fr-FR"/>
        </w:rPr>
        <w:t>annexe du présent rapport.</w:t>
      </w:r>
    </w:p>
    <w:p w14:paraId="1F166A1B" w14:textId="30788896" w:rsidR="00F273CE" w:rsidRPr="002A2EA6" w:rsidRDefault="00CE52B4" w:rsidP="00CE52B4">
      <w:pPr>
        <w:pStyle w:val="CH2"/>
        <w:rPr>
          <w:lang w:val="fr-FR"/>
        </w:rPr>
      </w:pPr>
      <w:r w:rsidRPr="002A2EA6">
        <w:rPr>
          <w:lang w:val="fr-FR"/>
        </w:rPr>
        <w:tab/>
      </w:r>
      <w:bookmarkStart w:id="44" w:name="_Toc39063346"/>
      <w:r w:rsidRPr="002A2EA6">
        <w:rPr>
          <w:lang w:val="fr-FR"/>
        </w:rPr>
        <w:t>K.</w:t>
      </w:r>
      <w:r w:rsidRPr="002A2EA6">
        <w:rPr>
          <w:lang w:val="fr-FR"/>
        </w:rPr>
        <w:tab/>
      </w:r>
      <w:r w:rsidR="00F273CE" w:rsidRPr="002A2EA6">
        <w:rPr>
          <w:lang w:val="fr-FR"/>
        </w:rPr>
        <w:t>Émissions de mercure provenant du brûlage de déchets à l</w:t>
      </w:r>
      <w:r w:rsidR="00CA4DAC">
        <w:rPr>
          <w:lang w:val="fr-FR"/>
        </w:rPr>
        <w:t>’</w:t>
      </w:r>
      <w:r w:rsidR="00F273CE" w:rsidRPr="002A2EA6">
        <w:rPr>
          <w:lang w:val="fr-FR"/>
        </w:rPr>
        <w:t>air libre</w:t>
      </w:r>
      <w:bookmarkEnd w:id="44"/>
    </w:p>
    <w:p w14:paraId="152C0404" w14:textId="14D79293" w:rsidR="2593A2D1" w:rsidRPr="002A2EA6" w:rsidRDefault="2593A2D1"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sous-point, le représentant du secrétariat a appelé l</w:t>
      </w:r>
      <w:r w:rsidR="00CA4DAC">
        <w:rPr>
          <w:lang w:val="fr-FR"/>
        </w:rPr>
        <w:t>’</w:t>
      </w:r>
      <w:r w:rsidRPr="002A2EA6">
        <w:rPr>
          <w:lang w:val="fr-FR"/>
        </w:rPr>
        <w:t xml:space="preserve">attention </w:t>
      </w:r>
      <w:r w:rsidR="005C394C" w:rsidRPr="002A2EA6">
        <w:rPr>
          <w:lang w:val="fr-FR"/>
        </w:rPr>
        <w:t xml:space="preserve">des participants </w:t>
      </w:r>
      <w:r w:rsidRPr="002A2EA6">
        <w:rPr>
          <w:lang w:val="fr-FR"/>
        </w:rPr>
        <w:t>sur les notes du secrétariat concernant les informations relatives aux émissions de mercure provenant du brûlage de déchets à l</w:t>
      </w:r>
      <w:r w:rsidR="00CA4DAC">
        <w:rPr>
          <w:lang w:val="fr-FR"/>
        </w:rPr>
        <w:t>’</w:t>
      </w:r>
      <w:r w:rsidRPr="002A2EA6">
        <w:rPr>
          <w:lang w:val="fr-FR"/>
        </w:rPr>
        <w:t>air libre (UNEP/MC/COP.3/17) et les informations recueillies sur les émissions de mercure provenant du brûlage de déchets à l</w:t>
      </w:r>
      <w:r w:rsidR="00CA4DAC">
        <w:rPr>
          <w:lang w:val="fr-FR"/>
        </w:rPr>
        <w:t>’</w:t>
      </w:r>
      <w:r w:rsidRPr="002A2EA6">
        <w:rPr>
          <w:lang w:val="fr-FR"/>
        </w:rPr>
        <w:t xml:space="preserve">air libre (UNEP/MC/COP.3/INF/16). Ces documents avaient été </w:t>
      </w:r>
      <w:r w:rsidR="005F107C" w:rsidRPr="002A2EA6">
        <w:rPr>
          <w:lang w:val="fr-FR"/>
        </w:rPr>
        <w:t xml:space="preserve">établis </w:t>
      </w:r>
      <w:r w:rsidRPr="002A2EA6">
        <w:rPr>
          <w:lang w:val="fr-FR"/>
        </w:rPr>
        <w:t>par le secrétariat à la demande de la Conférence des Parties qui, à sa</w:t>
      </w:r>
      <w:r w:rsidR="00C9664C" w:rsidRPr="002A2EA6">
        <w:rPr>
          <w:lang w:val="fr-FR"/>
        </w:rPr>
        <w:t> </w:t>
      </w:r>
      <w:r w:rsidRPr="002A2EA6">
        <w:rPr>
          <w:lang w:val="fr-FR"/>
        </w:rPr>
        <w:t>deuxième</w:t>
      </w:r>
      <w:r w:rsidR="00C9664C" w:rsidRPr="002A2EA6">
        <w:rPr>
          <w:lang w:val="fr-FR"/>
        </w:rPr>
        <w:t> </w:t>
      </w:r>
      <w:r w:rsidRPr="002A2EA6">
        <w:rPr>
          <w:lang w:val="fr-FR"/>
        </w:rPr>
        <w:t xml:space="preserve">réunion, </w:t>
      </w:r>
      <w:r w:rsidR="007B15C0" w:rsidRPr="002A2EA6">
        <w:rPr>
          <w:lang w:val="fr-FR"/>
        </w:rPr>
        <w:t>l</w:t>
      </w:r>
      <w:r w:rsidR="00CA4DAC">
        <w:rPr>
          <w:lang w:val="fr-FR"/>
        </w:rPr>
        <w:t>’</w:t>
      </w:r>
      <w:r w:rsidRPr="002A2EA6">
        <w:rPr>
          <w:lang w:val="fr-FR"/>
        </w:rPr>
        <w:t>avait prié de continuer à recueillir et à communiquer des informations sur les</w:t>
      </w:r>
      <w:r w:rsidR="00C9664C" w:rsidRPr="002A2EA6">
        <w:rPr>
          <w:lang w:val="fr-FR"/>
        </w:rPr>
        <w:t> </w:t>
      </w:r>
      <w:r w:rsidRPr="002A2EA6">
        <w:rPr>
          <w:lang w:val="fr-FR"/>
        </w:rPr>
        <w:t>émissions de mercure provenant du brûlage de déchets à l</w:t>
      </w:r>
      <w:r w:rsidR="00CA4DAC">
        <w:rPr>
          <w:lang w:val="fr-FR"/>
        </w:rPr>
        <w:t>’</w:t>
      </w:r>
      <w:r w:rsidRPr="002A2EA6">
        <w:rPr>
          <w:lang w:val="fr-FR"/>
        </w:rPr>
        <w:t>air libre, comme le secrétariat l</w:t>
      </w:r>
      <w:r w:rsidR="00CA4DAC">
        <w:rPr>
          <w:lang w:val="fr-FR"/>
        </w:rPr>
        <w:t>’</w:t>
      </w:r>
      <w:r w:rsidRPr="002A2EA6">
        <w:rPr>
          <w:lang w:val="fr-FR"/>
        </w:rPr>
        <w:t>avait fait à la deuxième</w:t>
      </w:r>
      <w:r w:rsidR="00C9664C" w:rsidRPr="002A2EA6">
        <w:rPr>
          <w:lang w:val="fr-FR"/>
        </w:rPr>
        <w:t> </w:t>
      </w:r>
      <w:r w:rsidRPr="002A2EA6">
        <w:rPr>
          <w:lang w:val="fr-FR"/>
        </w:rPr>
        <w:t>réunion de la Conférence, conformément à sa décision</w:t>
      </w:r>
      <w:r w:rsidR="001E7366" w:rsidRPr="002A2EA6">
        <w:rPr>
          <w:lang w:val="fr-FR"/>
        </w:rPr>
        <w:t> </w:t>
      </w:r>
      <w:r w:rsidRPr="002A2EA6">
        <w:rPr>
          <w:lang w:val="fr-FR"/>
        </w:rPr>
        <w:t>MC-1/14.</w:t>
      </w:r>
    </w:p>
    <w:p w14:paraId="56E55E04" w14:textId="729E31A3"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les représentants ont appuyé l</w:t>
      </w:r>
      <w:r w:rsidR="00CA4DAC">
        <w:rPr>
          <w:lang w:val="fr-FR"/>
        </w:rPr>
        <w:t>’</w:t>
      </w:r>
      <w:r w:rsidRPr="002A2EA6">
        <w:rPr>
          <w:lang w:val="fr-FR"/>
        </w:rPr>
        <w:t xml:space="preserve">idée de demander au secrétariat de continuer à recueillir ces informations et à les communiquer aux Parties. </w:t>
      </w:r>
      <w:r w:rsidR="00607A5B" w:rsidRPr="002A2EA6">
        <w:rPr>
          <w:lang w:val="fr-FR"/>
        </w:rPr>
        <w:t>S</w:t>
      </w:r>
      <w:r w:rsidR="00CA4DAC">
        <w:rPr>
          <w:lang w:val="fr-FR"/>
        </w:rPr>
        <w:t>’</w:t>
      </w:r>
      <w:r w:rsidRPr="002A2EA6">
        <w:rPr>
          <w:lang w:val="fr-FR"/>
        </w:rPr>
        <w:t>exprimant au nom d</w:t>
      </w:r>
      <w:r w:rsidR="00CA4DAC">
        <w:rPr>
          <w:lang w:val="fr-FR"/>
        </w:rPr>
        <w:t>’</w:t>
      </w:r>
      <w:r w:rsidRPr="002A2EA6">
        <w:rPr>
          <w:lang w:val="fr-FR"/>
        </w:rPr>
        <w:t>un</w:t>
      </w:r>
      <w:r w:rsidR="00C9664C" w:rsidRPr="002A2EA6">
        <w:rPr>
          <w:lang w:val="fr-FR"/>
        </w:rPr>
        <w:t> </w:t>
      </w:r>
      <w:r w:rsidRPr="002A2EA6">
        <w:rPr>
          <w:lang w:val="fr-FR"/>
        </w:rPr>
        <w:t xml:space="preserve">groupe de pays, </w:t>
      </w:r>
      <w:r w:rsidR="00607A5B" w:rsidRPr="002A2EA6">
        <w:rPr>
          <w:lang w:val="fr-FR"/>
        </w:rPr>
        <w:t xml:space="preserve">une représentante </w:t>
      </w:r>
      <w:r w:rsidRPr="002A2EA6">
        <w:rPr>
          <w:lang w:val="fr-FR"/>
        </w:rPr>
        <w:t xml:space="preserve">a suggéré que le secrétariat crée une </w:t>
      </w:r>
      <w:r w:rsidR="00AE6481" w:rsidRPr="002A2EA6">
        <w:rPr>
          <w:lang w:val="fr-FR"/>
        </w:rPr>
        <w:t xml:space="preserve">rubrique </w:t>
      </w:r>
      <w:r w:rsidRPr="002A2EA6">
        <w:rPr>
          <w:lang w:val="fr-FR"/>
        </w:rPr>
        <w:t>consacrée à ces</w:t>
      </w:r>
      <w:r w:rsidR="00C9664C" w:rsidRPr="002A2EA6">
        <w:rPr>
          <w:lang w:val="fr-FR"/>
        </w:rPr>
        <w:t> </w:t>
      </w:r>
      <w:r w:rsidRPr="002A2EA6">
        <w:rPr>
          <w:lang w:val="fr-FR"/>
        </w:rPr>
        <w:t>informations sur le site Web de la Convention afin de les partager. Une autre représentante a demandé au secrétariat de collaborer avec le Secrétariat des conventions de Bâle, de Rotterdam et de Stockholm sur la question du brûlage de déchets à l</w:t>
      </w:r>
      <w:r w:rsidR="00CA4DAC">
        <w:rPr>
          <w:lang w:val="fr-FR"/>
        </w:rPr>
        <w:t>’</w:t>
      </w:r>
      <w:r w:rsidRPr="002A2EA6">
        <w:rPr>
          <w:lang w:val="fr-FR"/>
        </w:rPr>
        <w:t xml:space="preserve">air libre, </w:t>
      </w:r>
      <w:r w:rsidR="5AF9DF7B" w:rsidRPr="002A2EA6">
        <w:rPr>
          <w:lang w:val="fr-FR"/>
        </w:rPr>
        <w:t xml:space="preserve">remarquant que cette dernière </w:t>
      </w:r>
      <w:r w:rsidRPr="002A2EA6">
        <w:rPr>
          <w:lang w:val="fr-FR"/>
        </w:rPr>
        <w:t>relevait du domaine de la gestion des déchets.</w:t>
      </w:r>
    </w:p>
    <w:p w14:paraId="61BFA9B1" w14:textId="6242F486"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Une autre représentante a demandé au secrétariat de continuer à recueillir ces informations pendant la période </w:t>
      </w:r>
      <w:r w:rsidR="006C2889" w:rsidRPr="002A2EA6">
        <w:rPr>
          <w:lang w:val="fr-FR"/>
        </w:rPr>
        <w:t xml:space="preserve">comprise </w:t>
      </w:r>
      <w:r w:rsidRPr="002A2EA6">
        <w:rPr>
          <w:lang w:val="fr-FR"/>
        </w:rPr>
        <w:t>entre les troisième et quatrième</w:t>
      </w:r>
      <w:r w:rsidR="001E7366" w:rsidRPr="002A2EA6">
        <w:rPr>
          <w:lang w:val="fr-FR"/>
        </w:rPr>
        <w:t> </w:t>
      </w:r>
      <w:r w:rsidRPr="002A2EA6">
        <w:rPr>
          <w:lang w:val="fr-FR"/>
        </w:rPr>
        <w:t>réunions de la Conférence des Parties et de présenter à celle-ci, à sa quatrième</w:t>
      </w:r>
      <w:r w:rsidR="00BE79CF" w:rsidRPr="002A2EA6">
        <w:rPr>
          <w:lang w:val="fr-FR"/>
        </w:rPr>
        <w:t> </w:t>
      </w:r>
      <w:r w:rsidRPr="002A2EA6">
        <w:rPr>
          <w:lang w:val="fr-FR"/>
        </w:rPr>
        <w:t>réunion, un rapport plus complet sur la question.</w:t>
      </w:r>
    </w:p>
    <w:p w14:paraId="738DF753" w14:textId="623C97E2"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lastRenderedPageBreak/>
        <w:t xml:space="preserve">Un représentant a </w:t>
      </w:r>
      <w:r w:rsidR="006C2889" w:rsidRPr="002A2EA6">
        <w:rPr>
          <w:lang w:val="fr-FR"/>
        </w:rPr>
        <w:t>évoqué</w:t>
      </w:r>
      <w:r w:rsidRPr="002A2EA6">
        <w:rPr>
          <w:lang w:val="fr-FR"/>
        </w:rPr>
        <w:t xml:space="preserve"> l</w:t>
      </w:r>
      <w:r w:rsidR="00CA4DAC">
        <w:rPr>
          <w:lang w:val="fr-FR"/>
        </w:rPr>
        <w:t>’</w:t>
      </w:r>
      <w:r w:rsidRPr="002A2EA6">
        <w:rPr>
          <w:lang w:val="fr-FR"/>
        </w:rPr>
        <w:t xml:space="preserve">atelier </w:t>
      </w:r>
      <w:r w:rsidR="006C2889" w:rsidRPr="002A2EA6">
        <w:rPr>
          <w:lang w:val="fr-FR"/>
        </w:rPr>
        <w:t xml:space="preserve">sur les </w:t>
      </w:r>
      <w:r w:rsidRPr="002A2EA6">
        <w:rPr>
          <w:lang w:val="fr-FR"/>
        </w:rPr>
        <w:t>synergies dans la gestion des déchets de mercure tenu à Osaka (Japon) les 30</w:t>
      </w:r>
      <w:r w:rsidR="00BE79CF" w:rsidRPr="002A2EA6">
        <w:rPr>
          <w:lang w:val="fr-FR"/>
        </w:rPr>
        <w:t> </w:t>
      </w:r>
      <w:r w:rsidRPr="002A2EA6">
        <w:rPr>
          <w:lang w:val="fr-FR"/>
        </w:rPr>
        <w:t>et 31</w:t>
      </w:r>
      <w:r w:rsidR="00BE79CF" w:rsidRPr="002A2EA6">
        <w:rPr>
          <w:lang w:val="fr-FR"/>
        </w:rPr>
        <w:t> </w:t>
      </w:r>
      <w:r w:rsidRPr="002A2EA6">
        <w:rPr>
          <w:lang w:val="fr-FR"/>
        </w:rPr>
        <w:t>mai 2019 qui, comme indiqué dans le document UNEP/MC/COP.3/17, avait traité des différents types de brûlage de déchets à l</w:t>
      </w:r>
      <w:r w:rsidR="00CA4DAC">
        <w:rPr>
          <w:lang w:val="fr-FR"/>
        </w:rPr>
        <w:t>’</w:t>
      </w:r>
      <w:r w:rsidRPr="002A2EA6">
        <w:rPr>
          <w:lang w:val="fr-FR"/>
        </w:rPr>
        <w:t xml:space="preserve">air libre. Il a invité les Parties à lire le rapport </w:t>
      </w:r>
      <w:r w:rsidR="00B73F59" w:rsidRPr="002A2EA6">
        <w:rPr>
          <w:lang w:val="fr-FR"/>
        </w:rPr>
        <w:t>sur les travaux menés pendant</w:t>
      </w:r>
      <w:r w:rsidRPr="002A2EA6">
        <w:rPr>
          <w:lang w:val="fr-FR"/>
        </w:rPr>
        <w:t xml:space="preserve"> l</w:t>
      </w:r>
      <w:r w:rsidR="00CA4DAC">
        <w:rPr>
          <w:lang w:val="fr-FR"/>
        </w:rPr>
        <w:t>’</w:t>
      </w:r>
      <w:r w:rsidRPr="002A2EA6">
        <w:rPr>
          <w:lang w:val="fr-FR"/>
        </w:rPr>
        <w:t>atelier, qui était disponible sur le site Web de la Convention. Il</w:t>
      </w:r>
      <w:r w:rsidR="00502247" w:rsidRPr="002A2EA6">
        <w:rPr>
          <w:lang w:val="fr-FR"/>
        </w:rPr>
        <w:t> </w:t>
      </w:r>
      <w:r w:rsidRPr="002A2EA6">
        <w:rPr>
          <w:lang w:val="fr-FR"/>
        </w:rPr>
        <w:t>a</w:t>
      </w:r>
      <w:r w:rsidR="00502247" w:rsidRPr="002A2EA6">
        <w:rPr>
          <w:lang w:val="fr-FR"/>
        </w:rPr>
        <w:t> </w:t>
      </w:r>
      <w:r w:rsidRPr="002A2EA6">
        <w:rPr>
          <w:lang w:val="fr-FR"/>
        </w:rPr>
        <w:t xml:space="preserve">également souligné que le Japon avait participé à plusieurs projets visant </w:t>
      </w:r>
      <w:r w:rsidR="00E53C3C" w:rsidRPr="002A2EA6">
        <w:rPr>
          <w:lang w:val="fr-FR"/>
        </w:rPr>
        <w:t xml:space="preserve">de surveillance du </w:t>
      </w:r>
      <w:r w:rsidRPr="002A2EA6">
        <w:rPr>
          <w:lang w:val="fr-FR"/>
        </w:rPr>
        <w:t>mercure dans les sites de brûlage à l</w:t>
      </w:r>
      <w:r w:rsidR="00CA4DAC">
        <w:rPr>
          <w:lang w:val="fr-FR"/>
        </w:rPr>
        <w:t>’</w:t>
      </w:r>
      <w:r w:rsidRPr="002A2EA6">
        <w:rPr>
          <w:lang w:val="fr-FR"/>
        </w:rPr>
        <w:t>air libre de trois</w:t>
      </w:r>
      <w:r w:rsidR="00502247" w:rsidRPr="002A2EA6">
        <w:rPr>
          <w:lang w:val="fr-FR"/>
        </w:rPr>
        <w:t> </w:t>
      </w:r>
      <w:r w:rsidRPr="002A2EA6">
        <w:rPr>
          <w:lang w:val="fr-FR"/>
        </w:rPr>
        <w:t>pays en développement et qu</w:t>
      </w:r>
      <w:r w:rsidR="00CA4DAC">
        <w:rPr>
          <w:lang w:val="fr-FR"/>
        </w:rPr>
        <w:t>’</w:t>
      </w:r>
      <w:r w:rsidRPr="002A2EA6">
        <w:rPr>
          <w:lang w:val="fr-FR"/>
        </w:rPr>
        <w:t>il souhaitait surveiller des sites supplémentaires dans d</w:t>
      </w:r>
      <w:r w:rsidR="00CA4DAC">
        <w:rPr>
          <w:lang w:val="fr-FR"/>
        </w:rPr>
        <w:t>’</w:t>
      </w:r>
      <w:r w:rsidRPr="002A2EA6">
        <w:rPr>
          <w:lang w:val="fr-FR"/>
        </w:rPr>
        <w:t>autres pays.</w:t>
      </w:r>
    </w:p>
    <w:p w14:paraId="084E2EEC" w14:textId="19F6F820"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Deux représentants, dont un s</w:t>
      </w:r>
      <w:r w:rsidR="00CA4DAC">
        <w:rPr>
          <w:lang w:val="fr-FR"/>
        </w:rPr>
        <w:t>’</w:t>
      </w:r>
      <w:r w:rsidRPr="002A2EA6">
        <w:rPr>
          <w:lang w:val="fr-FR"/>
        </w:rPr>
        <w:t>exprimant au nom d</w:t>
      </w:r>
      <w:r w:rsidR="00CA4DAC">
        <w:rPr>
          <w:lang w:val="fr-FR"/>
        </w:rPr>
        <w:t>’</w:t>
      </w:r>
      <w:r w:rsidRPr="002A2EA6">
        <w:rPr>
          <w:lang w:val="fr-FR"/>
        </w:rPr>
        <w:t>un groupe de pays, ont déclaré que les</w:t>
      </w:r>
      <w:r w:rsidR="006A1CF2" w:rsidRPr="002A2EA6">
        <w:rPr>
          <w:lang w:val="fr-FR"/>
        </w:rPr>
        <w:t> </w:t>
      </w:r>
      <w:r w:rsidRPr="002A2EA6">
        <w:rPr>
          <w:lang w:val="fr-FR"/>
        </w:rPr>
        <w:t>systèmes de gestion des déchets du continent africain étaient soit insuffisants soit inexistants. Ils</w:t>
      </w:r>
      <w:r w:rsidR="006A1CF2" w:rsidRPr="002A2EA6">
        <w:rPr>
          <w:lang w:val="fr-FR"/>
        </w:rPr>
        <w:t> </w:t>
      </w:r>
      <w:r w:rsidRPr="002A2EA6">
        <w:rPr>
          <w:lang w:val="fr-FR"/>
        </w:rPr>
        <w:t xml:space="preserve">ont lancé un appel en faveur de la création de partenariats et de la </w:t>
      </w:r>
      <w:r w:rsidR="00E53C3C" w:rsidRPr="002A2EA6">
        <w:rPr>
          <w:lang w:val="fr-FR"/>
        </w:rPr>
        <w:t xml:space="preserve">prestation </w:t>
      </w:r>
      <w:r w:rsidRPr="002A2EA6">
        <w:rPr>
          <w:lang w:val="fr-FR"/>
        </w:rPr>
        <w:t>d</w:t>
      </w:r>
      <w:r w:rsidR="00CA4DAC">
        <w:rPr>
          <w:lang w:val="fr-FR"/>
        </w:rPr>
        <w:t>’</w:t>
      </w:r>
      <w:r w:rsidRPr="002A2EA6">
        <w:rPr>
          <w:lang w:val="fr-FR"/>
        </w:rPr>
        <w:t>une assistance technique aux pays d</w:t>
      </w:r>
      <w:r w:rsidR="00CA4DAC">
        <w:rPr>
          <w:lang w:val="fr-FR"/>
        </w:rPr>
        <w:t>’</w:t>
      </w:r>
      <w:r w:rsidRPr="002A2EA6">
        <w:rPr>
          <w:lang w:val="fr-FR"/>
        </w:rPr>
        <w:t>Afrique afin de les aider à faire face au problème du brûlage de déchets à l</w:t>
      </w:r>
      <w:r w:rsidR="00CA4DAC">
        <w:rPr>
          <w:lang w:val="fr-FR"/>
        </w:rPr>
        <w:t>’</w:t>
      </w:r>
      <w:r w:rsidRPr="002A2EA6">
        <w:rPr>
          <w:lang w:val="fr-FR"/>
        </w:rPr>
        <w:t>air libre.</w:t>
      </w:r>
      <w:r w:rsidR="006A1CF2" w:rsidRPr="002A2EA6">
        <w:rPr>
          <w:lang w:val="fr-FR"/>
        </w:rPr>
        <w:t xml:space="preserve"> </w:t>
      </w:r>
      <w:r w:rsidRPr="002A2EA6">
        <w:rPr>
          <w:lang w:val="fr-FR"/>
        </w:rPr>
        <w:t>À cet égard, ils ont accueilli avec satisfaction l</w:t>
      </w:r>
      <w:r w:rsidR="00CA4DAC">
        <w:rPr>
          <w:lang w:val="fr-FR"/>
        </w:rPr>
        <w:t>’</w:t>
      </w:r>
      <w:r w:rsidRPr="002A2EA6">
        <w:rPr>
          <w:lang w:val="fr-FR"/>
        </w:rPr>
        <w:t>offre du Japon de surveiller les émissions de mercure émanant de sites de brûlage de déchets à l</w:t>
      </w:r>
      <w:r w:rsidR="00CA4DAC">
        <w:rPr>
          <w:lang w:val="fr-FR"/>
        </w:rPr>
        <w:t>’</w:t>
      </w:r>
      <w:r w:rsidRPr="002A2EA6">
        <w:rPr>
          <w:lang w:val="fr-FR"/>
        </w:rPr>
        <w:t xml:space="preserve">air libre dans les pays en développement et ont indiqué que les pays africains étaient disposés à </w:t>
      </w:r>
      <w:r w:rsidR="00FE5805" w:rsidRPr="002A2EA6">
        <w:rPr>
          <w:lang w:val="fr-FR"/>
        </w:rPr>
        <w:t>collaborer</w:t>
      </w:r>
      <w:r w:rsidRPr="002A2EA6">
        <w:rPr>
          <w:lang w:val="fr-FR"/>
        </w:rPr>
        <w:t>.</w:t>
      </w:r>
    </w:p>
    <w:p w14:paraId="31A9BED8" w14:textId="6AFBFAA4"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Une autre représentante a remercié le Gouvernement japonais </w:t>
      </w:r>
      <w:r w:rsidR="00FE5805" w:rsidRPr="002A2EA6">
        <w:rPr>
          <w:lang w:val="fr-FR"/>
        </w:rPr>
        <w:t>de l</w:t>
      </w:r>
      <w:r w:rsidR="00CA4DAC">
        <w:rPr>
          <w:lang w:val="fr-FR"/>
        </w:rPr>
        <w:t>’</w:t>
      </w:r>
      <w:r w:rsidR="00FE5805" w:rsidRPr="002A2EA6">
        <w:rPr>
          <w:lang w:val="fr-FR"/>
        </w:rPr>
        <w:t>appui qu</w:t>
      </w:r>
      <w:r w:rsidR="00CA4DAC">
        <w:rPr>
          <w:lang w:val="fr-FR"/>
        </w:rPr>
        <w:t>’</w:t>
      </w:r>
      <w:r w:rsidR="00FE5805" w:rsidRPr="002A2EA6">
        <w:rPr>
          <w:lang w:val="fr-FR"/>
        </w:rPr>
        <w:t xml:space="preserve">il apportait </w:t>
      </w:r>
      <w:r w:rsidRPr="002A2EA6">
        <w:rPr>
          <w:lang w:val="fr-FR"/>
        </w:rPr>
        <w:t>à son</w:t>
      </w:r>
      <w:r w:rsidR="006A1CF2" w:rsidRPr="002A2EA6">
        <w:rPr>
          <w:lang w:val="fr-FR"/>
        </w:rPr>
        <w:t> </w:t>
      </w:r>
      <w:r w:rsidRPr="002A2EA6">
        <w:rPr>
          <w:lang w:val="fr-FR"/>
        </w:rPr>
        <w:t>pays en matière de suivi et d</w:t>
      </w:r>
      <w:r w:rsidR="00CA4DAC">
        <w:rPr>
          <w:lang w:val="fr-FR"/>
        </w:rPr>
        <w:t>’</w:t>
      </w:r>
      <w:r w:rsidRPr="002A2EA6">
        <w:rPr>
          <w:lang w:val="fr-FR"/>
        </w:rPr>
        <w:t>analyse des émissions au moyen de l</w:t>
      </w:r>
      <w:r w:rsidR="00CA4DAC">
        <w:rPr>
          <w:lang w:val="fr-FR"/>
        </w:rPr>
        <w:t>’</w:t>
      </w:r>
      <w:r w:rsidRPr="002A2EA6">
        <w:rPr>
          <w:lang w:val="fr-FR"/>
        </w:rPr>
        <w:t>Outil d</w:t>
      </w:r>
      <w:r w:rsidR="00CA4DAC">
        <w:rPr>
          <w:lang w:val="fr-FR"/>
        </w:rPr>
        <w:t>’</w:t>
      </w:r>
      <w:r w:rsidRPr="002A2EA6">
        <w:rPr>
          <w:lang w:val="fr-FR"/>
        </w:rPr>
        <w:t>identification et de quantification des rejets de mercure du PNUE, qui fournissait des outils pratiques mais nécessitait d</w:t>
      </w:r>
      <w:r w:rsidR="00CA4DAC">
        <w:rPr>
          <w:lang w:val="fr-FR"/>
        </w:rPr>
        <w:t>’</w:t>
      </w:r>
      <w:r w:rsidRPr="002A2EA6">
        <w:rPr>
          <w:lang w:val="fr-FR"/>
        </w:rPr>
        <w:t>être mis à jour régulièrement compte tenu de l</w:t>
      </w:r>
      <w:r w:rsidR="00CA4DAC">
        <w:rPr>
          <w:lang w:val="fr-FR"/>
        </w:rPr>
        <w:t>’</w:t>
      </w:r>
      <w:r w:rsidRPr="002A2EA6">
        <w:rPr>
          <w:lang w:val="fr-FR"/>
        </w:rPr>
        <w:t>évolution des technologies utilisées par les pays.</w:t>
      </w:r>
    </w:p>
    <w:p w14:paraId="02976C4A" w14:textId="7C4FB8BA"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Plusieurs représentants, dont </w:t>
      </w:r>
      <w:r w:rsidR="00FE04AC" w:rsidRPr="002A2EA6">
        <w:rPr>
          <w:lang w:val="fr-FR"/>
        </w:rPr>
        <w:t xml:space="preserve">une représentante </w:t>
      </w:r>
      <w:r w:rsidRPr="002A2EA6">
        <w:rPr>
          <w:lang w:val="fr-FR"/>
        </w:rPr>
        <w:t>s</w:t>
      </w:r>
      <w:r w:rsidR="00CA4DAC">
        <w:rPr>
          <w:lang w:val="fr-FR"/>
        </w:rPr>
        <w:t>’</w:t>
      </w:r>
      <w:r w:rsidRPr="002A2EA6">
        <w:rPr>
          <w:lang w:val="fr-FR"/>
        </w:rPr>
        <w:t>exprima</w:t>
      </w:r>
      <w:r w:rsidR="00FE04AC" w:rsidRPr="002A2EA6">
        <w:rPr>
          <w:lang w:val="fr-FR"/>
        </w:rPr>
        <w:t>n</w:t>
      </w:r>
      <w:r w:rsidRPr="002A2EA6">
        <w:rPr>
          <w:lang w:val="fr-FR"/>
        </w:rPr>
        <w:t>t au nom d</w:t>
      </w:r>
      <w:r w:rsidR="00CA4DAC">
        <w:rPr>
          <w:lang w:val="fr-FR"/>
        </w:rPr>
        <w:t>’</w:t>
      </w:r>
      <w:r w:rsidRPr="002A2EA6">
        <w:rPr>
          <w:lang w:val="fr-FR"/>
        </w:rPr>
        <w:t>un groupe de pays, ont déclaré qu</w:t>
      </w:r>
      <w:r w:rsidR="00CA4DAC">
        <w:rPr>
          <w:lang w:val="fr-FR"/>
        </w:rPr>
        <w:t>’</w:t>
      </w:r>
      <w:r w:rsidRPr="002A2EA6">
        <w:rPr>
          <w:lang w:val="fr-FR"/>
        </w:rPr>
        <w:t>il leur était extrêmement difficile de faire face au problème du brûlage de déchets à l</w:t>
      </w:r>
      <w:r w:rsidR="00CA4DAC">
        <w:rPr>
          <w:lang w:val="fr-FR"/>
        </w:rPr>
        <w:t>’</w:t>
      </w:r>
      <w:r w:rsidRPr="002A2EA6">
        <w:rPr>
          <w:lang w:val="fr-FR"/>
        </w:rPr>
        <w:t>air libre, qui continuait d</w:t>
      </w:r>
      <w:r w:rsidR="00CA4DAC">
        <w:rPr>
          <w:lang w:val="fr-FR"/>
        </w:rPr>
        <w:t>’</w:t>
      </w:r>
      <w:r w:rsidRPr="002A2EA6">
        <w:rPr>
          <w:lang w:val="fr-FR"/>
        </w:rPr>
        <w:t>être pratiqué dans leurs pays et régions, même lorsque cette pratique avait été interdite, entraînant ainsi des rejets et des émissions de mercure et d</w:t>
      </w:r>
      <w:r w:rsidR="00CA4DAC">
        <w:rPr>
          <w:lang w:val="fr-FR"/>
        </w:rPr>
        <w:t>’</w:t>
      </w:r>
      <w:r w:rsidRPr="002A2EA6">
        <w:rPr>
          <w:lang w:val="fr-FR"/>
        </w:rPr>
        <w:t>autres polluants, dont des</w:t>
      </w:r>
      <w:r w:rsidR="00540CA6" w:rsidRPr="002A2EA6">
        <w:rPr>
          <w:lang w:val="fr-FR"/>
        </w:rPr>
        <w:t> </w:t>
      </w:r>
      <w:r w:rsidRPr="002A2EA6">
        <w:rPr>
          <w:lang w:val="fr-FR"/>
        </w:rPr>
        <w:t xml:space="preserve">dioxines et des furanes. </w:t>
      </w:r>
      <w:r w:rsidR="002F428F" w:rsidRPr="002A2EA6">
        <w:rPr>
          <w:lang w:val="fr-FR"/>
        </w:rPr>
        <w:t>S</w:t>
      </w:r>
      <w:r w:rsidR="00CA4DAC">
        <w:rPr>
          <w:lang w:val="fr-FR"/>
        </w:rPr>
        <w:t>’</w:t>
      </w:r>
      <w:r w:rsidRPr="002A2EA6">
        <w:rPr>
          <w:lang w:val="fr-FR"/>
        </w:rPr>
        <w:t>exprima</w:t>
      </w:r>
      <w:r w:rsidR="002F428F" w:rsidRPr="002A2EA6">
        <w:rPr>
          <w:lang w:val="fr-FR"/>
        </w:rPr>
        <w:t>n</w:t>
      </w:r>
      <w:r w:rsidRPr="002A2EA6">
        <w:rPr>
          <w:lang w:val="fr-FR"/>
        </w:rPr>
        <w:t>t au nom d</w:t>
      </w:r>
      <w:r w:rsidR="00CA4DAC">
        <w:rPr>
          <w:lang w:val="fr-FR"/>
        </w:rPr>
        <w:t>’</w:t>
      </w:r>
      <w:r w:rsidRPr="002A2EA6">
        <w:rPr>
          <w:lang w:val="fr-FR"/>
        </w:rPr>
        <w:t>un groupe de pays</w:t>
      </w:r>
      <w:r w:rsidR="13EF0D20" w:rsidRPr="002A2EA6">
        <w:rPr>
          <w:lang w:val="fr-FR"/>
        </w:rPr>
        <w:t>,</w:t>
      </w:r>
      <w:r w:rsidRPr="002A2EA6">
        <w:rPr>
          <w:lang w:val="fr-FR"/>
        </w:rPr>
        <w:t xml:space="preserve"> </w:t>
      </w:r>
      <w:r w:rsidR="002F428F" w:rsidRPr="002A2EA6">
        <w:rPr>
          <w:lang w:val="fr-FR"/>
        </w:rPr>
        <w:t xml:space="preserve">une représentante </w:t>
      </w:r>
      <w:r w:rsidRPr="002A2EA6">
        <w:rPr>
          <w:lang w:val="fr-FR"/>
        </w:rPr>
        <w:t>a proposé que</w:t>
      </w:r>
      <w:r w:rsidR="00540CA6" w:rsidRPr="002A2EA6">
        <w:rPr>
          <w:lang w:val="fr-FR"/>
        </w:rPr>
        <w:t> </w:t>
      </w:r>
      <w:r w:rsidRPr="002A2EA6">
        <w:rPr>
          <w:lang w:val="fr-FR"/>
        </w:rPr>
        <w:t>la question des émissions et rejets de mercure résultant du brûlage de déchets à l</w:t>
      </w:r>
      <w:r w:rsidR="00CA4DAC">
        <w:rPr>
          <w:lang w:val="fr-FR"/>
        </w:rPr>
        <w:t>’</w:t>
      </w:r>
      <w:r w:rsidRPr="002A2EA6">
        <w:rPr>
          <w:lang w:val="fr-FR"/>
        </w:rPr>
        <w:t>air libre soit examinée dans l</w:t>
      </w:r>
      <w:r w:rsidR="0074688A" w:rsidRPr="002A2EA6">
        <w:rPr>
          <w:lang w:val="fr-FR"/>
        </w:rPr>
        <w:t>e cadre d</w:t>
      </w:r>
      <w:r w:rsidRPr="002A2EA6">
        <w:rPr>
          <w:lang w:val="fr-FR"/>
        </w:rPr>
        <w:t>es évaluations sur l</w:t>
      </w:r>
      <w:r w:rsidR="00CA4DAC">
        <w:rPr>
          <w:lang w:val="fr-FR"/>
        </w:rPr>
        <w:t>’</w:t>
      </w:r>
      <w:r w:rsidRPr="002A2EA6">
        <w:rPr>
          <w:lang w:val="fr-FR"/>
        </w:rPr>
        <w:t>efficacité de la Convention.</w:t>
      </w:r>
    </w:p>
    <w:p w14:paraId="14A3E794" w14:textId="4E01F195"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Un autre représentant a indiqué qu</w:t>
      </w:r>
      <w:r w:rsidR="00CA4DAC">
        <w:rPr>
          <w:lang w:val="fr-FR"/>
        </w:rPr>
        <w:t>’</w:t>
      </w:r>
      <w:r w:rsidRPr="002A2EA6">
        <w:rPr>
          <w:lang w:val="fr-FR"/>
        </w:rPr>
        <w:t xml:space="preserve">il </w:t>
      </w:r>
      <w:r w:rsidR="0074688A" w:rsidRPr="002A2EA6">
        <w:rPr>
          <w:lang w:val="fr-FR"/>
        </w:rPr>
        <w:t xml:space="preserve">était tout à fait conscient </w:t>
      </w:r>
      <w:r w:rsidRPr="002A2EA6">
        <w:rPr>
          <w:lang w:val="fr-FR"/>
        </w:rPr>
        <w:t>que les pratiques de</w:t>
      </w:r>
      <w:r w:rsidR="00BE79CF" w:rsidRPr="002A2EA6">
        <w:rPr>
          <w:lang w:val="fr-FR"/>
        </w:rPr>
        <w:t> </w:t>
      </w:r>
      <w:r w:rsidRPr="002A2EA6">
        <w:rPr>
          <w:lang w:val="fr-FR"/>
        </w:rPr>
        <w:t>gestion des</w:t>
      </w:r>
      <w:r w:rsidR="00540CA6" w:rsidRPr="002A2EA6">
        <w:rPr>
          <w:lang w:val="fr-FR"/>
        </w:rPr>
        <w:t> </w:t>
      </w:r>
      <w:r w:rsidRPr="002A2EA6">
        <w:rPr>
          <w:lang w:val="fr-FR"/>
        </w:rPr>
        <w:t>déchets les plus modernes étaient hors de portée de nombreux pays et a fait observer que les</w:t>
      </w:r>
      <w:r w:rsidR="00540CA6" w:rsidRPr="002A2EA6">
        <w:rPr>
          <w:lang w:val="fr-FR"/>
        </w:rPr>
        <w:t> </w:t>
      </w:r>
      <w:r w:rsidRPr="002A2EA6">
        <w:rPr>
          <w:lang w:val="fr-FR"/>
        </w:rPr>
        <w:t xml:space="preserve">évaluations initiales prévues par la Convention de Minamata pourraient </w:t>
      </w:r>
      <w:r w:rsidR="00D67733" w:rsidRPr="002A2EA6">
        <w:rPr>
          <w:lang w:val="fr-FR"/>
        </w:rPr>
        <w:t xml:space="preserve">grandement servir </w:t>
      </w:r>
      <w:r w:rsidR="00A42F67" w:rsidRPr="002A2EA6">
        <w:rPr>
          <w:lang w:val="fr-FR"/>
        </w:rPr>
        <w:t xml:space="preserve">à </w:t>
      </w:r>
      <w:r w:rsidR="001D1955" w:rsidRPr="002A2EA6">
        <w:rPr>
          <w:lang w:val="fr-FR"/>
        </w:rPr>
        <w:t>s</w:t>
      </w:r>
      <w:r w:rsidR="00CA4DAC">
        <w:rPr>
          <w:lang w:val="fr-FR"/>
        </w:rPr>
        <w:t>’</w:t>
      </w:r>
      <w:r w:rsidR="001D1955" w:rsidRPr="002A2EA6">
        <w:rPr>
          <w:lang w:val="fr-FR"/>
        </w:rPr>
        <w:t xml:space="preserve">attaquer aux </w:t>
      </w:r>
      <w:r w:rsidRPr="002A2EA6">
        <w:rPr>
          <w:lang w:val="fr-FR"/>
        </w:rPr>
        <w:t>problèmes de gestion des déchets afin de réduire l</w:t>
      </w:r>
      <w:r w:rsidR="00CA4DAC">
        <w:rPr>
          <w:lang w:val="fr-FR"/>
        </w:rPr>
        <w:t>’</w:t>
      </w:r>
      <w:r w:rsidRPr="002A2EA6">
        <w:rPr>
          <w:lang w:val="fr-FR"/>
        </w:rPr>
        <w:t>exposition d</w:t>
      </w:r>
      <w:r w:rsidR="00CA4DAC">
        <w:rPr>
          <w:lang w:val="fr-FR"/>
        </w:rPr>
        <w:t>’</w:t>
      </w:r>
      <w:r w:rsidRPr="002A2EA6">
        <w:rPr>
          <w:lang w:val="fr-FR"/>
        </w:rPr>
        <w:t>un grand nombre de personnes au mercure et à d</w:t>
      </w:r>
      <w:r w:rsidR="00CA4DAC">
        <w:rPr>
          <w:lang w:val="fr-FR"/>
        </w:rPr>
        <w:t>’</w:t>
      </w:r>
      <w:r w:rsidRPr="002A2EA6">
        <w:rPr>
          <w:lang w:val="fr-FR"/>
        </w:rPr>
        <w:t>autres polluants. Il a souligné qu</w:t>
      </w:r>
      <w:r w:rsidR="00CA4DAC">
        <w:rPr>
          <w:lang w:val="fr-FR"/>
        </w:rPr>
        <w:t>’</w:t>
      </w:r>
      <w:r w:rsidRPr="002A2EA6">
        <w:rPr>
          <w:lang w:val="fr-FR"/>
        </w:rPr>
        <w:t>il était crucial de coopérer avec la</w:t>
      </w:r>
      <w:r w:rsidR="00540CA6" w:rsidRPr="002A2EA6">
        <w:rPr>
          <w:lang w:val="fr-FR"/>
        </w:rPr>
        <w:t> </w:t>
      </w:r>
      <w:r w:rsidRPr="002A2EA6">
        <w:rPr>
          <w:lang w:val="fr-FR"/>
        </w:rPr>
        <w:t>Convention de Bâle afin d</w:t>
      </w:r>
      <w:r w:rsidR="00CA4DAC">
        <w:rPr>
          <w:lang w:val="fr-FR"/>
        </w:rPr>
        <w:t>’</w:t>
      </w:r>
      <w:r w:rsidRPr="002A2EA6">
        <w:rPr>
          <w:lang w:val="fr-FR"/>
        </w:rPr>
        <w:t>atteindre les objectifs de la Convention de Minamata liés aux déchets.</w:t>
      </w:r>
    </w:p>
    <w:p w14:paraId="0944DD08" w14:textId="7013CEA8"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Deux représentants ont souligné </w:t>
      </w:r>
      <w:r w:rsidR="001D1955" w:rsidRPr="002A2EA6">
        <w:rPr>
          <w:lang w:val="fr-FR"/>
        </w:rPr>
        <w:t>qu</w:t>
      </w:r>
      <w:r w:rsidR="00CA4DAC">
        <w:rPr>
          <w:lang w:val="fr-FR"/>
        </w:rPr>
        <w:t>’</w:t>
      </w:r>
      <w:r w:rsidR="001D1955" w:rsidRPr="002A2EA6">
        <w:rPr>
          <w:lang w:val="fr-FR"/>
        </w:rPr>
        <w:t xml:space="preserve">il importait </w:t>
      </w:r>
      <w:r w:rsidRPr="002A2EA6">
        <w:rPr>
          <w:lang w:val="fr-FR"/>
        </w:rPr>
        <w:t>de dépasser le stade du recueil d</w:t>
      </w:r>
      <w:r w:rsidR="00CA4DAC">
        <w:rPr>
          <w:lang w:val="fr-FR"/>
        </w:rPr>
        <w:t>’</w:t>
      </w:r>
      <w:r w:rsidRPr="002A2EA6">
        <w:rPr>
          <w:lang w:val="fr-FR"/>
        </w:rPr>
        <w:t>information</w:t>
      </w:r>
      <w:r w:rsidR="001B78C3" w:rsidRPr="002A2EA6">
        <w:rPr>
          <w:lang w:val="fr-FR"/>
        </w:rPr>
        <w:t>s</w:t>
      </w:r>
      <w:r w:rsidRPr="002A2EA6">
        <w:rPr>
          <w:lang w:val="fr-FR"/>
        </w:rPr>
        <w:t xml:space="preserve"> pour lutter contre le brûlage de déchets à l</w:t>
      </w:r>
      <w:r w:rsidR="00CA4DAC">
        <w:rPr>
          <w:lang w:val="fr-FR"/>
        </w:rPr>
        <w:t>’</w:t>
      </w:r>
      <w:r w:rsidRPr="002A2EA6">
        <w:rPr>
          <w:lang w:val="fr-FR"/>
        </w:rPr>
        <w:t xml:space="preserve">air libre. Ils ont salué les efforts </w:t>
      </w:r>
      <w:r w:rsidR="00F56773" w:rsidRPr="002A2EA6">
        <w:rPr>
          <w:lang w:val="fr-FR"/>
        </w:rPr>
        <w:t xml:space="preserve">menés en concertation </w:t>
      </w:r>
      <w:r w:rsidRPr="002A2EA6">
        <w:rPr>
          <w:lang w:val="fr-FR"/>
        </w:rPr>
        <w:t xml:space="preserve">pour </w:t>
      </w:r>
      <w:r w:rsidR="554ABB0F" w:rsidRPr="002A2EA6">
        <w:rPr>
          <w:lang w:val="fr-FR"/>
        </w:rPr>
        <w:t>traiter cette question</w:t>
      </w:r>
      <w:r w:rsidRPr="002A2EA6">
        <w:rPr>
          <w:lang w:val="fr-FR"/>
        </w:rPr>
        <w:t>, notamment ce</w:t>
      </w:r>
      <w:r w:rsidR="1A42F526" w:rsidRPr="002A2EA6">
        <w:rPr>
          <w:lang w:val="fr-FR"/>
        </w:rPr>
        <w:t>ux entrepris</w:t>
      </w:r>
      <w:r w:rsidRPr="002A2EA6">
        <w:rPr>
          <w:lang w:val="fr-FR"/>
        </w:rPr>
        <w:t xml:space="preserve"> par le Japon.</w:t>
      </w:r>
    </w:p>
    <w:p w14:paraId="79E63802" w14:textId="7CCA63DB" w:rsidR="7114A15B" w:rsidRPr="002A2EA6" w:rsidRDefault="7114A15B"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Une </w:t>
      </w:r>
      <w:r w:rsidR="11DE7413" w:rsidRPr="002A2EA6">
        <w:rPr>
          <w:lang w:val="fr-FR"/>
        </w:rPr>
        <w:t>observatrice a déclaré que le brûlage de déchets à l</w:t>
      </w:r>
      <w:r w:rsidR="00CA4DAC">
        <w:rPr>
          <w:lang w:val="fr-FR"/>
        </w:rPr>
        <w:t>’</w:t>
      </w:r>
      <w:r w:rsidR="11DE7413" w:rsidRPr="002A2EA6">
        <w:rPr>
          <w:lang w:val="fr-FR"/>
        </w:rPr>
        <w:t>air libre n</w:t>
      </w:r>
      <w:r w:rsidR="00CA4DAC">
        <w:rPr>
          <w:lang w:val="fr-FR"/>
        </w:rPr>
        <w:t>’</w:t>
      </w:r>
      <w:r w:rsidR="004972D2" w:rsidRPr="002A2EA6">
        <w:rPr>
          <w:lang w:val="fr-FR"/>
        </w:rPr>
        <w:t xml:space="preserve">était pas effectué uniquement </w:t>
      </w:r>
      <w:r w:rsidR="11DE7413" w:rsidRPr="002A2EA6">
        <w:rPr>
          <w:lang w:val="fr-FR"/>
        </w:rPr>
        <w:t>dans les décharges des villes mais également dans des quartiers résidentiels et</w:t>
      </w:r>
      <w:r w:rsidR="00BE79CF" w:rsidRPr="002A2EA6">
        <w:rPr>
          <w:lang w:val="fr-FR"/>
        </w:rPr>
        <w:t> </w:t>
      </w:r>
      <w:r w:rsidR="11DE7413" w:rsidRPr="002A2EA6">
        <w:rPr>
          <w:lang w:val="fr-FR"/>
        </w:rPr>
        <w:t>autres des</w:t>
      </w:r>
      <w:r w:rsidR="00540CA6" w:rsidRPr="002A2EA6">
        <w:rPr>
          <w:lang w:val="fr-FR"/>
        </w:rPr>
        <w:t> </w:t>
      </w:r>
      <w:r w:rsidR="11DE7413" w:rsidRPr="002A2EA6">
        <w:rPr>
          <w:lang w:val="fr-FR"/>
        </w:rPr>
        <w:t>pays en développement. Elle a proposé que, lors du calcul des émissions émanant du brûlage à l</w:t>
      </w:r>
      <w:r w:rsidR="00CA4DAC">
        <w:rPr>
          <w:lang w:val="fr-FR"/>
        </w:rPr>
        <w:t>’</w:t>
      </w:r>
      <w:r w:rsidR="11DE7413" w:rsidRPr="002A2EA6">
        <w:rPr>
          <w:lang w:val="fr-FR"/>
        </w:rPr>
        <w:t>air libre, un examen approfondi de l</w:t>
      </w:r>
      <w:r w:rsidR="00CA4DAC">
        <w:rPr>
          <w:lang w:val="fr-FR"/>
        </w:rPr>
        <w:t>’</w:t>
      </w:r>
      <w:r w:rsidR="11DE7413" w:rsidRPr="002A2EA6">
        <w:rPr>
          <w:lang w:val="fr-FR"/>
        </w:rPr>
        <w:t>origine des déchets, des</w:t>
      </w:r>
      <w:r w:rsidR="00BE79CF" w:rsidRPr="002A2EA6">
        <w:rPr>
          <w:lang w:val="fr-FR"/>
        </w:rPr>
        <w:t> </w:t>
      </w:r>
      <w:r w:rsidR="11DE7413" w:rsidRPr="002A2EA6">
        <w:rPr>
          <w:lang w:val="fr-FR"/>
        </w:rPr>
        <w:t>principaux types de déchets brûlés et du type de combustible utilisé pour le brûlage soit entrepris. Elle a demandé que des engagements politiques soient pris pour interdire le brûlage de déchets à l</w:t>
      </w:r>
      <w:r w:rsidR="00CA4DAC">
        <w:rPr>
          <w:lang w:val="fr-FR"/>
        </w:rPr>
        <w:t>’</w:t>
      </w:r>
      <w:r w:rsidR="11DE7413" w:rsidRPr="002A2EA6">
        <w:rPr>
          <w:lang w:val="fr-FR"/>
        </w:rPr>
        <w:t>air libre</w:t>
      </w:r>
      <w:r w:rsidR="003534F8" w:rsidRPr="002A2EA6">
        <w:rPr>
          <w:lang w:val="fr-FR"/>
        </w:rPr>
        <w:t>,</w:t>
      </w:r>
      <w:r w:rsidR="11DE7413" w:rsidRPr="002A2EA6">
        <w:rPr>
          <w:lang w:val="fr-FR"/>
        </w:rPr>
        <w:t xml:space="preserve"> mais a vivement recommandé un</w:t>
      </w:r>
      <w:r w:rsidR="00540CA6" w:rsidRPr="002A2EA6">
        <w:rPr>
          <w:lang w:val="fr-FR"/>
        </w:rPr>
        <w:t> </w:t>
      </w:r>
      <w:r w:rsidR="11DE7413" w:rsidRPr="002A2EA6">
        <w:rPr>
          <w:lang w:val="fr-FR"/>
        </w:rPr>
        <w:t xml:space="preserve">examen minutieux des projets visant à </w:t>
      </w:r>
      <w:r w:rsidR="003534F8" w:rsidRPr="002A2EA6">
        <w:rPr>
          <w:lang w:val="fr-FR"/>
        </w:rPr>
        <w:t xml:space="preserve">renoncer </w:t>
      </w:r>
      <w:r w:rsidR="00282D0F" w:rsidRPr="002A2EA6">
        <w:rPr>
          <w:lang w:val="fr-FR"/>
        </w:rPr>
        <w:t xml:space="preserve">au </w:t>
      </w:r>
      <w:r w:rsidR="11DE7413" w:rsidRPr="002A2EA6">
        <w:rPr>
          <w:lang w:val="fr-FR"/>
        </w:rPr>
        <w:t>brûlage pour passer à d</w:t>
      </w:r>
      <w:r w:rsidR="00CA4DAC">
        <w:rPr>
          <w:lang w:val="fr-FR"/>
        </w:rPr>
        <w:t>’</w:t>
      </w:r>
      <w:r w:rsidR="11DE7413" w:rsidRPr="002A2EA6">
        <w:rPr>
          <w:lang w:val="fr-FR"/>
        </w:rPr>
        <w:t>autres méthodes de gestion des déchets, en soulignant que certaines méthodes ne seraient pas financièrement ou économiquement envisageables pour les pays à faible revenu.</w:t>
      </w:r>
    </w:p>
    <w:p w14:paraId="4E226254" w14:textId="0B01B085" w:rsidR="11DE7413" w:rsidRPr="002A2EA6" w:rsidRDefault="11DE7413"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La Conférence des Parties a décidé de </w:t>
      </w:r>
      <w:r w:rsidR="000853D4" w:rsidRPr="002A2EA6">
        <w:rPr>
          <w:lang w:val="fr-FR"/>
        </w:rPr>
        <w:t xml:space="preserve">prier le </w:t>
      </w:r>
      <w:r w:rsidRPr="002A2EA6">
        <w:rPr>
          <w:lang w:val="fr-FR"/>
        </w:rPr>
        <w:t>secrétariat de continuer à recueillir des</w:t>
      </w:r>
      <w:r w:rsidR="00540CA6" w:rsidRPr="002A2EA6">
        <w:rPr>
          <w:lang w:val="fr-FR"/>
        </w:rPr>
        <w:t> </w:t>
      </w:r>
      <w:r w:rsidRPr="002A2EA6">
        <w:rPr>
          <w:lang w:val="fr-FR"/>
        </w:rPr>
        <w:t>informations sur le brûlage de déchets à l</w:t>
      </w:r>
      <w:r w:rsidR="00CA4DAC">
        <w:rPr>
          <w:lang w:val="fr-FR"/>
        </w:rPr>
        <w:t>’</w:t>
      </w:r>
      <w:r w:rsidRPr="002A2EA6">
        <w:rPr>
          <w:lang w:val="fr-FR"/>
        </w:rPr>
        <w:t xml:space="preserve">air libre et de </w:t>
      </w:r>
      <w:r w:rsidR="000853D4" w:rsidRPr="002A2EA6">
        <w:rPr>
          <w:lang w:val="fr-FR"/>
        </w:rPr>
        <w:t xml:space="preserve">publier </w:t>
      </w:r>
      <w:r w:rsidRPr="002A2EA6">
        <w:rPr>
          <w:lang w:val="fr-FR"/>
        </w:rPr>
        <w:t xml:space="preserve">ces informations sur le site Web de la Convention, de collaborer avec le Secrétariat des conventions de Bâle, de Rotterdam et de Stockholm à ce sujet et de rendre compte de la mise en œuvre de ces activités à </w:t>
      </w:r>
      <w:r w:rsidR="00E31088" w:rsidRPr="002A2EA6">
        <w:rPr>
          <w:lang w:val="fr-FR"/>
        </w:rPr>
        <w:t>s</w:t>
      </w:r>
      <w:r w:rsidRPr="002A2EA6">
        <w:rPr>
          <w:lang w:val="fr-FR"/>
        </w:rPr>
        <w:t>a quatrième</w:t>
      </w:r>
      <w:r w:rsidR="00540CA6" w:rsidRPr="002A2EA6">
        <w:rPr>
          <w:lang w:val="fr-FR"/>
        </w:rPr>
        <w:t> </w:t>
      </w:r>
      <w:r w:rsidRPr="002A2EA6">
        <w:rPr>
          <w:lang w:val="fr-FR"/>
        </w:rPr>
        <w:t>réunion.</w:t>
      </w:r>
    </w:p>
    <w:p w14:paraId="3B55F29C" w14:textId="307B293A" w:rsidR="00F273CE" w:rsidRPr="002A2EA6" w:rsidRDefault="00F273CE" w:rsidP="00CE52B4">
      <w:pPr>
        <w:pStyle w:val="CH1"/>
        <w:rPr>
          <w:lang w:val="fr-FR"/>
        </w:rPr>
      </w:pPr>
      <w:r w:rsidRPr="002A2EA6">
        <w:rPr>
          <w:lang w:val="fr-FR"/>
        </w:rPr>
        <w:tab/>
        <w:t>VI.</w:t>
      </w:r>
      <w:r w:rsidRPr="002A2EA6">
        <w:rPr>
          <w:lang w:val="fr-FR"/>
        </w:rPr>
        <w:tab/>
        <w:t>Coopération et coordination au niveau international</w:t>
      </w:r>
    </w:p>
    <w:p w14:paraId="32AA7EC0" w14:textId="4B2184EE" w:rsidR="0E2554DD" w:rsidRPr="002A2EA6" w:rsidRDefault="0E2554DD" w:rsidP="00A056A2">
      <w:pPr>
        <w:pStyle w:val="Normalnumber"/>
        <w:numPr>
          <w:ilvl w:val="0"/>
          <w:numId w:val="42"/>
        </w:numPr>
        <w:tabs>
          <w:tab w:val="clear" w:pos="1814"/>
          <w:tab w:val="left" w:pos="1843"/>
          <w:tab w:val="left" w:pos="1985"/>
        </w:tabs>
        <w:ind w:left="1288" w:hanging="28"/>
        <w:rPr>
          <w:lang w:val="fr-FR"/>
        </w:rPr>
      </w:pPr>
      <w:r w:rsidRPr="002A2EA6">
        <w:rPr>
          <w:lang w:val="fr-FR"/>
        </w:rPr>
        <w:t>Présentant ce point, le représentant du secrétariat a rappelé que plusieurs dispositions de la</w:t>
      </w:r>
      <w:r w:rsidR="00985816" w:rsidRPr="002A2EA6">
        <w:rPr>
          <w:lang w:val="fr-FR"/>
        </w:rPr>
        <w:t> </w:t>
      </w:r>
      <w:r w:rsidRPr="002A2EA6">
        <w:rPr>
          <w:lang w:val="fr-FR"/>
        </w:rPr>
        <w:t>Convention prévoyaient la coopération avec des organisations intergouvernementales compétentes. En</w:t>
      </w:r>
      <w:r w:rsidR="009E425C" w:rsidRPr="002A2EA6">
        <w:rPr>
          <w:lang w:val="fr-FR"/>
        </w:rPr>
        <w:t> </w:t>
      </w:r>
      <w:r w:rsidRPr="002A2EA6">
        <w:rPr>
          <w:lang w:val="fr-FR"/>
        </w:rPr>
        <w:t>particulier, l</w:t>
      </w:r>
      <w:r w:rsidR="00CA4DAC">
        <w:rPr>
          <w:lang w:val="fr-FR"/>
        </w:rPr>
        <w:t>’</w:t>
      </w:r>
      <w:r w:rsidRPr="002A2EA6">
        <w:rPr>
          <w:lang w:val="fr-FR"/>
        </w:rPr>
        <w:t>article</w:t>
      </w:r>
      <w:r w:rsidR="00985816" w:rsidRPr="002A2EA6">
        <w:rPr>
          <w:lang w:val="fr-FR"/>
        </w:rPr>
        <w:t> </w:t>
      </w:r>
      <w:r w:rsidRPr="002A2EA6">
        <w:rPr>
          <w:lang w:val="fr-FR"/>
        </w:rPr>
        <w:t xml:space="preserve">16 </w:t>
      </w:r>
      <w:r w:rsidR="00E31088" w:rsidRPr="002A2EA6">
        <w:rPr>
          <w:lang w:val="fr-FR"/>
        </w:rPr>
        <w:t xml:space="preserve">disposait </w:t>
      </w:r>
      <w:r w:rsidRPr="002A2EA6">
        <w:rPr>
          <w:lang w:val="fr-FR"/>
        </w:rPr>
        <w:t>que dans le cadre de l</w:t>
      </w:r>
      <w:r w:rsidR="00CA4DAC">
        <w:rPr>
          <w:lang w:val="fr-FR"/>
        </w:rPr>
        <w:t>’</w:t>
      </w:r>
      <w:r w:rsidRPr="002A2EA6">
        <w:rPr>
          <w:lang w:val="fr-FR"/>
        </w:rPr>
        <w:t>examen de questions ou d</w:t>
      </w:r>
      <w:r w:rsidR="00CA4DAC">
        <w:rPr>
          <w:lang w:val="fr-FR"/>
        </w:rPr>
        <w:t>’</w:t>
      </w:r>
      <w:r w:rsidRPr="002A2EA6">
        <w:rPr>
          <w:lang w:val="fr-FR"/>
        </w:rPr>
        <w:t>activités liées à la</w:t>
      </w:r>
      <w:r w:rsidR="00985816" w:rsidRPr="002A2EA6">
        <w:rPr>
          <w:lang w:val="fr-FR"/>
        </w:rPr>
        <w:t> </w:t>
      </w:r>
      <w:r w:rsidRPr="002A2EA6">
        <w:rPr>
          <w:lang w:val="fr-FR"/>
        </w:rPr>
        <w:t xml:space="preserve">santé, </w:t>
      </w:r>
      <w:r w:rsidR="00EA7F3C" w:rsidRPr="002A2EA6">
        <w:rPr>
          <w:lang w:val="fr-FR"/>
        </w:rPr>
        <w:t xml:space="preserve">la Conférence des Parties </w:t>
      </w:r>
      <w:r w:rsidRPr="002A2EA6">
        <w:rPr>
          <w:lang w:val="fr-FR"/>
        </w:rPr>
        <w:t>devait consulter l</w:t>
      </w:r>
      <w:r w:rsidR="00CA4DAC">
        <w:rPr>
          <w:lang w:val="fr-FR"/>
        </w:rPr>
        <w:t>’</w:t>
      </w:r>
      <w:r w:rsidRPr="002A2EA6">
        <w:rPr>
          <w:lang w:val="fr-FR"/>
        </w:rPr>
        <w:t>OMS, l</w:t>
      </w:r>
      <w:r w:rsidR="00CA4DAC">
        <w:rPr>
          <w:lang w:val="fr-FR"/>
        </w:rPr>
        <w:t>’</w:t>
      </w:r>
      <w:r w:rsidR="00FF1480" w:rsidRPr="002A2EA6">
        <w:rPr>
          <w:lang w:val="fr-FR"/>
        </w:rPr>
        <w:t xml:space="preserve">Organisation internationale du Travail </w:t>
      </w:r>
      <w:r w:rsidR="00FF1480">
        <w:rPr>
          <w:lang w:val="fr-FR"/>
        </w:rPr>
        <w:t>(</w:t>
      </w:r>
      <w:r w:rsidRPr="002A2EA6">
        <w:rPr>
          <w:lang w:val="fr-FR"/>
        </w:rPr>
        <w:t>O</w:t>
      </w:r>
      <w:r w:rsidR="00591E65" w:rsidRPr="002A2EA6">
        <w:rPr>
          <w:lang w:val="fr-FR"/>
        </w:rPr>
        <w:t>IT</w:t>
      </w:r>
      <w:r w:rsidR="00FF1480">
        <w:rPr>
          <w:lang w:val="fr-FR"/>
        </w:rPr>
        <w:t>)</w:t>
      </w:r>
      <w:r w:rsidRPr="002A2EA6">
        <w:rPr>
          <w:lang w:val="fr-FR"/>
        </w:rPr>
        <w:t xml:space="preserve"> et d</w:t>
      </w:r>
      <w:r w:rsidR="00CA4DAC">
        <w:rPr>
          <w:lang w:val="fr-FR"/>
        </w:rPr>
        <w:t>’</w:t>
      </w:r>
      <w:r w:rsidRPr="002A2EA6">
        <w:rPr>
          <w:lang w:val="fr-FR"/>
        </w:rPr>
        <w:t>autres organisations intergouvernementales compétentes et collaborer avec celles-ci, selon qu</w:t>
      </w:r>
      <w:r w:rsidR="00CA4DAC">
        <w:rPr>
          <w:lang w:val="fr-FR"/>
        </w:rPr>
        <w:t>’</w:t>
      </w:r>
      <w:r w:rsidRPr="002A2EA6">
        <w:rPr>
          <w:lang w:val="fr-FR"/>
        </w:rPr>
        <w:t>il convient, et promouvoir la</w:t>
      </w:r>
      <w:r w:rsidR="00985816" w:rsidRPr="002A2EA6">
        <w:rPr>
          <w:lang w:val="fr-FR"/>
        </w:rPr>
        <w:t> </w:t>
      </w:r>
      <w:r w:rsidRPr="002A2EA6">
        <w:rPr>
          <w:lang w:val="fr-FR"/>
        </w:rPr>
        <w:t>coopération et l</w:t>
      </w:r>
      <w:r w:rsidR="00CA4DAC">
        <w:rPr>
          <w:lang w:val="fr-FR"/>
        </w:rPr>
        <w:t>’</w:t>
      </w:r>
      <w:r w:rsidRPr="002A2EA6">
        <w:rPr>
          <w:lang w:val="fr-FR"/>
        </w:rPr>
        <w:t>échange d</w:t>
      </w:r>
      <w:r w:rsidR="00CA4DAC">
        <w:rPr>
          <w:lang w:val="fr-FR"/>
        </w:rPr>
        <w:t>’</w:t>
      </w:r>
      <w:r w:rsidRPr="002A2EA6">
        <w:rPr>
          <w:lang w:val="fr-FR"/>
        </w:rPr>
        <w:t>informations avec ces organisations, selon qu</w:t>
      </w:r>
      <w:r w:rsidR="00CA4DAC">
        <w:rPr>
          <w:lang w:val="fr-FR"/>
        </w:rPr>
        <w:t>’</w:t>
      </w:r>
      <w:r w:rsidRPr="002A2EA6">
        <w:rPr>
          <w:lang w:val="fr-FR"/>
        </w:rPr>
        <w:t>il convient.</w:t>
      </w:r>
    </w:p>
    <w:p w14:paraId="17F1820A" w14:textId="68F810A1" w:rsidR="00F273CE" w:rsidRPr="002A2EA6" w:rsidRDefault="00CE52B4" w:rsidP="00CE52B4">
      <w:pPr>
        <w:pStyle w:val="CH2"/>
        <w:rPr>
          <w:lang w:val="fr-FR"/>
        </w:rPr>
      </w:pPr>
      <w:r w:rsidRPr="002A2EA6">
        <w:rPr>
          <w:lang w:val="fr-FR"/>
        </w:rPr>
        <w:lastRenderedPageBreak/>
        <w:tab/>
      </w:r>
      <w:bookmarkStart w:id="45" w:name="_Toc39063347"/>
      <w:r w:rsidRPr="002A2EA6">
        <w:rPr>
          <w:lang w:val="fr-FR"/>
        </w:rPr>
        <w:t>A.</w:t>
      </w:r>
      <w:r w:rsidRPr="002A2EA6">
        <w:rPr>
          <w:lang w:val="fr-FR"/>
        </w:rPr>
        <w:tab/>
      </w:r>
      <w:r w:rsidR="00F273CE" w:rsidRPr="002A2EA6">
        <w:rPr>
          <w:lang w:val="fr-FR"/>
        </w:rPr>
        <w:t>Organisation mondiale de la Santé</w:t>
      </w:r>
      <w:r w:rsidR="00BE79CF" w:rsidRPr="002A2EA6">
        <w:rPr>
          <w:lang w:val="fr-FR"/>
        </w:rPr>
        <w:t> </w:t>
      </w:r>
      <w:r w:rsidR="631BDA25" w:rsidRPr="002A2EA6">
        <w:rPr>
          <w:lang w:val="fr-FR"/>
        </w:rPr>
        <w:t>;</w:t>
      </w:r>
      <w:r w:rsidR="00F273CE" w:rsidRPr="002A2EA6">
        <w:rPr>
          <w:lang w:val="fr-FR"/>
        </w:rPr>
        <w:t xml:space="preserve"> Organisation internationale du Travail</w:t>
      </w:r>
      <w:bookmarkEnd w:id="45"/>
    </w:p>
    <w:p w14:paraId="4E3DB15A" w14:textId="13BBCC30"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Présentant ce sous-point, le représentant du secrétariat a </w:t>
      </w:r>
      <w:r w:rsidR="00DC042D" w:rsidRPr="002A2EA6">
        <w:rPr>
          <w:lang w:val="fr-FR"/>
        </w:rPr>
        <w:t xml:space="preserve">appelé </w:t>
      </w:r>
      <w:r w:rsidRPr="002A2EA6">
        <w:rPr>
          <w:lang w:val="fr-FR"/>
        </w:rPr>
        <w:t>l</w:t>
      </w:r>
      <w:r w:rsidR="00CA4DAC">
        <w:rPr>
          <w:lang w:val="fr-FR"/>
        </w:rPr>
        <w:t>’</w:t>
      </w:r>
      <w:r w:rsidRPr="002A2EA6">
        <w:rPr>
          <w:lang w:val="fr-FR"/>
        </w:rPr>
        <w:t>attention des participants sur les informations pertinentes figurant dans le rapport sur les activités de coopération avec l</w:t>
      </w:r>
      <w:r w:rsidR="00CA4DAC">
        <w:rPr>
          <w:lang w:val="fr-FR"/>
        </w:rPr>
        <w:t>’</w:t>
      </w:r>
      <w:r w:rsidRPr="002A2EA6">
        <w:rPr>
          <w:lang w:val="fr-FR"/>
        </w:rPr>
        <w:t>OMS et l</w:t>
      </w:r>
      <w:r w:rsidR="00CA4DAC">
        <w:rPr>
          <w:lang w:val="fr-FR"/>
        </w:rPr>
        <w:t>’</w:t>
      </w:r>
      <w:r w:rsidRPr="002A2EA6">
        <w:rPr>
          <w:lang w:val="fr-FR"/>
        </w:rPr>
        <w:t>OIT (UNEP/MC/COP.3/18, annexe</w:t>
      </w:r>
      <w:r w:rsidR="00E8200D">
        <w:rPr>
          <w:lang w:val="fr-FR"/>
        </w:rPr>
        <w:t>s I et II, respectivement</w:t>
      </w:r>
      <w:r w:rsidRPr="002A2EA6">
        <w:rPr>
          <w:lang w:val="fr-FR"/>
        </w:rPr>
        <w:t>).</w:t>
      </w:r>
    </w:p>
    <w:p w14:paraId="208F1A7C" w14:textId="201D1DAB"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de l</w:t>
      </w:r>
      <w:r w:rsidR="00CA4DAC">
        <w:rPr>
          <w:lang w:val="fr-FR"/>
        </w:rPr>
        <w:t>’</w:t>
      </w:r>
      <w:r w:rsidRPr="002A2EA6">
        <w:rPr>
          <w:lang w:val="fr-FR"/>
        </w:rPr>
        <w:t xml:space="preserve">OMS a </w:t>
      </w:r>
      <w:r w:rsidR="0066530F" w:rsidRPr="002A2EA6">
        <w:rPr>
          <w:lang w:val="fr-FR"/>
        </w:rPr>
        <w:t>rendu compte des</w:t>
      </w:r>
      <w:r w:rsidRPr="002A2EA6">
        <w:rPr>
          <w:lang w:val="fr-FR"/>
        </w:rPr>
        <w:t xml:space="preserve"> activités intéressant la Convention entreprises par son organisation depuis la deuxième réunion de la Conférence des Parties. Celles-ci comprenaient notamment l</w:t>
      </w:r>
      <w:r w:rsidR="00CA4DAC">
        <w:rPr>
          <w:lang w:val="fr-FR"/>
        </w:rPr>
        <w:t>’</w:t>
      </w:r>
      <w:r w:rsidRPr="002A2EA6">
        <w:rPr>
          <w:lang w:val="fr-FR"/>
        </w:rPr>
        <w:t>élaboration et la publication dans les six langues officielles de l</w:t>
      </w:r>
      <w:r w:rsidR="00CA4DAC">
        <w:rPr>
          <w:lang w:val="fr-FR"/>
        </w:rPr>
        <w:t>’</w:t>
      </w:r>
      <w:r w:rsidRPr="002A2EA6">
        <w:rPr>
          <w:lang w:val="fr-FR"/>
        </w:rPr>
        <w:t>ONU d</w:t>
      </w:r>
      <w:r w:rsidR="00CA4DAC">
        <w:rPr>
          <w:lang w:val="fr-FR"/>
        </w:rPr>
        <w:t>’</w:t>
      </w:r>
      <w:r w:rsidRPr="002A2EA6">
        <w:rPr>
          <w:lang w:val="fr-FR"/>
        </w:rPr>
        <w:t xml:space="preserve">orientations sur la planification </w:t>
      </w:r>
      <w:r w:rsidR="7283EB67" w:rsidRPr="002A2EA6">
        <w:rPr>
          <w:lang w:val="fr-FR"/>
        </w:rPr>
        <w:t xml:space="preserve">stratégique en vue </w:t>
      </w:r>
      <w:r w:rsidRPr="002A2EA6">
        <w:rPr>
          <w:lang w:val="fr-FR"/>
        </w:rPr>
        <w:t>de la mise en œuvre des articles de la Convention relatifs à la santé. L</w:t>
      </w:r>
      <w:r w:rsidR="00CA4DAC">
        <w:rPr>
          <w:lang w:val="fr-FR"/>
        </w:rPr>
        <w:t>’</w:t>
      </w:r>
      <w:r w:rsidRPr="002A2EA6">
        <w:rPr>
          <w:lang w:val="fr-FR"/>
        </w:rPr>
        <w:t>OMS avait également élaboré un document d</w:t>
      </w:r>
      <w:r w:rsidR="00CA4DAC">
        <w:rPr>
          <w:lang w:val="fr-FR"/>
        </w:rPr>
        <w:t>’</w:t>
      </w:r>
      <w:r w:rsidRPr="002A2EA6">
        <w:rPr>
          <w:lang w:val="fr-FR"/>
        </w:rPr>
        <w:t xml:space="preserve">orientation sur la prise en compte de la santé </w:t>
      </w:r>
      <w:r w:rsidR="6E29E728" w:rsidRPr="002A2EA6">
        <w:rPr>
          <w:lang w:val="fr-FR"/>
        </w:rPr>
        <w:t>dans</w:t>
      </w:r>
      <w:r w:rsidRPr="002A2EA6">
        <w:rPr>
          <w:lang w:val="fr-FR"/>
        </w:rPr>
        <w:t xml:space="preserve"> l</w:t>
      </w:r>
      <w:r w:rsidR="00CA4DAC">
        <w:rPr>
          <w:lang w:val="fr-FR"/>
        </w:rPr>
        <w:t>’</w:t>
      </w:r>
      <w:r w:rsidRPr="002A2EA6">
        <w:rPr>
          <w:lang w:val="fr-FR"/>
        </w:rPr>
        <w:t>élaboration des plans d</w:t>
      </w:r>
      <w:r w:rsidR="00CA4DAC">
        <w:rPr>
          <w:lang w:val="fr-FR"/>
        </w:rPr>
        <w:t>’</w:t>
      </w:r>
      <w:r w:rsidRPr="002A2EA6">
        <w:rPr>
          <w:lang w:val="fr-FR"/>
        </w:rPr>
        <w:t>action nationaux</w:t>
      </w:r>
      <w:r w:rsidR="1D2C97D6" w:rsidRPr="002A2EA6">
        <w:rPr>
          <w:lang w:val="fr-FR"/>
        </w:rPr>
        <w:t xml:space="preserve"> en matière d</w:t>
      </w:r>
      <w:r w:rsidR="00CA4DAC">
        <w:rPr>
          <w:lang w:val="fr-FR"/>
        </w:rPr>
        <w:t>’</w:t>
      </w:r>
      <w:r w:rsidR="1D2C97D6" w:rsidRPr="002A2EA6">
        <w:rPr>
          <w:lang w:val="fr-FR"/>
        </w:rPr>
        <w:t>extraction minière artisanale et à petite échelle d</w:t>
      </w:r>
      <w:r w:rsidR="00CA4DAC">
        <w:rPr>
          <w:lang w:val="fr-FR"/>
        </w:rPr>
        <w:t>’</w:t>
      </w:r>
      <w:r w:rsidR="1D2C97D6" w:rsidRPr="002A2EA6">
        <w:rPr>
          <w:lang w:val="fr-FR"/>
        </w:rPr>
        <w:t>or</w:t>
      </w:r>
      <w:r w:rsidRPr="002A2EA6">
        <w:rPr>
          <w:lang w:val="fr-FR"/>
        </w:rPr>
        <w:t>, auquel un certain nombre de pays avaient déjà eu recours. Elle œuvrait par ailleurs à l</w:t>
      </w:r>
      <w:r w:rsidR="00CA4DAC">
        <w:rPr>
          <w:lang w:val="fr-FR"/>
        </w:rPr>
        <w:t>’</w:t>
      </w:r>
      <w:r w:rsidRPr="002A2EA6">
        <w:rPr>
          <w:lang w:val="fr-FR"/>
        </w:rPr>
        <w:t>élaboration de spécifications techniques détaillées pour les appareils de mesure de la pression sanguine, qui serviraient de référence aux pays envisageant d</w:t>
      </w:r>
      <w:r w:rsidR="00CA4DAC">
        <w:rPr>
          <w:lang w:val="fr-FR"/>
        </w:rPr>
        <w:t>’</w:t>
      </w:r>
      <w:r w:rsidRPr="002A2EA6">
        <w:rPr>
          <w:lang w:val="fr-FR"/>
        </w:rPr>
        <w:t>éliminer progressivement les dispositifs contenant du mercure. En outre, dans le cadre d</w:t>
      </w:r>
      <w:r w:rsidR="00CA4DAC">
        <w:rPr>
          <w:lang w:val="fr-FR"/>
        </w:rPr>
        <w:t>’</w:t>
      </w:r>
      <w:r w:rsidRPr="002A2EA6">
        <w:rPr>
          <w:lang w:val="fr-FR"/>
        </w:rPr>
        <w:t>un projet du PNUE et du FEM, l</w:t>
      </w:r>
      <w:r w:rsidR="00CA4DAC">
        <w:rPr>
          <w:lang w:val="fr-FR"/>
        </w:rPr>
        <w:t>’</w:t>
      </w:r>
      <w:r w:rsidRPr="002A2EA6">
        <w:rPr>
          <w:lang w:val="fr-FR"/>
        </w:rPr>
        <w:t>OMS avait mis au point un protocole d</w:t>
      </w:r>
      <w:r w:rsidR="00CA4DAC">
        <w:rPr>
          <w:lang w:val="fr-FR"/>
        </w:rPr>
        <w:t>’</w:t>
      </w:r>
      <w:r w:rsidRPr="002A2EA6">
        <w:rPr>
          <w:lang w:val="fr-FR"/>
        </w:rPr>
        <w:t xml:space="preserve">enquête et un ensemble de </w:t>
      </w:r>
      <w:r w:rsidR="00D26F63" w:rsidRPr="002A2EA6">
        <w:rPr>
          <w:lang w:val="fr-FR"/>
        </w:rPr>
        <w:t xml:space="preserve">procédures </w:t>
      </w:r>
      <w:r w:rsidRPr="002A2EA6">
        <w:rPr>
          <w:lang w:val="fr-FR"/>
        </w:rPr>
        <w:t>normalisé</w:t>
      </w:r>
      <w:r w:rsidR="00D26F63" w:rsidRPr="002A2EA6">
        <w:rPr>
          <w:lang w:val="fr-FR"/>
        </w:rPr>
        <w:t>e</w:t>
      </w:r>
      <w:r w:rsidRPr="002A2EA6">
        <w:rPr>
          <w:lang w:val="fr-FR"/>
        </w:rPr>
        <w:t>s en matière de biosurveillance humaine et avait contribué aux travaux du groupe spécial d</w:t>
      </w:r>
      <w:r w:rsidR="00CA4DAC">
        <w:rPr>
          <w:lang w:val="fr-FR"/>
        </w:rPr>
        <w:t>’</w:t>
      </w:r>
      <w:r w:rsidRPr="002A2EA6">
        <w:rPr>
          <w:lang w:val="fr-FR"/>
        </w:rPr>
        <w:t>experts techniques sur l</w:t>
      </w:r>
      <w:r w:rsidR="00CA4DAC">
        <w:rPr>
          <w:lang w:val="fr-FR"/>
        </w:rPr>
        <w:t>’</w:t>
      </w:r>
      <w:r w:rsidRPr="002A2EA6">
        <w:rPr>
          <w:lang w:val="fr-FR"/>
        </w:rPr>
        <w:t>évaluation de</w:t>
      </w:r>
      <w:r w:rsidR="007A5071" w:rsidRPr="002A2EA6">
        <w:rPr>
          <w:lang w:val="fr-FR"/>
        </w:rPr>
        <w:t> </w:t>
      </w:r>
      <w:r w:rsidRPr="002A2EA6">
        <w:rPr>
          <w:lang w:val="fr-FR"/>
        </w:rPr>
        <w:t>l</w:t>
      </w:r>
      <w:r w:rsidR="00CA4DAC">
        <w:rPr>
          <w:lang w:val="fr-FR"/>
        </w:rPr>
        <w:t>’</w:t>
      </w:r>
      <w:r w:rsidRPr="002A2EA6">
        <w:rPr>
          <w:lang w:val="fr-FR"/>
        </w:rPr>
        <w:t>efficacité.</w:t>
      </w:r>
    </w:p>
    <w:p w14:paraId="447CA85B" w14:textId="7EEFBAA0"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La représentante de l</w:t>
      </w:r>
      <w:r w:rsidR="00CA4DAC">
        <w:rPr>
          <w:lang w:val="fr-FR"/>
        </w:rPr>
        <w:t>’</w:t>
      </w:r>
      <w:r w:rsidRPr="002A2EA6">
        <w:rPr>
          <w:lang w:val="fr-FR"/>
        </w:rPr>
        <w:t>OIT a déclaré que l</w:t>
      </w:r>
      <w:r w:rsidR="00CA4DAC">
        <w:rPr>
          <w:lang w:val="fr-FR"/>
        </w:rPr>
        <w:t>’</w:t>
      </w:r>
      <w:r w:rsidRPr="002A2EA6">
        <w:rPr>
          <w:lang w:val="fr-FR"/>
        </w:rPr>
        <w:t>assistance technique fournie par son organisation et ses mandants tripartites ciblait principalement l</w:t>
      </w:r>
      <w:r w:rsidR="00CA4DAC">
        <w:rPr>
          <w:lang w:val="fr-FR"/>
        </w:rPr>
        <w:t>’</w:t>
      </w:r>
      <w:r w:rsidRPr="002A2EA6">
        <w:rPr>
          <w:lang w:val="fr-FR"/>
        </w:rPr>
        <w:t>extraction minière artisanale et à petite échelle d</w:t>
      </w:r>
      <w:r w:rsidR="00CA4DAC">
        <w:rPr>
          <w:lang w:val="fr-FR"/>
        </w:rPr>
        <w:t>’</w:t>
      </w:r>
      <w:r w:rsidRPr="002A2EA6">
        <w:rPr>
          <w:lang w:val="fr-FR"/>
        </w:rPr>
        <w:t>or, dont traitaient l</w:t>
      </w:r>
      <w:r w:rsidR="00CA4DAC">
        <w:rPr>
          <w:lang w:val="fr-FR"/>
        </w:rPr>
        <w:t>’</w:t>
      </w:r>
      <w:r w:rsidRPr="002A2EA6">
        <w:rPr>
          <w:lang w:val="fr-FR"/>
        </w:rPr>
        <w:t>article</w:t>
      </w:r>
      <w:r w:rsidR="00BE79CF" w:rsidRPr="002A2EA6">
        <w:rPr>
          <w:lang w:val="fr-FR"/>
        </w:rPr>
        <w:t> </w:t>
      </w:r>
      <w:r w:rsidRPr="002A2EA6">
        <w:rPr>
          <w:lang w:val="fr-FR"/>
        </w:rPr>
        <w:t>7 et l</w:t>
      </w:r>
      <w:r w:rsidR="00CA4DAC">
        <w:rPr>
          <w:lang w:val="fr-FR"/>
        </w:rPr>
        <w:t>’</w:t>
      </w:r>
      <w:r w:rsidRPr="002A2EA6">
        <w:rPr>
          <w:lang w:val="fr-FR"/>
        </w:rPr>
        <w:t>annexe</w:t>
      </w:r>
      <w:r w:rsidR="00BE79CF" w:rsidRPr="002A2EA6">
        <w:rPr>
          <w:lang w:val="fr-FR"/>
        </w:rPr>
        <w:t> </w:t>
      </w:r>
      <w:r w:rsidRPr="002A2EA6">
        <w:rPr>
          <w:lang w:val="fr-FR"/>
        </w:rPr>
        <w:t>C de la Convention, et que l</w:t>
      </w:r>
      <w:r w:rsidR="00CA4DAC">
        <w:rPr>
          <w:lang w:val="fr-FR"/>
        </w:rPr>
        <w:t>’</w:t>
      </w:r>
      <w:r w:rsidRPr="002A2EA6">
        <w:rPr>
          <w:lang w:val="fr-FR"/>
        </w:rPr>
        <w:t>organisation élargissait la portée de ses initiatives afin d</w:t>
      </w:r>
      <w:r w:rsidR="00CA4DAC">
        <w:rPr>
          <w:lang w:val="fr-FR"/>
        </w:rPr>
        <w:t>’</w:t>
      </w:r>
      <w:r w:rsidRPr="002A2EA6">
        <w:rPr>
          <w:lang w:val="fr-FR"/>
        </w:rPr>
        <w:t>y inclure l</w:t>
      </w:r>
      <w:r w:rsidR="00CA4DAC">
        <w:rPr>
          <w:lang w:val="fr-FR"/>
        </w:rPr>
        <w:t>’</w:t>
      </w:r>
      <w:r w:rsidRPr="002A2EA6">
        <w:rPr>
          <w:lang w:val="fr-FR"/>
        </w:rPr>
        <w:t>exposition au mercure dans le secteur des déchets d</w:t>
      </w:r>
      <w:r w:rsidR="00CA4DAC">
        <w:rPr>
          <w:lang w:val="fr-FR"/>
        </w:rPr>
        <w:t>’</w:t>
      </w:r>
      <w:r w:rsidRPr="002A2EA6">
        <w:rPr>
          <w:lang w:val="fr-FR"/>
        </w:rPr>
        <w:t>équipements électriques et électroniques. Afin d</w:t>
      </w:r>
      <w:r w:rsidR="00CA4DAC">
        <w:rPr>
          <w:lang w:val="fr-FR"/>
        </w:rPr>
        <w:t>’</w:t>
      </w:r>
      <w:r w:rsidRPr="002A2EA6">
        <w:rPr>
          <w:lang w:val="fr-FR"/>
        </w:rPr>
        <w:t>honorer son engagement à protéger les travailleurs contre les</w:t>
      </w:r>
      <w:r w:rsidR="001720DB" w:rsidRPr="002A2EA6">
        <w:rPr>
          <w:lang w:val="fr-FR"/>
        </w:rPr>
        <w:t> </w:t>
      </w:r>
      <w:r w:rsidRPr="002A2EA6">
        <w:rPr>
          <w:lang w:val="fr-FR"/>
        </w:rPr>
        <w:t>expositions dangereuses, y compris au mercure, l</w:t>
      </w:r>
      <w:r w:rsidR="00CA4DAC">
        <w:rPr>
          <w:lang w:val="fr-FR"/>
        </w:rPr>
        <w:t>’</w:t>
      </w:r>
      <w:r w:rsidRPr="002A2EA6">
        <w:rPr>
          <w:lang w:val="fr-FR"/>
        </w:rPr>
        <w:t>OIT avait élaboré un certain nombre d</w:t>
      </w:r>
      <w:r w:rsidR="00CA4DAC">
        <w:rPr>
          <w:lang w:val="fr-FR"/>
        </w:rPr>
        <w:t>’</w:t>
      </w:r>
      <w:r w:rsidRPr="002A2EA6">
        <w:rPr>
          <w:lang w:val="fr-FR"/>
        </w:rPr>
        <w:t xml:space="preserve">instruments internationaux </w:t>
      </w:r>
      <w:r w:rsidR="006769CD" w:rsidRPr="002A2EA6">
        <w:rPr>
          <w:lang w:val="fr-FR"/>
        </w:rPr>
        <w:t>sur le sujet</w:t>
      </w:r>
      <w:r w:rsidRPr="002A2EA6">
        <w:rPr>
          <w:lang w:val="fr-FR"/>
        </w:rPr>
        <w:t xml:space="preserve">, que la représentante a énumérés. Par ailleurs, la liste officielle des maladies professionnelles </w:t>
      </w:r>
      <w:r w:rsidR="009B4B0E" w:rsidRPr="002A2EA6">
        <w:rPr>
          <w:lang w:val="fr-FR"/>
        </w:rPr>
        <w:t xml:space="preserve">dressée par </w:t>
      </w:r>
      <w:r w:rsidRPr="002A2EA6">
        <w:rPr>
          <w:lang w:val="fr-FR"/>
        </w:rPr>
        <w:t>l</w:t>
      </w:r>
      <w:r w:rsidR="00CA4DAC">
        <w:rPr>
          <w:lang w:val="fr-FR"/>
        </w:rPr>
        <w:t>’</w:t>
      </w:r>
      <w:r w:rsidRPr="002A2EA6">
        <w:rPr>
          <w:lang w:val="fr-FR"/>
        </w:rPr>
        <w:t>OIT reconnaissait les maladies causées par l</w:t>
      </w:r>
      <w:r w:rsidR="00CA4DAC">
        <w:rPr>
          <w:lang w:val="fr-FR"/>
        </w:rPr>
        <w:t>’</w:t>
      </w:r>
      <w:r w:rsidRPr="002A2EA6">
        <w:rPr>
          <w:lang w:val="fr-FR"/>
        </w:rPr>
        <w:t>exposition au mercure ou à ses</w:t>
      </w:r>
      <w:r w:rsidR="00BE79CF" w:rsidRPr="002A2EA6">
        <w:rPr>
          <w:lang w:val="fr-FR"/>
        </w:rPr>
        <w:t> </w:t>
      </w:r>
      <w:r w:rsidRPr="002A2EA6">
        <w:rPr>
          <w:lang w:val="fr-FR"/>
        </w:rPr>
        <w:t>composés</w:t>
      </w:r>
      <w:r w:rsidR="009B4B0E" w:rsidRPr="002A2EA6">
        <w:rPr>
          <w:lang w:val="fr-FR"/>
        </w:rPr>
        <w:t xml:space="preserve"> en milieu professionnel</w:t>
      </w:r>
      <w:r w:rsidRPr="002A2EA6">
        <w:rPr>
          <w:lang w:val="fr-FR"/>
        </w:rPr>
        <w:t>. La représentante a également examiné les projets nationaux lancés par l</w:t>
      </w:r>
      <w:r w:rsidR="00CA4DAC">
        <w:rPr>
          <w:lang w:val="fr-FR"/>
        </w:rPr>
        <w:t>’</w:t>
      </w:r>
      <w:r w:rsidRPr="002A2EA6">
        <w:rPr>
          <w:lang w:val="fr-FR"/>
        </w:rPr>
        <w:t>OIT pour remédier à la pénurie d</w:t>
      </w:r>
      <w:r w:rsidR="00CA4DAC">
        <w:rPr>
          <w:lang w:val="fr-FR"/>
        </w:rPr>
        <w:t>’</w:t>
      </w:r>
      <w:r w:rsidRPr="002A2EA6">
        <w:rPr>
          <w:lang w:val="fr-FR"/>
        </w:rPr>
        <w:t xml:space="preserve">emplois décents et améliorer les conditions de travail </w:t>
      </w:r>
      <w:r w:rsidR="002C6A92" w:rsidRPr="002A2EA6">
        <w:rPr>
          <w:lang w:val="fr-FR"/>
        </w:rPr>
        <w:t xml:space="preserve">des </w:t>
      </w:r>
      <w:r w:rsidRPr="002A2EA6">
        <w:rPr>
          <w:lang w:val="fr-FR"/>
        </w:rPr>
        <w:t xml:space="preserve">travailleurs exposés au mercure, y compris le projet Caring Gold Mining au Ghana et aux Philippines, lequel </w:t>
      </w:r>
      <w:r w:rsidR="00251E43" w:rsidRPr="002A2EA6">
        <w:rPr>
          <w:lang w:val="fr-FR"/>
        </w:rPr>
        <w:t xml:space="preserve">promouvait </w:t>
      </w:r>
      <w:r w:rsidRPr="002A2EA6">
        <w:rPr>
          <w:lang w:val="fr-FR"/>
        </w:rPr>
        <w:t xml:space="preserve">activement </w:t>
      </w:r>
      <w:r w:rsidR="00C97B88" w:rsidRPr="002A2EA6">
        <w:rPr>
          <w:lang w:val="fr-FR"/>
        </w:rPr>
        <w:t xml:space="preserve">les </w:t>
      </w:r>
      <w:r w:rsidRPr="002A2EA6">
        <w:rPr>
          <w:lang w:val="fr-FR"/>
        </w:rPr>
        <w:t>méthodes de traitement de l</w:t>
      </w:r>
      <w:r w:rsidR="00CA4DAC">
        <w:rPr>
          <w:lang w:val="fr-FR"/>
        </w:rPr>
        <w:t>’</w:t>
      </w:r>
      <w:r w:rsidRPr="002A2EA6">
        <w:rPr>
          <w:lang w:val="fr-FR"/>
        </w:rPr>
        <w:t>or ne faisant pas appel au mercure pour préserver la santé des mineurs, de leur famille et de communautés entières. Par ailleurs, l</w:t>
      </w:r>
      <w:r w:rsidR="00CA4DAC">
        <w:rPr>
          <w:lang w:val="fr-FR"/>
        </w:rPr>
        <w:t>’</w:t>
      </w:r>
      <w:r w:rsidRPr="002A2EA6">
        <w:rPr>
          <w:lang w:val="fr-FR"/>
        </w:rPr>
        <w:t>OIT avait élaboré des projets sur l</w:t>
      </w:r>
      <w:r w:rsidR="00CA4DAC">
        <w:rPr>
          <w:lang w:val="fr-FR"/>
        </w:rPr>
        <w:t>’</w:t>
      </w:r>
      <w:r w:rsidRPr="002A2EA6">
        <w:rPr>
          <w:lang w:val="fr-FR"/>
        </w:rPr>
        <w:t>exposition au mercure dans le</w:t>
      </w:r>
      <w:r w:rsidR="003F4436" w:rsidRPr="002A2EA6">
        <w:rPr>
          <w:lang w:val="fr-FR"/>
        </w:rPr>
        <w:t> </w:t>
      </w:r>
      <w:r w:rsidRPr="002A2EA6">
        <w:rPr>
          <w:lang w:val="fr-FR"/>
        </w:rPr>
        <w:t>secteur du démantèlement d</w:t>
      </w:r>
      <w:r w:rsidR="00CA4DAC">
        <w:rPr>
          <w:lang w:val="fr-FR"/>
        </w:rPr>
        <w:t>’</w:t>
      </w:r>
      <w:r w:rsidRPr="002A2EA6">
        <w:rPr>
          <w:lang w:val="fr-FR"/>
        </w:rPr>
        <w:t>automobiles et jouait un rôle croissant dans le secteur des déchets d</w:t>
      </w:r>
      <w:r w:rsidR="00CA4DAC">
        <w:rPr>
          <w:lang w:val="fr-FR"/>
        </w:rPr>
        <w:t>’</w:t>
      </w:r>
      <w:r w:rsidRPr="002A2EA6">
        <w:rPr>
          <w:lang w:val="fr-FR"/>
        </w:rPr>
        <w:t>équipements électriques et électroniques, dans lequel elle avait entrepris des recherches de données factuelles relatives au travail décent en vue de contribuer à l</w:t>
      </w:r>
      <w:r w:rsidR="00CA4DAC">
        <w:rPr>
          <w:lang w:val="fr-FR"/>
        </w:rPr>
        <w:t>’</w:t>
      </w:r>
      <w:r w:rsidRPr="002A2EA6">
        <w:rPr>
          <w:lang w:val="fr-FR"/>
        </w:rPr>
        <w:t>élaboration éventuelle d</w:t>
      </w:r>
      <w:r w:rsidR="00CA4DAC">
        <w:rPr>
          <w:lang w:val="fr-FR"/>
        </w:rPr>
        <w:t>’</w:t>
      </w:r>
      <w:r w:rsidRPr="002A2EA6">
        <w:rPr>
          <w:lang w:val="fr-FR"/>
        </w:rPr>
        <w:t>orientations ou d</w:t>
      </w:r>
      <w:r w:rsidR="00CA4DAC">
        <w:rPr>
          <w:lang w:val="fr-FR"/>
        </w:rPr>
        <w:t>’</w:t>
      </w:r>
      <w:r w:rsidRPr="002A2EA6">
        <w:rPr>
          <w:lang w:val="fr-FR"/>
        </w:rPr>
        <w:t>un recueil de directives pratiques pour ce secteur.</w:t>
      </w:r>
    </w:p>
    <w:p w14:paraId="052081F8" w14:textId="6B5F4D9A"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Au cours du débat qui a suivi, tous les représentants qui ont pris la parole, dont certains s</w:t>
      </w:r>
      <w:r w:rsidR="00CA4DAC">
        <w:rPr>
          <w:lang w:val="fr-FR"/>
        </w:rPr>
        <w:t>’</w:t>
      </w:r>
      <w:r w:rsidRPr="002A2EA6">
        <w:rPr>
          <w:lang w:val="fr-FR"/>
        </w:rPr>
        <w:t>exprimaient au nom d</w:t>
      </w:r>
      <w:r w:rsidR="00CA4DAC">
        <w:rPr>
          <w:lang w:val="fr-FR"/>
        </w:rPr>
        <w:t>’</w:t>
      </w:r>
      <w:r w:rsidRPr="002A2EA6">
        <w:rPr>
          <w:lang w:val="fr-FR"/>
        </w:rPr>
        <w:t xml:space="preserve">un groupe de pays, ont </w:t>
      </w:r>
      <w:r w:rsidR="00B62449" w:rsidRPr="002A2EA6">
        <w:rPr>
          <w:lang w:val="fr-FR"/>
        </w:rPr>
        <w:t xml:space="preserve">appuyé et salué </w:t>
      </w:r>
      <w:r w:rsidRPr="002A2EA6">
        <w:rPr>
          <w:lang w:val="fr-FR"/>
        </w:rPr>
        <w:t>la coopération avec les</w:t>
      </w:r>
      <w:r w:rsidR="003F4436" w:rsidRPr="002A2EA6">
        <w:rPr>
          <w:lang w:val="fr-FR"/>
        </w:rPr>
        <w:t> </w:t>
      </w:r>
      <w:r w:rsidRPr="002A2EA6">
        <w:rPr>
          <w:lang w:val="fr-FR"/>
        </w:rPr>
        <w:t>deux</w:t>
      </w:r>
      <w:r w:rsidR="003F4436" w:rsidRPr="002A2EA6">
        <w:rPr>
          <w:lang w:val="fr-FR"/>
        </w:rPr>
        <w:t> </w:t>
      </w:r>
      <w:r w:rsidRPr="002A2EA6">
        <w:rPr>
          <w:lang w:val="fr-FR"/>
        </w:rPr>
        <w:t>organisations. Un certain nombre de représentants ont évoqué des domaines dans lesquels la</w:t>
      </w:r>
      <w:r w:rsidR="003F4436" w:rsidRPr="002A2EA6">
        <w:rPr>
          <w:lang w:val="fr-FR"/>
        </w:rPr>
        <w:t> </w:t>
      </w:r>
      <w:r w:rsidRPr="002A2EA6">
        <w:rPr>
          <w:lang w:val="fr-FR"/>
        </w:rPr>
        <w:t>coopération avec l</w:t>
      </w:r>
      <w:r w:rsidR="00CA4DAC">
        <w:rPr>
          <w:lang w:val="fr-FR"/>
        </w:rPr>
        <w:t>’</w:t>
      </w:r>
      <w:r w:rsidRPr="002A2EA6">
        <w:rPr>
          <w:lang w:val="fr-FR"/>
        </w:rPr>
        <w:t>OIT et l</w:t>
      </w:r>
      <w:r w:rsidR="00CA4DAC">
        <w:rPr>
          <w:lang w:val="fr-FR"/>
        </w:rPr>
        <w:t>’</w:t>
      </w:r>
      <w:r w:rsidRPr="002A2EA6">
        <w:rPr>
          <w:lang w:val="fr-FR"/>
        </w:rPr>
        <w:t>OMS était cruciale, dont ceux du renforcement des institutions et des</w:t>
      </w:r>
      <w:r w:rsidR="003F4436" w:rsidRPr="002A2EA6">
        <w:rPr>
          <w:lang w:val="fr-FR"/>
        </w:rPr>
        <w:t> </w:t>
      </w:r>
      <w:r w:rsidRPr="002A2EA6">
        <w:rPr>
          <w:lang w:val="fr-FR"/>
        </w:rPr>
        <w:t>capacités techniques en matière d</w:t>
      </w:r>
      <w:r w:rsidR="00CA4DAC">
        <w:rPr>
          <w:lang w:val="fr-FR"/>
        </w:rPr>
        <w:t>’</w:t>
      </w:r>
      <w:r w:rsidRPr="002A2EA6">
        <w:rPr>
          <w:lang w:val="fr-FR"/>
        </w:rPr>
        <w:t>utilisation de biomarqueurs de l</w:t>
      </w:r>
      <w:r w:rsidR="00CA4DAC">
        <w:rPr>
          <w:lang w:val="fr-FR"/>
        </w:rPr>
        <w:t>’</w:t>
      </w:r>
      <w:r w:rsidRPr="002A2EA6">
        <w:rPr>
          <w:lang w:val="fr-FR"/>
        </w:rPr>
        <w:t>exposition au mercure</w:t>
      </w:r>
      <w:r w:rsidR="00BE79CF" w:rsidRPr="002A2EA6">
        <w:rPr>
          <w:lang w:val="fr-FR"/>
        </w:rPr>
        <w:t> </w:t>
      </w:r>
      <w:r w:rsidR="631BDA25" w:rsidRPr="002A2EA6">
        <w:rPr>
          <w:lang w:val="fr-FR"/>
        </w:rPr>
        <w:t>;</w:t>
      </w:r>
      <w:r w:rsidRPr="002A2EA6">
        <w:rPr>
          <w:lang w:val="fr-FR"/>
        </w:rPr>
        <w:t xml:space="preserve"> des</w:t>
      </w:r>
      <w:r w:rsidR="003F4436" w:rsidRPr="002A2EA6">
        <w:rPr>
          <w:lang w:val="fr-FR"/>
        </w:rPr>
        <w:t> </w:t>
      </w:r>
      <w:r w:rsidRPr="002A2EA6">
        <w:rPr>
          <w:lang w:val="fr-FR"/>
        </w:rPr>
        <w:t>soins dentaires</w:t>
      </w:r>
      <w:r w:rsidR="00BE79CF" w:rsidRPr="002A2EA6">
        <w:rPr>
          <w:lang w:val="fr-FR"/>
        </w:rPr>
        <w:t> </w:t>
      </w:r>
      <w:r w:rsidR="631BDA25" w:rsidRPr="002A2EA6">
        <w:rPr>
          <w:lang w:val="fr-FR"/>
        </w:rPr>
        <w:t>;</w:t>
      </w:r>
      <w:r w:rsidRPr="002A2EA6">
        <w:rPr>
          <w:lang w:val="fr-FR"/>
        </w:rPr>
        <w:t xml:space="preserve"> du</w:t>
      </w:r>
      <w:r w:rsidR="00BE79CF" w:rsidRPr="002A2EA6">
        <w:rPr>
          <w:lang w:val="fr-FR"/>
        </w:rPr>
        <w:t> </w:t>
      </w:r>
      <w:r w:rsidRPr="002A2EA6">
        <w:rPr>
          <w:lang w:val="fr-FR"/>
        </w:rPr>
        <w:t>renforcement des capacités des professionnels de la santé s</w:t>
      </w:r>
      <w:r w:rsidR="00CA4DAC">
        <w:rPr>
          <w:lang w:val="fr-FR"/>
        </w:rPr>
        <w:t>’</w:t>
      </w:r>
      <w:r w:rsidRPr="002A2EA6">
        <w:rPr>
          <w:lang w:val="fr-FR"/>
        </w:rPr>
        <w:t>occupant de groupes vulnérables, y compris des populations autochtones exposées au mercure par le biais, entre autres, de leur alimentation</w:t>
      </w:r>
      <w:r w:rsidR="00BE79CF" w:rsidRPr="002A2EA6">
        <w:rPr>
          <w:lang w:val="fr-FR"/>
        </w:rPr>
        <w:t> </w:t>
      </w:r>
      <w:r w:rsidR="631BDA25" w:rsidRPr="002A2EA6">
        <w:rPr>
          <w:lang w:val="fr-FR"/>
        </w:rPr>
        <w:t>;</w:t>
      </w:r>
      <w:r w:rsidRPr="002A2EA6">
        <w:rPr>
          <w:lang w:val="fr-FR"/>
        </w:rPr>
        <w:t xml:space="preserve"> des incidences du commerce illicite de mercure et composés du mercure</w:t>
      </w:r>
      <w:r w:rsidR="00F13E88" w:rsidRPr="002A2EA6">
        <w:rPr>
          <w:lang w:val="fr-FR"/>
        </w:rPr>
        <w:t xml:space="preserve"> sur la santé</w:t>
      </w:r>
      <w:r w:rsidRPr="002A2EA6">
        <w:rPr>
          <w:lang w:val="fr-FR"/>
        </w:rPr>
        <w:t>. Un représentant a souligné qu</w:t>
      </w:r>
      <w:r w:rsidR="00CA4DAC">
        <w:rPr>
          <w:lang w:val="fr-FR"/>
        </w:rPr>
        <w:t>’</w:t>
      </w:r>
      <w:r w:rsidRPr="002A2EA6">
        <w:rPr>
          <w:lang w:val="fr-FR"/>
        </w:rPr>
        <w:t>il importait de renforcer la coopération dans le domaine du</w:t>
      </w:r>
      <w:r w:rsidR="003F4436" w:rsidRPr="002A2EA6">
        <w:rPr>
          <w:lang w:val="fr-FR"/>
        </w:rPr>
        <w:t> </w:t>
      </w:r>
      <w:r w:rsidRPr="002A2EA6">
        <w:rPr>
          <w:lang w:val="fr-FR"/>
        </w:rPr>
        <w:t>contrôle et de la surveillance de la santé des populations exposées au mercure.</w:t>
      </w:r>
    </w:p>
    <w:p w14:paraId="4B0169A9" w14:textId="4CE75EB6"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Un certain nombre de représentants, dont certains s</w:t>
      </w:r>
      <w:r w:rsidR="00CA4DAC">
        <w:rPr>
          <w:lang w:val="fr-FR"/>
        </w:rPr>
        <w:t>’</w:t>
      </w:r>
      <w:r w:rsidRPr="002A2EA6">
        <w:rPr>
          <w:lang w:val="fr-FR"/>
        </w:rPr>
        <w:t>exprimaient au nom d</w:t>
      </w:r>
      <w:r w:rsidR="00CA4DAC">
        <w:rPr>
          <w:lang w:val="fr-FR"/>
        </w:rPr>
        <w:t>’</w:t>
      </w:r>
      <w:r w:rsidRPr="002A2EA6">
        <w:rPr>
          <w:lang w:val="fr-FR"/>
        </w:rPr>
        <w:t>un groupe de pays, ont évoqué leurs activités nationales de coopération avec des organisations internationales, y compris l</w:t>
      </w:r>
      <w:r w:rsidR="00CA4DAC">
        <w:rPr>
          <w:lang w:val="fr-FR"/>
        </w:rPr>
        <w:t>’</w:t>
      </w:r>
      <w:r w:rsidRPr="002A2EA6">
        <w:rPr>
          <w:lang w:val="fr-FR"/>
        </w:rPr>
        <w:t>OIT et l</w:t>
      </w:r>
      <w:r w:rsidR="00CA4DAC">
        <w:rPr>
          <w:lang w:val="fr-FR"/>
        </w:rPr>
        <w:t>’</w:t>
      </w:r>
      <w:r w:rsidRPr="002A2EA6">
        <w:rPr>
          <w:lang w:val="fr-FR"/>
        </w:rPr>
        <w:t>OMS, et plusieurs représentantes ont demandé qu</w:t>
      </w:r>
      <w:r w:rsidR="00CA4DAC">
        <w:rPr>
          <w:lang w:val="fr-FR"/>
        </w:rPr>
        <w:t>’</w:t>
      </w:r>
      <w:r w:rsidRPr="002A2EA6">
        <w:rPr>
          <w:lang w:val="fr-FR"/>
        </w:rPr>
        <w:t>il soit fait usage des synergies existant entre ces organisations afin d</w:t>
      </w:r>
      <w:r w:rsidR="00CA4DAC">
        <w:rPr>
          <w:lang w:val="fr-FR"/>
        </w:rPr>
        <w:t>’</w:t>
      </w:r>
      <w:r w:rsidRPr="002A2EA6">
        <w:rPr>
          <w:lang w:val="fr-FR"/>
        </w:rPr>
        <w:t>éviter les chevauchements et de favoriser la réalisation des objectifs de développement relatifs aux produits chimiques et aux déchets. Une représentante a salué les activités relatives au mercure menées par ces organisations dans les petits États insulaires en développement, tandis qu</w:t>
      </w:r>
      <w:r w:rsidR="00CA4DAC">
        <w:rPr>
          <w:lang w:val="fr-FR"/>
        </w:rPr>
        <w:t>’</w:t>
      </w:r>
      <w:r w:rsidRPr="002A2EA6">
        <w:rPr>
          <w:lang w:val="fr-FR"/>
        </w:rPr>
        <w:t>une autre a fait observer qu</w:t>
      </w:r>
      <w:r w:rsidR="00CA4DAC">
        <w:rPr>
          <w:lang w:val="fr-FR"/>
        </w:rPr>
        <w:t>’</w:t>
      </w:r>
      <w:r w:rsidRPr="002A2EA6">
        <w:rPr>
          <w:lang w:val="fr-FR"/>
        </w:rPr>
        <w:t>il était parfois difficile d</w:t>
      </w:r>
      <w:r w:rsidR="00CA4DAC">
        <w:rPr>
          <w:lang w:val="fr-FR"/>
        </w:rPr>
        <w:t>’</w:t>
      </w:r>
      <w:r w:rsidRPr="002A2EA6">
        <w:rPr>
          <w:lang w:val="fr-FR"/>
        </w:rPr>
        <w:t>appliquer sur le terrain les stratégies de l</w:t>
      </w:r>
      <w:r w:rsidR="00CA4DAC">
        <w:rPr>
          <w:lang w:val="fr-FR"/>
        </w:rPr>
        <w:t>’</w:t>
      </w:r>
      <w:r w:rsidRPr="002A2EA6">
        <w:rPr>
          <w:lang w:val="fr-FR"/>
        </w:rPr>
        <w:t>OMS concernant, entre autres, les travaux sur les incidences pathologiques du mercure, et s</w:t>
      </w:r>
      <w:r w:rsidR="00CA4DAC">
        <w:rPr>
          <w:lang w:val="fr-FR"/>
        </w:rPr>
        <w:t>’</w:t>
      </w:r>
      <w:r w:rsidRPr="002A2EA6">
        <w:rPr>
          <w:lang w:val="fr-FR"/>
        </w:rPr>
        <w:t>est demandé s</w:t>
      </w:r>
      <w:r w:rsidR="00CA4DAC">
        <w:rPr>
          <w:lang w:val="fr-FR"/>
        </w:rPr>
        <w:t>’</w:t>
      </w:r>
      <w:r w:rsidRPr="002A2EA6">
        <w:rPr>
          <w:lang w:val="fr-FR"/>
        </w:rPr>
        <w:t>il ne serait pas possible d</w:t>
      </w:r>
      <w:r w:rsidR="00CA4DAC">
        <w:rPr>
          <w:lang w:val="fr-FR"/>
        </w:rPr>
        <w:t>’</w:t>
      </w:r>
      <w:r w:rsidRPr="002A2EA6">
        <w:rPr>
          <w:lang w:val="fr-FR"/>
        </w:rPr>
        <w:t>améliorer ces stratégies et d</w:t>
      </w:r>
      <w:r w:rsidR="00CA4DAC">
        <w:rPr>
          <w:lang w:val="fr-FR"/>
        </w:rPr>
        <w:t>’</w:t>
      </w:r>
      <w:r w:rsidRPr="002A2EA6">
        <w:rPr>
          <w:lang w:val="fr-FR"/>
        </w:rPr>
        <w:t xml:space="preserve">allouer </w:t>
      </w:r>
      <w:r w:rsidR="00145A7E" w:rsidRPr="002A2EA6">
        <w:rPr>
          <w:lang w:val="fr-FR"/>
        </w:rPr>
        <w:t xml:space="preserve">davantage </w:t>
      </w:r>
      <w:r w:rsidRPr="002A2EA6">
        <w:rPr>
          <w:lang w:val="fr-FR"/>
        </w:rPr>
        <w:t>de ressources à ces travaux. Un représentant a demandé à l</w:t>
      </w:r>
      <w:r w:rsidR="00CA4DAC">
        <w:rPr>
          <w:lang w:val="fr-FR"/>
        </w:rPr>
        <w:t>’</w:t>
      </w:r>
      <w:r w:rsidRPr="002A2EA6">
        <w:rPr>
          <w:lang w:val="fr-FR"/>
        </w:rPr>
        <w:t>OMS d</w:t>
      </w:r>
      <w:r w:rsidR="00CA4DAC">
        <w:rPr>
          <w:lang w:val="fr-FR"/>
        </w:rPr>
        <w:t>’</w:t>
      </w:r>
      <w:r w:rsidRPr="002A2EA6">
        <w:rPr>
          <w:lang w:val="fr-FR"/>
        </w:rPr>
        <w:t>organiser, dans les diverses régions couvertes par l</w:t>
      </w:r>
      <w:r w:rsidR="00CA4DAC">
        <w:rPr>
          <w:lang w:val="fr-FR"/>
        </w:rPr>
        <w:t>’</w:t>
      </w:r>
      <w:r w:rsidRPr="002A2EA6">
        <w:rPr>
          <w:lang w:val="fr-FR"/>
        </w:rPr>
        <w:t>organisation, des ateliers de formation technique sur la gestion du mercure, afin de renforcer les</w:t>
      </w:r>
      <w:r w:rsidR="003F4436" w:rsidRPr="002A2EA6">
        <w:rPr>
          <w:lang w:val="fr-FR"/>
        </w:rPr>
        <w:t> </w:t>
      </w:r>
      <w:r w:rsidRPr="002A2EA6">
        <w:rPr>
          <w:lang w:val="fr-FR"/>
        </w:rPr>
        <w:t>capacités dans ces régions et de faciliter le transfert de connaissances techniques entre leurs</w:t>
      </w:r>
      <w:r w:rsidR="00C166F9">
        <w:rPr>
          <w:lang w:val="fr-FR"/>
        </w:rPr>
        <w:t> </w:t>
      </w:r>
      <w:r w:rsidRPr="002A2EA6">
        <w:rPr>
          <w:lang w:val="fr-FR"/>
        </w:rPr>
        <w:t>États.</w:t>
      </w:r>
    </w:p>
    <w:p w14:paraId="08DC6913" w14:textId="795BC1E3"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Les représentants de deux organisations non gouvernementales ont pris la parole pour souligner l</w:t>
      </w:r>
      <w:r w:rsidR="00CA4DAC">
        <w:rPr>
          <w:lang w:val="fr-FR"/>
        </w:rPr>
        <w:t>’</w:t>
      </w:r>
      <w:r w:rsidRPr="002A2EA6">
        <w:rPr>
          <w:lang w:val="fr-FR"/>
        </w:rPr>
        <w:t>importance de la coopération internationale aux yeux de leurs mandants, y</w:t>
      </w:r>
      <w:r w:rsidR="00BE79CF" w:rsidRPr="002A2EA6">
        <w:rPr>
          <w:lang w:val="fr-FR"/>
        </w:rPr>
        <w:t> </w:t>
      </w:r>
      <w:r w:rsidRPr="002A2EA6">
        <w:rPr>
          <w:lang w:val="fr-FR"/>
        </w:rPr>
        <w:t xml:space="preserve">compris </w:t>
      </w:r>
      <w:r w:rsidRPr="002A2EA6">
        <w:rPr>
          <w:lang w:val="fr-FR"/>
        </w:rPr>
        <w:lastRenderedPageBreak/>
        <w:t>s</w:t>
      </w:r>
      <w:r w:rsidR="00CA4DAC">
        <w:rPr>
          <w:lang w:val="fr-FR"/>
        </w:rPr>
        <w:t>’</w:t>
      </w:r>
      <w:r w:rsidRPr="002A2EA6">
        <w:rPr>
          <w:lang w:val="fr-FR"/>
        </w:rPr>
        <w:t>agissant de</w:t>
      </w:r>
      <w:r w:rsidR="00502555" w:rsidRPr="002A2EA6">
        <w:rPr>
          <w:lang w:val="fr-FR"/>
        </w:rPr>
        <w:t>s</w:t>
      </w:r>
      <w:r w:rsidR="003F4436" w:rsidRPr="002A2EA6">
        <w:rPr>
          <w:lang w:val="fr-FR"/>
        </w:rPr>
        <w:t> </w:t>
      </w:r>
      <w:r w:rsidR="00502555" w:rsidRPr="002A2EA6">
        <w:rPr>
          <w:lang w:val="fr-FR"/>
        </w:rPr>
        <w:t xml:space="preserve">hauts niveaux de </w:t>
      </w:r>
      <w:r w:rsidRPr="002A2EA6">
        <w:rPr>
          <w:lang w:val="fr-FR"/>
        </w:rPr>
        <w:t xml:space="preserve">mercure </w:t>
      </w:r>
      <w:r w:rsidR="00FF480D" w:rsidRPr="002A2EA6">
        <w:rPr>
          <w:lang w:val="fr-FR"/>
        </w:rPr>
        <w:t xml:space="preserve">auxquels sont exposées </w:t>
      </w:r>
      <w:r w:rsidRPr="002A2EA6">
        <w:rPr>
          <w:lang w:val="fr-FR"/>
        </w:rPr>
        <w:t>les populations autochtones dans le</w:t>
      </w:r>
      <w:r w:rsidR="00C166F9">
        <w:rPr>
          <w:lang w:val="fr-FR"/>
        </w:rPr>
        <w:t> </w:t>
      </w:r>
      <w:r w:rsidRPr="002A2EA6">
        <w:rPr>
          <w:lang w:val="fr-FR"/>
        </w:rPr>
        <w:t>monde</w:t>
      </w:r>
      <w:r w:rsidR="00BE79CF" w:rsidRPr="002A2EA6">
        <w:rPr>
          <w:lang w:val="fr-FR"/>
        </w:rPr>
        <w:t> </w:t>
      </w:r>
      <w:r w:rsidR="631BDA25" w:rsidRPr="002A2EA6">
        <w:rPr>
          <w:lang w:val="fr-FR"/>
        </w:rPr>
        <w:t>;</w:t>
      </w:r>
      <w:r w:rsidRPr="002A2EA6">
        <w:rPr>
          <w:lang w:val="fr-FR"/>
        </w:rPr>
        <w:t xml:space="preserve"> de</w:t>
      </w:r>
      <w:r w:rsidR="003F4436" w:rsidRPr="002A2EA6">
        <w:rPr>
          <w:lang w:val="fr-FR"/>
        </w:rPr>
        <w:t> </w:t>
      </w:r>
      <w:r w:rsidRPr="002A2EA6">
        <w:rPr>
          <w:lang w:val="fr-FR"/>
        </w:rPr>
        <w:t>la sensibilisation du public aux risques sanitaires posés par le mercure</w:t>
      </w:r>
      <w:r w:rsidR="00BE79CF" w:rsidRPr="002A2EA6">
        <w:rPr>
          <w:lang w:val="fr-FR"/>
        </w:rPr>
        <w:t> </w:t>
      </w:r>
      <w:r w:rsidR="631BDA25" w:rsidRPr="002A2EA6">
        <w:rPr>
          <w:lang w:val="fr-FR"/>
        </w:rPr>
        <w:t>;</w:t>
      </w:r>
      <w:r w:rsidRPr="002A2EA6">
        <w:rPr>
          <w:lang w:val="fr-FR"/>
        </w:rPr>
        <w:t xml:space="preserve"> de la </w:t>
      </w:r>
      <w:r w:rsidR="00FF480D" w:rsidRPr="002A2EA6">
        <w:rPr>
          <w:lang w:val="fr-FR"/>
        </w:rPr>
        <w:t xml:space="preserve">prestation </w:t>
      </w:r>
      <w:r w:rsidRPr="002A2EA6">
        <w:rPr>
          <w:lang w:val="fr-FR"/>
        </w:rPr>
        <w:t>d</w:t>
      </w:r>
      <w:r w:rsidR="00CA4DAC">
        <w:rPr>
          <w:lang w:val="fr-FR"/>
        </w:rPr>
        <w:t>’</w:t>
      </w:r>
      <w:r w:rsidRPr="002A2EA6">
        <w:rPr>
          <w:lang w:val="fr-FR"/>
        </w:rPr>
        <w:t>une</w:t>
      </w:r>
      <w:r w:rsidR="003F4436" w:rsidRPr="002A2EA6">
        <w:rPr>
          <w:lang w:val="fr-FR"/>
        </w:rPr>
        <w:t> </w:t>
      </w:r>
      <w:r w:rsidRPr="002A2EA6">
        <w:rPr>
          <w:lang w:val="fr-FR"/>
        </w:rPr>
        <w:t>assistance technique dans des domaines tels que l</w:t>
      </w:r>
      <w:r w:rsidR="00CA4DAC">
        <w:rPr>
          <w:lang w:val="fr-FR"/>
        </w:rPr>
        <w:t>’</w:t>
      </w:r>
      <w:r w:rsidRPr="002A2EA6">
        <w:rPr>
          <w:lang w:val="fr-FR"/>
        </w:rPr>
        <w:t>analyse des cheveux</w:t>
      </w:r>
      <w:r w:rsidR="00BE79CF" w:rsidRPr="002A2EA6">
        <w:rPr>
          <w:lang w:val="fr-FR"/>
        </w:rPr>
        <w:t> </w:t>
      </w:r>
      <w:r w:rsidR="631BDA25" w:rsidRPr="002A2EA6">
        <w:rPr>
          <w:lang w:val="fr-FR"/>
        </w:rPr>
        <w:t>;</w:t>
      </w:r>
      <w:r w:rsidRPr="002A2EA6">
        <w:rPr>
          <w:lang w:val="fr-FR"/>
        </w:rPr>
        <w:t xml:space="preserve"> de l</w:t>
      </w:r>
      <w:r w:rsidR="00CA4DAC">
        <w:rPr>
          <w:lang w:val="fr-FR"/>
        </w:rPr>
        <w:t>’</w:t>
      </w:r>
      <w:r w:rsidRPr="002A2EA6">
        <w:rPr>
          <w:lang w:val="fr-FR"/>
        </w:rPr>
        <w:t>organisation d</w:t>
      </w:r>
      <w:r w:rsidR="00CA4DAC">
        <w:rPr>
          <w:lang w:val="fr-FR"/>
        </w:rPr>
        <w:t>’</w:t>
      </w:r>
      <w:r w:rsidRPr="002A2EA6">
        <w:rPr>
          <w:lang w:val="fr-FR"/>
        </w:rPr>
        <w:t>activités de renforcement des capacités et de projets concernant les sites contaminés</w:t>
      </w:r>
      <w:r w:rsidR="00BE79CF" w:rsidRPr="002A2EA6">
        <w:rPr>
          <w:lang w:val="fr-FR"/>
        </w:rPr>
        <w:t> </w:t>
      </w:r>
      <w:r w:rsidR="631BDA25" w:rsidRPr="002A2EA6">
        <w:rPr>
          <w:lang w:val="fr-FR"/>
        </w:rPr>
        <w:t>;</w:t>
      </w:r>
      <w:r w:rsidRPr="002A2EA6">
        <w:rPr>
          <w:lang w:val="fr-FR"/>
        </w:rPr>
        <w:t xml:space="preserve"> de</w:t>
      </w:r>
      <w:r w:rsidR="003F4436" w:rsidRPr="002A2EA6">
        <w:rPr>
          <w:lang w:val="fr-FR"/>
        </w:rPr>
        <w:t> </w:t>
      </w:r>
      <w:r w:rsidRPr="002A2EA6">
        <w:rPr>
          <w:lang w:val="fr-FR"/>
        </w:rPr>
        <w:t>l</w:t>
      </w:r>
      <w:r w:rsidR="00CA4DAC">
        <w:rPr>
          <w:lang w:val="fr-FR"/>
        </w:rPr>
        <w:t>’</w:t>
      </w:r>
      <w:r w:rsidRPr="002A2EA6">
        <w:rPr>
          <w:lang w:val="fr-FR"/>
        </w:rPr>
        <w:t>application des mesures de lutte contre la contrebande et le commerce illicite du mercure.</w:t>
      </w:r>
    </w:p>
    <w:p w14:paraId="662505DD" w14:textId="470B7AD0" w:rsidR="2D75C93E" w:rsidRPr="002A2EA6" w:rsidRDefault="2D75C93E" w:rsidP="00A056A2">
      <w:pPr>
        <w:pStyle w:val="Normalnumber"/>
        <w:numPr>
          <w:ilvl w:val="0"/>
          <w:numId w:val="42"/>
        </w:numPr>
        <w:tabs>
          <w:tab w:val="clear" w:pos="1814"/>
          <w:tab w:val="left" w:pos="1843"/>
          <w:tab w:val="left" w:pos="1985"/>
        </w:tabs>
        <w:ind w:left="1288" w:hanging="28"/>
        <w:rPr>
          <w:lang w:val="fr-FR"/>
        </w:rPr>
      </w:pPr>
      <w:r w:rsidRPr="002A2EA6">
        <w:rPr>
          <w:lang w:val="fr-FR"/>
        </w:rPr>
        <w:t>Le représentant de l</w:t>
      </w:r>
      <w:r w:rsidR="00CA4DAC">
        <w:rPr>
          <w:lang w:val="fr-FR"/>
        </w:rPr>
        <w:t>’</w:t>
      </w:r>
      <w:r w:rsidRPr="002A2EA6">
        <w:rPr>
          <w:lang w:val="fr-FR"/>
        </w:rPr>
        <w:t>Union européenne et de ses États membres a présenté, également au nom du Ghana, du Mali, du Nigéria, de la Norvège, de la Thaïlande et de l</w:t>
      </w:r>
      <w:r w:rsidR="00CA4DAC">
        <w:rPr>
          <w:lang w:val="fr-FR"/>
        </w:rPr>
        <w:t>’</w:t>
      </w:r>
      <w:r w:rsidRPr="002A2EA6">
        <w:rPr>
          <w:lang w:val="fr-FR"/>
        </w:rPr>
        <w:t xml:space="preserve">Uruguay, un document de séance dans lequel figurait un projet de décision </w:t>
      </w:r>
      <w:r w:rsidR="002546C2" w:rsidRPr="002A2EA6">
        <w:rPr>
          <w:lang w:val="fr-FR"/>
        </w:rPr>
        <w:t xml:space="preserve">invitant </w:t>
      </w:r>
      <w:r w:rsidRPr="002A2EA6">
        <w:rPr>
          <w:lang w:val="fr-FR"/>
        </w:rPr>
        <w:t>les Parties et les autre</w:t>
      </w:r>
      <w:r w:rsidR="002546C2" w:rsidRPr="002A2EA6">
        <w:rPr>
          <w:lang w:val="fr-FR"/>
        </w:rPr>
        <w:t>s</w:t>
      </w:r>
      <w:r w:rsidRPr="002A2EA6">
        <w:rPr>
          <w:lang w:val="fr-FR"/>
        </w:rPr>
        <w:t xml:space="preserve"> parties prenantes à intensifier, en leur accordant la priorité, les efforts menés aux fins de la gestion rationnelle des</w:t>
      </w:r>
      <w:r w:rsidR="003F4436" w:rsidRPr="002A2EA6">
        <w:rPr>
          <w:lang w:val="fr-FR"/>
        </w:rPr>
        <w:t> </w:t>
      </w:r>
      <w:r w:rsidRPr="002A2EA6">
        <w:rPr>
          <w:lang w:val="fr-FR"/>
        </w:rPr>
        <w:t>produits chimiques et des déchets en vue d</w:t>
      </w:r>
      <w:r w:rsidR="00CA4DAC">
        <w:rPr>
          <w:lang w:val="fr-FR"/>
        </w:rPr>
        <w:t>’</w:t>
      </w:r>
      <w:r w:rsidRPr="002A2EA6">
        <w:rPr>
          <w:lang w:val="fr-FR"/>
        </w:rPr>
        <w:t>atteindre d</w:t>
      </w:r>
      <w:r w:rsidR="00CA4DAC">
        <w:rPr>
          <w:lang w:val="fr-FR"/>
        </w:rPr>
        <w:t>’</w:t>
      </w:r>
      <w:r w:rsidRPr="002A2EA6">
        <w:rPr>
          <w:lang w:val="fr-FR"/>
        </w:rPr>
        <w:t>ici à 2020 la cible</w:t>
      </w:r>
      <w:r w:rsidR="00BE79CF" w:rsidRPr="002A2EA6">
        <w:rPr>
          <w:lang w:val="fr-FR"/>
        </w:rPr>
        <w:t> </w:t>
      </w:r>
      <w:r w:rsidRPr="002A2EA6">
        <w:rPr>
          <w:lang w:val="fr-FR"/>
        </w:rPr>
        <w:t>12.4 du Programme de développement durable à l</w:t>
      </w:r>
      <w:r w:rsidR="00CA4DAC">
        <w:rPr>
          <w:lang w:val="fr-FR"/>
        </w:rPr>
        <w:t>’</w:t>
      </w:r>
      <w:r w:rsidRPr="002A2EA6">
        <w:rPr>
          <w:lang w:val="fr-FR"/>
        </w:rPr>
        <w:t>horizon</w:t>
      </w:r>
      <w:r w:rsidR="00BE79CF" w:rsidRPr="002A2EA6">
        <w:rPr>
          <w:lang w:val="fr-FR"/>
        </w:rPr>
        <w:t> </w:t>
      </w:r>
      <w:r w:rsidRPr="002A2EA6">
        <w:rPr>
          <w:lang w:val="fr-FR"/>
        </w:rPr>
        <w:t>2030, et visant à élargir et à renforcer la coopération internationale avec le secrétariat de l</w:t>
      </w:r>
      <w:r w:rsidR="00CA4DAC">
        <w:rPr>
          <w:lang w:val="fr-FR"/>
        </w:rPr>
        <w:t>’</w:t>
      </w:r>
      <w:r w:rsidRPr="002A2EA6">
        <w:rPr>
          <w:lang w:val="fr-FR"/>
        </w:rPr>
        <w:t>Approche stratégique de la gestion internationale des produits chimiques et d</w:t>
      </w:r>
      <w:r w:rsidR="00CA4DAC">
        <w:rPr>
          <w:lang w:val="fr-FR"/>
        </w:rPr>
        <w:t>’</w:t>
      </w:r>
      <w:r w:rsidRPr="002A2EA6">
        <w:rPr>
          <w:lang w:val="fr-FR"/>
        </w:rPr>
        <w:t>autres organisations internationales, y</w:t>
      </w:r>
      <w:r w:rsidR="00BE79CF" w:rsidRPr="002A2EA6">
        <w:rPr>
          <w:lang w:val="fr-FR"/>
        </w:rPr>
        <w:t> </w:t>
      </w:r>
      <w:r w:rsidRPr="002A2EA6">
        <w:rPr>
          <w:lang w:val="fr-FR"/>
        </w:rPr>
        <w:t>compris le PNUE, l</w:t>
      </w:r>
      <w:r w:rsidR="00CA4DAC">
        <w:rPr>
          <w:lang w:val="fr-FR"/>
        </w:rPr>
        <w:t>’</w:t>
      </w:r>
      <w:r w:rsidRPr="002A2EA6">
        <w:rPr>
          <w:lang w:val="fr-FR"/>
        </w:rPr>
        <w:t>OMS et l</w:t>
      </w:r>
      <w:r w:rsidR="00CA4DAC">
        <w:rPr>
          <w:lang w:val="fr-FR"/>
        </w:rPr>
        <w:t>’</w:t>
      </w:r>
      <w:r w:rsidRPr="002A2EA6">
        <w:rPr>
          <w:lang w:val="fr-FR"/>
        </w:rPr>
        <w:t>OIT</w:t>
      </w:r>
      <w:r w:rsidR="573C9099" w:rsidRPr="002A2EA6">
        <w:rPr>
          <w:lang w:val="fr-FR"/>
        </w:rPr>
        <w:t>.</w:t>
      </w:r>
    </w:p>
    <w:p w14:paraId="37095274" w14:textId="34035B08" w:rsidR="573C9099" w:rsidRPr="002A2EA6" w:rsidRDefault="573C9099" w:rsidP="00A056A2">
      <w:pPr>
        <w:pStyle w:val="Normalnumber"/>
        <w:numPr>
          <w:ilvl w:val="0"/>
          <w:numId w:val="42"/>
        </w:numPr>
        <w:tabs>
          <w:tab w:val="clear" w:pos="1814"/>
          <w:tab w:val="left" w:pos="1843"/>
          <w:tab w:val="left" w:pos="1985"/>
        </w:tabs>
        <w:ind w:left="1288" w:hanging="28"/>
        <w:rPr>
          <w:lang w:val="fr-FR"/>
        </w:rPr>
      </w:pPr>
      <w:r w:rsidRPr="002A2EA6">
        <w:rPr>
          <w:lang w:val="fr-FR"/>
        </w:rPr>
        <w:t xml:space="preserve">Plusieurs représentants </w:t>
      </w:r>
      <w:r w:rsidR="00C47B7A" w:rsidRPr="002A2EA6">
        <w:rPr>
          <w:lang w:val="fr-FR"/>
        </w:rPr>
        <w:t xml:space="preserve">se sont dits favorables </w:t>
      </w:r>
      <w:r w:rsidRPr="002A2EA6">
        <w:rPr>
          <w:lang w:val="fr-FR"/>
        </w:rPr>
        <w:t>à la proposition. Un certain nombre ont formulé d</w:t>
      </w:r>
      <w:r w:rsidR="00CA4DAC">
        <w:rPr>
          <w:lang w:val="fr-FR"/>
        </w:rPr>
        <w:t>’</w:t>
      </w:r>
      <w:r w:rsidR="00343572" w:rsidRPr="002A2EA6">
        <w:rPr>
          <w:lang w:val="fr-FR"/>
        </w:rPr>
        <w:t xml:space="preserve">autres </w:t>
      </w:r>
      <w:r w:rsidRPr="002A2EA6">
        <w:rPr>
          <w:lang w:val="fr-FR"/>
        </w:rPr>
        <w:t>suggestions portant non seulement sur l</w:t>
      </w:r>
      <w:r w:rsidR="00CA4DAC">
        <w:rPr>
          <w:lang w:val="fr-FR"/>
        </w:rPr>
        <w:t>’</w:t>
      </w:r>
      <w:r w:rsidRPr="002A2EA6">
        <w:rPr>
          <w:lang w:val="fr-FR"/>
        </w:rPr>
        <w:t>assistance technique et le renforcement des capacités, mais aussi sur le financement des projets, afin que les Parties disposent de ressources suffisantes pour assurer une mise en œuvre efficace et obtenir des résultats mesurables, et sur l</w:t>
      </w:r>
      <w:r w:rsidR="00CA4DAC">
        <w:rPr>
          <w:lang w:val="fr-FR"/>
        </w:rPr>
        <w:t>’</w:t>
      </w:r>
      <w:r w:rsidRPr="002A2EA6">
        <w:rPr>
          <w:lang w:val="fr-FR"/>
        </w:rPr>
        <w:t>inclusion d</w:t>
      </w:r>
      <w:r w:rsidR="00CA4DAC">
        <w:rPr>
          <w:lang w:val="fr-FR"/>
        </w:rPr>
        <w:t>’</w:t>
      </w:r>
      <w:r w:rsidRPr="002A2EA6">
        <w:rPr>
          <w:lang w:val="fr-FR"/>
        </w:rPr>
        <w:t>activités de transfert des connaissances, d</w:t>
      </w:r>
      <w:r w:rsidR="00CA4DAC">
        <w:rPr>
          <w:lang w:val="fr-FR"/>
        </w:rPr>
        <w:t>’</w:t>
      </w:r>
      <w:r w:rsidRPr="002A2EA6">
        <w:rPr>
          <w:lang w:val="fr-FR"/>
        </w:rPr>
        <w:t>assistance technique et de renforcement des capacités. Une</w:t>
      </w:r>
      <w:r w:rsidR="003F4436" w:rsidRPr="002A2EA6">
        <w:rPr>
          <w:lang w:val="fr-FR"/>
        </w:rPr>
        <w:t> </w:t>
      </w:r>
      <w:r w:rsidRPr="002A2EA6">
        <w:rPr>
          <w:lang w:val="fr-FR"/>
        </w:rPr>
        <w:t>représentante a ré</w:t>
      </w:r>
      <w:r w:rsidR="004C0948" w:rsidRPr="002A2EA6">
        <w:rPr>
          <w:lang w:val="fr-FR"/>
        </w:rPr>
        <w:t>affirmé qu</w:t>
      </w:r>
      <w:r w:rsidR="00CA4DAC">
        <w:rPr>
          <w:lang w:val="fr-FR"/>
        </w:rPr>
        <w:t>’</w:t>
      </w:r>
      <w:r w:rsidR="004C0948" w:rsidRPr="002A2EA6">
        <w:rPr>
          <w:lang w:val="fr-FR"/>
        </w:rPr>
        <w:t xml:space="preserve">il fallait </w:t>
      </w:r>
      <w:r w:rsidR="003F5ED8" w:rsidRPr="002A2EA6">
        <w:rPr>
          <w:lang w:val="fr-FR"/>
        </w:rPr>
        <w:t xml:space="preserve">officialiser </w:t>
      </w:r>
      <w:r w:rsidRPr="002A2EA6">
        <w:rPr>
          <w:lang w:val="fr-FR"/>
        </w:rPr>
        <w:t>la coopération et la coordination entre l</w:t>
      </w:r>
      <w:r w:rsidR="00CA4DAC">
        <w:rPr>
          <w:lang w:val="fr-FR"/>
        </w:rPr>
        <w:t>’</w:t>
      </w:r>
      <w:r w:rsidRPr="002A2EA6">
        <w:rPr>
          <w:lang w:val="fr-FR"/>
        </w:rPr>
        <w:t>OMS, l</w:t>
      </w:r>
      <w:r w:rsidR="00CA4DAC">
        <w:rPr>
          <w:lang w:val="fr-FR"/>
        </w:rPr>
        <w:t>’</w:t>
      </w:r>
      <w:r w:rsidRPr="002A2EA6">
        <w:rPr>
          <w:lang w:val="fr-FR"/>
        </w:rPr>
        <w:t xml:space="preserve">OIT et le secrétariat de la Convention de Minamata </w:t>
      </w:r>
      <w:r w:rsidR="00D83A76" w:rsidRPr="002A2EA6">
        <w:rPr>
          <w:lang w:val="fr-FR"/>
        </w:rPr>
        <w:t xml:space="preserve">par le truchement </w:t>
      </w:r>
      <w:r w:rsidRPr="002A2EA6">
        <w:rPr>
          <w:lang w:val="fr-FR"/>
        </w:rPr>
        <w:t>d</w:t>
      </w:r>
      <w:r w:rsidR="00CA4DAC">
        <w:rPr>
          <w:lang w:val="fr-FR"/>
        </w:rPr>
        <w:t>’</w:t>
      </w:r>
      <w:r w:rsidRPr="002A2EA6">
        <w:rPr>
          <w:lang w:val="fr-FR"/>
        </w:rPr>
        <w:t>un plan d</w:t>
      </w:r>
      <w:r w:rsidR="00CA4DAC">
        <w:rPr>
          <w:lang w:val="fr-FR"/>
        </w:rPr>
        <w:t>’</w:t>
      </w:r>
      <w:r w:rsidRPr="002A2EA6">
        <w:rPr>
          <w:lang w:val="fr-FR"/>
        </w:rPr>
        <w:t xml:space="preserve">action. Une autre représentante a émis des doutes concernant la nécessité </w:t>
      </w:r>
      <w:r w:rsidR="003F5ED8" w:rsidRPr="002A2EA6">
        <w:rPr>
          <w:lang w:val="fr-FR"/>
        </w:rPr>
        <w:t>d</w:t>
      </w:r>
      <w:r w:rsidR="00CA4DAC">
        <w:rPr>
          <w:lang w:val="fr-FR"/>
        </w:rPr>
        <w:t>’</w:t>
      </w:r>
      <w:r w:rsidR="003F5ED8" w:rsidRPr="002A2EA6">
        <w:rPr>
          <w:lang w:val="fr-FR"/>
        </w:rPr>
        <w:t xml:space="preserve">officialiser </w:t>
      </w:r>
      <w:r w:rsidRPr="002A2EA6">
        <w:rPr>
          <w:lang w:val="fr-FR"/>
        </w:rPr>
        <w:t>cette coopération, qui semblait bien fonctionner sous sa forme actuelle. Elle a également estimé qu</w:t>
      </w:r>
      <w:r w:rsidR="00CA4DAC">
        <w:rPr>
          <w:lang w:val="fr-FR"/>
        </w:rPr>
        <w:t>’</w:t>
      </w:r>
      <w:r w:rsidRPr="002A2EA6">
        <w:rPr>
          <w:lang w:val="fr-FR"/>
        </w:rPr>
        <w:t>il fallait veiller à ce que les</w:t>
      </w:r>
      <w:r w:rsidR="003F4436" w:rsidRPr="002A2EA6">
        <w:rPr>
          <w:lang w:val="fr-FR"/>
        </w:rPr>
        <w:t> </w:t>
      </w:r>
      <w:r w:rsidRPr="002A2EA6">
        <w:rPr>
          <w:lang w:val="fr-FR"/>
        </w:rPr>
        <w:t xml:space="preserve">activités de coopération et de coordination continuent </w:t>
      </w:r>
      <w:r w:rsidR="007447CE" w:rsidRPr="002A2EA6">
        <w:rPr>
          <w:lang w:val="fr-FR"/>
        </w:rPr>
        <w:t>d</w:t>
      </w:r>
      <w:r w:rsidR="00CA4DAC">
        <w:rPr>
          <w:lang w:val="fr-FR"/>
        </w:rPr>
        <w:t>’</w:t>
      </w:r>
      <w:r w:rsidR="007447CE" w:rsidRPr="002A2EA6">
        <w:rPr>
          <w:lang w:val="fr-FR"/>
        </w:rPr>
        <w:t xml:space="preserve">être axées sur </w:t>
      </w:r>
      <w:r w:rsidRPr="002A2EA6">
        <w:rPr>
          <w:lang w:val="fr-FR"/>
        </w:rPr>
        <w:t>la mise en œuvre de la</w:t>
      </w:r>
      <w:r w:rsidR="003F4436" w:rsidRPr="002A2EA6">
        <w:rPr>
          <w:lang w:val="fr-FR"/>
        </w:rPr>
        <w:t> </w:t>
      </w:r>
      <w:r w:rsidRPr="002A2EA6">
        <w:rPr>
          <w:lang w:val="fr-FR"/>
        </w:rPr>
        <w:t>Convention.</w:t>
      </w:r>
    </w:p>
    <w:p w14:paraId="76F371A2" w14:textId="392853B8" w:rsidR="573C9099" w:rsidRPr="002A2EA6" w:rsidRDefault="573C9099" w:rsidP="00A056A2">
      <w:pPr>
        <w:pStyle w:val="Normalnumber"/>
        <w:numPr>
          <w:ilvl w:val="0"/>
          <w:numId w:val="42"/>
        </w:numPr>
        <w:tabs>
          <w:tab w:val="clear" w:pos="1814"/>
          <w:tab w:val="left" w:pos="1843"/>
          <w:tab w:val="left" w:pos="1985"/>
        </w:tabs>
        <w:ind w:left="1288" w:hanging="28"/>
        <w:rPr>
          <w:lang w:val="fr-FR"/>
        </w:rPr>
      </w:pPr>
      <w:r w:rsidRPr="002A2EA6">
        <w:rPr>
          <w:lang w:val="fr-FR"/>
        </w:rPr>
        <w:t>Le Président a invité les Parties intéressées à organiser des consultations bilatérales avec les</w:t>
      </w:r>
      <w:r w:rsidR="003F4436" w:rsidRPr="002A2EA6">
        <w:rPr>
          <w:lang w:val="fr-FR"/>
        </w:rPr>
        <w:t> </w:t>
      </w:r>
      <w:r w:rsidRPr="002A2EA6">
        <w:rPr>
          <w:lang w:val="fr-FR"/>
        </w:rPr>
        <w:t xml:space="preserve">auteurs du projet de décision afin de </w:t>
      </w:r>
      <w:r w:rsidR="00025259" w:rsidRPr="002A2EA6">
        <w:rPr>
          <w:lang w:val="fr-FR"/>
        </w:rPr>
        <w:t>s</w:t>
      </w:r>
      <w:r w:rsidR="00CA4DAC">
        <w:rPr>
          <w:lang w:val="fr-FR"/>
        </w:rPr>
        <w:t>’</w:t>
      </w:r>
      <w:r w:rsidR="00025259" w:rsidRPr="002A2EA6">
        <w:rPr>
          <w:lang w:val="fr-FR"/>
        </w:rPr>
        <w:t xml:space="preserve">accorder sur </w:t>
      </w:r>
      <w:r w:rsidRPr="002A2EA6">
        <w:rPr>
          <w:lang w:val="fr-FR"/>
        </w:rPr>
        <w:t xml:space="preserve">une version révisée </w:t>
      </w:r>
      <w:r w:rsidR="00025259" w:rsidRPr="002A2EA6">
        <w:rPr>
          <w:lang w:val="fr-FR"/>
        </w:rPr>
        <w:t xml:space="preserve">du </w:t>
      </w:r>
      <w:r w:rsidRPr="002A2EA6">
        <w:rPr>
          <w:lang w:val="fr-FR"/>
        </w:rPr>
        <w:t>texte.</w:t>
      </w:r>
    </w:p>
    <w:p w14:paraId="6B8E5141" w14:textId="0BE83E95" w:rsidR="573C9099" w:rsidRPr="002A2EA6" w:rsidRDefault="573C9099" w:rsidP="001712F4">
      <w:pPr>
        <w:pStyle w:val="Normalnumber"/>
        <w:numPr>
          <w:ilvl w:val="0"/>
          <w:numId w:val="42"/>
        </w:numPr>
        <w:tabs>
          <w:tab w:val="clear" w:pos="1814"/>
          <w:tab w:val="left" w:pos="1843"/>
          <w:tab w:val="left" w:pos="1985"/>
        </w:tabs>
        <w:ind w:left="1288" w:hanging="28"/>
        <w:rPr>
          <w:lang w:val="fr-FR"/>
        </w:rPr>
      </w:pPr>
      <w:r w:rsidRPr="002A2EA6">
        <w:rPr>
          <w:lang w:val="fr-FR"/>
        </w:rPr>
        <w:t>Par la suite, le représentant de l</w:t>
      </w:r>
      <w:r w:rsidR="00CA4DAC">
        <w:rPr>
          <w:lang w:val="fr-FR"/>
        </w:rPr>
        <w:t>’</w:t>
      </w:r>
      <w:r w:rsidRPr="002A2EA6">
        <w:rPr>
          <w:lang w:val="fr-FR"/>
        </w:rPr>
        <w:t>Union européenne, s</w:t>
      </w:r>
      <w:r w:rsidR="00CA4DAC">
        <w:rPr>
          <w:lang w:val="fr-FR"/>
        </w:rPr>
        <w:t>’</w:t>
      </w:r>
      <w:r w:rsidRPr="002A2EA6">
        <w:rPr>
          <w:lang w:val="fr-FR"/>
        </w:rPr>
        <w:t>exprimant également au nom des autres auteurs du projet de décision (Ghana, Mali, Nigéria, Norvège, Thaïlande et Uruguay), a présenté une</w:t>
      </w:r>
      <w:r w:rsidR="003F4436" w:rsidRPr="002A2EA6">
        <w:rPr>
          <w:lang w:val="fr-FR"/>
        </w:rPr>
        <w:t> </w:t>
      </w:r>
      <w:r w:rsidRPr="002A2EA6">
        <w:rPr>
          <w:lang w:val="fr-FR"/>
        </w:rPr>
        <w:t>version révisée du document de séance contenant un certain nombre de modifications proposées par d</w:t>
      </w:r>
      <w:r w:rsidR="00CA4DAC">
        <w:rPr>
          <w:lang w:val="fr-FR"/>
        </w:rPr>
        <w:t>’</w:t>
      </w:r>
      <w:r w:rsidRPr="002A2EA6">
        <w:rPr>
          <w:lang w:val="fr-FR"/>
        </w:rPr>
        <w:t>autres représentants durant des consultations informelles.</w:t>
      </w:r>
    </w:p>
    <w:p w14:paraId="7DC4F091" w14:textId="3C904564" w:rsidR="573C9099" w:rsidRPr="002A2EA6" w:rsidRDefault="573C9099" w:rsidP="001712F4">
      <w:pPr>
        <w:pStyle w:val="Normalnumber"/>
        <w:numPr>
          <w:ilvl w:val="0"/>
          <w:numId w:val="42"/>
        </w:numPr>
        <w:tabs>
          <w:tab w:val="clear" w:pos="1814"/>
          <w:tab w:val="left" w:pos="1843"/>
          <w:tab w:val="left" w:pos="1985"/>
        </w:tabs>
        <w:ind w:left="1288" w:hanging="28"/>
        <w:rPr>
          <w:lang w:val="fr-FR"/>
        </w:rPr>
      </w:pPr>
      <w:r w:rsidRPr="002A2EA6">
        <w:rPr>
          <w:lang w:val="fr-FR"/>
        </w:rPr>
        <w:t>De nombreux représentants, dont l</w:t>
      </w:r>
      <w:r w:rsidR="00CA4DAC">
        <w:rPr>
          <w:lang w:val="fr-FR"/>
        </w:rPr>
        <w:t>’</w:t>
      </w:r>
      <w:r w:rsidRPr="002A2EA6">
        <w:rPr>
          <w:lang w:val="fr-FR"/>
        </w:rPr>
        <w:t>un s</w:t>
      </w:r>
      <w:r w:rsidR="00CA4DAC">
        <w:rPr>
          <w:lang w:val="fr-FR"/>
        </w:rPr>
        <w:t>’</w:t>
      </w:r>
      <w:r w:rsidRPr="002A2EA6">
        <w:rPr>
          <w:lang w:val="fr-FR"/>
        </w:rPr>
        <w:t>exprimait au nom d</w:t>
      </w:r>
      <w:r w:rsidR="00CA4DAC">
        <w:rPr>
          <w:lang w:val="fr-FR"/>
        </w:rPr>
        <w:t>’</w:t>
      </w:r>
      <w:r w:rsidRPr="002A2EA6">
        <w:rPr>
          <w:lang w:val="fr-FR"/>
        </w:rPr>
        <w:t>un groupe de pays, se sont déclarés favorables à l</w:t>
      </w:r>
      <w:r w:rsidR="00CA4DAC">
        <w:rPr>
          <w:lang w:val="fr-FR"/>
        </w:rPr>
        <w:t>’</w:t>
      </w:r>
      <w:r w:rsidRPr="002A2EA6">
        <w:rPr>
          <w:lang w:val="fr-FR"/>
        </w:rPr>
        <w:t>adoption du projet de décision et ont remercié les auteurs d</w:t>
      </w:r>
      <w:r w:rsidR="00CA4DAC">
        <w:rPr>
          <w:lang w:val="fr-FR"/>
        </w:rPr>
        <w:t>’</w:t>
      </w:r>
      <w:r w:rsidRPr="002A2EA6">
        <w:rPr>
          <w:lang w:val="fr-FR"/>
        </w:rPr>
        <w:t>avoir collaboré avec d</w:t>
      </w:r>
      <w:r w:rsidR="00CA4DAC">
        <w:rPr>
          <w:lang w:val="fr-FR"/>
        </w:rPr>
        <w:t>’</w:t>
      </w:r>
      <w:r w:rsidRPr="002A2EA6">
        <w:rPr>
          <w:lang w:val="fr-FR"/>
        </w:rPr>
        <w:t>autres parties pour en réviser et améliorer le texte, soulignant que sa mise en œuvre contribuerait au renforcement de la gestion rationnelle des produits chimiques et des déchets et améliorerait les</w:t>
      </w:r>
      <w:r w:rsidR="00230331" w:rsidRPr="002A2EA6">
        <w:rPr>
          <w:lang w:val="fr-FR"/>
        </w:rPr>
        <w:t> </w:t>
      </w:r>
      <w:r w:rsidRPr="002A2EA6">
        <w:rPr>
          <w:lang w:val="fr-FR"/>
        </w:rPr>
        <w:t>synergies dans le domaine des produits chimiques et des déchets</w:t>
      </w:r>
      <w:r w:rsidR="00806FA2" w:rsidRPr="002A2EA6">
        <w:rPr>
          <w:lang w:val="fr-FR"/>
        </w:rPr>
        <w:t>, ce qui irait dans le</w:t>
      </w:r>
      <w:r w:rsidR="00C166F9">
        <w:rPr>
          <w:lang w:val="fr-FR"/>
        </w:rPr>
        <w:t> </w:t>
      </w:r>
      <w:r w:rsidR="00806FA2" w:rsidRPr="002A2EA6">
        <w:rPr>
          <w:lang w:val="fr-FR"/>
        </w:rPr>
        <w:t xml:space="preserve">sens de </w:t>
      </w:r>
      <w:r w:rsidRPr="002A2EA6">
        <w:rPr>
          <w:lang w:val="fr-FR"/>
        </w:rPr>
        <w:t>l</w:t>
      </w:r>
      <w:r w:rsidR="00CA4DAC">
        <w:rPr>
          <w:lang w:val="fr-FR"/>
        </w:rPr>
        <w:t>’</w:t>
      </w:r>
      <w:r w:rsidRPr="002A2EA6">
        <w:rPr>
          <w:lang w:val="fr-FR"/>
        </w:rPr>
        <w:t>Assemblée des Nations Unies pour l</w:t>
      </w:r>
      <w:r w:rsidR="00CA4DAC">
        <w:rPr>
          <w:lang w:val="fr-FR"/>
        </w:rPr>
        <w:t>’</w:t>
      </w:r>
      <w:r w:rsidRPr="002A2EA6">
        <w:rPr>
          <w:lang w:val="fr-FR"/>
        </w:rPr>
        <w:t>environnement du PNUE</w:t>
      </w:r>
      <w:r w:rsidR="00806FA2" w:rsidRPr="002A2EA6">
        <w:rPr>
          <w:lang w:val="fr-FR"/>
        </w:rPr>
        <w:t xml:space="preserve">, qui avait demandé que </w:t>
      </w:r>
      <w:r w:rsidR="001506CE" w:rsidRPr="002A2EA6">
        <w:rPr>
          <w:lang w:val="fr-FR"/>
        </w:rPr>
        <w:t>des</w:t>
      </w:r>
      <w:r w:rsidR="00C166F9">
        <w:rPr>
          <w:lang w:val="fr-FR"/>
        </w:rPr>
        <w:t> </w:t>
      </w:r>
      <w:r w:rsidRPr="002A2EA6">
        <w:rPr>
          <w:lang w:val="fr-FR"/>
        </w:rPr>
        <w:t xml:space="preserve">mesures </w:t>
      </w:r>
      <w:r w:rsidR="001506CE" w:rsidRPr="002A2EA6">
        <w:rPr>
          <w:lang w:val="fr-FR"/>
        </w:rPr>
        <w:t>résolues soient prises d</w:t>
      </w:r>
      <w:r w:rsidR="00CA4DAC">
        <w:rPr>
          <w:lang w:val="fr-FR"/>
        </w:rPr>
        <w:t>’</w:t>
      </w:r>
      <w:r w:rsidR="001506CE" w:rsidRPr="002A2EA6">
        <w:rPr>
          <w:lang w:val="fr-FR"/>
        </w:rPr>
        <w:t xml:space="preserve">urgence </w:t>
      </w:r>
      <w:r w:rsidRPr="002A2EA6">
        <w:rPr>
          <w:lang w:val="fr-FR"/>
        </w:rPr>
        <w:t>pour mettre en œuvre le Programme de développement durable à l</w:t>
      </w:r>
      <w:r w:rsidR="00CA4DAC">
        <w:rPr>
          <w:lang w:val="fr-FR"/>
        </w:rPr>
        <w:t>’</w:t>
      </w:r>
      <w:r w:rsidRPr="002A2EA6">
        <w:rPr>
          <w:lang w:val="fr-FR"/>
        </w:rPr>
        <w:t>horizon</w:t>
      </w:r>
      <w:r w:rsidR="00BE79CF" w:rsidRPr="002A2EA6">
        <w:rPr>
          <w:lang w:val="fr-FR"/>
        </w:rPr>
        <w:t> </w:t>
      </w:r>
      <w:r w:rsidRPr="002A2EA6">
        <w:rPr>
          <w:lang w:val="fr-FR"/>
        </w:rPr>
        <w:t xml:space="preserve">2030 </w:t>
      </w:r>
      <w:r w:rsidR="001506CE" w:rsidRPr="002A2EA6">
        <w:rPr>
          <w:lang w:val="fr-FR"/>
        </w:rPr>
        <w:t xml:space="preserve">dans le domaine </w:t>
      </w:r>
      <w:r w:rsidRPr="002A2EA6">
        <w:rPr>
          <w:lang w:val="fr-FR"/>
        </w:rPr>
        <w:t xml:space="preserve">de </w:t>
      </w:r>
      <w:r w:rsidR="001506CE" w:rsidRPr="002A2EA6">
        <w:rPr>
          <w:lang w:val="fr-FR"/>
        </w:rPr>
        <w:t xml:space="preserve">la </w:t>
      </w:r>
      <w:r w:rsidRPr="002A2EA6">
        <w:rPr>
          <w:lang w:val="fr-FR"/>
        </w:rPr>
        <w:t>gestion rationnelle des produits chimiques et des</w:t>
      </w:r>
      <w:r w:rsidR="00C166F9">
        <w:rPr>
          <w:lang w:val="fr-FR"/>
        </w:rPr>
        <w:t> </w:t>
      </w:r>
      <w:r w:rsidRPr="002A2EA6">
        <w:rPr>
          <w:lang w:val="fr-FR"/>
        </w:rPr>
        <w:t>déchets.</w:t>
      </w:r>
    </w:p>
    <w:p w14:paraId="135A07E4" w14:textId="4538D1E0" w:rsidR="26AB8C34" w:rsidRPr="002A2EA6" w:rsidRDefault="26AB8C34" w:rsidP="001712F4">
      <w:pPr>
        <w:pStyle w:val="Normalnumber"/>
        <w:numPr>
          <w:ilvl w:val="0"/>
          <w:numId w:val="42"/>
        </w:numPr>
        <w:tabs>
          <w:tab w:val="clear" w:pos="1814"/>
          <w:tab w:val="left" w:pos="1843"/>
          <w:tab w:val="left" w:pos="1985"/>
        </w:tabs>
        <w:ind w:left="1288" w:hanging="28"/>
        <w:rPr>
          <w:lang w:val="fr-FR"/>
        </w:rPr>
      </w:pPr>
      <w:r w:rsidRPr="002A2EA6">
        <w:rPr>
          <w:lang w:val="fr-FR"/>
        </w:rPr>
        <w:t>Une représentante s</w:t>
      </w:r>
      <w:r w:rsidR="00CA4DAC">
        <w:rPr>
          <w:lang w:val="fr-FR"/>
        </w:rPr>
        <w:t>’</w:t>
      </w:r>
      <w:r w:rsidRPr="002A2EA6">
        <w:rPr>
          <w:lang w:val="fr-FR"/>
        </w:rPr>
        <w:t>est dite favorable à la coopération et la coordination internationales en vue de mettre en œuvre la Convention de Minamata</w:t>
      </w:r>
      <w:r w:rsidR="00481388" w:rsidRPr="002A2EA6">
        <w:rPr>
          <w:lang w:val="fr-FR"/>
        </w:rPr>
        <w:t>,</w:t>
      </w:r>
      <w:r w:rsidRPr="002A2EA6">
        <w:rPr>
          <w:lang w:val="fr-FR"/>
        </w:rPr>
        <w:t xml:space="preserve"> </w:t>
      </w:r>
      <w:r w:rsidR="00481388" w:rsidRPr="002A2EA6">
        <w:rPr>
          <w:lang w:val="fr-FR"/>
        </w:rPr>
        <w:t xml:space="preserve">ajoutant toutefois </w:t>
      </w:r>
      <w:r w:rsidRPr="002A2EA6">
        <w:rPr>
          <w:lang w:val="fr-FR"/>
        </w:rPr>
        <w:t>qu</w:t>
      </w:r>
      <w:r w:rsidR="00CA4DAC">
        <w:rPr>
          <w:lang w:val="fr-FR"/>
        </w:rPr>
        <w:t>’</w:t>
      </w:r>
      <w:r w:rsidRPr="002A2EA6">
        <w:rPr>
          <w:lang w:val="fr-FR"/>
        </w:rPr>
        <w:t>elle ne pouvait pas appuyer l</w:t>
      </w:r>
      <w:r w:rsidR="00CA4DAC">
        <w:rPr>
          <w:lang w:val="fr-FR"/>
        </w:rPr>
        <w:t>’</w:t>
      </w:r>
      <w:r w:rsidRPr="002A2EA6">
        <w:rPr>
          <w:lang w:val="fr-FR"/>
        </w:rPr>
        <w:t>adoption du projet de décision, qui constituait une déclaration politique ayant pour conséquence de politiser la Convention et prônait la prise de mesures inutiles dépassant la portée de la Convention.</w:t>
      </w:r>
    </w:p>
    <w:p w14:paraId="6D5EAC21" w14:textId="560CFD60" w:rsidR="26AB8C34" w:rsidRPr="002A2EA6" w:rsidRDefault="26AB8C34" w:rsidP="001712F4">
      <w:pPr>
        <w:pStyle w:val="Normalnumber"/>
        <w:numPr>
          <w:ilvl w:val="0"/>
          <w:numId w:val="42"/>
        </w:numPr>
        <w:tabs>
          <w:tab w:val="clear" w:pos="1814"/>
          <w:tab w:val="left" w:pos="1843"/>
          <w:tab w:val="left" w:pos="1985"/>
        </w:tabs>
        <w:ind w:left="1288" w:hanging="28"/>
        <w:rPr>
          <w:lang w:val="fr-FR"/>
        </w:rPr>
      </w:pPr>
      <w:r w:rsidRPr="002A2EA6">
        <w:rPr>
          <w:lang w:val="fr-FR"/>
        </w:rPr>
        <w:t>Le représentant de l</w:t>
      </w:r>
      <w:r w:rsidR="00CA4DAC">
        <w:rPr>
          <w:lang w:val="fr-FR"/>
        </w:rPr>
        <w:t>’</w:t>
      </w:r>
      <w:r w:rsidRPr="002A2EA6">
        <w:rPr>
          <w:lang w:val="fr-FR"/>
        </w:rPr>
        <w:t>Union européenne, demandant que sa déclaration soit consignée dans le</w:t>
      </w:r>
      <w:r w:rsidR="000E6E5D" w:rsidRPr="002A2EA6">
        <w:rPr>
          <w:lang w:val="fr-FR"/>
        </w:rPr>
        <w:t> </w:t>
      </w:r>
      <w:r w:rsidRPr="002A2EA6">
        <w:rPr>
          <w:lang w:val="fr-FR"/>
        </w:rPr>
        <w:t xml:space="preserve">présent rapport, a dit regretter que </w:t>
      </w:r>
      <w:r w:rsidR="00D652CB" w:rsidRPr="002A2EA6">
        <w:rPr>
          <w:lang w:val="fr-FR"/>
        </w:rPr>
        <w:t xml:space="preserve">le refus </w:t>
      </w:r>
      <w:r w:rsidRPr="002A2EA6">
        <w:rPr>
          <w:lang w:val="fr-FR"/>
        </w:rPr>
        <w:t>d</w:t>
      </w:r>
      <w:r w:rsidR="00CA4DAC">
        <w:rPr>
          <w:lang w:val="fr-FR"/>
        </w:rPr>
        <w:t>’</w:t>
      </w:r>
      <w:r w:rsidRPr="002A2EA6">
        <w:rPr>
          <w:lang w:val="fr-FR"/>
        </w:rPr>
        <w:t>une seule Partie ait empêché l</w:t>
      </w:r>
      <w:r w:rsidR="00CA4DAC">
        <w:rPr>
          <w:lang w:val="fr-FR"/>
        </w:rPr>
        <w:t>’</w:t>
      </w:r>
      <w:r w:rsidRPr="002A2EA6">
        <w:rPr>
          <w:lang w:val="fr-FR"/>
        </w:rPr>
        <w:t>adoption du projet de décision. Il a rappelé que l</w:t>
      </w:r>
      <w:r w:rsidR="00CA4DAC">
        <w:rPr>
          <w:lang w:val="fr-FR"/>
        </w:rPr>
        <w:t>’</w:t>
      </w:r>
      <w:r w:rsidRPr="002A2EA6">
        <w:rPr>
          <w:lang w:val="fr-FR"/>
        </w:rPr>
        <w:t xml:space="preserve">immense majorité des </w:t>
      </w:r>
      <w:r w:rsidR="008C6D2C" w:rsidRPr="002A2EA6">
        <w:rPr>
          <w:lang w:val="fr-FR"/>
        </w:rPr>
        <w:t>P</w:t>
      </w:r>
      <w:r w:rsidRPr="002A2EA6">
        <w:rPr>
          <w:lang w:val="fr-FR"/>
        </w:rPr>
        <w:t xml:space="preserve">arties </w:t>
      </w:r>
      <w:r w:rsidR="003B713E" w:rsidRPr="002A2EA6">
        <w:rPr>
          <w:lang w:val="fr-FR"/>
        </w:rPr>
        <w:t xml:space="preserve">présentes </w:t>
      </w:r>
      <w:r w:rsidRPr="002A2EA6">
        <w:rPr>
          <w:lang w:val="fr-FR"/>
        </w:rPr>
        <w:t xml:space="preserve">à la réunion </w:t>
      </w:r>
      <w:r w:rsidR="00803BDB" w:rsidRPr="002A2EA6">
        <w:rPr>
          <w:lang w:val="fr-FR"/>
        </w:rPr>
        <w:t xml:space="preserve">en cours </w:t>
      </w:r>
      <w:r w:rsidRPr="002A2EA6">
        <w:rPr>
          <w:lang w:val="fr-FR"/>
        </w:rPr>
        <w:t>s</w:t>
      </w:r>
      <w:r w:rsidR="00CA4DAC">
        <w:rPr>
          <w:lang w:val="fr-FR"/>
        </w:rPr>
        <w:t>’</w:t>
      </w:r>
      <w:r w:rsidRPr="002A2EA6">
        <w:rPr>
          <w:lang w:val="fr-FR"/>
        </w:rPr>
        <w:t>étaient jointes à la profonde inquiétude exprimée par l</w:t>
      </w:r>
      <w:r w:rsidR="00CA4DAC">
        <w:rPr>
          <w:lang w:val="fr-FR"/>
        </w:rPr>
        <w:t>’</w:t>
      </w:r>
      <w:r w:rsidRPr="002A2EA6">
        <w:rPr>
          <w:lang w:val="fr-FR"/>
        </w:rPr>
        <w:t>Assemblée des Nations</w:t>
      </w:r>
      <w:r w:rsidR="000E6E5D" w:rsidRPr="002A2EA6">
        <w:rPr>
          <w:lang w:val="fr-FR"/>
        </w:rPr>
        <w:t> </w:t>
      </w:r>
      <w:r w:rsidRPr="002A2EA6">
        <w:rPr>
          <w:lang w:val="fr-FR"/>
        </w:rPr>
        <w:t>Unies pour l</w:t>
      </w:r>
      <w:r w:rsidR="00CA4DAC">
        <w:rPr>
          <w:lang w:val="fr-FR"/>
        </w:rPr>
        <w:t>’</w:t>
      </w:r>
      <w:r w:rsidRPr="002A2EA6">
        <w:rPr>
          <w:lang w:val="fr-FR"/>
        </w:rPr>
        <w:t>environnement face à l</w:t>
      </w:r>
      <w:r w:rsidR="00CA4DAC">
        <w:rPr>
          <w:lang w:val="fr-FR"/>
        </w:rPr>
        <w:t>’</w:t>
      </w:r>
      <w:r w:rsidRPr="002A2EA6">
        <w:rPr>
          <w:lang w:val="fr-FR"/>
        </w:rPr>
        <w:t xml:space="preserve">augmentation de la pollution de la planète et </w:t>
      </w:r>
      <w:r w:rsidR="003B713E" w:rsidRPr="002A2EA6">
        <w:rPr>
          <w:lang w:val="fr-FR"/>
        </w:rPr>
        <w:t>l</w:t>
      </w:r>
      <w:r w:rsidR="00CA4DAC">
        <w:rPr>
          <w:lang w:val="fr-FR"/>
        </w:rPr>
        <w:t>’</w:t>
      </w:r>
      <w:r w:rsidRPr="002A2EA6">
        <w:rPr>
          <w:lang w:val="fr-FR"/>
        </w:rPr>
        <w:t xml:space="preserve">appel </w:t>
      </w:r>
      <w:r w:rsidR="003B713E" w:rsidRPr="002A2EA6">
        <w:rPr>
          <w:lang w:val="fr-FR"/>
        </w:rPr>
        <w:t>que celle</w:t>
      </w:r>
      <w:r w:rsidR="003B713E" w:rsidRPr="002A2EA6">
        <w:rPr>
          <w:lang w:val="fr-FR"/>
        </w:rPr>
        <w:noBreakHyphen/>
        <w:t xml:space="preserve">ci avait </w:t>
      </w:r>
      <w:r w:rsidRPr="002A2EA6">
        <w:rPr>
          <w:lang w:val="fr-FR"/>
        </w:rPr>
        <w:t>lancé aux</w:t>
      </w:r>
      <w:r w:rsidR="000E6E5D" w:rsidRPr="002A2EA6">
        <w:rPr>
          <w:lang w:val="fr-FR"/>
        </w:rPr>
        <w:t> </w:t>
      </w:r>
      <w:r w:rsidRPr="002A2EA6">
        <w:rPr>
          <w:lang w:val="fr-FR"/>
        </w:rPr>
        <w:t xml:space="preserve">gouvernements et à toutes les autres parties prenantes </w:t>
      </w:r>
      <w:r w:rsidR="00A0292A" w:rsidRPr="002A2EA6">
        <w:rPr>
          <w:lang w:val="fr-FR"/>
        </w:rPr>
        <w:t xml:space="preserve">aux fins de la lutte </w:t>
      </w:r>
      <w:r w:rsidRPr="002A2EA6">
        <w:rPr>
          <w:lang w:val="fr-FR"/>
        </w:rPr>
        <w:t xml:space="preserve">contre la pollution à tous les niveaux, notamment en ce qui concerne le mercure. La plupart des </w:t>
      </w:r>
      <w:r w:rsidR="00A0292A" w:rsidRPr="002A2EA6">
        <w:rPr>
          <w:lang w:val="fr-FR"/>
        </w:rPr>
        <w:t>P</w:t>
      </w:r>
      <w:r w:rsidRPr="002A2EA6">
        <w:rPr>
          <w:lang w:val="fr-FR"/>
        </w:rPr>
        <w:t>arties avaient également jugé essentiel de souligner qu</w:t>
      </w:r>
      <w:r w:rsidR="00CA4DAC">
        <w:rPr>
          <w:lang w:val="fr-FR"/>
        </w:rPr>
        <w:t>’</w:t>
      </w:r>
      <w:r w:rsidRPr="002A2EA6">
        <w:rPr>
          <w:lang w:val="fr-FR"/>
        </w:rPr>
        <w:t xml:space="preserve">il fallait prendre </w:t>
      </w:r>
      <w:r w:rsidR="00A0292A" w:rsidRPr="002A2EA6">
        <w:rPr>
          <w:lang w:val="fr-FR"/>
        </w:rPr>
        <w:t>d</w:t>
      </w:r>
      <w:r w:rsidR="00CA4DAC">
        <w:rPr>
          <w:lang w:val="fr-FR"/>
        </w:rPr>
        <w:t>’</w:t>
      </w:r>
      <w:r w:rsidR="00A0292A" w:rsidRPr="002A2EA6">
        <w:rPr>
          <w:lang w:val="fr-FR"/>
        </w:rPr>
        <w:t>u</w:t>
      </w:r>
      <w:r w:rsidRPr="002A2EA6">
        <w:rPr>
          <w:lang w:val="fr-FR"/>
        </w:rPr>
        <w:t>rgen</w:t>
      </w:r>
      <w:r w:rsidR="00A0292A" w:rsidRPr="002A2EA6">
        <w:rPr>
          <w:lang w:val="fr-FR"/>
        </w:rPr>
        <w:t>c</w:t>
      </w:r>
      <w:r w:rsidRPr="002A2EA6">
        <w:rPr>
          <w:lang w:val="fr-FR"/>
        </w:rPr>
        <w:t xml:space="preserve">e des mesures </w:t>
      </w:r>
      <w:r w:rsidR="00A0292A" w:rsidRPr="002A2EA6">
        <w:rPr>
          <w:lang w:val="fr-FR"/>
        </w:rPr>
        <w:t xml:space="preserve">résolues </w:t>
      </w:r>
      <w:r w:rsidRPr="002A2EA6">
        <w:rPr>
          <w:lang w:val="fr-FR"/>
        </w:rPr>
        <w:t>pour mettre en œuvre le</w:t>
      </w:r>
      <w:r w:rsidR="008F6A20" w:rsidRPr="002A2EA6">
        <w:rPr>
          <w:lang w:val="fr-FR"/>
        </w:rPr>
        <w:t>s</w:t>
      </w:r>
      <w:r w:rsidR="000E6E5D" w:rsidRPr="002A2EA6">
        <w:rPr>
          <w:lang w:val="fr-FR"/>
        </w:rPr>
        <w:t> </w:t>
      </w:r>
      <w:r w:rsidR="008F6A20" w:rsidRPr="002A2EA6">
        <w:rPr>
          <w:lang w:val="fr-FR"/>
        </w:rPr>
        <w:t>dispositions du</w:t>
      </w:r>
      <w:r w:rsidRPr="002A2EA6">
        <w:rPr>
          <w:lang w:val="fr-FR"/>
        </w:rPr>
        <w:t xml:space="preserve"> </w:t>
      </w:r>
      <w:r w:rsidR="008179A8" w:rsidRPr="002A2EA6">
        <w:rPr>
          <w:lang w:val="fr-FR"/>
        </w:rPr>
        <w:t>Programme de développement durable à l</w:t>
      </w:r>
      <w:r w:rsidR="00CA4DAC">
        <w:rPr>
          <w:lang w:val="fr-FR"/>
        </w:rPr>
        <w:t>’</w:t>
      </w:r>
      <w:r w:rsidR="008179A8" w:rsidRPr="002A2EA6">
        <w:rPr>
          <w:lang w:val="fr-FR"/>
        </w:rPr>
        <w:t xml:space="preserve">horizon 2030 </w:t>
      </w:r>
      <w:r w:rsidRPr="002A2EA6">
        <w:rPr>
          <w:lang w:val="fr-FR"/>
        </w:rPr>
        <w:t>en matière de gestion rationnelle des produits chimiques et des déchets, y compris au moyen d</w:t>
      </w:r>
      <w:r w:rsidR="00CA4DAC">
        <w:rPr>
          <w:lang w:val="fr-FR"/>
        </w:rPr>
        <w:t>’</w:t>
      </w:r>
      <w:r w:rsidRPr="002A2EA6">
        <w:rPr>
          <w:lang w:val="fr-FR"/>
        </w:rPr>
        <w:t>un cadre international amélioré, et</w:t>
      </w:r>
      <w:r w:rsidR="000E6E5D" w:rsidRPr="002A2EA6">
        <w:rPr>
          <w:lang w:val="fr-FR"/>
        </w:rPr>
        <w:t xml:space="preserve"> </w:t>
      </w:r>
      <w:r w:rsidR="27B3304F" w:rsidRPr="002A2EA6">
        <w:rPr>
          <w:lang w:val="fr-FR"/>
        </w:rPr>
        <w:t>d</w:t>
      </w:r>
      <w:r w:rsidR="00CA4DAC">
        <w:rPr>
          <w:lang w:val="fr-FR"/>
        </w:rPr>
        <w:t>’</w:t>
      </w:r>
      <w:r w:rsidRPr="002A2EA6">
        <w:rPr>
          <w:lang w:val="fr-FR"/>
        </w:rPr>
        <w:t>appeler l</w:t>
      </w:r>
      <w:r w:rsidR="00CA4DAC">
        <w:rPr>
          <w:lang w:val="fr-FR"/>
        </w:rPr>
        <w:t>’</w:t>
      </w:r>
      <w:r w:rsidRPr="002A2EA6">
        <w:rPr>
          <w:lang w:val="fr-FR"/>
        </w:rPr>
        <w:t xml:space="preserve">ensemble des parties prenantes à redoubler en priorité </w:t>
      </w:r>
      <w:r w:rsidR="008F6A20" w:rsidRPr="002A2EA6">
        <w:rPr>
          <w:lang w:val="fr-FR"/>
        </w:rPr>
        <w:t xml:space="preserve">les </w:t>
      </w:r>
      <w:r w:rsidRPr="002A2EA6">
        <w:rPr>
          <w:lang w:val="fr-FR"/>
        </w:rPr>
        <w:t xml:space="preserve">efforts </w:t>
      </w:r>
      <w:r w:rsidR="008F6A20" w:rsidRPr="002A2EA6">
        <w:rPr>
          <w:lang w:val="fr-FR"/>
        </w:rPr>
        <w:t>qu</w:t>
      </w:r>
      <w:r w:rsidR="00CA4DAC">
        <w:rPr>
          <w:lang w:val="fr-FR"/>
        </w:rPr>
        <w:t>’</w:t>
      </w:r>
      <w:r w:rsidR="008F6A20" w:rsidRPr="002A2EA6">
        <w:rPr>
          <w:lang w:val="fr-FR"/>
        </w:rPr>
        <w:t>elles</w:t>
      </w:r>
      <w:r w:rsidR="000E6E5D" w:rsidRPr="002A2EA6">
        <w:rPr>
          <w:lang w:val="fr-FR"/>
        </w:rPr>
        <w:t> </w:t>
      </w:r>
      <w:r w:rsidR="008F6A20" w:rsidRPr="002A2EA6">
        <w:rPr>
          <w:lang w:val="fr-FR"/>
        </w:rPr>
        <w:t xml:space="preserve">mènent pour </w:t>
      </w:r>
      <w:r w:rsidRPr="002A2EA6">
        <w:rPr>
          <w:lang w:val="fr-FR"/>
        </w:rPr>
        <w:t>atteindre la cible</w:t>
      </w:r>
      <w:r w:rsidR="00E43AE9" w:rsidRPr="002A2EA6">
        <w:rPr>
          <w:lang w:val="fr-FR"/>
        </w:rPr>
        <w:t> </w:t>
      </w:r>
      <w:r w:rsidRPr="002A2EA6">
        <w:rPr>
          <w:lang w:val="fr-FR"/>
        </w:rPr>
        <w:t>12.4 des objectifs de développement durable</w:t>
      </w:r>
      <w:r w:rsidR="78545C6B" w:rsidRPr="002A2EA6">
        <w:rPr>
          <w:lang w:val="fr-FR"/>
        </w:rPr>
        <w:t xml:space="preserve"> relative à la</w:t>
      </w:r>
      <w:r w:rsidR="000E6E5D" w:rsidRPr="002A2EA6">
        <w:rPr>
          <w:lang w:val="fr-FR"/>
        </w:rPr>
        <w:t> </w:t>
      </w:r>
      <w:r w:rsidR="78545C6B" w:rsidRPr="002A2EA6">
        <w:rPr>
          <w:lang w:val="fr-FR"/>
        </w:rPr>
        <w:t>gestion rationnelle des produits chimiques et des déchets</w:t>
      </w:r>
      <w:r w:rsidRPr="002A2EA6">
        <w:rPr>
          <w:lang w:val="fr-FR"/>
        </w:rPr>
        <w:t xml:space="preserve">, en particulier au regard de la Convention de Minamata et concernant le mercure. </w:t>
      </w:r>
      <w:r w:rsidR="00F341A2" w:rsidRPr="002A2EA6">
        <w:rPr>
          <w:lang w:val="fr-FR"/>
        </w:rPr>
        <w:t xml:space="preserve">Pour que </w:t>
      </w:r>
      <w:r w:rsidRPr="002A2EA6">
        <w:rPr>
          <w:lang w:val="fr-FR"/>
        </w:rPr>
        <w:t xml:space="preserve">cette cible </w:t>
      </w:r>
      <w:r w:rsidR="00F341A2" w:rsidRPr="002A2EA6">
        <w:rPr>
          <w:lang w:val="fr-FR"/>
        </w:rPr>
        <w:t xml:space="preserve">soit atteinte, il fallait que </w:t>
      </w:r>
      <w:r w:rsidRPr="002A2EA6">
        <w:rPr>
          <w:lang w:val="fr-FR"/>
        </w:rPr>
        <w:t>tous les</w:t>
      </w:r>
      <w:r w:rsidR="000E6E5D" w:rsidRPr="002A2EA6">
        <w:rPr>
          <w:lang w:val="fr-FR"/>
        </w:rPr>
        <w:t> </w:t>
      </w:r>
      <w:r w:rsidRPr="002A2EA6">
        <w:rPr>
          <w:lang w:val="fr-FR"/>
        </w:rPr>
        <w:t>gouvernements, organisations et autres parties prenantes intéressés</w:t>
      </w:r>
      <w:r w:rsidR="00F341A2" w:rsidRPr="002A2EA6">
        <w:rPr>
          <w:lang w:val="fr-FR"/>
        </w:rPr>
        <w:t xml:space="preserve"> coopèrent davantage</w:t>
      </w:r>
      <w:r w:rsidRPr="002A2EA6">
        <w:rPr>
          <w:lang w:val="fr-FR"/>
        </w:rPr>
        <w:t>.</w:t>
      </w:r>
    </w:p>
    <w:p w14:paraId="51A64E75" w14:textId="06C13C3E" w:rsidR="00F273CE" w:rsidRPr="002A2EA6" w:rsidRDefault="00CE52B4" w:rsidP="00CE52B4">
      <w:pPr>
        <w:pStyle w:val="CH2"/>
        <w:rPr>
          <w:lang w:val="fr-FR"/>
        </w:rPr>
      </w:pPr>
      <w:r w:rsidRPr="002A2EA6">
        <w:rPr>
          <w:lang w:val="fr-FR"/>
        </w:rPr>
        <w:lastRenderedPageBreak/>
        <w:tab/>
      </w:r>
      <w:bookmarkStart w:id="46" w:name="_Toc39063348"/>
      <w:r w:rsidRPr="002A2EA6">
        <w:rPr>
          <w:lang w:val="fr-FR"/>
        </w:rPr>
        <w:t>B.</w:t>
      </w:r>
      <w:r w:rsidRPr="002A2EA6">
        <w:rPr>
          <w:lang w:val="fr-FR"/>
        </w:rPr>
        <w:tab/>
      </w:r>
      <w:r w:rsidR="009F167C" w:rsidRPr="002A2EA6">
        <w:rPr>
          <w:lang w:val="fr-FR"/>
        </w:rPr>
        <w:t>Autres organisations et organismes internationaux</w:t>
      </w:r>
      <w:bookmarkEnd w:id="46"/>
    </w:p>
    <w:p w14:paraId="161F8E89" w14:textId="6B8B9125" w:rsidR="54A868C4" w:rsidRPr="002A2EA6" w:rsidRDefault="54A868C4" w:rsidP="001712F4">
      <w:pPr>
        <w:pStyle w:val="Normalnumber"/>
        <w:numPr>
          <w:ilvl w:val="0"/>
          <w:numId w:val="42"/>
        </w:numPr>
        <w:tabs>
          <w:tab w:val="clear" w:pos="1814"/>
          <w:tab w:val="left" w:pos="1843"/>
          <w:tab w:val="left" w:pos="1985"/>
        </w:tabs>
        <w:ind w:left="1288" w:hanging="28"/>
        <w:rPr>
          <w:lang w:val="fr-FR"/>
        </w:rPr>
      </w:pPr>
      <w:r w:rsidRPr="002A2EA6">
        <w:rPr>
          <w:lang w:val="fr-FR"/>
        </w:rPr>
        <w:t>Présentant ce sous-point, le représentant du secrétariat a appelé l</w:t>
      </w:r>
      <w:r w:rsidR="00CA4DAC">
        <w:rPr>
          <w:lang w:val="fr-FR"/>
        </w:rPr>
        <w:t>’</w:t>
      </w:r>
      <w:r w:rsidRPr="002A2EA6">
        <w:rPr>
          <w:lang w:val="fr-FR"/>
        </w:rPr>
        <w:t xml:space="preserve">attention des participants sur les informations </w:t>
      </w:r>
      <w:r w:rsidR="003A29D2" w:rsidRPr="002A2EA6">
        <w:rPr>
          <w:lang w:val="fr-FR"/>
        </w:rPr>
        <w:t>à ce sujet</w:t>
      </w:r>
      <w:r w:rsidRPr="002A2EA6">
        <w:rPr>
          <w:lang w:val="fr-FR"/>
        </w:rPr>
        <w:t xml:space="preserve"> figurant dans le rapport sur les activités des organes internationaux compétents (UNEP/MC/COP.3/INF/17).</w:t>
      </w:r>
    </w:p>
    <w:p w14:paraId="37D304F8" w14:textId="0E165DD0" w:rsidR="0025439F" w:rsidRPr="002A2EA6" w:rsidRDefault="00E43AE9" w:rsidP="0025439F">
      <w:pPr>
        <w:pStyle w:val="CH3"/>
        <w:rPr>
          <w:lang w:val="fr-FR"/>
        </w:rPr>
      </w:pPr>
      <w:r w:rsidRPr="002A2EA6">
        <w:rPr>
          <w:lang w:val="fr-FR"/>
        </w:rPr>
        <w:tab/>
      </w:r>
      <w:r w:rsidR="0025439F" w:rsidRPr="002A2EA6">
        <w:rPr>
          <w:lang w:val="fr-FR"/>
        </w:rPr>
        <w:t>1.</w:t>
      </w:r>
      <w:r w:rsidR="0025439F" w:rsidRPr="002A2EA6">
        <w:rPr>
          <w:lang w:val="fr-FR"/>
        </w:rPr>
        <w:tab/>
        <w:t>Groupe consultatif du Partenariat mondial sur le mercure</w:t>
      </w:r>
    </w:p>
    <w:p w14:paraId="57F43C8B" w14:textId="6656025E" w:rsidR="54A868C4" w:rsidRPr="002A2EA6" w:rsidRDefault="54A868C4" w:rsidP="001712F4">
      <w:pPr>
        <w:pStyle w:val="Normalnumber"/>
        <w:numPr>
          <w:ilvl w:val="0"/>
          <w:numId w:val="42"/>
        </w:numPr>
        <w:tabs>
          <w:tab w:val="clear" w:pos="1814"/>
          <w:tab w:val="left" w:pos="1843"/>
          <w:tab w:val="left" w:pos="1985"/>
        </w:tabs>
        <w:ind w:left="1288" w:hanging="28"/>
        <w:rPr>
          <w:lang w:val="fr-FR"/>
        </w:rPr>
      </w:pPr>
      <w:r w:rsidRPr="002A2EA6">
        <w:rPr>
          <w:lang w:val="fr-FR"/>
        </w:rPr>
        <w:t>Le représentant du Groupe consultatif du Partenariat mondial sur le mercure du PNUE a rendu compte des travaux menés par le Groupe à sa dixième réunion, tenue à Genève le 23 novembre</w:t>
      </w:r>
      <w:r w:rsidR="000F52F1" w:rsidRPr="002A2EA6">
        <w:rPr>
          <w:lang w:val="fr-FR"/>
        </w:rPr>
        <w:t> </w:t>
      </w:r>
      <w:r w:rsidRPr="002A2EA6">
        <w:rPr>
          <w:lang w:val="fr-FR"/>
        </w:rPr>
        <w:t>2019. À cette occasion, le Groupe avait recensé plusieurs domaines d</w:t>
      </w:r>
      <w:r w:rsidR="00CA4DAC">
        <w:rPr>
          <w:lang w:val="fr-FR"/>
        </w:rPr>
        <w:t>’</w:t>
      </w:r>
      <w:r w:rsidRPr="002A2EA6">
        <w:rPr>
          <w:lang w:val="fr-FR"/>
        </w:rPr>
        <w:t>activité prioritaires possibles pour le</w:t>
      </w:r>
      <w:r w:rsidR="000F52F1" w:rsidRPr="002A2EA6">
        <w:rPr>
          <w:lang w:val="fr-FR"/>
        </w:rPr>
        <w:t> </w:t>
      </w:r>
      <w:r w:rsidRPr="002A2EA6">
        <w:rPr>
          <w:lang w:val="fr-FR"/>
        </w:rPr>
        <w:t>Partenariat, qui comptait plus de 190</w:t>
      </w:r>
      <w:r w:rsidR="00E43AE9" w:rsidRPr="002A2EA6">
        <w:rPr>
          <w:lang w:val="fr-FR"/>
        </w:rPr>
        <w:t> </w:t>
      </w:r>
      <w:r w:rsidRPr="002A2EA6">
        <w:rPr>
          <w:lang w:val="fr-FR"/>
        </w:rPr>
        <w:t>membres, notamment l</w:t>
      </w:r>
      <w:r w:rsidR="00CA4DAC">
        <w:rPr>
          <w:lang w:val="fr-FR"/>
        </w:rPr>
        <w:t>’</w:t>
      </w:r>
      <w:r w:rsidRPr="002A2EA6">
        <w:rPr>
          <w:lang w:val="fr-FR"/>
        </w:rPr>
        <w:t>affinement des coefficients d</w:t>
      </w:r>
      <w:r w:rsidR="00CA4DAC">
        <w:rPr>
          <w:lang w:val="fr-FR"/>
        </w:rPr>
        <w:t>’</w:t>
      </w:r>
      <w:r w:rsidRPr="002A2EA6">
        <w:rPr>
          <w:lang w:val="fr-FR"/>
        </w:rPr>
        <w:t>émission de secteurs clefs, la mise en place d</w:t>
      </w:r>
      <w:r w:rsidR="00CA4DAC">
        <w:rPr>
          <w:lang w:val="fr-FR"/>
        </w:rPr>
        <w:t>’</w:t>
      </w:r>
      <w:r w:rsidRPr="002A2EA6">
        <w:rPr>
          <w:lang w:val="fr-FR"/>
        </w:rPr>
        <w:t>un cadre pour une base de données centralisée sur les évaluations du mercure, l</w:t>
      </w:r>
      <w:r w:rsidR="00CA4DAC">
        <w:rPr>
          <w:lang w:val="fr-FR"/>
        </w:rPr>
        <w:t>’</w:t>
      </w:r>
      <w:r w:rsidRPr="002A2EA6">
        <w:rPr>
          <w:lang w:val="fr-FR"/>
        </w:rPr>
        <w:t>établissement de directives sur les produits contenant du mercure ajouté, l</w:t>
      </w:r>
      <w:r w:rsidR="00CA4DAC">
        <w:rPr>
          <w:lang w:val="fr-FR"/>
        </w:rPr>
        <w:t>’</w:t>
      </w:r>
      <w:r w:rsidRPr="002A2EA6">
        <w:rPr>
          <w:lang w:val="fr-FR"/>
        </w:rPr>
        <w:t>élaboration d</w:t>
      </w:r>
      <w:r w:rsidR="00CA4DAC">
        <w:rPr>
          <w:lang w:val="fr-FR"/>
        </w:rPr>
        <w:t>’</w:t>
      </w:r>
      <w:r w:rsidRPr="002A2EA6">
        <w:rPr>
          <w:lang w:val="fr-FR"/>
        </w:rPr>
        <w:t>outils d</w:t>
      </w:r>
      <w:r w:rsidR="00CA4DAC">
        <w:rPr>
          <w:lang w:val="fr-FR"/>
        </w:rPr>
        <w:t>’</w:t>
      </w:r>
      <w:r w:rsidRPr="002A2EA6">
        <w:rPr>
          <w:lang w:val="fr-FR"/>
        </w:rPr>
        <w:t>information sur les technologies liées aux déchets et l</w:t>
      </w:r>
      <w:r w:rsidR="00CA4DAC">
        <w:rPr>
          <w:lang w:val="fr-FR"/>
        </w:rPr>
        <w:t>’</w:t>
      </w:r>
      <w:r w:rsidRPr="002A2EA6">
        <w:rPr>
          <w:lang w:val="fr-FR"/>
        </w:rPr>
        <w:t>organisation de webinaires pour la</w:t>
      </w:r>
      <w:r w:rsidR="000F52F1" w:rsidRPr="002A2EA6">
        <w:rPr>
          <w:lang w:val="fr-FR"/>
        </w:rPr>
        <w:t> </w:t>
      </w:r>
      <w:r w:rsidRPr="002A2EA6">
        <w:rPr>
          <w:lang w:val="fr-FR"/>
        </w:rPr>
        <w:t>mise en commun de l</w:t>
      </w:r>
      <w:r w:rsidR="00CA4DAC">
        <w:rPr>
          <w:lang w:val="fr-FR"/>
        </w:rPr>
        <w:t>’</w:t>
      </w:r>
      <w:r w:rsidRPr="002A2EA6">
        <w:rPr>
          <w:lang w:val="fr-FR"/>
        </w:rPr>
        <w:t>information. Le Groupe avait également examiné des questions transversales susceptibles d</w:t>
      </w:r>
      <w:r w:rsidR="00CA4DAC">
        <w:rPr>
          <w:lang w:val="fr-FR"/>
        </w:rPr>
        <w:t>’</w:t>
      </w:r>
      <w:r w:rsidRPr="002A2EA6">
        <w:rPr>
          <w:lang w:val="fr-FR"/>
        </w:rPr>
        <w:t>accroître la disponibilité du mercure sur le marché et ses rejets dans l</w:t>
      </w:r>
      <w:r w:rsidR="00CA4DAC">
        <w:rPr>
          <w:lang w:val="fr-FR"/>
        </w:rPr>
        <w:t>’</w:t>
      </w:r>
      <w:r w:rsidRPr="002A2EA6">
        <w:rPr>
          <w:lang w:val="fr-FR"/>
        </w:rPr>
        <w:t>environnement et avait demandé au secrétariat du Partenariat d</w:t>
      </w:r>
      <w:r w:rsidR="00CA4DAC">
        <w:rPr>
          <w:lang w:val="fr-FR"/>
        </w:rPr>
        <w:t>’</w:t>
      </w:r>
      <w:r w:rsidRPr="002A2EA6">
        <w:rPr>
          <w:lang w:val="fr-FR"/>
        </w:rPr>
        <w:t>organiser des discussions consacrées à ces questions. Il</w:t>
      </w:r>
      <w:r w:rsidR="00E43AE9" w:rsidRPr="002A2EA6">
        <w:rPr>
          <w:lang w:val="fr-FR"/>
        </w:rPr>
        <w:t> </w:t>
      </w:r>
      <w:r w:rsidRPr="002A2EA6">
        <w:rPr>
          <w:lang w:val="fr-FR"/>
        </w:rPr>
        <w:t>a</w:t>
      </w:r>
      <w:r w:rsidR="00E43AE9" w:rsidRPr="002A2EA6">
        <w:rPr>
          <w:lang w:val="fr-FR"/>
        </w:rPr>
        <w:t> </w:t>
      </w:r>
      <w:r w:rsidRPr="002A2EA6">
        <w:rPr>
          <w:lang w:val="fr-FR"/>
        </w:rPr>
        <w:t>appelé l</w:t>
      </w:r>
      <w:r w:rsidR="00CA4DAC">
        <w:rPr>
          <w:lang w:val="fr-FR"/>
        </w:rPr>
        <w:t>’</w:t>
      </w:r>
      <w:r w:rsidRPr="002A2EA6">
        <w:rPr>
          <w:lang w:val="fr-FR"/>
        </w:rPr>
        <w:t>attention des participants sur le document d</w:t>
      </w:r>
      <w:r w:rsidR="00CA4DAC">
        <w:rPr>
          <w:lang w:val="fr-FR"/>
        </w:rPr>
        <w:t>’</w:t>
      </w:r>
      <w:r w:rsidRPr="002A2EA6">
        <w:rPr>
          <w:lang w:val="fr-FR"/>
        </w:rPr>
        <w:t>information dont la Conférence était saisie à</w:t>
      </w:r>
      <w:r w:rsidR="000F52F1" w:rsidRPr="002A2EA6">
        <w:rPr>
          <w:lang w:val="fr-FR"/>
        </w:rPr>
        <w:t> </w:t>
      </w:r>
      <w:r w:rsidRPr="002A2EA6">
        <w:rPr>
          <w:lang w:val="fr-FR"/>
        </w:rPr>
        <w:t>la réunion en cours et qui décrivait en détail les activités menées par le Partenariat au cours de l</w:t>
      </w:r>
      <w:r w:rsidR="00CA4DAC">
        <w:rPr>
          <w:lang w:val="fr-FR"/>
        </w:rPr>
        <w:t>’</w:t>
      </w:r>
      <w:r w:rsidRPr="002A2EA6">
        <w:rPr>
          <w:lang w:val="fr-FR"/>
        </w:rPr>
        <w:t xml:space="preserve">année </w:t>
      </w:r>
      <w:r w:rsidR="002A601C" w:rsidRPr="002A2EA6">
        <w:rPr>
          <w:lang w:val="fr-FR"/>
        </w:rPr>
        <w:t xml:space="preserve">écoulée </w:t>
      </w:r>
      <w:r w:rsidRPr="002A2EA6">
        <w:rPr>
          <w:lang w:val="fr-FR"/>
        </w:rPr>
        <w:t>(UNEP/MC/COP.3/INF/7/Rev.1).</w:t>
      </w:r>
    </w:p>
    <w:p w14:paraId="468D86C9" w14:textId="4F0BEBD1" w:rsidR="0025439F" w:rsidRPr="002A2EA6" w:rsidRDefault="0025439F" w:rsidP="0025439F">
      <w:pPr>
        <w:pStyle w:val="CH3"/>
        <w:rPr>
          <w:lang w:val="fr-FR"/>
        </w:rPr>
      </w:pPr>
      <w:r w:rsidRPr="002A2EA6">
        <w:rPr>
          <w:lang w:val="fr-FR"/>
        </w:rPr>
        <w:tab/>
        <w:t>2.</w:t>
      </w:r>
      <w:r w:rsidRPr="002A2EA6">
        <w:rPr>
          <w:lang w:val="fr-FR"/>
        </w:rPr>
        <w:tab/>
        <w:t>Programme des Nations Unies pour l</w:t>
      </w:r>
      <w:r w:rsidR="00CA4DAC">
        <w:rPr>
          <w:lang w:val="fr-FR"/>
        </w:rPr>
        <w:t>’</w:t>
      </w:r>
      <w:r w:rsidRPr="002A2EA6">
        <w:rPr>
          <w:lang w:val="fr-FR"/>
        </w:rPr>
        <w:t>environnement</w:t>
      </w:r>
    </w:p>
    <w:p w14:paraId="6EB9B470" w14:textId="17BDCD47" w:rsidR="5CF33A8E" w:rsidRPr="002A2EA6" w:rsidRDefault="5CF33A8E" w:rsidP="001712F4">
      <w:pPr>
        <w:pStyle w:val="Normalnumber"/>
        <w:numPr>
          <w:ilvl w:val="0"/>
          <w:numId w:val="42"/>
        </w:numPr>
        <w:tabs>
          <w:tab w:val="clear" w:pos="1814"/>
          <w:tab w:val="left" w:pos="1843"/>
          <w:tab w:val="left" w:pos="1985"/>
        </w:tabs>
        <w:ind w:left="1288" w:hanging="28"/>
        <w:rPr>
          <w:lang w:val="fr-FR"/>
        </w:rPr>
      </w:pPr>
      <w:r w:rsidRPr="002A2EA6">
        <w:rPr>
          <w:lang w:val="fr-FR"/>
        </w:rPr>
        <w:t xml:space="preserve">Le représentant du PNUE a </w:t>
      </w:r>
      <w:r w:rsidR="00B003F1" w:rsidRPr="002A2EA6">
        <w:rPr>
          <w:lang w:val="fr-FR"/>
        </w:rPr>
        <w:t xml:space="preserve">appelé </w:t>
      </w:r>
      <w:r w:rsidRPr="002A2EA6">
        <w:rPr>
          <w:lang w:val="fr-FR"/>
        </w:rPr>
        <w:t>l</w:t>
      </w:r>
      <w:r w:rsidR="00CA4DAC">
        <w:rPr>
          <w:lang w:val="fr-FR"/>
        </w:rPr>
        <w:t>’</w:t>
      </w:r>
      <w:r w:rsidRPr="002A2EA6">
        <w:rPr>
          <w:lang w:val="fr-FR"/>
        </w:rPr>
        <w:t>attention des participants sur le rapport de la</w:t>
      </w:r>
      <w:r w:rsidR="00146AA4" w:rsidRPr="002A2EA6">
        <w:rPr>
          <w:lang w:val="fr-FR"/>
        </w:rPr>
        <w:t> </w:t>
      </w:r>
      <w:r w:rsidRPr="002A2EA6">
        <w:rPr>
          <w:lang w:val="fr-FR"/>
        </w:rPr>
        <w:t>Directrice</w:t>
      </w:r>
      <w:r w:rsidR="00146AA4" w:rsidRPr="002A2EA6">
        <w:rPr>
          <w:lang w:val="fr-FR"/>
        </w:rPr>
        <w:t> </w:t>
      </w:r>
      <w:r w:rsidRPr="002A2EA6">
        <w:rPr>
          <w:lang w:val="fr-FR"/>
        </w:rPr>
        <w:t xml:space="preserve">exécutive du PNUE </w:t>
      </w:r>
      <w:r w:rsidR="00C02F59" w:rsidRPr="002A2EA6">
        <w:rPr>
          <w:lang w:val="fr-FR"/>
        </w:rPr>
        <w:t xml:space="preserve">relatif aux </w:t>
      </w:r>
      <w:r w:rsidRPr="002A2EA6">
        <w:rPr>
          <w:lang w:val="fr-FR"/>
        </w:rPr>
        <w:t>travaux du PNUE à l</w:t>
      </w:r>
      <w:r w:rsidR="00CA4DAC">
        <w:rPr>
          <w:lang w:val="fr-FR"/>
        </w:rPr>
        <w:t>’</w:t>
      </w:r>
      <w:r w:rsidRPr="002A2EA6">
        <w:rPr>
          <w:lang w:val="fr-FR"/>
        </w:rPr>
        <w:t>appui de la Convention de Minamata (UNEP/MC/COP.3/INF/4), lequel comportait trois</w:t>
      </w:r>
      <w:r w:rsidR="00146AA4" w:rsidRPr="002A2EA6">
        <w:rPr>
          <w:lang w:val="fr-FR"/>
        </w:rPr>
        <w:t> </w:t>
      </w:r>
      <w:r w:rsidRPr="002A2EA6">
        <w:rPr>
          <w:lang w:val="fr-FR"/>
        </w:rPr>
        <w:t>parties.</w:t>
      </w:r>
      <w:r w:rsidR="28E8A6D1" w:rsidRPr="002A2EA6">
        <w:rPr>
          <w:lang w:val="fr-FR"/>
        </w:rPr>
        <w:t xml:space="preserve"> La première </w:t>
      </w:r>
      <w:r w:rsidR="00E46DAA">
        <w:rPr>
          <w:lang w:val="fr-FR"/>
        </w:rPr>
        <w:t>mettait en avant la</w:t>
      </w:r>
      <w:r w:rsidR="000F5657">
        <w:rPr>
          <w:lang w:val="fr-FR"/>
        </w:rPr>
        <w:t> </w:t>
      </w:r>
      <w:r w:rsidR="00E46DAA">
        <w:rPr>
          <w:lang w:val="fr-FR"/>
        </w:rPr>
        <w:t xml:space="preserve">collaboration programmatique entre le PNUE et la Convention de Minamata et </w:t>
      </w:r>
      <w:r w:rsidR="28E8A6D1" w:rsidRPr="002A2EA6">
        <w:rPr>
          <w:lang w:val="fr-FR"/>
        </w:rPr>
        <w:t>rendait compte de l</w:t>
      </w:r>
      <w:r w:rsidR="00CA4DAC">
        <w:rPr>
          <w:lang w:val="fr-FR"/>
        </w:rPr>
        <w:t>’</w:t>
      </w:r>
      <w:r w:rsidR="28E8A6D1" w:rsidRPr="002A2EA6">
        <w:rPr>
          <w:lang w:val="fr-FR"/>
        </w:rPr>
        <w:t>appui fourni par le PNUE au Partenariat mondial sur le mercure</w:t>
      </w:r>
      <w:r w:rsidR="00267CB2" w:rsidRPr="002A2EA6">
        <w:rPr>
          <w:lang w:val="fr-FR"/>
        </w:rPr>
        <w:t> </w:t>
      </w:r>
      <w:r w:rsidR="631BDA25" w:rsidRPr="002A2EA6">
        <w:rPr>
          <w:lang w:val="fr-FR"/>
        </w:rPr>
        <w:t>;</w:t>
      </w:r>
      <w:r w:rsidR="28E8A6D1" w:rsidRPr="002A2EA6">
        <w:rPr>
          <w:lang w:val="fr-FR"/>
        </w:rPr>
        <w:t xml:space="preserve"> </w:t>
      </w:r>
      <w:r w:rsidR="42F68742" w:rsidRPr="002A2EA6">
        <w:rPr>
          <w:lang w:val="fr-FR"/>
        </w:rPr>
        <w:t>de ses contributions aux travaux intersessions</w:t>
      </w:r>
      <w:r w:rsidR="00267CB2" w:rsidRPr="002A2EA6">
        <w:rPr>
          <w:lang w:val="fr-FR"/>
        </w:rPr>
        <w:t> </w:t>
      </w:r>
      <w:r w:rsidR="631BDA25" w:rsidRPr="002A2EA6">
        <w:rPr>
          <w:lang w:val="fr-FR"/>
        </w:rPr>
        <w:t>;</w:t>
      </w:r>
      <w:r w:rsidR="42F68742" w:rsidRPr="002A2EA6">
        <w:rPr>
          <w:lang w:val="fr-FR"/>
        </w:rPr>
        <w:t xml:space="preserve"> </w:t>
      </w:r>
      <w:r w:rsidR="7E8A51CF" w:rsidRPr="002A2EA6">
        <w:rPr>
          <w:lang w:val="fr-FR"/>
        </w:rPr>
        <w:t xml:space="preserve">de </w:t>
      </w:r>
      <w:r w:rsidR="00071785" w:rsidRPr="002A2EA6">
        <w:rPr>
          <w:lang w:val="fr-FR"/>
        </w:rPr>
        <w:t>l</w:t>
      </w:r>
      <w:r w:rsidR="00CA4DAC">
        <w:rPr>
          <w:lang w:val="fr-FR"/>
        </w:rPr>
        <w:t>’</w:t>
      </w:r>
      <w:r w:rsidR="7E8A51CF" w:rsidRPr="002A2EA6">
        <w:rPr>
          <w:lang w:val="fr-FR"/>
        </w:rPr>
        <w:t xml:space="preserve">aide </w:t>
      </w:r>
      <w:r w:rsidR="00071785" w:rsidRPr="002A2EA6">
        <w:rPr>
          <w:lang w:val="fr-FR"/>
        </w:rPr>
        <w:t xml:space="preserve">apportée </w:t>
      </w:r>
      <w:r w:rsidR="7E8A51CF" w:rsidRPr="002A2EA6">
        <w:rPr>
          <w:lang w:val="fr-FR"/>
        </w:rPr>
        <w:t>aux pays en vue de la ratification et de la mise en œuvre de la</w:t>
      </w:r>
      <w:r w:rsidR="00146AA4" w:rsidRPr="002A2EA6">
        <w:rPr>
          <w:lang w:val="fr-FR"/>
        </w:rPr>
        <w:t> </w:t>
      </w:r>
      <w:r w:rsidR="7E8A51CF" w:rsidRPr="002A2EA6">
        <w:rPr>
          <w:lang w:val="fr-FR"/>
        </w:rPr>
        <w:t>Convention de Minamata</w:t>
      </w:r>
      <w:r w:rsidR="00267CB2" w:rsidRPr="002A2EA6">
        <w:rPr>
          <w:lang w:val="fr-FR"/>
        </w:rPr>
        <w:t> </w:t>
      </w:r>
      <w:r w:rsidR="631BDA25" w:rsidRPr="002A2EA6">
        <w:rPr>
          <w:lang w:val="fr-FR"/>
        </w:rPr>
        <w:t>;</w:t>
      </w:r>
      <w:r w:rsidR="7E8A51CF" w:rsidRPr="002A2EA6">
        <w:rPr>
          <w:lang w:val="fr-FR"/>
        </w:rPr>
        <w:t xml:space="preserve"> </w:t>
      </w:r>
      <w:r w:rsidR="10330BC8" w:rsidRPr="002A2EA6">
        <w:rPr>
          <w:lang w:val="fr-FR"/>
        </w:rPr>
        <w:t>de l</w:t>
      </w:r>
      <w:r w:rsidR="00CA4DAC">
        <w:rPr>
          <w:lang w:val="fr-FR"/>
        </w:rPr>
        <w:t>’</w:t>
      </w:r>
      <w:r w:rsidR="10330BC8" w:rsidRPr="002A2EA6">
        <w:rPr>
          <w:lang w:val="fr-FR"/>
        </w:rPr>
        <w:t>élaboration de l</w:t>
      </w:r>
      <w:r w:rsidR="00CA4DAC">
        <w:rPr>
          <w:lang w:val="fr-FR"/>
        </w:rPr>
        <w:t>’</w:t>
      </w:r>
      <w:r w:rsidR="10330BC8" w:rsidRPr="002A2EA6">
        <w:rPr>
          <w:lang w:val="fr-FR"/>
        </w:rPr>
        <w:t>Évaluation mondiale du mercure 2018</w:t>
      </w:r>
      <w:r w:rsidR="00267CB2" w:rsidRPr="002A2EA6">
        <w:rPr>
          <w:lang w:val="fr-FR"/>
        </w:rPr>
        <w:t> </w:t>
      </w:r>
      <w:r w:rsidR="631BDA25" w:rsidRPr="002A2EA6">
        <w:rPr>
          <w:lang w:val="fr-FR"/>
        </w:rPr>
        <w:t>;</w:t>
      </w:r>
      <w:r w:rsidR="10330BC8" w:rsidRPr="002A2EA6">
        <w:rPr>
          <w:lang w:val="fr-FR"/>
        </w:rPr>
        <w:t xml:space="preserve"> </w:t>
      </w:r>
      <w:r w:rsidR="643A79F0" w:rsidRPr="002A2EA6">
        <w:rPr>
          <w:lang w:val="fr-FR"/>
        </w:rPr>
        <w:t>de la mise à jour pour 2019 de la boîte à outils pour l</w:t>
      </w:r>
      <w:r w:rsidR="00CA4DAC">
        <w:rPr>
          <w:lang w:val="fr-FR"/>
        </w:rPr>
        <w:t>’</w:t>
      </w:r>
      <w:r w:rsidR="643A79F0" w:rsidRPr="002A2EA6">
        <w:rPr>
          <w:lang w:val="fr-FR"/>
        </w:rPr>
        <w:t>inventaire du mercure et des activités menées par le PNUE en matière de surveillance du mercure et de déchets de mercure.</w:t>
      </w:r>
      <w:r w:rsidR="2D9751FB" w:rsidRPr="002A2EA6">
        <w:rPr>
          <w:lang w:val="fr-FR"/>
        </w:rPr>
        <w:t xml:space="preserve"> La deuxième partie du rapport faisait état de l</w:t>
      </w:r>
      <w:r w:rsidR="00CA4DAC">
        <w:rPr>
          <w:lang w:val="fr-FR"/>
        </w:rPr>
        <w:t>’</w:t>
      </w:r>
      <w:r w:rsidR="2D9751FB" w:rsidRPr="002A2EA6">
        <w:rPr>
          <w:lang w:val="fr-FR"/>
        </w:rPr>
        <w:t>assistance administrative et financière fournie par le PNUE au secrétariat de la Convention de Minamata</w:t>
      </w:r>
      <w:r w:rsidR="00F133F6" w:rsidRPr="002A2EA6">
        <w:rPr>
          <w:lang w:val="fr-FR"/>
        </w:rPr>
        <w:t xml:space="preserve">. Et </w:t>
      </w:r>
      <w:r w:rsidR="2D9751FB" w:rsidRPr="002A2EA6">
        <w:rPr>
          <w:lang w:val="fr-FR"/>
        </w:rPr>
        <w:t xml:space="preserve">la troisième </w:t>
      </w:r>
      <w:r w:rsidR="00F133F6" w:rsidRPr="002A2EA6">
        <w:rPr>
          <w:lang w:val="fr-FR"/>
        </w:rPr>
        <w:t xml:space="preserve">partie </w:t>
      </w:r>
      <w:r w:rsidR="004E620A" w:rsidRPr="002A2EA6">
        <w:rPr>
          <w:lang w:val="fr-FR"/>
        </w:rPr>
        <w:t xml:space="preserve">précisait comment le </w:t>
      </w:r>
      <w:r w:rsidR="2D9751FB" w:rsidRPr="002A2EA6">
        <w:rPr>
          <w:lang w:val="fr-FR"/>
        </w:rPr>
        <w:t xml:space="preserve">PNUE </w:t>
      </w:r>
      <w:r w:rsidR="00C90235" w:rsidRPr="002A2EA6">
        <w:rPr>
          <w:lang w:val="fr-FR"/>
        </w:rPr>
        <w:t xml:space="preserve">avait contribué </w:t>
      </w:r>
      <w:r w:rsidR="2D9751FB" w:rsidRPr="002A2EA6">
        <w:rPr>
          <w:lang w:val="fr-FR"/>
        </w:rPr>
        <w:t>aux préparatifs</w:t>
      </w:r>
      <w:r w:rsidR="5421EB8D" w:rsidRPr="002A2EA6">
        <w:rPr>
          <w:lang w:val="fr-FR"/>
        </w:rPr>
        <w:t xml:space="preserve"> et à la</w:t>
      </w:r>
      <w:r w:rsidR="00146AA4" w:rsidRPr="002A2EA6">
        <w:rPr>
          <w:lang w:val="fr-FR"/>
        </w:rPr>
        <w:t> </w:t>
      </w:r>
      <w:r w:rsidR="5421EB8D" w:rsidRPr="002A2EA6">
        <w:rPr>
          <w:lang w:val="fr-FR"/>
        </w:rPr>
        <w:t>tenue</w:t>
      </w:r>
      <w:r w:rsidR="2D9751FB" w:rsidRPr="002A2EA6">
        <w:rPr>
          <w:lang w:val="fr-FR"/>
        </w:rPr>
        <w:t xml:space="preserve"> de la réunion</w:t>
      </w:r>
      <w:r w:rsidR="00803BDB" w:rsidRPr="002A2EA6">
        <w:rPr>
          <w:lang w:val="fr-FR"/>
        </w:rPr>
        <w:t xml:space="preserve"> en cours</w:t>
      </w:r>
      <w:r w:rsidR="2D9751FB" w:rsidRPr="002A2EA6">
        <w:rPr>
          <w:lang w:val="fr-FR"/>
        </w:rPr>
        <w:t xml:space="preserve">, ainsi que la coopération entre le Service des substances chimiques et de la santé du PNUE, le Secrétariat des </w:t>
      </w:r>
      <w:r w:rsidR="00267CB2" w:rsidRPr="002A2EA6">
        <w:rPr>
          <w:lang w:val="fr-FR"/>
        </w:rPr>
        <w:t>c</w:t>
      </w:r>
      <w:r w:rsidR="2D9751FB" w:rsidRPr="002A2EA6">
        <w:rPr>
          <w:lang w:val="fr-FR"/>
        </w:rPr>
        <w:t>onventions de Bâle, de Rotterdam et de Stockholm, le</w:t>
      </w:r>
      <w:r w:rsidR="00C853D4" w:rsidRPr="002A2EA6">
        <w:rPr>
          <w:lang w:val="fr-FR"/>
        </w:rPr>
        <w:t> </w:t>
      </w:r>
      <w:r w:rsidR="2D9751FB" w:rsidRPr="002A2EA6">
        <w:rPr>
          <w:lang w:val="fr-FR"/>
        </w:rPr>
        <w:t>secrétariat de la Convention de Minamata et le secrétariat de l</w:t>
      </w:r>
      <w:r w:rsidR="00CA4DAC">
        <w:rPr>
          <w:lang w:val="fr-FR"/>
        </w:rPr>
        <w:t>’</w:t>
      </w:r>
      <w:r w:rsidR="2D9751FB" w:rsidRPr="002A2EA6">
        <w:rPr>
          <w:lang w:val="fr-FR"/>
        </w:rPr>
        <w:t>Approche stratégique de la gestion internationale des produits chimiques.</w:t>
      </w:r>
    </w:p>
    <w:p w14:paraId="3883467D" w14:textId="5D897FAE" w:rsidR="0025439F" w:rsidRPr="002A2EA6" w:rsidRDefault="0025439F" w:rsidP="0025439F">
      <w:pPr>
        <w:pStyle w:val="CH3"/>
        <w:rPr>
          <w:lang w:val="fr-FR"/>
        </w:rPr>
      </w:pPr>
      <w:r w:rsidRPr="002A2EA6">
        <w:rPr>
          <w:lang w:val="fr-FR"/>
        </w:rPr>
        <w:tab/>
        <w:t>3.</w:t>
      </w:r>
      <w:r w:rsidRPr="002A2EA6">
        <w:rPr>
          <w:lang w:val="fr-FR"/>
        </w:rPr>
        <w:tab/>
      </w:r>
      <w:r w:rsidRPr="002A2EA6">
        <w:rPr>
          <w:bCs/>
          <w:lang w:val="fr-FR"/>
        </w:rPr>
        <w:t>Approche stratégique de la gestion internationale des produits chimiques</w:t>
      </w:r>
    </w:p>
    <w:p w14:paraId="6C87A1E4" w14:textId="7A8AE099" w:rsidR="58ECB94C" w:rsidRPr="002A2EA6" w:rsidRDefault="58ECB94C" w:rsidP="001712F4">
      <w:pPr>
        <w:pStyle w:val="Normalnumber"/>
        <w:numPr>
          <w:ilvl w:val="0"/>
          <w:numId w:val="42"/>
        </w:numPr>
        <w:tabs>
          <w:tab w:val="clear" w:pos="1814"/>
          <w:tab w:val="left" w:pos="1843"/>
          <w:tab w:val="left" w:pos="1985"/>
        </w:tabs>
        <w:ind w:left="1288" w:hanging="28"/>
        <w:rPr>
          <w:lang w:val="fr-FR"/>
        </w:rPr>
      </w:pPr>
      <w:r w:rsidRPr="002A2EA6">
        <w:rPr>
          <w:lang w:val="fr-FR"/>
        </w:rPr>
        <w:t>La représentante de l</w:t>
      </w:r>
      <w:r w:rsidR="00CA4DAC">
        <w:rPr>
          <w:lang w:val="fr-FR"/>
        </w:rPr>
        <w:t>’</w:t>
      </w:r>
      <w:r w:rsidRPr="002A2EA6">
        <w:rPr>
          <w:lang w:val="fr-FR"/>
        </w:rPr>
        <w:t>Approche stratégique de la gestion internationale des produits chimiques a déclaré que le secrétariat de l</w:t>
      </w:r>
      <w:r w:rsidR="00CA4DAC">
        <w:rPr>
          <w:lang w:val="fr-FR"/>
        </w:rPr>
        <w:t>’</w:t>
      </w:r>
      <w:r w:rsidRPr="002A2EA6">
        <w:rPr>
          <w:lang w:val="fr-FR"/>
        </w:rPr>
        <w:t>Approche stratégique coopérait activement avec les Parties à la</w:t>
      </w:r>
      <w:r w:rsidR="00C853D4" w:rsidRPr="002A2EA6">
        <w:rPr>
          <w:lang w:val="fr-FR"/>
        </w:rPr>
        <w:t> </w:t>
      </w:r>
      <w:r w:rsidRPr="002A2EA6">
        <w:rPr>
          <w:lang w:val="fr-FR"/>
        </w:rPr>
        <w:t xml:space="preserve">Convention de Minamata et le secrétariat de la Convention. Le programme de démarrage rapide avait servi </w:t>
      </w:r>
      <w:r w:rsidR="00652ED5" w:rsidRPr="002A2EA6">
        <w:rPr>
          <w:lang w:val="fr-FR"/>
        </w:rPr>
        <w:t>dans le cadre d</w:t>
      </w:r>
      <w:r w:rsidR="00CA4DAC">
        <w:rPr>
          <w:lang w:val="fr-FR"/>
        </w:rPr>
        <w:t>’</w:t>
      </w:r>
      <w:r w:rsidRPr="002A2EA6">
        <w:rPr>
          <w:lang w:val="fr-FR"/>
        </w:rPr>
        <w:t>un certain nombre de projets ayant un rapport direct avec le mercure, notamment des activités liées à l</w:t>
      </w:r>
      <w:r w:rsidR="00CA4DAC">
        <w:rPr>
          <w:lang w:val="fr-FR"/>
        </w:rPr>
        <w:t>’</w:t>
      </w:r>
      <w:r w:rsidRPr="002A2EA6">
        <w:rPr>
          <w:lang w:val="fr-FR"/>
        </w:rPr>
        <w:t>extraction artisanale et à petite échelle d</w:t>
      </w:r>
      <w:r w:rsidR="00CA4DAC">
        <w:rPr>
          <w:lang w:val="fr-FR"/>
        </w:rPr>
        <w:t>’</w:t>
      </w:r>
      <w:r w:rsidRPr="002A2EA6">
        <w:rPr>
          <w:lang w:val="fr-FR"/>
        </w:rPr>
        <w:t>or et aux produits contenant du mercure et, dans la mesure du possible, des réunions ont été organisées consécutivement avec les</w:t>
      </w:r>
      <w:r w:rsidR="00C853D4" w:rsidRPr="002A2EA6">
        <w:rPr>
          <w:lang w:val="fr-FR"/>
        </w:rPr>
        <w:t> </w:t>
      </w:r>
      <w:r w:rsidRPr="002A2EA6">
        <w:rPr>
          <w:lang w:val="fr-FR"/>
        </w:rPr>
        <w:t>parties prenantes communes pour réduire les coûts. Rappelant que la cinquième session de la</w:t>
      </w:r>
      <w:r w:rsidR="00C853D4" w:rsidRPr="002A2EA6">
        <w:rPr>
          <w:lang w:val="fr-FR"/>
        </w:rPr>
        <w:t> </w:t>
      </w:r>
      <w:r w:rsidRPr="002A2EA6">
        <w:rPr>
          <w:lang w:val="fr-FR"/>
        </w:rPr>
        <w:t>Conférence internationale sur la gestion des produits chimiques se tiendrait en octobre</w:t>
      </w:r>
      <w:r w:rsidR="00C853D4" w:rsidRPr="002A2EA6">
        <w:rPr>
          <w:lang w:val="fr-FR"/>
        </w:rPr>
        <w:t> </w:t>
      </w:r>
      <w:r w:rsidRPr="002A2EA6">
        <w:rPr>
          <w:lang w:val="fr-FR"/>
        </w:rPr>
        <w:t>2020, la</w:t>
      </w:r>
      <w:r w:rsidR="00C853D4" w:rsidRPr="002A2EA6">
        <w:rPr>
          <w:lang w:val="fr-FR"/>
        </w:rPr>
        <w:t> </w:t>
      </w:r>
      <w:r w:rsidRPr="002A2EA6">
        <w:rPr>
          <w:lang w:val="fr-FR"/>
        </w:rPr>
        <w:t xml:space="preserve">représentante a </w:t>
      </w:r>
      <w:r w:rsidR="00E25606" w:rsidRPr="002A2EA6">
        <w:rPr>
          <w:lang w:val="fr-FR"/>
        </w:rPr>
        <w:t xml:space="preserve">estimé </w:t>
      </w:r>
      <w:r w:rsidRPr="002A2EA6">
        <w:rPr>
          <w:lang w:val="fr-FR"/>
        </w:rPr>
        <w:t xml:space="preserve">que des décisions cruciales y </w:t>
      </w:r>
      <w:r w:rsidR="00E25606" w:rsidRPr="002A2EA6">
        <w:rPr>
          <w:lang w:val="fr-FR"/>
        </w:rPr>
        <w:t xml:space="preserve">seraient </w:t>
      </w:r>
      <w:r w:rsidRPr="002A2EA6">
        <w:rPr>
          <w:lang w:val="fr-FR"/>
        </w:rPr>
        <w:t>adoptées, à la suite du processus intersessions établi en 2015, à la quatrième</w:t>
      </w:r>
      <w:r w:rsidR="00270AC0" w:rsidRPr="002A2EA6">
        <w:rPr>
          <w:lang w:val="fr-FR"/>
        </w:rPr>
        <w:t> </w:t>
      </w:r>
      <w:r w:rsidRPr="002A2EA6">
        <w:rPr>
          <w:lang w:val="fr-FR"/>
        </w:rPr>
        <w:t>session, pour examiner l</w:t>
      </w:r>
      <w:r w:rsidR="00CA4DAC">
        <w:rPr>
          <w:lang w:val="fr-FR"/>
        </w:rPr>
        <w:t>’</w:t>
      </w:r>
      <w:r w:rsidRPr="002A2EA6">
        <w:rPr>
          <w:lang w:val="fr-FR"/>
        </w:rPr>
        <w:t>avenir de l</w:t>
      </w:r>
      <w:r w:rsidR="00CA4DAC">
        <w:rPr>
          <w:lang w:val="fr-FR"/>
        </w:rPr>
        <w:t>’</w:t>
      </w:r>
      <w:r w:rsidRPr="002A2EA6">
        <w:rPr>
          <w:lang w:val="fr-FR"/>
        </w:rPr>
        <w:t xml:space="preserve">Approche stratégique </w:t>
      </w:r>
      <w:r w:rsidR="00FE4612" w:rsidRPr="002A2EA6">
        <w:rPr>
          <w:lang w:val="fr-FR"/>
        </w:rPr>
        <w:t>et</w:t>
      </w:r>
      <w:r w:rsidRPr="002A2EA6">
        <w:rPr>
          <w:lang w:val="fr-FR"/>
        </w:rPr>
        <w:t xml:space="preserve"> la gestion rationnelle des produits chimiques et des déchets au-delà de 2020.</w:t>
      </w:r>
    </w:p>
    <w:p w14:paraId="18392D30" w14:textId="53B64076" w:rsidR="00E56513" w:rsidRPr="002A2EA6" w:rsidRDefault="00E56513" w:rsidP="00E56513">
      <w:pPr>
        <w:pStyle w:val="CH3"/>
        <w:rPr>
          <w:lang w:val="fr-FR"/>
        </w:rPr>
      </w:pPr>
      <w:r w:rsidRPr="002A2EA6">
        <w:rPr>
          <w:lang w:val="fr-FR"/>
        </w:rPr>
        <w:tab/>
        <w:t>4.</w:t>
      </w:r>
      <w:r w:rsidRPr="002A2EA6">
        <w:rPr>
          <w:lang w:val="fr-FR"/>
        </w:rPr>
        <w:tab/>
      </w:r>
      <w:r w:rsidRPr="002A2EA6">
        <w:rPr>
          <w:bCs/>
          <w:lang w:val="fr-FR"/>
        </w:rPr>
        <w:t>Programme interorganisations pour la gestion rationnelle des produits chimiques</w:t>
      </w:r>
    </w:p>
    <w:p w14:paraId="258108E2" w14:textId="2547F049" w:rsidR="19D6FAD2" w:rsidRPr="002A2EA6" w:rsidRDefault="19D6FAD2" w:rsidP="001712F4">
      <w:pPr>
        <w:pStyle w:val="Normalnumber"/>
        <w:numPr>
          <w:ilvl w:val="0"/>
          <w:numId w:val="42"/>
        </w:numPr>
        <w:tabs>
          <w:tab w:val="clear" w:pos="1814"/>
          <w:tab w:val="left" w:pos="1843"/>
          <w:tab w:val="left" w:pos="1985"/>
        </w:tabs>
        <w:ind w:left="1288" w:hanging="28"/>
        <w:rPr>
          <w:lang w:val="fr-FR"/>
        </w:rPr>
      </w:pPr>
      <w:r w:rsidRPr="002A2EA6">
        <w:rPr>
          <w:lang w:val="fr-FR"/>
        </w:rPr>
        <w:t>La représentante de l</w:t>
      </w:r>
      <w:r w:rsidR="00CA4DAC">
        <w:rPr>
          <w:lang w:val="fr-FR"/>
        </w:rPr>
        <w:t>’</w:t>
      </w:r>
      <w:r w:rsidRPr="002A2EA6">
        <w:rPr>
          <w:lang w:val="fr-FR"/>
        </w:rPr>
        <w:t>OIT a fait une déclaration au nom des organisations participant au Programme interorganisations pour la gestion rationnelle des produits chimiques (IOMC) ayant pris part aux travaux du Groupe sur le mercure de l</w:t>
      </w:r>
      <w:r w:rsidR="00CA4DAC">
        <w:rPr>
          <w:lang w:val="fr-FR"/>
        </w:rPr>
        <w:t>’</w:t>
      </w:r>
      <w:r w:rsidRPr="002A2EA6">
        <w:rPr>
          <w:lang w:val="fr-FR"/>
        </w:rPr>
        <w:t>IOMC, qui comprenait l</w:t>
      </w:r>
      <w:r w:rsidR="00CA4DAC">
        <w:rPr>
          <w:lang w:val="fr-FR"/>
        </w:rPr>
        <w:t>’</w:t>
      </w:r>
      <w:r w:rsidRPr="002A2EA6">
        <w:rPr>
          <w:lang w:val="fr-FR"/>
        </w:rPr>
        <w:t>OIT, l</w:t>
      </w:r>
      <w:r w:rsidR="00CA4DAC">
        <w:rPr>
          <w:lang w:val="fr-FR"/>
        </w:rPr>
        <w:t>’</w:t>
      </w:r>
      <w:r w:rsidRPr="002A2EA6">
        <w:rPr>
          <w:lang w:val="fr-FR"/>
        </w:rPr>
        <w:t xml:space="preserve">Organisation de coopération et de développement économiques (OCDE), le </w:t>
      </w:r>
      <w:r w:rsidR="00EA4853" w:rsidRPr="002A2EA6">
        <w:rPr>
          <w:lang w:val="fr-FR"/>
        </w:rPr>
        <w:t xml:space="preserve">Programme des Nations Unies pour le développement </w:t>
      </w:r>
      <w:r w:rsidR="00EA4853">
        <w:rPr>
          <w:lang w:val="fr-FR"/>
        </w:rPr>
        <w:t>(</w:t>
      </w:r>
      <w:r w:rsidR="00554429" w:rsidRPr="002A2EA6">
        <w:rPr>
          <w:lang w:val="fr-FR"/>
        </w:rPr>
        <w:t>PNUD</w:t>
      </w:r>
      <w:r w:rsidR="00EA4853">
        <w:rPr>
          <w:lang w:val="fr-FR"/>
        </w:rPr>
        <w:t>)</w:t>
      </w:r>
      <w:r w:rsidRPr="002A2EA6">
        <w:rPr>
          <w:lang w:val="fr-FR"/>
        </w:rPr>
        <w:t>, le PNUE, l</w:t>
      </w:r>
      <w:r w:rsidR="00CA4DAC">
        <w:rPr>
          <w:lang w:val="fr-FR"/>
        </w:rPr>
        <w:t>’</w:t>
      </w:r>
      <w:r w:rsidR="008C17B9" w:rsidRPr="002A2EA6">
        <w:rPr>
          <w:lang w:val="fr-FR"/>
        </w:rPr>
        <w:t xml:space="preserve">Organisation des Nations Unies pour le développement industriel </w:t>
      </w:r>
      <w:r w:rsidR="008C17B9">
        <w:rPr>
          <w:lang w:val="fr-FR"/>
        </w:rPr>
        <w:t>(</w:t>
      </w:r>
      <w:r w:rsidRPr="002A2EA6">
        <w:rPr>
          <w:lang w:val="fr-FR"/>
        </w:rPr>
        <w:t>ONUDI</w:t>
      </w:r>
      <w:r w:rsidR="008C17B9">
        <w:rPr>
          <w:lang w:val="fr-FR"/>
        </w:rPr>
        <w:t>)</w:t>
      </w:r>
      <w:r w:rsidRPr="002A2EA6">
        <w:rPr>
          <w:lang w:val="fr-FR"/>
        </w:rPr>
        <w:t>, l</w:t>
      </w:r>
      <w:r w:rsidR="00CA4DAC">
        <w:rPr>
          <w:lang w:val="fr-FR"/>
        </w:rPr>
        <w:t>’</w:t>
      </w:r>
      <w:r w:rsidR="00BF7A6D" w:rsidRPr="002A2EA6">
        <w:rPr>
          <w:lang w:val="fr-FR"/>
        </w:rPr>
        <w:t>Institut des Nations Unies pour la formation et la recherche</w:t>
      </w:r>
      <w:r w:rsidRPr="002A2EA6">
        <w:rPr>
          <w:lang w:val="fr-FR"/>
        </w:rPr>
        <w:t xml:space="preserve"> </w:t>
      </w:r>
      <w:r w:rsidR="009302E9">
        <w:rPr>
          <w:lang w:val="fr-FR"/>
        </w:rPr>
        <w:t>(</w:t>
      </w:r>
      <w:r w:rsidRPr="002A2EA6">
        <w:rPr>
          <w:lang w:val="fr-FR"/>
        </w:rPr>
        <w:t>UNITAR</w:t>
      </w:r>
      <w:r w:rsidR="009302E9">
        <w:rPr>
          <w:lang w:val="fr-FR"/>
        </w:rPr>
        <w:t>)</w:t>
      </w:r>
      <w:r w:rsidRPr="002A2EA6">
        <w:rPr>
          <w:lang w:val="fr-FR"/>
        </w:rPr>
        <w:t>, l</w:t>
      </w:r>
      <w:r w:rsidR="00CA4DAC">
        <w:rPr>
          <w:lang w:val="fr-FR"/>
        </w:rPr>
        <w:t>’</w:t>
      </w:r>
      <w:r w:rsidRPr="002A2EA6">
        <w:rPr>
          <w:lang w:val="fr-FR"/>
        </w:rPr>
        <w:t>OMS et la Banque mondiale, ainsi que les secrétariats de la Convention de Minamata et du FEM, en tant qu</w:t>
      </w:r>
      <w:r w:rsidR="00CA4DAC">
        <w:rPr>
          <w:lang w:val="fr-FR"/>
        </w:rPr>
        <w:t>’</w:t>
      </w:r>
      <w:r w:rsidRPr="002A2EA6">
        <w:rPr>
          <w:lang w:val="fr-FR"/>
        </w:rPr>
        <w:t>observateurs. Outre le détail des activités de certaines organisations participantes de l</w:t>
      </w:r>
      <w:r w:rsidR="00CA4DAC">
        <w:rPr>
          <w:lang w:val="fr-FR"/>
        </w:rPr>
        <w:t>’</w:t>
      </w:r>
      <w:r w:rsidRPr="002A2EA6">
        <w:rPr>
          <w:lang w:val="fr-FR"/>
        </w:rPr>
        <w:t>IOMC, elle a souligné l</w:t>
      </w:r>
      <w:r w:rsidR="00CA4DAC">
        <w:rPr>
          <w:lang w:val="fr-FR"/>
        </w:rPr>
        <w:t>’</w:t>
      </w:r>
      <w:r w:rsidRPr="002A2EA6">
        <w:rPr>
          <w:lang w:val="fr-FR"/>
        </w:rPr>
        <w:t>étroite coopération et coordination entre les membres du Groupe sur le mercure, représentant divers secteurs, dans la mise en œuvre d</w:t>
      </w:r>
      <w:r w:rsidR="00CA4DAC">
        <w:rPr>
          <w:lang w:val="fr-FR"/>
        </w:rPr>
        <w:t>’</w:t>
      </w:r>
      <w:r w:rsidRPr="002A2EA6">
        <w:rPr>
          <w:lang w:val="fr-FR"/>
        </w:rPr>
        <w:t>activités clefs à l</w:t>
      </w:r>
      <w:r w:rsidR="00CA4DAC">
        <w:rPr>
          <w:lang w:val="fr-FR"/>
        </w:rPr>
        <w:t>’</w:t>
      </w:r>
      <w:r w:rsidRPr="002A2EA6">
        <w:rPr>
          <w:lang w:val="fr-FR"/>
        </w:rPr>
        <w:t>appui de la Convention. Les</w:t>
      </w:r>
      <w:r w:rsidR="00CE696C" w:rsidRPr="002A2EA6">
        <w:rPr>
          <w:lang w:val="fr-FR"/>
        </w:rPr>
        <w:t> </w:t>
      </w:r>
      <w:r w:rsidRPr="002A2EA6">
        <w:rPr>
          <w:lang w:val="fr-FR"/>
        </w:rPr>
        <w:t>organisations participantes de l</w:t>
      </w:r>
      <w:r w:rsidR="00CA4DAC">
        <w:rPr>
          <w:lang w:val="fr-FR"/>
        </w:rPr>
        <w:t>’</w:t>
      </w:r>
      <w:r w:rsidRPr="002A2EA6">
        <w:rPr>
          <w:lang w:val="fr-FR"/>
        </w:rPr>
        <w:t xml:space="preserve">IOMC avaient aidé plus de 100 pays à élaborer et à mettre en </w:t>
      </w:r>
      <w:r w:rsidRPr="002A2EA6">
        <w:rPr>
          <w:lang w:val="fr-FR"/>
        </w:rPr>
        <w:lastRenderedPageBreak/>
        <w:t>œuvre des évaluations initiales au titre de la Convention de Minamata financées au moyen du FEM, y</w:t>
      </w:r>
      <w:r w:rsidR="00CE696C" w:rsidRPr="002A2EA6">
        <w:rPr>
          <w:lang w:val="fr-FR"/>
        </w:rPr>
        <w:t> </w:t>
      </w:r>
      <w:r w:rsidRPr="002A2EA6">
        <w:rPr>
          <w:lang w:val="fr-FR"/>
        </w:rPr>
        <w:t>compris l</w:t>
      </w:r>
      <w:r w:rsidR="00CA4DAC">
        <w:rPr>
          <w:lang w:val="fr-FR"/>
        </w:rPr>
        <w:t>’</w:t>
      </w:r>
      <w:r w:rsidRPr="002A2EA6">
        <w:rPr>
          <w:lang w:val="fr-FR"/>
        </w:rPr>
        <w:t>établissement d</w:t>
      </w:r>
      <w:r w:rsidR="00CA4DAC">
        <w:rPr>
          <w:lang w:val="fr-FR"/>
        </w:rPr>
        <w:t>’</w:t>
      </w:r>
      <w:r w:rsidRPr="002A2EA6">
        <w:rPr>
          <w:lang w:val="fr-FR"/>
        </w:rPr>
        <w:t>inventaires du mercure et l</w:t>
      </w:r>
      <w:r w:rsidR="00CA4DAC">
        <w:rPr>
          <w:lang w:val="fr-FR"/>
        </w:rPr>
        <w:t>’</w:t>
      </w:r>
      <w:r w:rsidRPr="002A2EA6">
        <w:rPr>
          <w:lang w:val="fr-FR"/>
        </w:rPr>
        <w:t>examen des cadres législatifs. Dans le cadre de l</w:t>
      </w:r>
      <w:r w:rsidR="00CA4DAC">
        <w:rPr>
          <w:lang w:val="fr-FR"/>
        </w:rPr>
        <w:t>’</w:t>
      </w:r>
      <w:r w:rsidRPr="002A2EA6">
        <w:rPr>
          <w:lang w:val="fr-FR"/>
        </w:rPr>
        <w:t>IOMC, les organismes d</w:t>
      </w:r>
      <w:r w:rsidR="00CA4DAC">
        <w:rPr>
          <w:lang w:val="fr-FR"/>
        </w:rPr>
        <w:t>’</w:t>
      </w:r>
      <w:r w:rsidRPr="002A2EA6">
        <w:rPr>
          <w:lang w:val="fr-FR"/>
        </w:rPr>
        <w:t>exécution avaient décidé d</w:t>
      </w:r>
      <w:r w:rsidR="00CA4DAC">
        <w:rPr>
          <w:lang w:val="fr-FR"/>
        </w:rPr>
        <w:t>’</w:t>
      </w:r>
      <w:r w:rsidRPr="002A2EA6">
        <w:rPr>
          <w:lang w:val="fr-FR"/>
        </w:rPr>
        <w:t>adopter un cadre et un modèle communs pour les évaluations, y compris d</w:t>
      </w:r>
      <w:r w:rsidR="00CA4DAC">
        <w:rPr>
          <w:lang w:val="fr-FR"/>
        </w:rPr>
        <w:t>’</w:t>
      </w:r>
      <w:r w:rsidRPr="002A2EA6">
        <w:rPr>
          <w:lang w:val="fr-FR"/>
        </w:rPr>
        <w:t>utiliser l</w:t>
      </w:r>
      <w:r w:rsidR="00CA4DAC">
        <w:rPr>
          <w:lang w:val="fr-FR"/>
        </w:rPr>
        <w:t>’</w:t>
      </w:r>
      <w:r w:rsidRPr="002A2EA6">
        <w:rPr>
          <w:lang w:val="fr-FR"/>
        </w:rPr>
        <w:t>outil du PNUE pour l</w:t>
      </w:r>
      <w:r w:rsidR="00CA4DAC">
        <w:rPr>
          <w:lang w:val="fr-FR"/>
        </w:rPr>
        <w:t>’</w:t>
      </w:r>
      <w:r w:rsidRPr="002A2EA6">
        <w:rPr>
          <w:lang w:val="fr-FR"/>
        </w:rPr>
        <w:t>établissement des inventaires du mercure et le document d</w:t>
      </w:r>
      <w:r w:rsidR="00CA4DAC">
        <w:rPr>
          <w:lang w:val="fr-FR"/>
        </w:rPr>
        <w:t>’</w:t>
      </w:r>
      <w:r w:rsidRPr="002A2EA6">
        <w:rPr>
          <w:lang w:val="fr-FR"/>
        </w:rPr>
        <w:t>orientation du PNUD concernant une structure et un contenu communs pour les</w:t>
      </w:r>
      <w:r w:rsidR="009C30A5" w:rsidRPr="002A2EA6">
        <w:rPr>
          <w:lang w:val="fr-FR"/>
        </w:rPr>
        <w:t> </w:t>
      </w:r>
      <w:r w:rsidRPr="002A2EA6">
        <w:rPr>
          <w:lang w:val="fr-FR"/>
        </w:rPr>
        <w:t>rapports d</w:t>
      </w:r>
      <w:r w:rsidR="00CA4DAC">
        <w:rPr>
          <w:lang w:val="fr-FR"/>
        </w:rPr>
        <w:t>’</w:t>
      </w:r>
      <w:r w:rsidRPr="002A2EA6">
        <w:rPr>
          <w:lang w:val="fr-FR"/>
        </w:rPr>
        <w:t>évaluation initiale au titre de la Convention de Minamata. L</w:t>
      </w:r>
      <w:r w:rsidR="00CA4DAC">
        <w:rPr>
          <w:lang w:val="fr-FR"/>
        </w:rPr>
        <w:t>’</w:t>
      </w:r>
      <w:r w:rsidRPr="002A2EA6">
        <w:rPr>
          <w:lang w:val="fr-FR"/>
        </w:rPr>
        <w:t>IOMC a également aidé plus de 30</w:t>
      </w:r>
      <w:r w:rsidR="00267CB2" w:rsidRPr="002A2EA6">
        <w:rPr>
          <w:lang w:val="fr-FR"/>
        </w:rPr>
        <w:t> </w:t>
      </w:r>
      <w:r w:rsidRPr="002A2EA6">
        <w:rPr>
          <w:lang w:val="fr-FR"/>
        </w:rPr>
        <w:t>pays à élaborer leurs plans d</w:t>
      </w:r>
      <w:r w:rsidR="00CA4DAC">
        <w:rPr>
          <w:lang w:val="fr-FR"/>
        </w:rPr>
        <w:t>’</w:t>
      </w:r>
      <w:r w:rsidRPr="002A2EA6">
        <w:rPr>
          <w:lang w:val="fr-FR"/>
        </w:rPr>
        <w:t>action nationaux sur l</w:t>
      </w:r>
      <w:r w:rsidR="00CA4DAC">
        <w:rPr>
          <w:lang w:val="fr-FR"/>
        </w:rPr>
        <w:t>’</w:t>
      </w:r>
      <w:r w:rsidRPr="002A2EA6">
        <w:rPr>
          <w:lang w:val="fr-FR"/>
        </w:rPr>
        <w:t>exploitation artisanale et à petite échelle d</w:t>
      </w:r>
      <w:r w:rsidR="00CA4DAC">
        <w:rPr>
          <w:lang w:val="fr-FR"/>
        </w:rPr>
        <w:t>’</w:t>
      </w:r>
      <w:r w:rsidRPr="002A2EA6">
        <w:rPr>
          <w:lang w:val="fr-FR"/>
        </w:rPr>
        <w:t>or. Les organisations de l</w:t>
      </w:r>
      <w:r w:rsidR="00CA4DAC">
        <w:rPr>
          <w:lang w:val="fr-FR"/>
        </w:rPr>
        <w:t>’</w:t>
      </w:r>
      <w:r w:rsidRPr="002A2EA6">
        <w:rPr>
          <w:lang w:val="fr-FR"/>
        </w:rPr>
        <w:t>IOMC commençaient à examiner les enseignements tirés de l</w:t>
      </w:r>
      <w:r w:rsidR="00CA4DAC">
        <w:rPr>
          <w:lang w:val="fr-FR"/>
        </w:rPr>
        <w:t>’</w:t>
      </w:r>
      <w:r w:rsidRPr="002A2EA6">
        <w:rPr>
          <w:lang w:val="fr-FR"/>
        </w:rPr>
        <w:t>évaluation initiale de Minamata et des plans d</w:t>
      </w:r>
      <w:r w:rsidR="00CA4DAC">
        <w:rPr>
          <w:lang w:val="fr-FR"/>
        </w:rPr>
        <w:t>’</w:t>
      </w:r>
      <w:r w:rsidRPr="002A2EA6">
        <w:rPr>
          <w:lang w:val="fr-FR"/>
        </w:rPr>
        <w:t>action nationaux et à analyser les questions et les</w:t>
      </w:r>
      <w:r w:rsidR="00C166F9">
        <w:rPr>
          <w:lang w:val="fr-FR"/>
        </w:rPr>
        <w:t> </w:t>
      </w:r>
      <w:r w:rsidRPr="002A2EA6">
        <w:rPr>
          <w:lang w:val="fr-FR"/>
        </w:rPr>
        <w:t>priorités découlant de ces documents dans le but de déterminer comm</w:t>
      </w:r>
      <w:r w:rsidR="003676FF" w:rsidRPr="002A2EA6">
        <w:rPr>
          <w:lang w:val="fr-FR"/>
        </w:rPr>
        <w:t xml:space="preserve">ent </w:t>
      </w:r>
      <w:r w:rsidRPr="002A2EA6">
        <w:rPr>
          <w:lang w:val="fr-FR"/>
        </w:rPr>
        <w:t>appuyer les Parties au mieux. Alors</w:t>
      </w:r>
      <w:r w:rsidR="009C30A5" w:rsidRPr="002A2EA6">
        <w:rPr>
          <w:lang w:val="fr-FR"/>
        </w:rPr>
        <w:t> </w:t>
      </w:r>
      <w:r w:rsidRPr="002A2EA6">
        <w:rPr>
          <w:lang w:val="fr-FR"/>
        </w:rPr>
        <w:t>que la Convention passait des activités initiales de ratification et d</w:t>
      </w:r>
      <w:r w:rsidR="00CA4DAC">
        <w:rPr>
          <w:lang w:val="fr-FR"/>
        </w:rPr>
        <w:t>’</w:t>
      </w:r>
      <w:r w:rsidRPr="002A2EA6">
        <w:rPr>
          <w:lang w:val="fr-FR"/>
        </w:rPr>
        <w:t>évaluation à la mise en œuvre, il devenait de plus en plus important d</w:t>
      </w:r>
      <w:r w:rsidR="00CA4DAC">
        <w:rPr>
          <w:lang w:val="fr-FR"/>
        </w:rPr>
        <w:t>’</w:t>
      </w:r>
      <w:r w:rsidRPr="002A2EA6">
        <w:rPr>
          <w:lang w:val="fr-FR"/>
        </w:rPr>
        <w:t>aider les Parties à s</w:t>
      </w:r>
      <w:r w:rsidR="00CA4DAC">
        <w:rPr>
          <w:lang w:val="fr-FR"/>
        </w:rPr>
        <w:t>’</w:t>
      </w:r>
      <w:r w:rsidRPr="002A2EA6">
        <w:rPr>
          <w:lang w:val="fr-FR"/>
        </w:rPr>
        <w:t>acquitter de l</w:t>
      </w:r>
      <w:r w:rsidR="00CA4DAC">
        <w:rPr>
          <w:lang w:val="fr-FR"/>
        </w:rPr>
        <w:t>’</w:t>
      </w:r>
      <w:r w:rsidRPr="002A2EA6">
        <w:rPr>
          <w:lang w:val="fr-FR"/>
        </w:rPr>
        <w:t>obligation qui leur</w:t>
      </w:r>
      <w:r w:rsidR="009C30A5" w:rsidRPr="002A2EA6">
        <w:rPr>
          <w:lang w:val="fr-FR"/>
        </w:rPr>
        <w:t> </w:t>
      </w:r>
      <w:r w:rsidRPr="002A2EA6">
        <w:rPr>
          <w:lang w:val="fr-FR"/>
        </w:rPr>
        <w:t>incombait d</w:t>
      </w:r>
      <w:r w:rsidR="00CA4DAC">
        <w:rPr>
          <w:lang w:val="fr-FR"/>
        </w:rPr>
        <w:t>’</w:t>
      </w:r>
      <w:r w:rsidRPr="002A2EA6">
        <w:rPr>
          <w:lang w:val="fr-FR"/>
        </w:rPr>
        <w:t>atténuer les effets du mercure sur la santé et l</w:t>
      </w:r>
      <w:r w:rsidR="00CA4DAC">
        <w:rPr>
          <w:lang w:val="fr-FR"/>
        </w:rPr>
        <w:t>’</w:t>
      </w:r>
      <w:r w:rsidRPr="002A2EA6">
        <w:rPr>
          <w:lang w:val="fr-FR"/>
        </w:rPr>
        <w:t>environnement, ce qui exigeait une</w:t>
      </w:r>
      <w:r w:rsidR="009C30A5" w:rsidRPr="002A2EA6">
        <w:rPr>
          <w:lang w:val="fr-FR"/>
        </w:rPr>
        <w:t> </w:t>
      </w:r>
      <w:r w:rsidRPr="002A2EA6">
        <w:rPr>
          <w:lang w:val="fr-FR"/>
        </w:rPr>
        <w:t>collaboration multisectorielle au niveau national.</w:t>
      </w:r>
    </w:p>
    <w:p w14:paraId="3CFD40F3" w14:textId="3D2A78AB" w:rsidR="00E56513" w:rsidRPr="002A2EA6" w:rsidRDefault="00E56513" w:rsidP="00E56513">
      <w:pPr>
        <w:pStyle w:val="CH3"/>
        <w:rPr>
          <w:lang w:val="fr-FR"/>
        </w:rPr>
      </w:pPr>
      <w:r w:rsidRPr="002A2EA6">
        <w:rPr>
          <w:lang w:val="fr-FR"/>
        </w:rPr>
        <w:tab/>
        <w:t>5.</w:t>
      </w:r>
      <w:r w:rsidRPr="002A2EA6">
        <w:rPr>
          <w:lang w:val="fr-FR"/>
        </w:rPr>
        <w:tab/>
      </w:r>
      <w:r w:rsidRPr="002A2EA6">
        <w:rPr>
          <w:bCs/>
          <w:lang w:val="fr-FR"/>
        </w:rPr>
        <w:t>Institut des Nations Unies pour la formation et la recherche</w:t>
      </w:r>
    </w:p>
    <w:p w14:paraId="7CF282A6" w14:textId="6BEA0EB0" w:rsidR="19D6FAD2" w:rsidRPr="002A2EA6" w:rsidRDefault="19D6FAD2" w:rsidP="001712F4">
      <w:pPr>
        <w:pStyle w:val="Normalnumber"/>
        <w:numPr>
          <w:ilvl w:val="0"/>
          <w:numId w:val="42"/>
        </w:numPr>
        <w:tabs>
          <w:tab w:val="clear" w:pos="1814"/>
          <w:tab w:val="left" w:pos="1843"/>
          <w:tab w:val="left" w:pos="1985"/>
        </w:tabs>
        <w:ind w:left="1288" w:hanging="28"/>
        <w:rPr>
          <w:lang w:val="fr-FR"/>
        </w:rPr>
      </w:pPr>
      <w:r w:rsidRPr="002A2EA6">
        <w:rPr>
          <w:lang w:val="fr-FR"/>
        </w:rPr>
        <w:t>Le représentant de l</w:t>
      </w:r>
      <w:r w:rsidR="00CA4DAC">
        <w:rPr>
          <w:lang w:val="fr-FR"/>
        </w:rPr>
        <w:t>’</w:t>
      </w:r>
      <w:r w:rsidRPr="002A2EA6">
        <w:rPr>
          <w:lang w:val="fr-FR"/>
        </w:rPr>
        <w:t>UNITAR a souligné que le renforcement des capacités et la formation étaient essentiels à la bonne application de la Convention de Minamata. L</w:t>
      </w:r>
      <w:r w:rsidR="00CA4DAC">
        <w:rPr>
          <w:lang w:val="fr-FR"/>
        </w:rPr>
        <w:t>’</w:t>
      </w:r>
      <w:r w:rsidRPr="002A2EA6">
        <w:rPr>
          <w:lang w:val="fr-FR"/>
        </w:rPr>
        <w:t>UNITAR avait apporté une aide à 24</w:t>
      </w:r>
      <w:r w:rsidR="00267CB2" w:rsidRPr="002A2EA6">
        <w:rPr>
          <w:lang w:val="fr-FR"/>
        </w:rPr>
        <w:t> </w:t>
      </w:r>
      <w:r w:rsidRPr="002A2EA6">
        <w:rPr>
          <w:lang w:val="fr-FR"/>
        </w:rPr>
        <w:t>pays dans le cadre du processus de ratification de la Convention, dont 16 l</w:t>
      </w:r>
      <w:r w:rsidR="00CA4DAC">
        <w:rPr>
          <w:lang w:val="fr-FR"/>
        </w:rPr>
        <w:t>’</w:t>
      </w:r>
      <w:r w:rsidR="00087CF2" w:rsidRPr="002A2EA6">
        <w:rPr>
          <w:lang w:val="fr-FR"/>
        </w:rPr>
        <w:t>avaient</w:t>
      </w:r>
      <w:r w:rsidRPr="002A2EA6">
        <w:rPr>
          <w:lang w:val="fr-FR"/>
        </w:rPr>
        <w:t xml:space="preserve"> effectivement ratifiée et 2 s</w:t>
      </w:r>
      <w:r w:rsidR="00CA4DAC">
        <w:rPr>
          <w:lang w:val="fr-FR"/>
        </w:rPr>
        <w:t>’</w:t>
      </w:r>
      <w:r w:rsidRPr="002A2EA6">
        <w:rPr>
          <w:lang w:val="fr-FR"/>
        </w:rPr>
        <w:t>apprêtaient à déposer leur instrument. Il avait coréalisé 20</w:t>
      </w:r>
      <w:r w:rsidR="001B2EAD" w:rsidRPr="002A2EA6">
        <w:rPr>
          <w:lang w:val="fr-FR"/>
        </w:rPr>
        <w:t> </w:t>
      </w:r>
      <w:r w:rsidRPr="002A2EA6">
        <w:rPr>
          <w:lang w:val="fr-FR"/>
        </w:rPr>
        <w:t>évaluations initiales de Minamata et apporté une assistance à 15 autres pays, en particulier pour les inventaires du mercure. En outre, il œuvr</w:t>
      </w:r>
      <w:r w:rsidR="001B2EAD" w:rsidRPr="002A2EA6">
        <w:rPr>
          <w:lang w:val="fr-FR"/>
        </w:rPr>
        <w:t>ait</w:t>
      </w:r>
      <w:r w:rsidRPr="002A2EA6">
        <w:rPr>
          <w:lang w:val="fr-FR"/>
        </w:rPr>
        <w:t xml:space="preserve"> avec le PNUE à l</w:t>
      </w:r>
      <w:r w:rsidR="00CA4DAC">
        <w:rPr>
          <w:lang w:val="fr-FR"/>
        </w:rPr>
        <w:t>’</w:t>
      </w:r>
      <w:r w:rsidRPr="002A2EA6">
        <w:rPr>
          <w:lang w:val="fr-FR"/>
        </w:rPr>
        <w:t>exécution des plans d</w:t>
      </w:r>
      <w:r w:rsidR="00CA4DAC">
        <w:rPr>
          <w:lang w:val="fr-FR"/>
        </w:rPr>
        <w:t>’</w:t>
      </w:r>
      <w:r w:rsidRPr="002A2EA6">
        <w:rPr>
          <w:lang w:val="fr-FR"/>
        </w:rPr>
        <w:t>action nationaux sur l</w:t>
      </w:r>
      <w:r w:rsidR="00CA4DAC">
        <w:rPr>
          <w:lang w:val="fr-FR"/>
        </w:rPr>
        <w:t>’</w:t>
      </w:r>
      <w:r w:rsidRPr="002A2EA6">
        <w:rPr>
          <w:lang w:val="fr-FR"/>
        </w:rPr>
        <w:t>exploitation artisanale et à petite échelle d</w:t>
      </w:r>
      <w:r w:rsidR="00CA4DAC">
        <w:rPr>
          <w:lang w:val="fr-FR"/>
        </w:rPr>
        <w:t>’</w:t>
      </w:r>
      <w:r w:rsidRPr="002A2EA6">
        <w:rPr>
          <w:lang w:val="fr-FR"/>
        </w:rPr>
        <w:t>or dans trois</w:t>
      </w:r>
      <w:r w:rsidR="00211DC7" w:rsidRPr="002A2EA6">
        <w:rPr>
          <w:lang w:val="fr-FR"/>
        </w:rPr>
        <w:t> </w:t>
      </w:r>
      <w:r w:rsidRPr="002A2EA6">
        <w:rPr>
          <w:lang w:val="fr-FR"/>
        </w:rPr>
        <w:t>pays et avait élaboré un manuel d</w:t>
      </w:r>
      <w:r w:rsidR="00CA4DAC">
        <w:rPr>
          <w:lang w:val="fr-FR"/>
        </w:rPr>
        <w:t>’</w:t>
      </w:r>
      <w:r w:rsidRPr="002A2EA6">
        <w:rPr>
          <w:lang w:val="fr-FR"/>
        </w:rPr>
        <w:t>élaboration de stratégies nationales visant à faire officiellement une place au secteur dans ces plans. L</w:t>
      </w:r>
      <w:r w:rsidR="00CA4DAC">
        <w:rPr>
          <w:lang w:val="fr-FR"/>
        </w:rPr>
        <w:t>’</w:t>
      </w:r>
      <w:r w:rsidRPr="002A2EA6">
        <w:rPr>
          <w:lang w:val="fr-FR"/>
        </w:rPr>
        <w:t xml:space="preserve">UNITAR a également </w:t>
      </w:r>
      <w:r w:rsidR="0032123E" w:rsidRPr="002A2EA6">
        <w:rPr>
          <w:lang w:val="fr-FR"/>
        </w:rPr>
        <w:t xml:space="preserve">apporté </w:t>
      </w:r>
      <w:r w:rsidRPr="002A2EA6">
        <w:rPr>
          <w:lang w:val="fr-FR"/>
        </w:rPr>
        <w:t>un appui par le biais d</w:t>
      </w:r>
      <w:r w:rsidR="00CA4DAC">
        <w:rPr>
          <w:lang w:val="fr-FR"/>
        </w:rPr>
        <w:t>’</w:t>
      </w:r>
      <w:r w:rsidRPr="002A2EA6">
        <w:rPr>
          <w:lang w:val="fr-FR"/>
        </w:rPr>
        <w:t>outils de sensibilisation et d</w:t>
      </w:r>
      <w:r w:rsidR="00CA4DAC">
        <w:rPr>
          <w:lang w:val="fr-FR"/>
        </w:rPr>
        <w:t>’</w:t>
      </w:r>
      <w:r w:rsidRPr="002A2EA6">
        <w:rPr>
          <w:lang w:val="fr-FR"/>
        </w:rPr>
        <w:t xml:space="preserve">apprentissage en ligne, en travaillant en particulier avec le PNUE et les secrétariats des </w:t>
      </w:r>
      <w:r w:rsidR="002C0D58" w:rsidRPr="002A2EA6">
        <w:rPr>
          <w:lang w:val="fr-FR"/>
        </w:rPr>
        <w:t>c</w:t>
      </w:r>
      <w:r w:rsidRPr="002A2EA6">
        <w:rPr>
          <w:lang w:val="fr-FR"/>
        </w:rPr>
        <w:t>onventions de Bâle, de Rotterdam et de Stockholm, de la Convention de Minamata et de l</w:t>
      </w:r>
      <w:r w:rsidR="00CA4DAC">
        <w:rPr>
          <w:lang w:val="fr-FR"/>
        </w:rPr>
        <w:t>’</w:t>
      </w:r>
      <w:r w:rsidRPr="002A2EA6">
        <w:rPr>
          <w:lang w:val="fr-FR"/>
        </w:rPr>
        <w:t>Approche stratégique de la gestion internationale des produits chimiques.</w:t>
      </w:r>
    </w:p>
    <w:p w14:paraId="5DBF2E76" w14:textId="4531C913" w:rsidR="00300310" w:rsidRPr="002A2EA6" w:rsidRDefault="00300310" w:rsidP="00501641">
      <w:pPr>
        <w:pStyle w:val="CH3"/>
        <w:tabs>
          <w:tab w:val="left" w:pos="4368"/>
          <w:tab w:val="right" w:pos="9206"/>
        </w:tabs>
        <w:rPr>
          <w:lang w:val="fr-FR"/>
        </w:rPr>
      </w:pPr>
      <w:r w:rsidRPr="002A2EA6">
        <w:rPr>
          <w:lang w:val="fr-FR"/>
        </w:rPr>
        <w:tab/>
        <w:t>6.</w:t>
      </w:r>
      <w:r w:rsidRPr="002A2EA6">
        <w:rPr>
          <w:lang w:val="fr-FR"/>
        </w:rPr>
        <w:tab/>
      </w:r>
      <w:r w:rsidRPr="002A2EA6">
        <w:rPr>
          <w:bCs/>
          <w:lang w:val="fr-FR"/>
        </w:rPr>
        <w:t>Agence internationale de l</w:t>
      </w:r>
      <w:r w:rsidR="00CA4DAC">
        <w:rPr>
          <w:bCs/>
          <w:lang w:val="fr-FR"/>
        </w:rPr>
        <w:t>’</w:t>
      </w:r>
      <w:r w:rsidRPr="002A2EA6">
        <w:rPr>
          <w:bCs/>
          <w:lang w:val="fr-FR"/>
        </w:rPr>
        <w:t>énergie atomique</w:t>
      </w:r>
    </w:p>
    <w:p w14:paraId="3A957626" w14:textId="1A3C9847" w:rsidR="6CCC1168" w:rsidRPr="002A2EA6" w:rsidRDefault="6CCC1168" w:rsidP="001712F4">
      <w:pPr>
        <w:pStyle w:val="Normalnumber"/>
        <w:numPr>
          <w:ilvl w:val="0"/>
          <w:numId w:val="42"/>
        </w:numPr>
        <w:tabs>
          <w:tab w:val="clear" w:pos="1814"/>
          <w:tab w:val="left" w:pos="1843"/>
          <w:tab w:val="left" w:pos="1985"/>
        </w:tabs>
        <w:ind w:left="1288" w:hanging="28"/>
        <w:rPr>
          <w:lang w:val="fr-FR"/>
        </w:rPr>
      </w:pPr>
      <w:r w:rsidRPr="002A2EA6">
        <w:rPr>
          <w:lang w:val="fr-FR"/>
        </w:rPr>
        <w:t>L</w:t>
      </w:r>
      <w:r w:rsidR="18FBBD13" w:rsidRPr="002A2EA6">
        <w:rPr>
          <w:lang w:val="fr-FR"/>
        </w:rPr>
        <w:t>a</w:t>
      </w:r>
      <w:r w:rsidRPr="002A2EA6">
        <w:rPr>
          <w:lang w:val="fr-FR"/>
        </w:rPr>
        <w:t xml:space="preserve"> représentant</w:t>
      </w:r>
      <w:r w:rsidR="06F500B6" w:rsidRPr="002A2EA6">
        <w:rPr>
          <w:lang w:val="fr-FR"/>
        </w:rPr>
        <w:t>e</w:t>
      </w:r>
      <w:r w:rsidRPr="002A2EA6">
        <w:rPr>
          <w:lang w:val="fr-FR"/>
        </w:rPr>
        <w:t xml:space="preserve"> de l</w:t>
      </w:r>
      <w:r w:rsidR="00CA4DAC">
        <w:rPr>
          <w:lang w:val="fr-FR"/>
        </w:rPr>
        <w:t>’</w:t>
      </w:r>
      <w:r w:rsidR="00295878" w:rsidRPr="002A2EA6">
        <w:rPr>
          <w:lang w:val="fr-FR"/>
        </w:rPr>
        <w:t>Agence internationale de l</w:t>
      </w:r>
      <w:r w:rsidR="00CA4DAC">
        <w:rPr>
          <w:lang w:val="fr-FR"/>
        </w:rPr>
        <w:t>’</w:t>
      </w:r>
      <w:r w:rsidR="00295878" w:rsidRPr="002A2EA6">
        <w:rPr>
          <w:lang w:val="fr-FR"/>
        </w:rPr>
        <w:t xml:space="preserve">énergie atomique </w:t>
      </w:r>
      <w:r w:rsidR="00295878">
        <w:rPr>
          <w:lang w:val="fr-FR"/>
        </w:rPr>
        <w:t>(</w:t>
      </w:r>
      <w:r w:rsidRPr="002A2EA6">
        <w:rPr>
          <w:lang w:val="fr-FR"/>
        </w:rPr>
        <w:t>A</w:t>
      </w:r>
      <w:r w:rsidR="00956435" w:rsidRPr="002A2EA6">
        <w:rPr>
          <w:lang w:val="fr-FR"/>
        </w:rPr>
        <w:t>IEA</w:t>
      </w:r>
      <w:r w:rsidR="00295878">
        <w:rPr>
          <w:lang w:val="fr-FR"/>
        </w:rPr>
        <w:t>)</w:t>
      </w:r>
      <w:r w:rsidRPr="002A2EA6">
        <w:rPr>
          <w:lang w:val="fr-FR"/>
        </w:rPr>
        <w:t xml:space="preserve"> a déclaré que celle-ci pourrait jouer un rôle important dans la mise en œuvre de la Convention de Minamata. </w:t>
      </w:r>
      <w:r w:rsidR="146D1629" w:rsidRPr="002A2EA6">
        <w:rPr>
          <w:lang w:val="fr-FR"/>
        </w:rPr>
        <w:t>Son</w:t>
      </w:r>
      <w:r w:rsidR="00267CB2" w:rsidRPr="002A2EA6">
        <w:rPr>
          <w:lang w:val="fr-FR"/>
        </w:rPr>
        <w:t> </w:t>
      </w:r>
      <w:r w:rsidR="146D1629" w:rsidRPr="002A2EA6">
        <w:rPr>
          <w:lang w:val="fr-FR"/>
        </w:rPr>
        <w:t xml:space="preserve">Département des sciences et des applications nucléaires disposait, </w:t>
      </w:r>
      <w:r w:rsidR="278429C4" w:rsidRPr="002A2EA6">
        <w:rPr>
          <w:lang w:val="fr-FR"/>
        </w:rPr>
        <w:t>par le biais</w:t>
      </w:r>
      <w:r w:rsidR="146D1629" w:rsidRPr="002A2EA6">
        <w:rPr>
          <w:lang w:val="fr-FR"/>
        </w:rPr>
        <w:t xml:space="preserve"> de ses laboratoires de l</w:t>
      </w:r>
      <w:r w:rsidR="00CA4DAC">
        <w:rPr>
          <w:lang w:val="fr-FR"/>
        </w:rPr>
        <w:t>’</w:t>
      </w:r>
      <w:r w:rsidR="146D1629" w:rsidRPr="002A2EA6">
        <w:rPr>
          <w:lang w:val="fr-FR"/>
        </w:rPr>
        <w:t>environnement, d</w:t>
      </w:r>
      <w:r w:rsidR="00CA4DAC">
        <w:rPr>
          <w:lang w:val="fr-FR"/>
        </w:rPr>
        <w:t>’</w:t>
      </w:r>
      <w:r w:rsidR="146D1629" w:rsidRPr="002A2EA6">
        <w:rPr>
          <w:lang w:val="fr-FR"/>
        </w:rPr>
        <w:t>une infrastructure pouvant contribuer à évaluer l</w:t>
      </w:r>
      <w:r w:rsidR="00CA4DAC">
        <w:rPr>
          <w:lang w:val="fr-FR"/>
        </w:rPr>
        <w:t>’</w:t>
      </w:r>
      <w:r w:rsidR="146D1629" w:rsidRPr="002A2EA6">
        <w:rPr>
          <w:lang w:val="fr-FR"/>
        </w:rPr>
        <w:t>efficacité de la Convention en matière d</w:t>
      </w:r>
      <w:r w:rsidR="00CA4DAC">
        <w:rPr>
          <w:lang w:val="fr-FR"/>
        </w:rPr>
        <w:t>’</w:t>
      </w:r>
      <w:r w:rsidR="146D1629" w:rsidRPr="002A2EA6">
        <w:rPr>
          <w:lang w:val="fr-FR"/>
        </w:rPr>
        <w:t>assurance de la qualité de la surveillance des</w:t>
      </w:r>
      <w:r w:rsidR="00211DC7" w:rsidRPr="002A2EA6">
        <w:rPr>
          <w:lang w:val="fr-FR"/>
        </w:rPr>
        <w:t> </w:t>
      </w:r>
      <w:r w:rsidR="146D1629" w:rsidRPr="002A2EA6">
        <w:rPr>
          <w:lang w:val="fr-FR"/>
        </w:rPr>
        <w:t>données relatives au mercure dans le poisson et le biote, ainsi que d</w:t>
      </w:r>
      <w:r w:rsidR="00CA4DAC">
        <w:rPr>
          <w:lang w:val="fr-FR"/>
        </w:rPr>
        <w:t>’</w:t>
      </w:r>
      <w:r w:rsidR="146D1629" w:rsidRPr="002A2EA6">
        <w:rPr>
          <w:lang w:val="fr-FR"/>
        </w:rPr>
        <w:t xml:space="preserve">autres indicateurs </w:t>
      </w:r>
      <w:r w:rsidR="0DA26CD7" w:rsidRPr="002A2EA6">
        <w:rPr>
          <w:lang w:val="fr-FR"/>
        </w:rPr>
        <w:t>éventuel</w:t>
      </w:r>
      <w:r w:rsidR="146D1629" w:rsidRPr="002A2EA6">
        <w:rPr>
          <w:lang w:val="fr-FR"/>
        </w:rPr>
        <w:t xml:space="preserve">s. </w:t>
      </w:r>
      <w:r w:rsidR="559150EF" w:rsidRPr="002A2EA6">
        <w:rPr>
          <w:lang w:val="fr-FR"/>
        </w:rPr>
        <w:t>Son laboratoire d</w:t>
      </w:r>
      <w:r w:rsidR="00CA4DAC">
        <w:rPr>
          <w:lang w:val="fr-FR"/>
        </w:rPr>
        <w:t>’</w:t>
      </w:r>
      <w:r w:rsidR="559150EF" w:rsidRPr="002A2EA6">
        <w:rPr>
          <w:lang w:val="fr-FR"/>
        </w:rPr>
        <w:t>étude de l</w:t>
      </w:r>
      <w:r w:rsidR="00CA4DAC">
        <w:rPr>
          <w:lang w:val="fr-FR"/>
        </w:rPr>
        <w:t>’</w:t>
      </w:r>
      <w:r w:rsidR="559150EF" w:rsidRPr="002A2EA6">
        <w:rPr>
          <w:lang w:val="fr-FR"/>
        </w:rPr>
        <w:t>environnement marin, le seul en existence au sein du système des</w:t>
      </w:r>
      <w:r w:rsidR="00211DC7" w:rsidRPr="002A2EA6">
        <w:rPr>
          <w:lang w:val="fr-FR"/>
        </w:rPr>
        <w:t> </w:t>
      </w:r>
      <w:r w:rsidR="559150EF" w:rsidRPr="002A2EA6">
        <w:rPr>
          <w:lang w:val="fr-FR"/>
        </w:rPr>
        <w:t>Nations</w:t>
      </w:r>
      <w:r w:rsidR="00211DC7" w:rsidRPr="002A2EA6">
        <w:rPr>
          <w:lang w:val="fr-FR"/>
        </w:rPr>
        <w:t> </w:t>
      </w:r>
      <w:r w:rsidR="559150EF" w:rsidRPr="002A2EA6">
        <w:rPr>
          <w:lang w:val="fr-FR"/>
        </w:rPr>
        <w:t>Unies, bénéficiait d</w:t>
      </w:r>
      <w:r w:rsidR="00CA4DAC">
        <w:rPr>
          <w:lang w:val="fr-FR"/>
        </w:rPr>
        <w:t>’</w:t>
      </w:r>
      <w:r w:rsidR="559150EF" w:rsidRPr="002A2EA6">
        <w:rPr>
          <w:lang w:val="fr-FR"/>
        </w:rPr>
        <w:t>une longue expérience en matière de production de documents de référence certifiés, y compris concernant les fractions de masse de mercure et de méthylmercure, ainsi que d</w:t>
      </w:r>
      <w:r w:rsidR="00CA4DAC">
        <w:rPr>
          <w:lang w:val="fr-FR"/>
        </w:rPr>
        <w:t>’</w:t>
      </w:r>
      <w:r w:rsidR="559150EF" w:rsidRPr="002A2EA6">
        <w:rPr>
          <w:lang w:val="fr-FR"/>
        </w:rPr>
        <w:t>organisation de tests d</w:t>
      </w:r>
      <w:r w:rsidR="00CA4DAC">
        <w:rPr>
          <w:lang w:val="fr-FR"/>
        </w:rPr>
        <w:t>’</w:t>
      </w:r>
      <w:r w:rsidR="559150EF" w:rsidRPr="002A2EA6">
        <w:rPr>
          <w:lang w:val="fr-FR"/>
        </w:rPr>
        <w:t>aptitude pour permettre aux laboratoires d</w:t>
      </w:r>
      <w:r w:rsidR="00CA4DAC">
        <w:rPr>
          <w:lang w:val="fr-FR"/>
        </w:rPr>
        <w:t>’</w:t>
      </w:r>
      <w:r w:rsidR="559150EF" w:rsidRPr="002A2EA6">
        <w:rPr>
          <w:lang w:val="fr-FR"/>
        </w:rPr>
        <w:t>évaluer et d</w:t>
      </w:r>
      <w:r w:rsidR="00CA4DAC">
        <w:rPr>
          <w:lang w:val="fr-FR"/>
        </w:rPr>
        <w:t>’</w:t>
      </w:r>
      <w:r w:rsidR="559150EF" w:rsidRPr="002A2EA6">
        <w:rPr>
          <w:lang w:val="fr-FR"/>
        </w:rPr>
        <w:t>améliorer la</w:t>
      </w:r>
      <w:r w:rsidR="00245301" w:rsidRPr="002A2EA6">
        <w:rPr>
          <w:lang w:val="fr-FR"/>
        </w:rPr>
        <w:t> </w:t>
      </w:r>
      <w:r w:rsidR="559150EF" w:rsidRPr="002A2EA6">
        <w:rPr>
          <w:lang w:val="fr-FR"/>
        </w:rPr>
        <w:t xml:space="preserve">qualité des données analytiques sur le mercure. </w:t>
      </w:r>
      <w:r w:rsidR="296585F8" w:rsidRPr="002A2EA6">
        <w:rPr>
          <w:lang w:val="fr-FR"/>
        </w:rPr>
        <w:t>L</w:t>
      </w:r>
      <w:r w:rsidR="00CA4DAC">
        <w:rPr>
          <w:lang w:val="fr-FR"/>
        </w:rPr>
        <w:t>’</w:t>
      </w:r>
      <w:r w:rsidR="296585F8" w:rsidRPr="002A2EA6">
        <w:rPr>
          <w:lang w:val="fr-FR"/>
        </w:rPr>
        <w:t>évaluation de la qualité était indispensable à la</w:t>
      </w:r>
      <w:r w:rsidR="00245301" w:rsidRPr="002A2EA6">
        <w:rPr>
          <w:lang w:val="fr-FR"/>
        </w:rPr>
        <w:t> </w:t>
      </w:r>
      <w:r w:rsidR="296585F8" w:rsidRPr="002A2EA6">
        <w:rPr>
          <w:lang w:val="fr-FR"/>
        </w:rPr>
        <w:t xml:space="preserve">production de données comparables sur lesquelles fonder les décisions de politique générale. </w:t>
      </w:r>
      <w:r w:rsidR="3B19E15A" w:rsidRPr="002A2EA6">
        <w:rPr>
          <w:lang w:val="fr-FR"/>
        </w:rPr>
        <w:t>Par</w:t>
      </w:r>
      <w:r w:rsidR="00245301" w:rsidRPr="002A2EA6">
        <w:rPr>
          <w:lang w:val="fr-FR"/>
        </w:rPr>
        <w:t> </w:t>
      </w:r>
      <w:r w:rsidR="3B19E15A" w:rsidRPr="002A2EA6">
        <w:rPr>
          <w:lang w:val="fr-FR"/>
        </w:rPr>
        <w:t>ailleurs, par le biais de son programme de collaboration technique, l</w:t>
      </w:r>
      <w:r w:rsidR="00CA4DAC">
        <w:rPr>
          <w:lang w:val="fr-FR"/>
        </w:rPr>
        <w:t>’</w:t>
      </w:r>
      <w:r w:rsidR="3B19E15A" w:rsidRPr="002A2EA6">
        <w:rPr>
          <w:lang w:val="fr-FR"/>
        </w:rPr>
        <w:t>AIEA aidait les pays qui en</w:t>
      </w:r>
      <w:r w:rsidR="00C166F9">
        <w:rPr>
          <w:lang w:val="fr-FR"/>
        </w:rPr>
        <w:t> </w:t>
      </w:r>
      <w:r w:rsidR="3B19E15A" w:rsidRPr="002A2EA6">
        <w:rPr>
          <w:lang w:val="fr-FR"/>
        </w:rPr>
        <w:t>avait besoin à renforcer leurs capacités d</w:t>
      </w:r>
      <w:r w:rsidR="00CA4DAC">
        <w:rPr>
          <w:lang w:val="fr-FR"/>
        </w:rPr>
        <w:t>’</w:t>
      </w:r>
      <w:r w:rsidR="3B19E15A" w:rsidRPr="002A2EA6">
        <w:rPr>
          <w:lang w:val="fr-FR"/>
        </w:rPr>
        <w:t>analyse du mercure dans l</w:t>
      </w:r>
      <w:r w:rsidR="00CA4DAC">
        <w:rPr>
          <w:lang w:val="fr-FR"/>
        </w:rPr>
        <w:t>’</w:t>
      </w:r>
      <w:r w:rsidR="3B19E15A" w:rsidRPr="002A2EA6">
        <w:rPr>
          <w:lang w:val="fr-FR"/>
        </w:rPr>
        <w:t>environnement, y compris au</w:t>
      </w:r>
      <w:r w:rsidR="00C166F9">
        <w:rPr>
          <w:lang w:val="fr-FR"/>
        </w:rPr>
        <w:t> </w:t>
      </w:r>
      <w:r w:rsidR="3B19E15A" w:rsidRPr="002A2EA6">
        <w:rPr>
          <w:lang w:val="fr-FR"/>
        </w:rPr>
        <w:t>moyen de l</w:t>
      </w:r>
      <w:r w:rsidR="00CA4DAC">
        <w:rPr>
          <w:lang w:val="fr-FR"/>
        </w:rPr>
        <w:t>’</w:t>
      </w:r>
      <w:r w:rsidR="3B19E15A" w:rsidRPr="002A2EA6">
        <w:rPr>
          <w:lang w:val="fr-FR"/>
        </w:rPr>
        <w:t>achat d</w:t>
      </w:r>
      <w:r w:rsidR="00CA4DAC">
        <w:rPr>
          <w:lang w:val="fr-FR"/>
        </w:rPr>
        <w:t>’</w:t>
      </w:r>
      <w:r w:rsidR="3B19E15A" w:rsidRPr="002A2EA6">
        <w:rPr>
          <w:lang w:val="fr-FR"/>
        </w:rPr>
        <w:t>analyseurs de mercure et d</w:t>
      </w:r>
      <w:r w:rsidR="1006A360" w:rsidRPr="002A2EA6">
        <w:rPr>
          <w:lang w:val="fr-FR"/>
        </w:rPr>
        <w:t xml:space="preserve">e la </w:t>
      </w:r>
      <w:r w:rsidR="3B19E15A" w:rsidRPr="002A2EA6">
        <w:rPr>
          <w:lang w:val="fr-FR"/>
        </w:rPr>
        <w:t>formation des techniciens de laboratoire à leur</w:t>
      </w:r>
      <w:r w:rsidR="00245301" w:rsidRPr="002A2EA6">
        <w:rPr>
          <w:lang w:val="fr-FR"/>
        </w:rPr>
        <w:t> </w:t>
      </w:r>
      <w:r w:rsidR="3B19E15A" w:rsidRPr="002A2EA6">
        <w:rPr>
          <w:lang w:val="fr-FR"/>
        </w:rPr>
        <w:t xml:space="preserve">utilisation. </w:t>
      </w:r>
      <w:r w:rsidR="757B53E2" w:rsidRPr="002A2EA6">
        <w:rPr>
          <w:lang w:val="fr-FR"/>
        </w:rPr>
        <w:t>La représentante a engagé les Parties à contacter leur attaché de liaison national auprès de l</w:t>
      </w:r>
      <w:r w:rsidR="00CA4DAC">
        <w:rPr>
          <w:lang w:val="fr-FR"/>
        </w:rPr>
        <w:t>’</w:t>
      </w:r>
      <w:r w:rsidR="757B53E2" w:rsidRPr="002A2EA6">
        <w:rPr>
          <w:lang w:val="fr-FR"/>
        </w:rPr>
        <w:t>AIEA pour obtenir de plus amples informations.</w:t>
      </w:r>
      <w:r w:rsidR="75D585E8" w:rsidRPr="002A2EA6">
        <w:rPr>
          <w:lang w:val="fr-FR"/>
        </w:rPr>
        <w:t xml:space="preserve"> Enfin, elle a annoncé que le Bureau du Directeur général de l</w:t>
      </w:r>
      <w:r w:rsidR="00CA4DAC">
        <w:rPr>
          <w:lang w:val="fr-FR"/>
        </w:rPr>
        <w:t>’</w:t>
      </w:r>
      <w:r w:rsidR="75D585E8" w:rsidRPr="002A2EA6">
        <w:rPr>
          <w:lang w:val="fr-FR"/>
        </w:rPr>
        <w:t>AIEA avait approuvé la participation de l</w:t>
      </w:r>
      <w:r w:rsidR="00CA4DAC">
        <w:rPr>
          <w:lang w:val="fr-FR"/>
        </w:rPr>
        <w:t>’</w:t>
      </w:r>
      <w:r w:rsidR="00A42152" w:rsidRPr="002A2EA6">
        <w:rPr>
          <w:lang w:val="fr-FR"/>
        </w:rPr>
        <w:t>A</w:t>
      </w:r>
      <w:r w:rsidR="75D585E8" w:rsidRPr="002A2EA6">
        <w:rPr>
          <w:lang w:val="fr-FR"/>
        </w:rPr>
        <w:t>gence au Partenar</w:t>
      </w:r>
      <w:r w:rsidR="41D78CDC" w:rsidRPr="002A2EA6">
        <w:rPr>
          <w:lang w:val="fr-FR"/>
        </w:rPr>
        <w:t>ia</w:t>
      </w:r>
      <w:r w:rsidR="75D585E8" w:rsidRPr="002A2EA6">
        <w:rPr>
          <w:lang w:val="fr-FR"/>
        </w:rPr>
        <w:t>t mondial sur le mercure.</w:t>
      </w:r>
    </w:p>
    <w:p w14:paraId="3A75CFF0" w14:textId="2B2F6EBC" w:rsidR="00912F9D" w:rsidRPr="002A2EA6" w:rsidRDefault="00912F9D" w:rsidP="00912F9D">
      <w:pPr>
        <w:pStyle w:val="CH3"/>
        <w:rPr>
          <w:lang w:val="fr-FR"/>
        </w:rPr>
      </w:pPr>
      <w:r w:rsidRPr="002A2EA6">
        <w:rPr>
          <w:lang w:val="fr-FR"/>
        </w:rPr>
        <w:tab/>
        <w:t>7.</w:t>
      </w:r>
      <w:r w:rsidRPr="002A2EA6">
        <w:rPr>
          <w:lang w:val="fr-FR"/>
        </w:rPr>
        <w:tab/>
      </w:r>
      <w:r w:rsidRPr="002A2EA6">
        <w:rPr>
          <w:bCs/>
          <w:lang w:val="fr-FR"/>
        </w:rPr>
        <w:t>Groupe sur l</w:t>
      </w:r>
      <w:r w:rsidR="00CA4DAC">
        <w:rPr>
          <w:bCs/>
          <w:lang w:val="fr-FR"/>
        </w:rPr>
        <w:t>’</w:t>
      </w:r>
      <w:r w:rsidRPr="002A2EA6">
        <w:rPr>
          <w:bCs/>
          <w:lang w:val="fr-FR"/>
        </w:rPr>
        <w:t>observation de la Terre</w:t>
      </w:r>
    </w:p>
    <w:p w14:paraId="2B6A0564" w14:textId="3858D26F" w:rsidR="75D585E8" w:rsidRPr="002A2EA6" w:rsidRDefault="75D585E8" w:rsidP="001712F4">
      <w:pPr>
        <w:pStyle w:val="Normalnumber"/>
        <w:numPr>
          <w:ilvl w:val="0"/>
          <w:numId w:val="42"/>
        </w:numPr>
        <w:tabs>
          <w:tab w:val="clear" w:pos="1814"/>
          <w:tab w:val="left" w:pos="1843"/>
          <w:tab w:val="left" w:pos="1985"/>
        </w:tabs>
        <w:ind w:left="1288" w:hanging="28"/>
        <w:rPr>
          <w:lang w:val="fr-FR"/>
        </w:rPr>
      </w:pPr>
      <w:r w:rsidRPr="002A2EA6">
        <w:rPr>
          <w:lang w:val="fr-FR"/>
        </w:rPr>
        <w:t>Le représentant du secrétariat du Groupe sur l</w:t>
      </w:r>
      <w:r w:rsidR="00CA4DAC">
        <w:rPr>
          <w:lang w:val="fr-FR"/>
        </w:rPr>
        <w:t>’</w:t>
      </w:r>
      <w:r w:rsidRPr="002A2EA6">
        <w:rPr>
          <w:lang w:val="fr-FR"/>
        </w:rPr>
        <w:t xml:space="preserve">observation de la Terre </w:t>
      </w:r>
      <w:r w:rsidR="004A122A" w:rsidRPr="002A2EA6">
        <w:rPr>
          <w:lang w:val="fr-FR"/>
        </w:rPr>
        <w:t>–</w:t>
      </w:r>
      <w:r w:rsidRPr="002A2EA6">
        <w:rPr>
          <w:lang w:val="fr-FR"/>
        </w:rPr>
        <w:t xml:space="preserve"> partenariat international regroupant plus de 100</w:t>
      </w:r>
      <w:r w:rsidR="009E425C" w:rsidRPr="002A2EA6">
        <w:rPr>
          <w:lang w:val="fr-FR"/>
        </w:rPr>
        <w:t> </w:t>
      </w:r>
      <w:r w:rsidRPr="002A2EA6">
        <w:rPr>
          <w:lang w:val="fr-FR"/>
        </w:rPr>
        <w:t>États Membres de l</w:t>
      </w:r>
      <w:r w:rsidR="00CA4DAC">
        <w:rPr>
          <w:lang w:val="fr-FR"/>
        </w:rPr>
        <w:t>’</w:t>
      </w:r>
      <w:r w:rsidRPr="002A2EA6">
        <w:rPr>
          <w:lang w:val="fr-FR"/>
        </w:rPr>
        <w:t>Organisation des Nations</w:t>
      </w:r>
      <w:r w:rsidR="00C166F9">
        <w:rPr>
          <w:lang w:val="fr-FR"/>
        </w:rPr>
        <w:t> </w:t>
      </w:r>
      <w:r w:rsidRPr="002A2EA6">
        <w:rPr>
          <w:lang w:val="fr-FR"/>
        </w:rPr>
        <w:t>Unies, la</w:t>
      </w:r>
      <w:r w:rsidR="00F412DC" w:rsidRPr="002A2EA6">
        <w:rPr>
          <w:lang w:val="fr-FR"/>
        </w:rPr>
        <w:t> </w:t>
      </w:r>
      <w:r w:rsidRPr="002A2EA6">
        <w:rPr>
          <w:lang w:val="fr-FR"/>
        </w:rPr>
        <w:t>Commission européenne et plus de 100</w:t>
      </w:r>
      <w:r w:rsidR="009E425C" w:rsidRPr="002A2EA6">
        <w:rPr>
          <w:lang w:val="fr-FR"/>
        </w:rPr>
        <w:t> </w:t>
      </w:r>
      <w:r w:rsidRPr="002A2EA6">
        <w:rPr>
          <w:lang w:val="fr-FR"/>
        </w:rPr>
        <w:t xml:space="preserve">organisations internationales </w:t>
      </w:r>
      <w:r w:rsidR="00B61D8C" w:rsidRPr="002A2EA6">
        <w:rPr>
          <w:lang w:val="fr-FR"/>
        </w:rPr>
        <w:t>–</w:t>
      </w:r>
      <w:r w:rsidRPr="002A2EA6">
        <w:rPr>
          <w:lang w:val="fr-FR"/>
        </w:rPr>
        <w:t xml:space="preserve"> a déclaré que le secrétariat du Groupe s</w:t>
      </w:r>
      <w:r w:rsidR="00CA4DAC">
        <w:rPr>
          <w:lang w:val="fr-FR"/>
        </w:rPr>
        <w:t>’</w:t>
      </w:r>
      <w:r w:rsidRPr="002A2EA6">
        <w:rPr>
          <w:lang w:val="fr-FR"/>
        </w:rPr>
        <w:t>employait à améliorer la disponibilité et l</w:t>
      </w:r>
      <w:r w:rsidR="00CA4DAC">
        <w:rPr>
          <w:lang w:val="fr-FR"/>
        </w:rPr>
        <w:t>’</w:t>
      </w:r>
      <w:r w:rsidRPr="002A2EA6">
        <w:rPr>
          <w:lang w:val="fr-FR"/>
        </w:rPr>
        <w:t>utilisation des informations issues de l</w:t>
      </w:r>
      <w:r w:rsidR="00CA4DAC">
        <w:rPr>
          <w:lang w:val="fr-FR"/>
        </w:rPr>
        <w:t>’</w:t>
      </w:r>
      <w:r w:rsidRPr="002A2EA6">
        <w:rPr>
          <w:lang w:val="fr-FR"/>
        </w:rPr>
        <w:t>observation de la Terre au profit de la société</w:t>
      </w:r>
      <w:r w:rsidR="6D94C3FC" w:rsidRPr="002A2EA6">
        <w:rPr>
          <w:lang w:val="fr-FR"/>
        </w:rPr>
        <w:t>, ainsi que l</w:t>
      </w:r>
      <w:r w:rsidR="00CA4DAC">
        <w:rPr>
          <w:lang w:val="fr-FR"/>
        </w:rPr>
        <w:t>’</w:t>
      </w:r>
      <w:r w:rsidR="6D94C3FC" w:rsidRPr="002A2EA6">
        <w:rPr>
          <w:lang w:val="fr-FR"/>
        </w:rPr>
        <w:t>accès à ces dernières</w:t>
      </w:r>
      <w:r w:rsidRPr="002A2EA6">
        <w:rPr>
          <w:lang w:val="fr-FR"/>
        </w:rPr>
        <w:t>. Le système d</w:t>
      </w:r>
      <w:r w:rsidR="00CA4DAC">
        <w:rPr>
          <w:lang w:val="fr-FR"/>
        </w:rPr>
        <w:t>’</w:t>
      </w:r>
      <w:r w:rsidRPr="002A2EA6">
        <w:rPr>
          <w:lang w:val="fr-FR"/>
        </w:rPr>
        <w:t>observation mondial phare du Groupe pour le mercure a encouragé les activités destinées à fournir des données de surveillance comparables et de qualité sur le mercure, des cadres de modélisation validés et une plateforme dédiée dans le cadre de son pôle de connaissances afin de faciliter les</w:t>
      </w:r>
      <w:r w:rsidR="00F412DC" w:rsidRPr="002A2EA6">
        <w:rPr>
          <w:lang w:val="fr-FR"/>
        </w:rPr>
        <w:t> </w:t>
      </w:r>
      <w:r w:rsidRPr="002A2EA6">
        <w:rPr>
          <w:lang w:val="fr-FR"/>
        </w:rPr>
        <w:t>évaluations des politiques et les décisions de principe. Il visait à aider toutes les parties intéressées à mettre en œuvre la Convention de Minamata, en particulier en ce qui concerne le renforcement des</w:t>
      </w:r>
      <w:r w:rsidR="00F412DC" w:rsidRPr="002A2EA6">
        <w:rPr>
          <w:lang w:val="fr-FR"/>
        </w:rPr>
        <w:t> </w:t>
      </w:r>
      <w:r w:rsidRPr="002A2EA6">
        <w:rPr>
          <w:lang w:val="fr-FR"/>
        </w:rPr>
        <w:t>capacités et l</w:t>
      </w:r>
      <w:r w:rsidR="00CA4DAC">
        <w:rPr>
          <w:lang w:val="fr-FR"/>
        </w:rPr>
        <w:t>’</w:t>
      </w:r>
      <w:r w:rsidRPr="002A2EA6">
        <w:rPr>
          <w:lang w:val="fr-FR"/>
        </w:rPr>
        <w:t>assistance technique aux Parties qui sont des pays en développement.</w:t>
      </w:r>
    </w:p>
    <w:p w14:paraId="456DEC11" w14:textId="240B13B6" w:rsidR="00912F9D" w:rsidRPr="002A2EA6" w:rsidRDefault="00912F9D" w:rsidP="00912F9D">
      <w:pPr>
        <w:pStyle w:val="CH3"/>
        <w:rPr>
          <w:lang w:val="fr-FR"/>
        </w:rPr>
      </w:pPr>
      <w:r w:rsidRPr="002A2EA6">
        <w:rPr>
          <w:lang w:val="fr-FR"/>
        </w:rPr>
        <w:lastRenderedPageBreak/>
        <w:tab/>
        <w:t>8.</w:t>
      </w:r>
      <w:r w:rsidRPr="002A2EA6">
        <w:rPr>
          <w:lang w:val="fr-FR"/>
        </w:rPr>
        <w:tab/>
      </w:r>
      <w:r w:rsidRPr="002A2EA6">
        <w:rPr>
          <w:bCs/>
          <w:lang w:val="fr-FR"/>
        </w:rPr>
        <w:t>Organisation des Nations Unies pour le développement industriel</w:t>
      </w:r>
    </w:p>
    <w:p w14:paraId="0FCEAD64" w14:textId="29444B79" w:rsidR="75D585E8" w:rsidRPr="002A2EA6" w:rsidRDefault="75D585E8" w:rsidP="001712F4">
      <w:pPr>
        <w:pStyle w:val="Normalnumber"/>
        <w:numPr>
          <w:ilvl w:val="0"/>
          <w:numId w:val="42"/>
        </w:numPr>
        <w:tabs>
          <w:tab w:val="clear" w:pos="1814"/>
          <w:tab w:val="left" w:pos="1843"/>
          <w:tab w:val="left" w:pos="1985"/>
        </w:tabs>
        <w:ind w:left="1288" w:hanging="28"/>
        <w:rPr>
          <w:lang w:val="fr-FR"/>
        </w:rPr>
      </w:pPr>
      <w:r w:rsidRPr="002A2EA6">
        <w:rPr>
          <w:lang w:val="fr-FR"/>
        </w:rPr>
        <w:t>Le représentant de l</w:t>
      </w:r>
      <w:r w:rsidR="00CA4DAC">
        <w:rPr>
          <w:lang w:val="fr-FR"/>
        </w:rPr>
        <w:t>’</w:t>
      </w:r>
      <w:r w:rsidRPr="002A2EA6">
        <w:rPr>
          <w:lang w:val="fr-FR"/>
        </w:rPr>
        <w:t>ONUDI a déclaré que l</w:t>
      </w:r>
      <w:r w:rsidR="00CA4DAC">
        <w:rPr>
          <w:lang w:val="fr-FR"/>
        </w:rPr>
        <w:t>’</w:t>
      </w:r>
      <w:r w:rsidRPr="002A2EA6">
        <w:rPr>
          <w:lang w:val="fr-FR"/>
        </w:rPr>
        <w:t>ONUDI avait aidé huit</w:t>
      </w:r>
      <w:r w:rsidR="00F412DC" w:rsidRPr="002A2EA6">
        <w:rPr>
          <w:lang w:val="fr-FR"/>
        </w:rPr>
        <w:t> </w:t>
      </w:r>
      <w:r w:rsidRPr="002A2EA6">
        <w:rPr>
          <w:lang w:val="fr-FR"/>
        </w:rPr>
        <w:t>pays à ratifier et à appliquer rapidement la Convention de Minamata dans différentes régions. En 2019, un appui financier supplémentaire avait permis à l</w:t>
      </w:r>
      <w:r w:rsidR="00CA4DAC">
        <w:rPr>
          <w:lang w:val="fr-FR"/>
        </w:rPr>
        <w:t>’</w:t>
      </w:r>
      <w:r w:rsidRPr="002A2EA6">
        <w:rPr>
          <w:lang w:val="fr-FR"/>
        </w:rPr>
        <w:t>ONUDI d</w:t>
      </w:r>
      <w:r w:rsidR="00CA4DAC">
        <w:rPr>
          <w:lang w:val="fr-FR"/>
        </w:rPr>
        <w:t>’</w:t>
      </w:r>
      <w:r w:rsidRPr="002A2EA6">
        <w:rPr>
          <w:lang w:val="fr-FR"/>
        </w:rPr>
        <w:t>étendre le projet à l</w:t>
      </w:r>
      <w:r w:rsidR="00CA4DAC">
        <w:rPr>
          <w:lang w:val="fr-FR"/>
        </w:rPr>
        <w:t>’</w:t>
      </w:r>
      <w:r w:rsidRPr="002A2EA6">
        <w:rPr>
          <w:lang w:val="fr-FR"/>
        </w:rPr>
        <w:t>assistance technique pour aider les pays à respecter la Convention de Minamata et d</w:t>
      </w:r>
      <w:r w:rsidR="00CA4DAC">
        <w:rPr>
          <w:lang w:val="fr-FR"/>
        </w:rPr>
        <w:t>’</w:t>
      </w:r>
      <w:r w:rsidRPr="002A2EA6">
        <w:rPr>
          <w:lang w:val="fr-FR"/>
        </w:rPr>
        <w:t>autres conventions relatives aux produits chimiques et aux déchets. Une assistance technique avait également été fournie à 25</w:t>
      </w:r>
      <w:r w:rsidR="00267CB2" w:rsidRPr="002A2EA6">
        <w:rPr>
          <w:lang w:val="fr-FR"/>
        </w:rPr>
        <w:t> </w:t>
      </w:r>
      <w:r w:rsidRPr="002A2EA6">
        <w:rPr>
          <w:lang w:val="fr-FR"/>
        </w:rPr>
        <w:t>pays aux fins de la préparation de leurs évaluations initiales de Minamata. En ce qui concerne l</w:t>
      </w:r>
      <w:r w:rsidR="00CA4DAC">
        <w:rPr>
          <w:lang w:val="fr-FR"/>
        </w:rPr>
        <w:t>’</w:t>
      </w:r>
      <w:r w:rsidRPr="002A2EA6">
        <w:rPr>
          <w:lang w:val="fr-FR"/>
        </w:rPr>
        <w:t>exploitation artisanale et à petite échelle d</w:t>
      </w:r>
      <w:r w:rsidR="00CA4DAC">
        <w:rPr>
          <w:lang w:val="fr-FR"/>
        </w:rPr>
        <w:t>’</w:t>
      </w:r>
      <w:r w:rsidRPr="002A2EA6">
        <w:rPr>
          <w:lang w:val="fr-FR"/>
        </w:rPr>
        <w:t>or, l</w:t>
      </w:r>
      <w:r w:rsidR="00CA4DAC">
        <w:rPr>
          <w:lang w:val="fr-FR"/>
        </w:rPr>
        <w:t>’</w:t>
      </w:r>
      <w:r w:rsidRPr="002A2EA6">
        <w:rPr>
          <w:lang w:val="fr-FR"/>
        </w:rPr>
        <w:t>ONUDI travaillait depuis plus de 20</w:t>
      </w:r>
      <w:r w:rsidR="00267CB2" w:rsidRPr="002A2EA6">
        <w:rPr>
          <w:lang w:val="fr-FR"/>
        </w:rPr>
        <w:t> </w:t>
      </w:r>
      <w:r w:rsidRPr="002A2EA6">
        <w:rPr>
          <w:lang w:val="fr-FR"/>
        </w:rPr>
        <w:t xml:space="preserve">ans sur les technologies sans mercure et aidait </w:t>
      </w:r>
      <w:r w:rsidR="00D50C4B" w:rsidRPr="002A2EA6">
        <w:rPr>
          <w:lang w:val="fr-FR"/>
        </w:rPr>
        <w:t>neuf</w:t>
      </w:r>
      <w:r w:rsidRPr="002A2EA6">
        <w:rPr>
          <w:lang w:val="fr-FR"/>
        </w:rPr>
        <w:t> pays à élaborer leur plan d</w:t>
      </w:r>
      <w:r w:rsidR="00CA4DAC">
        <w:rPr>
          <w:lang w:val="fr-FR"/>
        </w:rPr>
        <w:t>’</w:t>
      </w:r>
      <w:r w:rsidRPr="002A2EA6">
        <w:rPr>
          <w:lang w:val="fr-FR"/>
        </w:rPr>
        <w:t>action national. En ce qui concerne l</w:t>
      </w:r>
      <w:r w:rsidR="00CA4DAC">
        <w:rPr>
          <w:lang w:val="fr-FR"/>
        </w:rPr>
        <w:t>’</w:t>
      </w:r>
      <w:r w:rsidRPr="002A2EA6">
        <w:rPr>
          <w:lang w:val="fr-FR"/>
        </w:rPr>
        <w:t>industrie, l</w:t>
      </w:r>
      <w:r w:rsidR="00CA4DAC">
        <w:rPr>
          <w:lang w:val="fr-FR"/>
        </w:rPr>
        <w:t>’</w:t>
      </w:r>
      <w:r w:rsidRPr="002A2EA6">
        <w:rPr>
          <w:lang w:val="fr-FR"/>
        </w:rPr>
        <w:t>ONUDI s</w:t>
      </w:r>
      <w:r w:rsidR="00CA4DAC">
        <w:rPr>
          <w:lang w:val="fr-FR"/>
        </w:rPr>
        <w:t>’</w:t>
      </w:r>
      <w:r w:rsidRPr="002A2EA6">
        <w:rPr>
          <w:lang w:val="fr-FR"/>
        </w:rPr>
        <w:t>employait à éliminer l</w:t>
      </w:r>
      <w:r w:rsidR="00CA4DAC">
        <w:rPr>
          <w:lang w:val="fr-FR"/>
        </w:rPr>
        <w:t>’</w:t>
      </w:r>
      <w:r w:rsidRPr="002A2EA6">
        <w:rPr>
          <w:lang w:val="fr-FR"/>
        </w:rPr>
        <w:t>utilisation du mercure dans la production de chlorure de vinyle monomère et de chlore-alcali, notamment dans le cadre d</w:t>
      </w:r>
      <w:r w:rsidR="00CA4DAC">
        <w:rPr>
          <w:lang w:val="fr-FR"/>
        </w:rPr>
        <w:t>’</w:t>
      </w:r>
      <w:r w:rsidRPr="002A2EA6">
        <w:rPr>
          <w:lang w:val="fr-FR"/>
        </w:rPr>
        <w:t>un projet en Chine. Elle s</w:t>
      </w:r>
      <w:r w:rsidR="00CA4DAC">
        <w:rPr>
          <w:lang w:val="fr-FR"/>
        </w:rPr>
        <w:t>’</w:t>
      </w:r>
      <w:r w:rsidRPr="002A2EA6">
        <w:rPr>
          <w:lang w:val="fr-FR"/>
        </w:rPr>
        <w:t>efforçait également de réduire les émissions de mercure dans des secteurs tels que la production de ciment, les fonderies de métaux non ferreux et la gestion des déchets et collaborait avec le Gouvernement japonais pour promouvoir la</w:t>
      </w:r>
      <w:r w:rsidR="00A37A74" w:rsidRPr="002A2EA6">
        <w:rPr>
          <w:lang w:val="fr-FR"/>
        </w:rPr>
        <w:t> </w:t>
      </w:r>
      <w:r w:rsidRPr="002A2EA6">
        <w:rPr>
          <w:lang w:val="fr-FR"/>
        </w:rPr>
        <w:t>gestion écologiquement rationnelle des déchets de mercure.</w:t>
      </w:r>
    </w:p>
    <w:p w14:paraId="1C1D7E9B" w14:textId="21DD5C03" w:rsidR="00912F9D" w:rsidRPr="002A2EA6" w:rsidRDefault="00912F9D" w:rsidP="00912F9D">
      <w:pPr>
        <w:pStyle w:val="CH3"/>
        <w:rPr>
          <w:lang w:val="fr-FR"/>
        </w:rPr>
      </w:pPr>
      <w:r w:rsidRPr="002A2EA6">
        <w:rPr>
          <w:lang w:val="fr-FR"/>
        </w:rPr>
        <w:tab/>
        <w:t>9.</w:t>
      </w:r>
      <w:r w:rsidRPr="002A2EA6">
        <w:rPr>
          <w:lang w:val="fr-FR"/>
        </w:rPr>
        <w:tab/>
      </w:r>
      <w:r w:rsidRPr="002A2EA6">
        <w:rPr>
          <w:bCs/>
          <w:lang w:val="fr-FR"/>
        </w:rPr>
        <w:t>Groupe de travail Zéro mercure</w:t>
      </w:r>
    </w:p>
    <w:p w14:paraId="1D775E87" w14:textId="3815984C" w:rsidR="691D8DE5" w:rsidRPr="002A2EA6" w:rsidRDefault="691D8DE5" w:rsidP="001712F4">
      <w:pPr>
        <w:pStyle w:val="Normalnumber"/>
        <w:numPr>
          <w:ilvl w:val="0"/>
          <w:numId w:val="42"/>
        </w:numPr>
        <w:tabs>
          <w:tab w:val="clear" w:pos="1814"/>
          <w:tab w:val="left" w:pos="1843"/>
          <w:tab w:val="left" w:pos="1985"/>
        </w:tabs>
        <w:ind w:left="1288" w:hanging="28"/>
        <w:rPr>
          <w:lang w:val="fr-FR"/>
        </w:rPr>
      </w:pPr>
      <w:r w:rsidRPr="002A2EA6">
        <w:rPr>
          <w:lang w:val="fr-FR"/>
        </w:rPr>
        <w:t>Le représentant du Groupe de travail Zéro mercure a déclaré que pour promouvoir la mise en œuvre de la Convention de Minamata, le Groupe de travail avait participé à chacun des groupes d</w:t>
      </w:r>
      <w:r w:rsidR="00CA4DAC">
        <w:rPr>
          <w:lang w:val="fr-FR"/>
        </w:rPr>
        <w:t>’</w:t>
      </w:r>
      <w:r w:rsidRPr="002A2EA6">
        <w:rPr>
          <w:lang w:val="fr-FR"/>
        </w:rPr>
        <w:t xml:space="preserve">experts intersessions, </w:t>
      </w:r>
      <w:r w:rsidR="39663291" w:rsidRPr="002A2EA6">
        <w:rPr>
          <w:lang w:val="fr-FR"/>
        </w:rPr>
        <w:t xml:space="preserve">y </w:t>
      </w:r>
      <w:r w:rsidRPr="002A2EA6">
        <w:rPr>
          <w:lang w:val="fr-FR"/>
        </w:rPr>
        <w:t xml:space="preserve">avait fourni des contributions et avait appuyé les travaux du Partenariat mondial sur le mercure au titre du domaine de partenariat relatif aux produits contenant du mercure. </w:t>
      </w:r>
      <w:r w:rsidR="0D3507EE" w:rsidRPr="002A2EA6">
        <w:rPr>
          <w:lang w:val="fr-FR"/>
        </w:rPr>
        <w:t xml:space="preserve">Les partenaires du </w:t>
      </w:r>
      <w:r w:rsidR="2122FBB6" w:rsidRPr="002A2EA6">
        <w:rPr>
          <w:lang w:val="fr-FR"/>
        </w:rPr>
        <w:t>G</w:t>
      </w:r>
      <w:r w:rsidR="0D3507EE" w:rsidRPr="002A2EA6">
        <w:rPr>
          <w:lang w:val="fr-FR"/>
        </w:rPr>
        <w:t>roupe de travail qui ne sont pas des organisations gouvernementales avaient aidé leurs gouvernements respectifs à ratifier la Convention et à appliquer les dispositions relatives aux</w:t>
      </w:r>
      <w:r w:rsidR="00A37A74" w:rsidRPr="002A2EA6">
        <w:rPr>
          <w:lang w:val="fr-FR"/>
        </w:rPr>
        <w:t> </w:t>
      </w:r>
      <w:r w:rsidR="0D3507EE" w:rsidRPr="002A2EA6">
        <w:rPr>
          <w:lang w:val="fr-FR"/>
        </w:rPr>
        <w:t>produits contenant du mercure et à l</w:t>
      </w:r>
      <w:r w:rsidR="00CA4DAC">
        <w:rPr>
          <w:lang w:val="fr-FR"/>
        </w:rPr>
        <w:t>’</w:t>
      </w:r>
      <w:r w:rsidR="0D3507EE" w:rsidRPr="002A2EA6">
        <w:rPr>
          <w:lang w:val="fr-FR"/>
        </w:rPr>
        <w:t>extraction minière artisanale et à petite échelle d</w:t>
      </w:r>
      <w:r w:rsidR="00CA4DAC">
        <w:rPr>
          <w:lang w:val="fr-FR"/>
        </w:rPr>
        <w:t>’</w:t>
      </w:r>
      <w:r w:rsidR="0D3507EE" w:rsidRPr="002A2EA6">
        <w:rPr>
          <w:lang w:val="fr-FR"/>
        </w:rPr>
        <w:t xml:space="preserve">or. </w:t>
      </w:r>
      <w:r w:rsidR="5B3A5BA9" w:rsidRPr="002A2EA6">
        <w:rPr>
          <w:lang w:val="fr-FR"/>
        </w:rPr>
        <w:t>Afin de renforcer les capacités de ces partenaires, le Groupe de travail avait organisé des réunions régionales en 2018 et 2019 auxquelles plus de 90</w:t>
      </w:r>
      <w:r w:rsidR="00267CB2" w:rsidRPr="002A2EA6">
        <w:rPr>
          <w:lang w:val="fr-FR"/>
        </w:rPr>
        <w:t> </w:t>
      </w:r>
      <w:r w:rsidR="5B3A5BA9" w:rsidRPr="002A2EA6">
        <w:rPr>
          <w:lang w:val="fr-FR"/>
        </w:rPr>
        <w:t>représentants de plus de 50</w:t>
      </w:r>
      <w:r w:rsidR="00267CB2" w:rsidRPr="002A2EA6">
        <w:rPr>
          <w:lang w:val="fr-FR"/>
        </w:rPr>
        <w:t> </w:t>
      </w:r>
      <w:r w:rsidR="5B3A5BA9" w:rsidRPr="002A2EA6">
        <w:rPr>
          <w:lang w:val="fr-FR"/>
        </w:rPr>
        <w:t xml:space="preserve">pays avaient participé. </w:t>
      </w:r>
      <w:r w:rsidR="7488754D" w:rsidRPr="002A2EA6">
        <w:rPr>
          <w:lang w:val="fr-FR"/>
        </w:rPr>
        <w:t>Dans le</w:t>
      </w:r>
      <w:r w:rsidR="00415DF5" w:rsidRPr="002A2EA6">
        <w:rPr>
          <w:lang w:val="fr-FR"/>
        </w:rPr>
        <w:t> </w:t>
      </w:r>
      <w:r w:rsidR="7488754D" w:rsidRPr="002A2EA6">
        <w:rPr>
          <w:lang w:val="fr-FR"/>
        </w:rPr>
        <w:t>cadre d</w:t>
      </w:r>
      <w:r w:rsidR="00CA4DAC">
        <w:rPr>
          <w:lang w:val="fr-FR"/>
        </w:rPr>
        <w:t>’</w:t>
      </w:r>
      <w:r w:rsidR="7488754D" w:rsidRPr="002A2EA6">
        <w:rPr>
          <w:lang w:val="fr-FR"/>
        </w:rPr>
        <w:t>une campagne mondiale de lutte contre les crèmes éclaircissantes, le Groupe de travail avait mené des tests démontrant la haute teneur en mercure de 60</w:t>
      </w:r>
      <w:r w:rsidR="00267CB2" w:rsidRPr="002A2EA6">
        <w:rPr>
          <w:lang w:val="fr-FR"/>
        </w:rPr>
        <w:t> </w:t>
      </w:r>
      <w:r w:rsidR="7488754D" w:rsidRPr="002A2EA6">
        <w:rPr>
          <w:lang w:val="fr-FR"/>
        </w:rPr>
        <w:t>% des crèmes sélectionnées dans 12</w:t>
      </w:r>
      <w:r w:rsidR="00267CB2" w:rsidRPr="002A2EA6">
        <w:rPr>
          <w:lang w:val="fr-FR"/>
        </w:rPr>
        <w:t> </w:t>
      </w:r>
      <w:r w:rsidR="7488754D" w:rsidRPr="002A2EA6">
        <w:rPr>
          <w:lang w:val="fr-FR"/>
        </w:rPr>
        <w:t>pays. Après la publication d</w:t>
      </w:r>
      <w:r w:rsidR="00CA4DAC">
        <w:rPr>
          <w:lang w:val="fr-FR"/>
        </w:rPr>
        <w:t>’</w:t>
      </w:r>
      <w:r w:rsidR="7488754D" w:rsidRPr="002A2EA6">
        <w:rPr>
          <w:lang w:val="fr-FR"/>
        </w:rPr>
        <w:t>un rapport sur le sujet, deux grands distributeurs en ligne avaient retiré les</w:t>
      </w:r>
      <w:r w:rsidR="00415DF5" w:rsidRPr="002A2EA6">
        <w:rPr>
          <w:lang w:val="fr-FR"/>
        </w:rPr>
        <w:t> </w:t>
      </w:r>
      <w:r w:rsidR="7488754D" w:rsidRPr="002A2EA6">
        <w:rPr>
          <w:lang w:val="fr-FR"/>
        </w:rPr>
        <w:t xml:space="preserve">crèmes </w:t>
      </w:r>
      <w:r w:rsidR="008B09E2" w:rsidRPr="002A2EA6">
        <w:rPr>
          <w:lang w:val="fr-FR"/>
        </w:rPr>
        <w:t xml:space="preserve">en question </w:t>
      </w:r>
      <w:r w:rsidR="7488754D" w:rsidRPr="002A2EA6">
        <w:rPr>
          <w:lang w:val="fr-FR"/>
        </w:rPr>
        <w:t xml:space="preserve">de leurs sites. </w:t>
      </w:r>
      <w:r w:rsidR="7D62F615" w:rsidRPr="002A2EA6">
        <w:rPr>
          <w:lang w:val="fr-FR"/>
        </w:rPr>
        <w:t xml:space="preserve">Un rapport connexe visait également à appuyer les efforts menés par les Parties pour restreindre ces produits toxiques, y compris en fournissant des exemples de réussites et de meilleures pratiques. </w:t>
      </w:r>
      <w:r w:rsidR="1C33C95F" w:rsidRPr="002A2EA6">
        <w:rPr>
          <w:lang w:val="fr-FR"/>
        </w:rPr>
        <w:t>Étant donné l</w:t>
      </w:r>
      <w:r w:rsidR="00CA4DAC">
        <w:rPr>
          <w:lang w:val="fr-FR"/>
        </w:rPr>
        <w:t>’</w:t>
      </w:r>
      <w:r w:rsidR="1C33C95F" w:rsidRPr="002A2EA6">
        <w:rPr>
          <w:lang w:val="fr-FR"/>
        </w:rPr>
        <w:t>importance de l</w:t>
      </w:r>
      <w:r w:rsidR="00CA4DAC">
        <w:rPr>
          <w:lang w:val="fr-FR"/>
        </w:rPr>
        <w:t>’</w:t>
      </w:r>
      <w:r w:rsidR="1C33C95F" w:rsidRPr="002A2EA6">
        <w:rPr>
          <w:lang w:val="fr-FR"/>
        </w:rPr>
        <w:t>application de la Convention, le</w:t>
      </w:r>
      <w:r w:rsidR="00415DF5" w:rsidRPr="002A2EA6">
        <w:rPr>
          <w:lang w:val="fr-FR"/>
        </w:rPr>
        <w:t> </w:t>
      </w:r>
      <w:r w:rsidR="1C33C95F" w:rsidRPr="002A2EA6">
        <w:rPr>
          <w:lang w:val="fr-FR"/>
        </w:rPr>
        <w:t>Groupe de travail avait élaboré une affiche résumant les obligations immédiates des Parties et avait diffusé des outils de mise en œuvre et des modules de formation.</w:t>
      </w:r>
    </w:p>
    <w:p w14:paraId="7BCF1A57" w14:textId="0478C957" w:rsidR="009F167C" w:rsidRPr="002A2EA6" w:rsidRDefault="005155CD" w:rsidP="00CE52B4">
      <w:pPr>
        <w:pStyle w:val="CH1"/>
        <w:rPr>
          <w:lang w:val="fr-FR"/>
        </w:rPr>
      </w:pPr>
      <w:r w:rsidRPr="002A2EA6">
        <w:rPr>
          <w:lang w:val="fr-FR"/>
        </w:rPr>
        <w:tab/>
      </w:r>
      <w:r w:rsidR="009F167C" w:rsidRPr="002A2EA6">
        <w:rPr>
          <w:lang w:val="fr-FR"/>
        </w:rPr>
        <w:t>VII.</w:t>
      </w:r>
      <w:r w:rsidR="009F167C" w:rsidRPr="002A2EA6">
        <w:rPr>
          <w:lang w:val="fr-FR"/>
        </w:rPr>
        <w:tab/>
        <w:t>Programme de travail et budget</w:t>
      </w:r>
    </w:p>
    <w:p w14:paraId="0EA04AEB" w14:textId="1EBE0C36" w:rsidR="007A237C" w:rsidRPr="002A2EA6" w:rsidRDefault="002C3E5C" w:rsidP="001712F4">
      <w:pPr>
        <w:pStyle w:val="Normalnumber"/>
        <w:numPr>
          <w:ilvl w:val="0"/>
          <w:numId w:val="42"/>
        </w:numPr>
        <w:tabs>
          <w:tab w:val="clear" w:pos="1814"/>
          <w:tab w:val="left" w:pos="1843"/>
          <w:tab w:val="left" w:pos="1985"/>
        </w:tabs>
        <w:ind w:left="1288" w:hanging="28"/>
        <w:rPr>
          <w:lang w:val="fr-FR"/>
        </w:rPr>
      </w:pPr>
      <w:bookmarkStart w:id="47" w:name="_DV_C210"/>
      <w:r w:rsidRPr="002A2EA6">
        <w:rPr>
          <w:lang w:val="fr-FR"/>
        </w:rPr>
        <w:t>Présentant ce point, la Secrétaire exécutive a appelé l</w:t>
      </w:r>
      <w:r w:rsidR="00CA4DAC">
        <w:rPr>
          <w:lang w:val="fr-FR"/>
        </w:rPr>
        <w:t>’</w:t>
      </w:r>
      <w:r w:rsidRPr="002A2EA6">
        <w:rPr>
          <w:lang w:val="fr-FR"/>
        </w:rPr>
        <w:t>attention des participants sur une note du secrétariat relative au projet de programme de travail et de budget pour l</w:t>
      </w:r>
      <w:r w:rsidR="00CA4DAC">
        <w:rPr>
          <w:lang w:val="fr-FR"/>
        </w:rPr>
        <w:t>’</w:t>
      </w:r>
      <w:r w:rsidRPr="002A2EA6">
        <w:rPr>
          <w:lang w:val="fr-FR"/>
        </w:rPr>
        <w:t>exercice biennal 2020</w:t>
      </w:r>
      <w:r w:rsidR="002E5929" w:rsidRPr="002A2EA6">
        <w:rPr>
          <w:lang w:val="fr-FR"/>
        </w:rPr>
        <w:t>–</w:t>
      </w:r>
      <w:r w:rsidRPr="002A2EA6">
        <w:rPr>
          <w:lang w:val="fr-FR"/>
        </w:rPr>
        <w:t>2021, qui avait été établie comme suite à la décision</w:t>
      </w:r>
      <w:r w:rsidR="00267CB2" w:rsidRPr="002A2EA6">
        <w:rPr>
          <w:lang w:val="fr-FR"/>
        </w:rPr>
        <w:t> </w:t>
      </w:r>
      <w:r w:rsidRPr="002A2EA6">
        <w:rPr>
          <w:lang w:val="fr-FR"/>
        </w:rPr>
        <w:t>MC-2/12 et présentait deux</w:t>
      </w:r>
      <w:r w:rsidR="00415DF5" w:rsidRPr="002A2EA6">
        <w:rPr>
          <w:lang w:val="fr-FR"/>
        </w:rPr>
        <w:t> </w:t>
      </w:r>
      <w:r w:rsidRPr="002A2EA6">
        <w:rPr>
          <w:lang w:val="fr-FR"/>
        </w:rPr>
        <w:t>scénarios de financement, à savoir un scénario de croissance nominale nulle et un scénario de la Secrétaire exécutive, et a expliqué les principes fondamentaux, les hypothèses et la stratégie de programmation sous-tendant le budget (UNEP/MC/COP.3/20). Conformément à la décision</w:t>
      </w:r>
      <w:r w:rsidR="00267CB2" w:rsidRPr="002A2EA6">
        <w:rPr>
          <w:lang w:val="fr-FR"/>
        </w:rPr>
        <w:t> </w:t>
      </w:r>
      <w:r w:rsidRPr="002A2EA6">
        <w:rPr>
          <w:lang w:val="fr-FR"/>
        </w:rPr>
        <w:t xml:space="preserve">MC-2/12, le secrétariat avait également établi des notes </w:t>
      </w:r>
      <w:r w:rsidR="00AE1E81" w:rsidRPr="002A2EA6">
        <w:rPr>
          <w:lang w:val="fr-FR"/>
        </w:rPr>
        <w:t xml:space="preserve">relatives aux </w:t>
      </w:r>
      <w:r w:rsidRPr="002A2EA6">
        <w:rPr>
          <w:lang w:val="fr-FR"/>
        </w:rPr>
        <w:t>fiches d</w:t>
      </w:r>
      <w:r w:rsidR="00CA4DAC">
        <w:rPr>
          <w:lang w:val="fr-FR"/>
        </w:rPr>
        <w:t>’</w:t>
      </w:r>
      <w:r w:rsidRPr="002A2EA6">
        <w:rPr>
          <w:lang w:val="fr-FR"/>
        </w:rPr>
        <w:t>information sur les activités inscrites au budget (UNEP/MC/COP.3/INF/9)</w:t>
      </w:r>
      <w:r w:rsidR="00267CB2" w:rsidRPr="002A2EA6">
        <w:rPr>
          <w:lang w:val="fr-FR"/>
        </w:rPr>
        <w:t> </w:t>
      </w:r>
      <w:r w:rsidR="631BDA25" w:rsidRPr="002A2EA6">
        <w:rPr>
          <w:lang w:val="fr-FR"/>
        </w:rPr>
        <w:t>;</w:t>
      </w:r>
      <w:r w:rsidRPr="002A2EA6">
        <w:rPr>
          <w:lang w:val="fr-FR"/>
        </w:rPr>
        <w:t xml:space="preserve"> des informations sur les questions financières, notamment sur l</w:t>
      </w:r>
      <w:r w:rsidR="00CA4DAC">
        <w:rPr>
          <w:lang w:val="fr-FR"/>
        </w:rPr>
        <w:t>’</w:t>
      </w:r>
      <w:r w:rsidRPr="002A2EA6">
        <w:rPr>
          <w:lang w:val="fr-FR"/>
        </w:rPr>
        <w:t>état des</w:t>
      </w:r>
      <w:r w:rsidR="00C166F9">
        <w:rPr>
          <w:lang w:val="fr-FR"/>
        </w:rPr>
        <w:t> </w:t>
      </w:r>
      <w:r w:rsidRPr="002A2EA6">
        <w:rPr>
          <w:lang w:val="fr-FR"/>
        </w:rPr>
        <w:t>contributions aux trois fonds d</w:t>
      </w:r>
      <w:r w:rsidR="00CA4DAC">
        <w:rPr>
          <w:lang w:val="fr-FR"/>
        </w:rPr>
        <w:t>’</w:t>
      </w:r>
      <w:r w:rsidRPr="002A2EA6">
        <w:rPr>
          <w:lang w:val="fr-FR"/>
        </w:rPr>
        <w:t>affectation spéciale de la Convention (UNEP/MC/COP.3/INF/10)</w:t>
      </w:r>
      <w:r w:rsidR="00C166F9">
        <w:rPr>
          <w:lang w:val="fr-FR"/>
        </w:rPr>
        <w:t> </w:t>
      </w:r>
      <w:r w:rsidR="631BDA25" w:rsidRPr="002A2EA6">
        <w:rPr>
          <w:lang w:val="fr-FR"/>
        </w:rPr>
        <w:t>;</w:t>
      </w:r>
      <w:r w:rsidRPr="002A2EA6">
        <w:rPr>
          <w:lang w:val="fr-FR"/>
        </w:rPr>
        <w:t xml:space="preserve"> et les projets de budget de fonctionnement pour les deux scénarios de financement (UNEP/MC/COP.3/INF/11 et </w:t>
      </w:r>
      <w:r w:rsidR="008DB11C" w:rsidRPr="002A2EA6">
        <w:rPr>
          <w:lang w:val="fr-FR"/>
        </w:rPr>
        <w:t>UNEP/MC/COP.3/INF/11/Add.1</w:t>
      </w:r>
      <w:r w:rsidRPr="002A2EA6">
        <w:rPr>
          <w:lang w:val="fr-FR"/>
        </w:rPr>
        <w:t>), y</w:t>
      </w:r>
      <w:r w:rsidR="00CE52B4" w:rsidRPr="002A2EA6">
        <w:rPr>
          <w:lang w:val="fr-FR"/>
        </w:rPr>
        <w:t> </w:t>
      </w:r>
      <w:r w:rsidRPr="002A2EA6">
        <w:rPr>
          <w:lang w:val="fr-FR"/>
        </w:rPr>
        <w:t>compris un tableau sur le barème indicatif des quotes-parts au fonds général d</w:t>
      </w:r>
      <w:r w:rsidR="00CA4DAC">
        <w:rPr>
          <w:lang w:val="fr-FR"/>
        </w:rPr>
        <w:t>’</w:t>
      </w:r>
      <w:r w:rsidRPr="002A2EA6">
        <w:rPr>
          <w:lang w:val="fr-FR"/>
        </w:rPr>
        <w:t>affectation spéciale pour les deux scénarios relatifs au budget de fonctionnement reposant sur le barème des quotes-parts de l</w:t>
      </w:r>
      <w:r w:rsidR="00CA4DAC">
        <w:rPr>
          <w:lang w:val="fr-FR"/>
        </w:rPr>
        <w:t>’</w:t>
      </w:r>
      <w:r w:rsidRPr="002A2EA6">
        <w:rPr>
          <w:lang w:val="fr-FR"/>
        </w:rPr>
        <w:t>ONU (UNEP/MC/COP.3/INF/11, annexe</w:t>
      </w:r>
      <w:r w:rsidR="008A2F0F">
        <w:rPr>
          <w:lang w:val="fr-FR"/>
        </w:rPr>
        <w:t xml:space="preserve"> I</w:t>
      </w:r>
      <w:r w:rsidRPr="002A2EA6">
        <w:rPr>
          <w:lang w:val="fr-FR"/>
        </w:rPr>
        <w:t>I).</w:t>
      </w:r>
    </w:p>
    <w:p w14:paraId="3666DC6F" w14:textId="7C89AC0C" w:rsidR="007A237C" w:rsidRPr="002A2EA6" w:rsidRDefault="002C3E5C" w:rsidP="001712F4">
      <w:pPr>
        <w:pStyle w:val="Normalnumber"/>
        <w:numPr>
          <w:ilvl w:val="0"/>
          <w:numId w:val="42"/>
        </w:numPr>
        <w:tabs>
          <w:tab w:val="clear" w:pos="1814"/>
          <w:tab w:val="left" w:pos="1843"/>
          <w:tab w:val="left" w:pos="1985"/>
        </w:tabs>
        <w:ind w:left="1288" w:hanging="28"/>
        <w:rPr>
          <w:lang w:val="fr-FR"/>
        </w:rPr>
      </w:pPr>
      <w:bookmarkStart w:id="48" w:name="_DV_C212"/>
      <w:bookmarkEnd w:id="47"/>
      <w:r w:rsidRPr="002A2EA6">
        <w:rPr>
          <w:lang w:val="fr-FR"/>
        </w:rPr>
        <w:t>Répondant à une question d</w:t>
      </w:r>
      <w:r w:rsidR="00CA4DAC">
        <w:rPr>
          <w:lang w:val="fr-FR"/>
        </w:rPr>
        <w:t>’</w:t>
      </w:r>
      <w:r w:rsidRPr="002A2EA6">
        <w:rPr>
          <w:lang w:val="fr-FR"/>
        </w:rPr>
        <w:t>un participant, la représentante du secrétariat a donné un aperçu de l</w:t>
      </w:r>
      <w:r w:rsidR="00CA4DAC">
        <w:rPr>
          <w:lang w:val="fr-FR"/>
        </w:rPr>
        <w:t>’</w:t>
      </w:r>
      <w:r w:rsidRPr="002A2EA6">
        <w:rPr>
          <w:lang w:val="fr-FR"/>
        </w:rPr>
        <w:t>état des contributions aux fonds d</w:t>
      </w:r>
      <w:r w:rsidR="00CA4DAC">
        <w:rPr>
          <w:lang w:val="fr-FR"/>
        </w:rPr>
        <w:t>’</w:t>
      </w:r>
      <w:r w:rsidRPr="002A2EA6">
        <w:rPr>
          <w:lang w:val="fr-FR"/>
        </w:rPr>
        <w:t>affectation spéciale pour la Convention au 18</w:t>
      </w:r>
      <w:r w:rsidR="00267CB2" w:rsidRPr="002A2EA6">
        <w:rPr>
          <w:lang w:val="fr-FR"/>
        </w:rPr>
        <w:t> </w:t>
      </w:r>
      <w:r w:rsidRPr="002A2EA6">
        <w:rPr>
          <w:lang w:val="fr-FR"/>
        </w:rPr>
        <w:t>novembre 2019. S</w:t>
      </w:r>
      <w:r w:rsidR="00CA4DAC">
        <w:rPr>
          <w:lang w:val="fr-FR"/>
        </w:rPr>
        <w:t>’</w:t>
      </w:r>
      <w:r w:rsidRPr="002A2EA6">
        <w:rPr>
          <w:lang w:val="fr-FR"/>
        </w:rPr>
        <w:t>agissant du fonds général d</w:t>
      </w:r>
      <w:r w:rsidR="00CA4DAC">
        <w:rPr>
          <w:lang w:val="fr-FR"/>
        </w:rPr>
        <w:t>’</w:t>
      </w:r>
      <w:r w:rsidRPr="002A2EA6">
        <w:rPr>
          <w:lang w:val="fr-FR"/>
        </w:rPr>
        <w:t>affectation spéciale, au 18</w:t>
      </w:r>
      <w:r w:rsidR="00267CB2" w:rsidRPr="002A2EA6">
        <w:rPr>
          <w:lang w:val="fr-FR"/>
        </w:rPr>
        <w:t> </w:t>
      </w:r>
      <w:r w:rsidRPr="002A2EA6">
        <w:rPr>
          <w:lang w:val="fr-FR"/>
        </w:rPr>
        <w:t>novembre 2019, 3,4</w:t>
      </w:r>
      <w:r w:rsidR="00267CB2" w:rsidRPr="002A2EA6">
        <w:rPr>
          <w:lang w:val="fr-FR"/>
        </w:rPr>
        <w:t> </w:t>
      </w:r>
      <w:r w:rsidRPr="002A2EA6">
        <w:rPr>
          <w:lang w:val="fr-FR"/>
        </w:rPr>
        <w:t>millions de dollars avaient été reçus sur les 3,5</w:t>
      </w:r>
      <w:r w:rsidR="00267CB2" w:rsidRPr="002A2EA6">
        <w:rPr>
          <w:lang w:val="fr-FR"/>
        </w:rPr>
        <w:t> </w:t>
      </w:r>
      <w:r w:rsidRPr="002A2EA6">
        <w:rPr>
          <w:lang w:val="fr-FR"/>
        </w:rPr>
        <w:t>millions approuvés pour 2018 et 2,9</w:t>
      </w:r>
      <w:r w:rsidR="00267CB2" w:rsidRPr="002A2EA6">
        <w:rPr>
          <w:lang w:val="fr-FR"/>
        </w:rPr>
        <w:t> </w:t>
      </w:r>
      <w:r w:rsidRPr="002A2EA6">
        <w:rPr>
          <w:lang w:val="fr-FR"/>
        </w:rPr>
        <w:t xml:space="preserve">millions de dollars avaient été </w:t>
      </w:r>
      <w:r w:rsidR="6D40EFF8" w:rsidRPr="002A2EA6">
        <w:rPr>
          <w:lang w:val="fr-FR"/>
        </w:rPr>
        <w:t>re</w:t>
      </w:r>
      <w:r w:rsidRPr="002A2EA6">
        <w:rPr>
          <w:lang w:val="fr-FR"/>
        </w:rPr>
        <w:t>çus sur les 3,3</w:t>
      </w:r>
      <w:r w:rsidR="00267CB2" w:rsidRPr="002A2EA6">
        <w:rPr>
          <w:lang w:val="fr-FR"/>
        </w:rPr>
        <w:t> </w:t>
      </w:r>
      <w:r w:rsidRPr="002A2EA6">
        <w:rPr>
          <w:lang w:val="fr-FR"/>
        </w:rPr>
        <w:t>millions approuvés pour 2019. En ce qui concerne le fonds d</w:t>
      </w:r>
      <w:r w:rsidR="00CA4DAC">
        <w:rPr>
          <w:lang w:val="fr-FR"/>
        </w:rPr>
        <w:t>’</w:t>
      </w:r>
      <w:r w:rsidRPr="002A2EA6">
        <w:rPr>
          <w:lang w:val="fr-FR"/>
        </w:rPr>
        <w:t>affectation spéciale réservé, au 18</w:t>
      </w:r>
      <w:r w:rsidR="00267CB2" w:rsidRPr="002A2EA6">
        <w:rPr>
          <w:lang w:val="fr-FR"/>
        </w:rPr>
        <w:t> </w:t>
      </w:r>
      <w:r w:rsidRPr="002A2EA6">
        <w:rPr>
          <w:lang w:val="fr-FR"/>
        </w:rPr>
        <w:t>novembre 2019, 1,3</w:t>
      </w:r>
      <w:r w:rsidR="00267CB2" w:rsidRPr="002A2EA6">
        <w:rPr>
          <w:lang w:val="fr-FR"/>
        </w:rPr>
        <w:t> </w:t>
      </w:r>
      <w:r w:rsidRPr="002A2EA6">
        <w:rPr>
          <w:lang w:val="fr-FR"/>
        </w:rPr>
        <w:t>million de dollars avaient été reçus sur les</w:t>
      </w:r>
      <w:r w:rsidR="00CE52B4" w:rsidRPr="002A2EA6">
        <w:rPr>
          <w:lang w:val="fr-FR"/>
        </w:rPr>
        <w:t> </w:t>
      </w:r>
      <w:r w:rsidRPr="002A2EA6">
        <w:rPr>
          <w:lang w:val="fr-FR"/>
        </w:rPr>
        <w:t>3,2</w:t>
      </w:r>
      <w:r w:rsidR="00CE52B4" w:rsidRPr="002A2EA6">
        <w:rPr>
          <w:lang w:val="fr-FR"/>
        </w:rPr>
        <w:t> </w:t>
      </w:r>
      <w:r w:rsidRPr="002A2EA6">
        <w:rPr>
          <w:lang w:val="fr-FR"/>
        </w:rPr>
        <w:t>millions approuvés pour 2018 et 1,8</w:t>
      </w:r>
      <w:r w:rsidR="00267CB2" w:rsidRPr="002A2EA6">
        <w:rPr>
          <w:lang w:val="fr-FR"/>
        </w:rPr>
        <w:t> </w:t>
      </w:r>
      <w:r w:rsidRPr="002A2EA6">
        <w:rPr>
          <w:lang w:val="fr-FR"/>
        </w:rPr>
        <w:t>million de dollars avaient été annoncés ou reçus sur les 4</w:t>
      </w:r>
      <w:r w:rsidR="00267CB2" w:rsidRPr="002A2EA6">
        <w:rPr>
          <w:lang w:val="fr-FR"/>
        </w:rPr>
        <w:t> </w:t>
      </w:r>
      <w:r w:rsidRPr="002A2EA6">
        <w:rPr>
          <w:lang w:val="fr-FR"/>
        </w:rPr>
        <w:t>millions approuvés pour 2019.</w:t>
      </w:r>
    </w:p>
    <w:p w14:paraId="2323579B" w14:textId="6F006F0C" w:rsidR="007A237C" w:rsidRPr="002A2EA6" w:rsidRDefault="002C3E5C" w:rsidP="001712F4">
      <w:pPr>
        <w:pStyle w:val="Normalnumber"/>
        <w:numPr>
          <w:ilvl w:val="0"/>
          <w:numId w:val="42"/>
        </w:numPr>
        <w:tabs>
          <w:tab w:val="clear" w:pos="1814"/>
          <w:tab w:val="left" w:pos="1843"/>
          <w:tab w:val="left" w:pos="1985"/>
        </w:tabs>
        <w:ind w:left="1288" w:hanging="28"/>
        <w:rPr>
          <w:lang w:val="fr-FR"/>
        </w:rPr>
      </w:pPr>
      <w:bookmarkStart w:id="49" w:name="_DV_C214"/>
      <w:bookmarkEnd w:id="48"/>
      <w:r w:rsidRPr="002A2EA6">
        <w:rPr>
          <w:lang w:val="fr-FR"/>
        </w:rPr>
        <w:t>Au cours du débat qui a suivi, de nombreux représentants ont remercié le secrétariat d</w:t>
      </w:r>
      <w:r w:rsidR="00CA4DAC">
        <w:rPr>
          <w:lang w:val="fr-FR"/>
        </w:rPr>
        <w:t>’</w:t>
      </w:r>
      <w:r w:rsidRPr="002A2EA6">
        <w:rPr>
          <w:lang w:val="fr-FR"/>
        </w:rPr>
        <w:t>avoir établi les documents présentés au titre du point</w:t>
      </w:r>
      <w:r w:rsidR="00267CB2" w:rsidRPr="002A2EA6">
        <w:rPr>
          <w:lang w:val="fr-FR"/>
        </w:rPr>
        <w:t> </w:t>
      </w:r>
      <w:r w:rsidRPr="002A2EA6">
        <w:rPr>
          <w:lang w:val="fr-FR"/>
        </w:rPr>
        <w:t>7 de l</w:t>
      </w:r>
      <w:r w:rsidR="00CA4DAC">
        <w:rPr>
          <w:lang w:val="fr-FR"/>
        </w:rPr>
        <w:t>’</w:t>
      </w:r>
      <w:r w:rsidRPr="002A2EA6">
        <w:rPr>
          <w:lang w:val="fr-FR"/>
        </w:rPr>
        <w:t>ordre du jour, notamment les deux</w:t>
      </w:r>
      <w:r w:rsidR="00D31ABF" w:rsidRPr="002A2EA6">
        <w:rPr>
          <w:lang w:val="fr-FR"/>
        </w:rPr>
        <w:t> </w:t>
      </w:r>
      <w:r w:rsidRPr="002A2EA6">
        <w:rPr>
          <w:lang w:val="fr-FR"/>
        </w:rPr>
        <w:t>scénarios de financement et les fiches d</w:t>
      </w:r>
      <w:r w:rsidR="00CA4DAC">
        <w:rPr>
          <w:lang w:val="fr-FR"/>
        </w:rPr>
        <w:t>’</w:t>
      </w:r>
      <w:r w:rsidRPr="002A2EA6">
        <w:rPr>
          <w:lang w:val="fr-FR"/>
        </w:rPr>
        <w:t>information sur les activités inscrites au budget, et se sont déclarés favorables à un programme de travail et à un budget qui permettraient au secrétariat de s</w:t>
      </w:r>
      <w:r w:rsidR="00CA4DAC">
        <w:rPr>
          <w:lang w:val="fr-FR"/>
        </w:rPr>
        <w:t>’</w:t>
      </w:r>
      <w:r w:rsidRPr="002A2EA6">
        <w:rPr>
          <w:lang w:val="fr-FR"/>
        </w:rPr>
        <w:t xml:space="preserve">acquitter de </w:t>
      </w:r>
      <w:r w:rsidRPr="002A2EA6">
        <w:rPr>
          <w:lang w:val="fr-FR"/>
        </w:rPr>
        <w:lastRenderedPageBreak/>
        <w:t>ses tâches, tout en soulignant la nécessité d</w:t>
      </w:r>
      <w:r w:rsidR="00CA4DAC">
        <w:rPr>
          <w:lang w:val="fr-FR"/>
        </w:rPr>
        <w:t>’</w:t>
      </w:r>
      <w:r w:rsidRPr="002A2EA6">
        <w:rPr>
          <w:lang w:val="fr-FR"/>
        </w:rPr>
        <w:t>utiliser au mieux des ressources limitées en assurant une</w:t>
      </w:r>
      <w:r w:rsidR="00CE52B4" w:rsidRPr="002A2EA6">
        <w:rPr>
          <w:lang w:val="fr-FR"/>
        </w:rPr>
        <w:t> </w:t>
      </w:r>
      <w:r w:rsidRPr="002A2EA6">
        <w:rPr>
          <w:lang w:val="fr-FR"/>
        </w:rPr>
        <w:t>gestion saine et transparente. S</w:t>
      </w:r>
      <w:r w:rsidR="00CA4DAC">
        <w:rPr>
          <w:lang w:val="fr-FR"/>
        </w:rPr>
        <w:t>’</w:t>
      </w:r>
      <w:r w:rsidRPr="002A2EA6">
        <w:rPr>
          <w:lang w:val="fr-FR"/>
        </w:rPr>
        <w:t>exprimant au nom d</w:t>
      </w:r>
      <w:r w:rsidR="00CA4DAC">
        <w:rPr>
          <w:lang w:val="fr-FR"/>
        </w:rPr>
        <w:t>’</w:t>
      </w:r>
      <w:r w:rsidRPr="002A2EA6">
        <w:rPr>
          <w:lang w:val="fr-FR"/>
        </w:rPr>
        <w:t>un groupe de pays, un représentant s</w:t>
      </w:r>
      <w:r w:rsidR="00CA4DAC">
        <w:rPr>
          <w:lang w:val="fr-FR"/>
        </w:rPr>
        <w:t>’</w:t>
      </w:r>
      <w:r w:rsidRPr="002A2EA6">
        <w:rPr>
          <w:lang w:val="fr-FR"/>
        </w:rPr>
        <w:t xml:space="preserve">est déclaré favorable à une augmentation du budget de la Convention qui ne passait pas </w:t>
      </w:r>
      <w:r w:rsidR="001A263B" w:rsidRPr="002A2EA6">
        <w:rPr>
          <w:lang w:val="fr-FR"/>
        </w:rPr>
        <w:t xml:space="preserve">par </w:t>
      </w:r>
      <w:r w:rsidRPr="002A2EA6">
        <w:rPr>
          <w:lang w:val="fr-FR"/>
        </w:rPr>
        <w:t>la hausse des</w:t>
      </w:r>
      <w:r w:rsidR="00CE52B4" w:rsidRPr="002A2EA6">
        <w:rPr>
          <w:lang w:val="fr-FR"/>
        </w:rPr>
        <w:t> </w:t>
      </w:r>
      <w:r w:rsidRPr="002A2EA6">
        <w:rPr>
          <w:lang w:val="fr-FR"/>
        </w:rPr>
        <w:t>contributions des Parties. Un autre représentant, s</w:t>
      </w:r>
      <w:r w:rsidR="00CA4DAC">
        <w:rPr>
          <w:lang w:val="fr-FR"/>
        </w:rPr>
        <w:t>’</w:t>
      </w:r>
      <w:r w:rsidRPr="002A2EA6">
        <w:rPr>
          <w:lang w:val="fr-FR"/>
        </w:rPr>
        <w:t>exprimant également au nom d</w:t>
      </w:r>
      <w:r w:rsidR="00CA4DAC">
        <w:rPr>
          <w:lang w:val="fr-FR"/>
        </w:rPr>
        <w:t>’</w:t>
      </w:r>
      <w:r w:rsidRPr="002A2EA6">
        <w:rPr>
          <w:lang w:val="fr-FR"/>
        </w:rPr>
        <w:t>un groupe de pays, a invité le secteur privé à contribuer à la mise en œuvre de la Convention de Minamata, soulignant que les niveaux actuels de financement étaient manifestement insuffisants et que les</w:t>
      </w:r>
      <w:r w:rsidR="00D31ABF" w:rsidRPr="002A2EA6">
        <w:rPr>
          <w:lang w:val="fr-FR"/>
        </w:rPr>
        <w:t> </w:t>
      </w:r>
      <w:r w:rsidRPr="002A2EA6">
        <w:rPr>
          <w:lang w:val="fr-FR"/>
        </w:rPr>
        <w:t xml:space="preserve">gouvernements seuls ne pouvaient pas </w:t>
      </w:r>
      <w:r w:rsidR="007F2548" w:rsidRPr="002A2EA6">
        <w:rPr>
          <w:lang w:val="fr-FR"/>
        </w:rPr>
        <w:t xml:space="preserve">financer </w:t>
      </w:r>
      <w:r w:rsidRPr="002A2EA6">
        <w:rPr>
          <w:lang w:val="fr-FR"/>
        </w:rPr>
        <w:t>efficacement la Convention.</w:t>
      </w:r>
    </w:p>
    <w:p w14:paraId="1DE4A183" w14:textId="20B7B019" w:rsidR="007A237C" w:rsidRPr="002A2EA6" w:rsidRDefault="002C3E5C" w:rsidP="0090074E">
      <w:pPr>
        <w:pStyle w:val="Normalnumber"/>
        <w:keepNext/>
        <w:keepLines/>
        <w:numPr>
          <w:ilvl w:val="0"/>
          <w:numId w:val="42"/>
        </w:numPr>
        <w:tabs>
          <w:tab w:val="clear" w:pos="1814"/>
          <w:tab w:val="left" w:pos="1843"/>
          <w:tab w:val="left" w:pos="1985"/>
        </w:tabs>
        <w:ind w:left="1287" w:hanging="28"/>
        <w:rPr>
          <w:lang w:val="fr-FR"/>
        </w:rPr>
      </w:pPr>
      <w:bookmarkStart w:id="50" w:name="_DV_C215"/>
      <w:bookmarkEnd w:id="49"/>
      <w:r w:rsidRPr="002A2EA6">
        <w:rPr>
          <w:lang w:val="fr-FR"/>
        </w:rPr>
        <w:t>Un représentant a déclaré que le scénario de financement proposé par la Secrétaire exécutive supposait une augmentation sensible des contributions des Parties au fonds général d</w:t>
      </w:r>
      <w:r w:rsidR="00CA4DAC">
        <w:rPr>
          <w:lang w:val="fr-FR"/>
        </w:rPr>
        <w:t>’</w:t>
      </w:r>
      <w:r w:rsidRPr="002A2EA6">
        <w:rPr>
          <w:lang w:val="fr-FR"/>
        </w:rPr>
        <w:t>affectation spéciale, mais a souligné que le budget serait également réparti entre un plus grand nombre de contributeurs, étant donné que le nombre total de Parties à la Convention continuait d</w:t>
      </w:r>
      <w:r w:rsidR="00CA4DAC">
        <w:rPr>
          <w:lang w:val="fr-FR"/>
        </w:rPr>
        <w:t>’</w:t>
      </w:r>
      <w:r w:rsidRPr="002A2EA6">
        <w:rPr>
          <w:lang w:val="fr-FR"/>
        </w:rPr>
        <w:t>augmenter. Un</w:t>
      </w:r>
      <w:r w:rsidR="00CE52B4" w:rsidRPr="002A2EA6">
        <w:rPr>
          <w:lang w:val="fr-FR"/>
        </w:rPr>
        <w:t> </w:t>
      </w:r>
      <w:r w:rsidRPr="002A2EA6">
        <w:rPr>
          <w:lang w:val="fr-FR"/>
        </w:rPr>
        <w:t xml:space="preserve">autre représentant a suggéré </w:t>
      </w:r>
      <w:r w:rsidR="00536B56" w:rsidRPr="002A2EA6">
        <w:rPr>
          <w:lang w:val="fr-FR"/>
        </w:rPr>
        <w:t xml:space="preserve">que </w:t>
      </w:r>
      <w:r w:rsidRPr="002A2EA6">
        <w:rPr>
          <w:lang w:val="fr-FR"/>
        </w:rPr>
        <w:t>le groupe de contact devait commencer les débats par l</w:t>
      </w:r>
      <w:r w:rsidR="00CA4DAC">
        <w:rPr>
          <w:lang w:val="fr-FR"/>
        </w:rPr>
        <w:t>’</w:t>
      </w:r>
      <w:r w:rsidRPr="002A2EA6">
        <w:rPr>
          <w:lang w:val="fr-FR"/>
        </w:rPr>
        <w:t>examen du scénario de croissance nominale nulle.</w:t>
      </w:r>
      <w:r w:rsidR="007A237C" w:rsidRPr="002A2EA6">
        <w:t xml:space="preserve"> </w:t>
      </w:r>
      <w:bookmarkStart w:id="51" w:name="_DV_C216"/>
      <w:bookmarkEnd w:id="50"/>
    </w:p>
    <w:p w14:paraId="6714EE03" w14:textId="2C9EDB65" w:rsidR="007A237C" w:rsidRPr="002A2EA6" w:rsidRDefault="002C3E5C" w:rsidP="001712F4">
      <w:pPr>
        <w:pStyle w:val="Normalnumber"/>
        <w:numPr>
          <w:ilvl w:val="0"/>
          <w:numId w:val="42"/>
        </w:numPr>
        <w:tabs>
          <w:tab w:val="clear" w:pos="1814"/>
          <w:tab w:val="left" w:pos="1843"/>
          <w:tab w:val="left" w:pos="1985"/>
        </w:tabs>
        <w:ind w:left="1288" w:hanging="28"/>
        <w:rPr>
          <w:lang w:val="fr-FR"/>
        </w:rPr>
      </w:pPr>
      <w:bookmarkStart w:id="52" w:name="_DV_C217"/>
      <w:bookmarkEnd w:id="51"/>
      <w:r w:rsidRPr="002A2EA6">
        <w:rPr>
          <w:lang w:val="fr-FR"/>
        </w:rPr>
        <w:t>S</w:t>
      </w:r>
      <w:r w:rsidR="00CA4DAC">
        <w:rPr>
          <w:lang w:val="fr-FR"/>
        </w:rPr>
        <w:t>’</w:t>
      </w:r>
      <w:r w:rsidRPr="002A2EA6">
        <w:rPr>
          <w:lang w:val="fr-FR"/>
        </w:rPr>
        <w:t>exprimant au nom d</w:t>
      </w:r>
      <w:r w:rsidR="00CA4DAC">
        <w:rPr>
          <w:lang w:val="fr-FR"/>
        </w:rPr>
        <w:t>’</w:t>
      </w:r>
      <w:r w:rsidRPr="002A2EA6">
        <w:rPr>
          <w:lang w:val="fr-FR"/>
        </w:rPr>
        <w:t>un groupe de pays, une représentante a déclaré que le programme de travail devait préciser clairement quelles activités seraient financées au moyen du fonds général d</w:t>
      </w:r>
      <w:r w:rsidR="00CA4DAC">
        <w:rPr>
          <w:lang w:val="fr-FR"/>
        </w:rPr>
        <w:t>’</w:t>
      </w:r>
      <w:r w:rsidRPr="002A2EA6">
        <w:rPr>
          <w:lang w:val="fr-FR"/>
        </w:rPr>
        <w:t>affectation spéciale et quelles autres par des contributions volontaires au moyen du fonds d</w:t>
      </w:r>
      <w:r w:rsidR="00CA4DAC">
        <w:rPr>
          <w:lang w:val="fr-FR"/>
        </w:rPr>
        <w:t>’</w:t>
      </w:r>
      <w:r w:rsidRPr="002A2EA6">
        <w:rPr>
          <w:lang w:val="fr-FR"/>
        </w:rPr>
        <w:t>affectation spéciale réservé. Elle a en outre suggéré qu</w:t>
      </w:r>
      <w:r w:rsidR="00CA4DAC">
        <w:rPr>
          <w:lang w:val="fr-FR"/>
        </w:rPr>
        <w:t>’</w:t>
      </w:r>
      <w:r w:rsidRPr="002A2EA6">
        <w:rPr>
          <w:lang w:val="fr-FR"/>
        </w:rPr>
        <w:t>une distinction claire soit établie entre les</w:t>
      </w:r>
      <w:r w:rsidR="00EE4DDF" w:rsidRPr="002A2EA6">
        <w:rPr>
          <w:lang w:val="fr-FR"/>
        </w:rPr>
        <w:t> </w:t>
      </w:r>
      <w:r w:rsidRPr="002A2EA6">
        <w:rPr>
          <w:lang w:val="fr-FR"/>
        </w:rPr>
        <w:t>trois</w:t>
      </w:r>
      <w:r w:rsidR="00EE4DDF" w:rsidRPr="002A2EA6">
        <w:rPr>
          <w:lang w:val="fr-FR"/>
        </w:rPr>
        <w:t> </w:t>
      </w:r>
      <w:r w:rsidRPr="002A2EA6">
        <w:rPr>
          <w:lang w:val="fr-FR"/>
        </w:rPr>
        <w:t>fonds d</w:t>
      </w:r>
      <w:r w:rsidR="00CA4DAC">
        <w:rPr>
          <w:lang w:val="fr-FR"/>
        </w:rPr>
        <w:t>’</w:t>
      </w:r>
      <w:r w:rsidRPr="002A2EA6">
        <w:rPr>
          <w:lang w:val="fr-FR"/>
        </w:rPr>
        <w:t>affectation spéciale de la Convention et que les questions relatives au personnel soient traitées dans la décision relative au programme de travail et au budget plutôt que dans une décision dédiée. Elle a ensuite demandé au secrétariat de fournir des informations actualisées et plus détaillées sur les recettes, les dépenses et les excédents disponibles du secrétariat, ainsi que sur les</w:t>
      </w:r>
      <w:r w:rsidR="00C166F9">
        <w:rPr>
          <w:lang w:val="fr-FR"/>
        </w:rPr>
        <w:t> </w:t>
      </w:r>
      <w:r w:rsidRPr="002A2EA6">
        <w:rPr>
          <w:lang w:val="fr-FR"/>
        </w:rPr>
        <w:t>attributions du personnel du secrétaria</w:t>
      </w:r>
      <w:r w:rsidR="007F2548" w:rsidRPr="002A2EA6">
        <w:rPr>
          <w:lang w:val="fr-FR"/>
        </w:rPr>
        <w:t xml:space="preserve">t pour </w:t>
      </w:r>
      <w:r w:rsidRPr="002A2EA6">
        <w:rPr>
          <w:lang w:val="fr-FR"/>
        </w:rPr>
        <w:t>les nouveaux postes proposés, pour examen par les</w:t>
      </w:r>
      <w:r w:rsidR="00C166F9">
        <w:rPr>
          <w:lang w:val="fr-FR"/>
        </w:rPr>
        <w:t> </w:t>
      </w:r>
      <w:r w:rsidRPr="002A2EA6">
        <w:rPr>
          <w:lang w:val="fr-FR"/>
        </w:rPr>
        <w:t>Parties au sein d</w:t>
      </w:r>
      <w:r w:rsidR="00CA4DAC">
        <w:rPr>
          <w:lang w:val="fr-FR"/>
        </w:rPr>
        <w:t>’</w:t>
      </w:r>
      <w:r w:rsidRPr="002A2EA6">
        <w:rPr>
          <w:lang w:val="fr-FR"/>
        </w:rPr>
        <w:t>un groupe de contact.</w:t>
      </w:r>
      <w:r w:rsidR="007A237C" w:rsidRPr="002A2EA6">
        <w:t xml:space="preserve"> </w:t>
      </w:r>
      <w:bookmarkStart w:id="53" w:name="_DV_C218"/>
      <w:bookmarkEnd w:id="52"/>
    </w:p>
    <w:p w14:paraId="28FBD79C" w14:textId="0A393659" w:rsidR="007A237C" w:rsidRPr="002A2EA6" w:rsidRDefault="002C3E5C" w:rsidP="001712F4">
      <w:pPr>
        <w:pStyle w:val="Normalnumber"/>
        <w:numPr>
          <w:ilvl w:val="0"/>
          <w:numId w:val="42"/>
        </w:numPr>
        <w:tabs>
          <w:tab w:val="clear" w:pos="1814"/>
          <w:tab w:val="left" w:pos="1843"/>
          <w:tab w:val="left" w:pos="1985"/>
        </w:tabs>
        <w:ind w:left="1288" w:hanging="28"/>
        <w:rPr>
          <w:lang w:val="fr-FR"/>
        </w:rPr>
      </w:pPr>
      <w:bookmarkStart w:id="54" w:name="_DV_C220"/>
      <w:bookmarkEnd w:id="53"/>
      <w:r w:rsidRPr="002A2EA6">
        <w:rPr>
          <w:lang w:val="fr-FR"/>
        </w:rPr>
        <w:t>Un autre représentant a estimé que les travaux sur l</w:t>
      </w:r>
      <w:r w:rsidR="00CA4DAC">
        <w:rPr>
          <w:lang w:val="fr-FR"/>
        </w:rPr>
        <w:t>’</w:t>
      </w:r>
      <w:r w:rsidRPr="002A2EA6">
        <w:rPr>
          <w:lang w:val="fr-FR"/>
        </w:rPr>
        <w:t>évaluation de l</w:t>
      </w:r>
      <w:r w:rsidR="00CA4DAC">
        <w:rPr>
          <w:lang w:val="fr-FR"/>
        </w:rPr>
        <w:t>’</w:t>
      </w:r>
      <w:r w:rsidRPr="002A2EA6">
        <w:rPr>
          <w:lang w:val="fr-FR"/>
        </w:rPr>
        <w:t>efficacité devaient figurer dans le programme de travail et le budget et être financés au moyen du fonds général d</w:t>
      </w:r>
      <w:r w:rsidR="00CA4DAC">
        <w:rPr>
          <w:lang w:val="fr-FR"/>
        </w:rPr>
        <w:t>’</w:t>
      </w:r>
      <w:r w:rsidRPr="002A2EA6">
        <w:rPr>
          <w:lang w:val="fr-FR"/>
        </w:rPr>
        <w:t>affectation spéciale.</w:t>
      </w:r>
    </w:p>
    <w:p w14:paraId="608B5270" w14:textId="3D7319C5" w:rsidR="007A237C" w:rsidRPr="002A2EA6" w:rsidRDefault="002C3E5C" w:rsidP="001712F4">
      <w:pPr>
        <w:pStyle w:val="Normalnumber"/>
        <w:numPr>
          <w:ilvl w:val="0"/>
          <w:numId w:val="42"/>
        </w:numPr>
        <w:tabs>
          <w:tab w:val="clear" w:pos="1814"/>
          <w:tab w:val="left" w:pos="1843"/>
          <w:tab w:val="left" w:pos="1985"/>
        </w:tabs>
        <w:ind w:left="1288" w:hanging="28"/>
        <w:rPr>
          <w:lang w:val="fr-FR"/>
        </w:rPr>
      </w:pPr>
      <w:bookmarkStart w:id="55" w:name="_DV_C222"/>
      <w:bookmarkEnd w:id="54"/>
      <w:r w:rsidRPr="002A2EA6">
        <w:rPr>
          <w:lang w:val="fr-FR"/>
        </w:rPr>
        <w:t>Le représentant d</w:t>
      </w:r>
      <w:r w:rsidR="00CA4DAC">
        <w:rPr>
          <w:lang w:val="fr-FR"/>
        </w:rPr>
        <w:t>’</w:t>
      </w:r>
      <w:r w:rsidRPr="002A2EA6">
        <w:rPr>
          <w:lang w:val="fr-FR"/>
        </w:rPr>
        <w:t>un observateur s</w:t>
      </w:r>
      <w:r w:rsidR="00CA4DAC">
        <w:rPr>
          <w:lang w:val="fr-FR"/>
        </w:rPr>
        <w:t>’</w:t>
      </w:r>
      <w:r w:rsidRPr="002A2EA6">
        <w:rPr>
          <w:lang w:val="fr-FR"/>
        </w:rPr>
        <w:t>est dit préoccupé par le fait que les activités prévues dans le</w:t>
      </w:r>
      <w:r w:rsidR="00CE52B4" w:rsidRPr="002A2EA6">
        <w:rPr>
          <w:lang w:val="fr-FR"/>
        </w:rPr>
        <w:t> </w:t>
      </w:r>
      <w:r w:rsidRPr="002A2EA6">
        <w:rPr>
          <w:lang w:val="fr-FR"/>
        </w:rPr>
        <w:t>projet de programme de travail et de budget ne répondraient pas aux besoins des Parties qui sont des</w:t>
      </w:r>
      <w:r w:rsidR="00CE52B4" w:rsidRPr="002A2EA6">
        <w:rPr>
          <w:lang w:val="fr-FR"/>
        </w:rPr>
        <w:t> </w:t>
      </w:r>
      <w:r w:rsidRPr="002A2EA6">
        <w:rPr>
          <w:lang w:val="fr-FR"/>
        </w:rPr>
        <w:t>pays en développement en matière d</w:t>
      </w:r>
      <w:r w:rsidR="00CA4DAC">
        <w:rPr>
          <w:lang w:val="fr-FR"/>
        </w:rPr>
        <w:t>’</w:t>
      </w:r>
      <w:r w:rsidRPr="002A2EA6">
        <w:rPr>
          <w:lang w:val="fr-FR"/>
        </w:rPr>
        <w:t>enseignement et de formation, ce qui compromettrait le</w:t>
      </w:r>
      <w:r w:rsidR="00CE52B4" w:rsidRPr="002A2EA6">
        <w:rPr>
          <w:lang w:val="fr-FR"/>
        </w:rPr>
        <w:t> </w:t>
      </w:r>
      <w:r w:rsidRPr="002A2EA6">
        <w:rPr>
          <w:lang w:val="fr-FR"/>
        </w:rPr>
        <w:t>respect des obligations qui leur incombent au titre de la Convention en 2020 et 2021, soulignant qu</w:t>
      </w:r>
      <w:r w:rsidR="00CA4DAC">
        <w:rPr>
          <w:lang w:val="fr-FR"/>
        </w:rPr>
        <w:t>’</w:t>
      </w:r>
      <w:r w:rsidRPr="002A2EA6">
        <w:rPr>
          <w:lang w:val="fr-FR"/>
        </w:rPr>
        <w:t>il</w:t>
      </w:r>
      <w:r w:rsidR="00CE52B4" w:rsidRPr="002A2EA6">
        <w:rPr>
          <w:lang w:val="fr-FR"/>
        </w:rPr>
        <w:t> </w:t>
      </w:r>
      <w:r w:rsidRPr="002A2EA6">
        <w:rPr>
          <w:lang w:val="fr-FR"/>
        </w:rPr>
        <w:t>était essentiel que la direction du secrétariat prenne des mesures pour répondre à ces besoins.</w:t>
      </w:r>
    </w:p>
    <w:bookmarkEnd w:id="55"/>
    <w:p w14:paraId="1FB72F97" w14:textId="5FD92C5F" w:rsidR="00C7478E" w:rsidRPr="002A2EA6" w:rsidRDefault="002C3E5C" w:rsidP="001712F4">
      <w:pPr>
        <w:pStyle w:val="Normalnumber"/>
        <w:numPr>
          <w:ilvl w:val="0"/>
          <w:numId w:val="42"/>
        </w:numPr>
        <w:tabs>
          <w:tab w:val="clear" w:pos="1814"/>
          <w:tab w:val="left" w:pos="1843"/>
          <w:tab w:val="left" w:pos="1985"/>
        </w:tabs>
        <w:ind w:left="1288" w:hanging="28"/>
      </w:pPr>
      <w:r w:rsidRPr="002A2EA6">
        <w:rPr>
          <w:lang w:val="fr-FR"/>
        </w:rPr>
        <w:t>À l</w:t>
      </w:r>
      <w:r w:rsidR="00CA4DAC">
        <w:rPr>
          <w:lang w:val="fr-FR"/>
        </w:rPr>
        <w:t>’</w:t>
      </w:r>
      <w:r w:rsidRPr="002A2EA6">
        <w:rPr>
          <w:lang w:val="fr-FR"/>
        </w:rPr>
        <w:t>issue du débat, la Conférence des Parties est convenue de créer un groupe de contact sur le</w:t>
      </w:r>
      <w:r w:rsidR="00CE52B4" w:rsidRPr="002A2EA6">
        <w:rPr>
          <w:lang w:val="fr-FR"/>
        </w:rPr>
        <w:t> </w:t>
      </w:r>
      <w:r w:rsidRPr="002A2EA6">
        <w:rPr>
          <w:lang w:val="fr-FR"/>
        </w:rPr>
        <w:t xml:space="preserve">programme de travail et le budget, coprésidé par </w:t>
      </w:r>
      <w:r w:rsidR="007F2548" w:rsidRPr="002A2EA6">
        <w:rPr>
          <w:lang w:val="fr-FR"/>
        </w:rPr>
        <w:t>M. Yun </w:t>
      </w:r>
      <w:r w:rsidR="005D3404" w:rsidRPr="00901DBE">
        <w:t>I</w:t>
      </w:r>
      <w:r w:rsidR="005D3404" w:rsidRPr="007B7178">
        <w:t>nsi</w:t>
      </w:r>
      <w:r w:rsidR="005D3404" w:rsidRPr="00F3091C">
        <w:t>ani</w:t>
      </w:r>
      <w:r w:rsidR="005D3404" w:rsidRPr="002A2EA6">
        <w:rPr>
          <w:lang w:val="fr-FR"/>
        </w:rPr>
        <w:t xml:space="preserve"> </w:t>
      </w:r>
      <w:r w:rsidRPr="002A2EA6">
        <w:rPr>
          <w:lang w:val="fr-FR"/>
        </w:rPr>
        <w:t xml:space="preserve">(Indonésie) et </w:t>
      </w:r>
      <w:r w:rsidR="007F2548" w:rsidRPr="002A2EA6">
        <w:rPr>
          <w:lang w:val="fr-FR"/>
        </w:rPr>
        <w:t>M. Reginald Hernaus</w:t>
      </w:r>
      <w:r w:rsidRPr="002A2EA6">
        <w:rPr>
          <w:lang w:val="fr-FR"/>
        </w:rPr>
        <w:t xml:space="preserve"> (Pays-Bas) et chargé d</w:t>
      </w:r>
      <w:r w:rsidR="00CA4DAC">
        <w:rPr>
          <w:lang w:val="fr-FR"/>
        </w:rPr>
        <w:t>’</w:t>
      </w:r>
      <w:r w:rsidRPr="002A2EA6">
        <w:rPr>
          <w:lang w:val="fr-FR"/>
        </w:rPr>
        <w:t>examiner les deux</w:t>
      </w:r>
      <w:r w:rsidR="00EE4DDF" w:rsidRPr="002A2EA6">
        <w:rPr>
          <w:lang w:val="fr-FR"/>
        </w:rPr>
        <w:t> </w:t>
      </w:r>
      <w:r w:rsidRPr="002A2EA6">
        <w:rPr>
          <w:lang w:val="fr-FR"/>
        </w:rPr>
        <w:t xml:space="preserve">scénarios concernant le programme de travail et le budget ainsi que le projet de décision figurant </w:t>
      </w:r>
      <w:r w:rsidR="21CC1F50" w:rsidRPr="002A2EA6">
        <w:rPr>
          <w:lang w:val="fr-FR"/>
        </w:rPr>
        <w:t xml:space="preserve">dans </w:t>
      </w:r>
      <w:r w:rsidRPr="002A2EA6">
        <w:rPr>
          <w:lang w:val="fr-FR"/>
        </w:rPr>
        <w:t>l</w:t>
      </w:r>
      <w:r w:rsidR="00CA4DAC">
        <w:rPr>
          <w:lang w:val="fr-FR"/>
        </w:rPr>
        <w:t>’</w:t>
      </w:r>
      <w:r w:rsidRPr="002A2EA6">
        <w:rPr>
          <w:lang w:val="fr-FR"/>
        </w:rPr>
        <w:t>annexe</w:t>
      </w:r>
      <w:r w:rsidR="00505868">
        <w:rPr>
          <w:lang w:val="fr-FR"/>
        </w:rPr>
        <w:t> I</w:t>
      </w:r>
      <w:r w:rsidRPr="002A2EA6">
        <w:rPr>
          <w:lang w:val="fr-FR"/>
        </w:rPr>
        <w:t xml:space="preserve"> du document</w:t>
      </w:r>
      <w:r w:rsidR="00EE4DDF" w:rsidRPr="002A2EA6">
        <w:rPr>
          <w:lang w:val="fr-FR"/>
        </w:rPr>
        <w:t> </w:t>
      </w:r>
      <w:r w:rsidRPr="002A2EA6">
        <w:rPr>
          <w:lang w:val="fr-FR"/>
        </w:rPr>
        <w:t>UNEP/MC/COP.3/20 et de rédiger un projet de décision révisé.</w:t>
      </w:r>
    </w:p>
    <w:p w14:paraId="5C131272" w14:textId="4EE554C8" w:rsidR="4617D9F6" w:rsidRPr="002A2EA6" w:rsidRDefault="4617D9F6" w:rsidP="001712F4">
      <w:pPr>
        <w:pStyle w:val="Normalnumber"/>
        <w:numPr>
          <w:ilvl w:val="0"/>
          <w:numId w:val="42"/>
        </w:numPr>
        <w:tabs>
          <w:tab w:val="clear" w:pos="1814"/>
          <w:tab w:val="left" w:pos="1843"/>
          <w:tab w:val="left" w:pos="1985"/>
        </w:tabs>
        <w:ind w:left="1288" w:hanging="28"/>
        <w:rPr>
          <w:lang w:val="fr-FR"/>
        </w:rPr>
      </w:pPr>
      <w:r w:rsidRPr="002A2EA6">
        <w:rPr>
          <w:lang w:val="fr-FR"/>
        </w:rPr>
        <w:t>À l</w:t>
      </w:r>
      <w:r w:rsidR="00CA4DAC">
        <w:rPr>
          <w:lang w:val="fr-FR"/>
        </w:rPr>
        <w:t>’</w:t>
      </w:r>
      <w:r w:rsidRPr="002A2EA6">
        <w:rPr>
          <w:lang w:val="fr-FR"/>
        </w:rPr>
        <w:t>issue des travaux du groupe de contact sur le programme de travail et le budget, la</w:t>
      </w:r>
      <w:r w:rsidR="00EE4DDF" w:rsidRPr="002A2EA6">
        <w:rPr>
          <w:lang w:val="fr-FR"/>
        </w:rPr>
        <w:t> </w:t>
      </w:r>
      <w:r w:rsidRPr="002A2EA6">
        <w:rPr>
          <w:lang w:val="fr-FR"/>
        </w:rPr>
        <w:t>Conférence des Parties a prié le secrétariat d</w:t>
      </w:r>
      <w:r w:rsidR="00CA4DAC">
        <w:rPr>
          <w:lang w:val="fr-FR"/>
        </w:rPr>
        <w:t>’</w:t>
      </w:r>
      <w:r w:rsidRPr="002A2EA6">
        <w:rPr>
          <w:lang w:val="fr-FR"/>
        </w:rPr>
        <w:t>ajuster le montant alloué aux activités d</w:t>
      </w:r>
      <w:r w:rsidR="00CA4DAC">
        <w:rPr>
          <w:lang w:val="fr-FR"/>
        </w:rPr>
        <w:t>’</w:t>
      </w:r>
      <w:r w:rsidRPr="002A2EA6">
        <w:rPr>
          <w:lang w:val="fr-FR"/>
        </w:rPr>
        <w:t>évaluation de l</w:t>
      </w:r>
      <w:r w:rsidR="00CA4DAC">
        <w:rPr>
          <w:lang w:val="fr-FR"/>
        </w:rPr>
        <w:t>’</w:t>
      </w:r>
      <w:r w:rsidRPr="002A2EA6">
        <w:rPr>
          <w:lang w:val="fr-FR"/>
        </w:rPr>
        <w:t>efficacité, conformément à la décision</w:t>
      </w:r>
      <w:r w:rsidR="00267CB2" w:rsidRPr="002A2EA6">
        <w:rPr>
          <w:lang w:val="fr-FR"/>
        </w:rPr>
        <w:t> </w:t>
      </w:r>
      <w:r w:rsidRPr="002A2EA6">
        <w:rPr>
          <w:lang w:val="fr-FR"/>
        </w:rPr>
        <w:t>MC-3/10, laquelle avait déjà été adoptée, et de rendre compte de l</w:t>
      </w:r>
      <w:r w:rsidR="00CA4DAC">
        <w:rPr>
          <w:lang w:val="fr-FR"/>
        </w:rPr>
        <w:t>’</w:t>
      </w:r>
      <w:r w:rsidRPr="002A2EA6">
        <w:rPr>
          <w:lang w:val="fr-FR"/>
        </w:rPr>
        <w:t>ajustement dans les contributions au Fonds général d</w:t>
      </w:r>
      <w:r w:rsidR="00CA4DAC">
        <w:rPr>
          <w:lang w:val="fr-FR"/>
        </w:rPr>
        <w:t>’</w:t>
      </w:r>
      <w:r w:rsidRPr="002A2EA6">
        <w:rPr>
          <w:lang w:val="fr-FR"/>
        </w:rPr>
        <w:t xml:space="preserve">affectation spéciale. </w:t>
      </w:r>
      <w:r w:rsidR="3C7CE00F" w:rsidRPr="002A2EA6">
        <w:rPr>
          <w:lang w:val="fr-FR"/>
        </w:rPr>
        <w:t>Par la suite, la</w:t>
      </w:r>
      <w:r w:rsidR="00EE4DDF" w:rsidRPr="002A2EA6">
        <w:rPr>
          <w:lang w:val="fr-FR"/>
        </w:rPr>
        <w:t> </w:t>
      </w:r>
      <w:r w:rsidR="3C7CE00F" w:rsidRPr="002A2EA6">
        <w:rPr>
          <w:lang w:val="fr-FR"/>
        </w:rPr>
        <w:t>Conférence des Parties a adopté la décision</w:t>
      </w:r>
      <w:r w:rsidR="00267CB2" w:rsidRPr="002A2EA6">
        <w:rPr>
          <w:lang w:val="fr-FR"/>
        </w:rPr>
        <w:t> </w:t>
      </w:r>
      <w:r w:rsidR="3C7CE00F" w:rsidRPr="002A2EA6">
        <w:rPr>
          <w:lang w:val="fr-FR"/>
        </w:rPr>
        <w:t xml:space="preserve">MC-3/12 </w:t>
      </w:r>
      <w:r w:rsidR="002964AF" w:rsidRPr="002A2EA6">
        <w:rPr>
          <w:lang w:val="fr-FR"/>
        </w:rPr>
        <w:t>(P</w:t>
      </w:r>
      <w:r w:rsidR="3C7CE00F" w:rsidRPr="002A2EA6">
        <w:rPr>
          <w:lang w:val="fr-FR"/>
        </w:rPr>
        <w:t xml:space="preserve">rogramme de travail et budget </w:t>
      </w:r>
      <w:r w:rsidR="00BC11C9" w:rsidRPr="002A2EA6">
        <w:rPr>
          <w:lang w:val="fr-FR"/>
        </w:rPr>
        <w:t>de</w:t>
      </w:r>
      <w:r w:rsidR="3C7CE00F" w:rsidRPr="002A2EA6">
        <w:rPr>
          <w:lang w:val="fr-FR"/>
        </w:rPr>
        <w:t xml:space="preserve"> l</w:t>
      </w:r>
      <w:r w:rsidR="00CA4DAC">
        <w:rPr>
          <w:lang w:val="fr-FR"/>
        </w:rPr>
        <w:t>’</w:t>
      </w:r>
      <w:r w:rsidR="3C7CE00F" w:rsidRPr="002A2EA6">
        <w:rPr>
          <w:lang w:val="fr-FR"/>
        </w:rPr>
        <w:t>exercice biennal</w:t>
      </w:r>
      <w:r w:rsidR="00267CB2" w:rsidRPr="002A2EA6">
        <w:rPr>
          <w:lang w:val="fr-FR"/>
        </w:rPr>
        <w:t> </w:t>
      </w:r>
      <w:r w:rsidR="3C7CE00F" w:rsidRPr="002A2EA6">
        <w:rPr>
          <w:lang w:val="fr-FR"/>
        </w:rPr>
        <w:t>2020–2021</w:t>
      </w:r>
      <w:r w:rsidR="002964AF" w:rsidRPr="002A2EA6">
        <w:rPr>
          <w:lang w:val="fr-FR"/>
        </w:rPr>
        <w:t>)</w:t>
      </w:r>
      <w:r w:rsidR="3C7CE00F" w:rsidRPr="002A2EA6">
        <w:rPr>
          <w:lang w:val="fr-FR"/>
        </w:rPr>
        <w:t>, qui figure dans l</w:t>
      </w:r>
      <w:r w:rsidR="00CA4DAC">
        <w:rPr>
          <w:lang w:val="fr-FR"/>
        </w:rPr>
        <w:t>’</w:t>
      </w:r>
      <w:r w:rsidR="3C7CE00F" w:rsidRPr="002A2EA6">
        <w:rPr>
          <w:lang w:val="fr-FR"/>
        </w:rPr>
        <w:t>annexe du présent rapport.</w:t>
      </w:r>
    </w:p>
    <w:p w14:paraId="605A8675" w14:textId="2222E3E1" w:rsidR="009F167C" w:rsidRPr="002A2EA6" w:rsidRDefault="009F167C" w:rsidP="00CE52B4">
      <w:pPr>
        <w:pStyle w:val="CH1"/>
        <w:rPr>
          <w:lang w:val="fr-FR"/>
        </w:rPr>
      </w:pPr>
      <w:r w:rsidRPr="002A2EA6">
        <w:rPr>
          <w:lang w:val="fr-FR"/>
        </w:rPr>
        <w:tab/>
        <w:t>VIII.</w:t>
      </w:r>
      <w:r w:rsidRPr="002A2EA6">
        <w:rPr>
          <w:lang w:val="fr-FR"/>
        </w:rPr>
        <w:tab/>
        <w:t>Date et lieu de la quatrième réunion de la Conférence des Parties</w:t>
      </w:r>
    </w:p>
    <w:p w14:paraId="6909648B" w14:textId="645F5621" w:rsidR="008B2088" w:rsidRPr="002A2EA6" w:rsidRDefault="008B2088" w:rsidP="001712F4">
      <w:pPr>
        <w:pStyle w:val="Normalnumber"/>
        <w:numPr>
          <w:ilvl w:val="0"/>
          <w:numId w:val="42"/>
        </w:numPr>
        <w:tabs>
          <w:tab w:val="clear" w:pos="1814"/>
          <w:tab w:val="left" w:pos="1843"/>
          <w:tab w:val="left" w:pos="1985"/>
        </w:tabs>
        <w:ind w:left="1288" w:hanging="28"/>
        <w:rPr>
          <w:lang w:val="fr-FR"/>
        </w:rPr>
      </w:pPr>
      <w:r w:rsidRPr="002A2EA6">
        <w:rPr>
          <w:lang w:val="fr-FR"/>
        </w:rPr>
        <w:t>Présentant ce point, la Secrétaire exécutive a appelé l</w:t>
      </w:r>
      <w:r w:rsidR="00CA4DAC">
        <w:rPr>
          <w:lang w:val="fr-FR"/>
        </w:rPr>
        <w:t>’</w:t>
      </w:r>
      <w:r w:rsidRPr="002A2EA6">
        <w:rPr>
          <w:lang w:val="fr-FR"/>
        </w:rPr>
        <w:t>attention</w:t>
      </w:r>
      <w:r w:rsidR="00D522C7" w:rsidRPr="002A2EA6">
        <w:rPr>
          <w:lang w:val="fr-FR"/>
        </w:rPr>
        <w:t xml:space="preserve"> des participants</w:t>
      </w:r>
      <w:r w:rsidRPr="002A2EA6">
        <w:rPr>
          <w:lang w:val="fr-FR"/>
        </w:rPr>
        <w:t xml:space="preserve"> sur la note du secrétariat </w:t>
      </w:r>
      <w:r w:rsidR="00664055" w:rsidRPr="002A2EA6">
        <w:rPr>
          <w:lang w:val="fr-FR"/>
        </w:rPr>
        <w:t>relative à</w:t>
      </w:r>
      <w:r w:rsidRPr="002A2EA6">
        <w:rPr>
          <w:lang w:val="fr-FR"/>
        </w:rPr>
        <w:t xml:space="preserve"> la date et </w:t>
      </w:r>
      <w:r w:rsidR="00664055" w:rsidRPr="002A2EA6">
        <w:rPr>
          <w:lang w:val="fr-FR"/>
        </w:rPr>
        <w:t>au</w:t>
      </w:r>
      <w:r w:rsidRPr="002A2EA6">
        <w:rPr>
          <w:lang w:val="fr-FR"/>
        </w:rPr>
        <w:t xml:space="preserve"> lieu de la quatrième réunion de la Conférence des Parties (UNEP/MC/COP.3/22 et add</w:t>
      </w:r>
      <w:r w:rsidR="00530FAE" w:rsidRPr="002A2EA6">
        <w:rPr>
          <w:lang w:val="fr-FR"/>
        </w:rPr>
        <w:t>.</w:t>
      </w:r>
      <w:r w:rsidRPr="002A2EA6">
        <w:rPr>
          <w:lang w:val="fr-FR"/>
        </w:rPr>
        <w:t>). Elle a indiqué que, conformément à la décision MC</w:t>
      </w:r>
      <w:r w:rsidR="00530FAE" w:rsidRPr="002A2EA6">
        <w:rPr>
          <w:lang w:val="fr-FR"/>
        </w:rPr>
        <w:noBreakHyphen/>
      </w:r>
      <w:r w:rsidRPr="002A2EA6">
        <w:rPr>
          <w:lang w:val="fr-FR"/>
        </w:rPr>
        <w:t xml:space="preserve">2/5, le secrétariat avait écrit aux Parties </w:t>
      </w:r>
      <w:r w:rsidR="00664055" w:rsidRPr="002A2EA6">
        <w:rPr>
          <w:lang w:val="fr-FR"/>
        </w:rPr>
        <w:t>afin de</w:t>
      </w:r>
      <w:r w:rsidRPr="002A2EA6">
        <w:rPr>
          <w:lang w:val="fr-FR"/>
        </w:rPr>
        <w:t xml:space="preserve"> les inviter à présenter des offres </w:t>
      </w:r>
      <w:r w:rsidR="0062639C" w:rsidRPr="002A2EA6">
        <w:rPr>
          <w:lang w:val="fr-FR"/>
        </w:rPr>
        <w:t>concernant l</w:t>
      </w:r>
      <w:r w:rsidR="00CA4DAC">
        <w:rPr>
          <w:lang w:val="fr-FR"/>
        </w:rPr>
        <w:t>’</w:t>
      </w:r>
      <w:r w:rsidR="0062639C" w:rsidRPr="002A2EA6">
        <w:rPr>
          <w:lang w:val="fr-FR"/>
        </w:rPr>
        <w:t xml:space="preserve">accueil de </w:t>
      </w:r>
      <w:r w:rsidRPr="002A2EA6">
        <w:rPr>
          <w:lang w:val="fr-FR"/>
        </w:rPr>
        <w:t>la</w:t>
      </w:r>
      <w:r w:rsidR="00EE4DDF" w:rsidRPr="002A2EA6">
        <w:rPr>
          <w:lang w:val="fr-FR"/>
        </w:rPr>
        <w:t> </w:t>
      </w:r>
      <w:r w:rsidRPr="002A2EA6">
        <w:rPr>
          <w:lang w:val="fr-FR"/>
        </w:rPr>
        <w:t>quatrième</w:t>
      </w:r>
      <w:r w:rsidR="00EE4DDF" w:rsidRPr="002A2EA6">
        <w:rPr>
          <w:lang w:val="fr-FR"/>
        </w:rPr>
        <w:t> </w:t>
      </w:r>
      <w:r w:rsidRPr="002A2EA6">
        <w:rPr>
          <w:lang w:val="fr-FR"/>
        </w:rPr>
        <w:t>réunion de la Conférence des Parties en 2021. Des offres avaient été reçues de la</w:t>
      </w:r>
      <w:r w:rsidR="00EE4DDF" w:rsidRPr="002A2EA6">
        <w:rPr>
          <w:lang w:val="fr-FR"/>
        </w:rPr>
        <w:t> </w:t>
      </w:r>
      <w:r w:rsidRPr="002A2EA6">
        <w:rPr>
          <w:lang w:val="fr-FR"/>
        </w:rPr>
        <w:t>Colombie et de l</w:t>
      </w:r>
      <w:r w:rsidR="00CA4DAC">
        <w:rPr>
          <w:lang w:val="fr-FR"/>
        </w:rPr>
        <w:t>’</w:t>
      </w:r>
      <w:r w:rsidRPr="002A2EA6">
        <w:rPr>
          <w:lang w:val="fr-FR"/>
        </w:rPr>
        <w:t xml:space="preserve">Indonésie. </w:t>
      </w:r>
      <w:r w:rsidR="00664055" w:rsidRPr="002A2EA6">
        <w:rPr>
          <w:lang w:val="fr-FR"/>
        </w:rPr>
        <w:t>L</w:t>
      </w:r>
      <w:r w:rsidRPr="002A2EA6">
        <w:rPr>
          <w:lang w:val="fr-FR"/>
        </w:rPr>
        <w:t>e secrétariat a</w:t>
      </w:r>
      <w:r w:rsidR="00664055" w:rsidRPr="002A2EA6">
        <w:rPr>
          <w:lang w:val="fr-FR"/>
        </w:rPr>
        <w:t>vait, en conséquence,</w:t>
      </w:r>
      <w:r w:rsidRPr="002A2EA6">
        <w:rPr>
          <w:lang w:val="fr-FR"/>
        </w:rPr>
        <w:t xml:space="preserve"> établi les</w:t>
      </w:r>
      <w:r w:rsidR="00CE52B4" w:rsidRPr="002A2EA6">
        <w:rPr>
          <w:lang w:val="fr-FR"/>
        </w:rPr>
        <w:t> </w:t>
      </w:r>
      <w:r w:rsidRPr="002A2EA6">
        <w:rPr>
          <w:lang w:val="fr-FR"/>
        </w:rPr>
        <w:t>documents</w:t>
      </w:r>
      <w:r w:rsidR="00CE52B4" w:rsidRPr="002A2EA6">
        <w:rPr>
          <w:lang w:val="fr-FR"/>
        </w:rPr>
        <w:t> </w:t>
      </w:r>
      <w:r w:rsidRPr="002A2EA6">
        <w:rPr>
          <w:lang w:val="fr-FR"/>
        </w:rPr>
        <w:t>UNEP/MC/COP.3/INF/20</w:t>
      </w:r>
      <w:r w:rsidR="00A930FA">
        <w:rPr>
          <w:lang w:val="fr-FR"/>
        </w:rPr>
        <w:t>/Rev.1</w:t>
      </w:r>
      <w:r w:rsidRPr="002A2EA6">
        <w:rPr>
          <w:lang w:val="fr-FR"/>
        </w:rPr>
        <w:t xml:space="preserve"> et UNEP/MC/COP.3/INF/22, qui détaill</w:t>
      </w:r>
      <w:r w:rsidR="00664055" w:rsidRPr="002A2EA6">
        <w:rPr>
          <w:lang w:val="fr-FR"/>
        </w:rPr>
        <w:t>ai</w:t>
      </w:r>
      <w:r w:rsidRPr="002A2EA6">
        <w:rPr>
          <w:lang w:val="fr-FR"/>
        </w:rPr>
        <w:t>ent ces offres, ainsi que le document UNEP/MC/COP.3/INF/23</w:t>
      </w:r>
      <w:r w:rsidR="00A930FA">
        <w:rPr>
          <w:lang w:val="fr-FR"/>
        </w:rPr>
        <w:t>/Rev.1</w:t>
      </w:r>
      <w:r w:rsidRPr="002A2EA6">
        <w:rPr>
          <w:lang w:val="fr-FR"/>
        </w:rPr>
        <w:t xml:space="preserve">, </w:t>
      </w:r>
      <w:r w:rsidR="00664055" w:rsidRPr="002A2EA6">
        <w:rPr>
          <w:lang w:val="fr-FR"/>
        </w:rPr>
        <w:t>dans lequel figuraient</w:t>
      </w:r>
      <w:r w:rsidRPr="002A2EA6">
        <w:rPr>
          <w:lang w:val="fr-FR"/>
        </w:rPr>
        <w:t xml:space="preserve"> des</w:t>
      </w:r>
      <w:r w:rsidR="00CA4DAC">
        <w:rPr>
          <w:lang w:val="fr-FR"/>
        </w:rPr>
        <w:t> </w:t>
      </w:r>
      <w:r w:rsidRPr="002A2EA6">
        <w:rPr>
          <w:lang w:val="fr-FR"/>
        </w:rPr>
        <w:t xml:space="preserve">informations </w:t>
      </w:r>
      <w:r w:rsidR="00664055" w:rsidRPr="002A2EA6">
        <w:rPr>
          <w:lang w:val="fr-FR"/>
        </w:rPr>
        <w:t>sup</w:t>
      </w:r>
      <w:r w:rsidRPr="002A2EA6">
        <w:rPr>
          <w:lang w:val="fr-FR"/>
        </w:rPr>
        <w:t>plémentaires sur les</w:t>
      </w:r>
      <w:r w:rsidR="00CE52B4" w:rsidRPr="002A2EA6">
        <w:rPr>
          <w:lang w:val="fr-FR"/>
        </w:rPr>
        <w:t> </w:t>
      </w:r>
      <w:r w:rsidR="00664055" w:rsidRPr="002A2EA6">
        <w:rPr>
          <w:lang w:val="fr-FR"/>
        </w:rPr>
        <w:t>aspects financiers</w:t>
      </w:r>
      <w:r w:rsidRPr="002A2EA6">
        <w:rPr>
          <w:lang w:val="fr-FR"/>
        </w:rPr>
        <w:t>. La Secrétaire exécutive a rappelé que les</w:t>
      </w:r>
      <w:r w:rsidR="00CA4DAC">
        <w:rPr>
          <w:lang w:val="fr-FR"/>
        </w:rPr>
        <w:t> </w:t>
      </w:r>
      <w:r w:rsidRPr="002A2EA6">
        <w:rPr>
          <w:lang w:val="fr-FR"/>
        </w:rPr>
        <w:t>dispositions concernant le lieu, l</w:t>
      </w:r>
      <w:r w:rsidR="00531118" w:rsidRPr="002A2EA6">
        <w:rPr>
          <w:lang w:val="fr-FR"/>
        </w:rPr>
        <w:t>a</w:t>
      </w:r>
      <w:r w:rsidRPr="002A2EA6">
        <w:rPr>
          <w:lang w:val="fr-FR"/>
        </w:rPr>
        <w:t xml:space="preserve"> date et la durée des réunions de la Conférence des Parties</w:t>
      </w:r>
      <w:r w:rsidR="00664055" w:rsidRPr="002A2EA6">
        <w:rPr>
          <w:lang w:val="fr-FR"/>
        </w:rPr>
        <w:t xml:space="preserve"> étaient énoncées dans</w:t>
      </w:r>
      <w:r w:rsidR="00EE4DDF" w:rsidRPr="002A2EA6">
        <w:rPr>
          <w:lang w:val="fr-FR"/>
        </w:rPr>
        <w:t> </w:t>
      </w:r>
      <w:r w:rsidR="00664055" w:rsidRPr="002A2EA6">
        <w:rPr>
          <w:lang w:val="fr-FR"/>
        </w:rPr>
        <w:t>les articles 3 et</w:t>
      </w:r>
      <w:r w:rsidR="00267CB2" w:rsidRPr="002A2EA6">
        <w:rPr>
          <w:lang w:val="fr-FR"/>
        </w:rPr>
        <w:t> </w:t>
      </w:r>
      <w:r w:rsidR="00664055" w:rsidRPr="002A2EA6">
        <w:rPr>
          <w:lang w:val="fr-FR"/>
        </w:rPr>
        <w:t xml:space="preserve">4 du </w:t>
      </w:r>
      <w:r w:rsidR="00531118" w:rsidRPr="002A2EA6">
        <w:rPr>
          <w:lang w:val="fr-FR"/>
        </w:rPr>
        <w:t>R</w:t>
      </w:r>
      <w:r w:rsidR="00664055" w:rsidRPr="002A2EA6">
        <w:rPr>
          <w:lang w:val="fr-FR"/>
        </w:rPr>
        <w:t>èglement intérieur</w:t>
      </w:r>
      <w:r w:rsidRPr="002A2EA6">
        <w:rPr>
          <w:lang w:val="fr-FR"/>
        </w:rPr>
        <w:t>.</w:t>
      </w:r>
    </w:p>
    <w:p w14:paraId="65BDEB3A" w14:textId="05C95B6C" w:rsidR="00664055" w:rsidRPr="002A2EA6" w:rsidRDefault="008B2088" w:rsidP="001712F4">
      <w:pPr>
        <w:pStyle w:val="Normalnumber"/>
        <w:numPr>
          <w:ilvl w:val="0"/>
          <w:numId w:val="42"/>
        </w:numPr>
        <w:tabs>
          <w:tab w:val="clear" w:pos="1814"/>
          <w:tab w:val="left" w:pos="1843"/>
          <w:tab w:val="left" w:pos="1985"/>
        </w:tabs>
        <w:ind w:left="1288" w:hanging="28"/>
        <w:rPr>
          <w:lang w:val="fr-FR"/>
        </w:rPr>
      </w:pPr>
      <w:r w:rsidRPr="002A2EA6">
        <w:rPr>
          <w:lang w:val="fr-FR"/>
        </w:rPr>
        <w:t>La représentante de l</w:t>
      </w:r>
      <w:r w:rsidR="00CA4DAC">
        <w:rPr>
          <w:lang w:val="fr-FR"/>
        </w:rPr>
        <w:t>’</w:t>
      </w:r>
      <w:r w:rsidRPr="002A2EA6">
        <w:rPr>
          <w:lang w:val="fr-FR"/>
        </w:rPr>
        <w:t>Indonésie a présenté une proposition du Gouvernement indonésien visant à accueillir la quatrième</w:t>
      </w:r>
      <w:r w:rsidR="00DC7F5A" w:rsidRPr="002A2EA6">
        <w:rPr>
          <w:lang w:val="fr-FR"/>
        </w:rPr>
        <w:t> </w:t>
      </w:r>
      <w:r w:rsidRPr="002A2EA6">
        <w:rPr>
          <w:lang w:val="fr-FR"/>
        </w:rPr>
        <w:t>réunion de la Conférence des Parties au Centre de conférence</w:t>
      </w:r>
      <w:r w:rsidR="00531118" w:rsidRPr="002A2EA6">
        <w:rPr>
          <w:lang w:val="fr-FR"/>
        </w:rPr>
        <w:t>s</w:t>
      </w:r>
      <w:r w:rsidRPr="002A2EA6">
        <w:rPr>
          <w:lang w:val="fr-FR"/>
        </w:rPr>
        <w:t xml:space="preserve"> de Nusa</w:t>
      </w:r>
      <w:r w:rsidR="00DC7F5A" w:rsidRPr="002A2EA6">
        <w:rPr>
          <w:lang w:val="fr-FR"/>
        </w:rPr>
        <w:t> </w:t>
      </w:r>
      <w:r w:rsidRPr="002A2EA6">
        <w:rPr>
          <w:lang w:val="fr-FR"/>
        </w:rPr>
        <w:t>Dua, à</w:t>
      </w:r>
      <w:r w:rsidR="00CE52B4" w:rsidRPr="002A2EA6">
        <w:rPr>
          <w:lang w:val="fr-FR"/>
        </w:rPr>
        <w:t> </w:t>
      </w:r>
      <w:r w:rsidRPr="002A2EA6">
        <w:rPr>
          <w:lang w:val="fr-FR"/>
        </w:rPr>
        <w:t>Bali, du 1</w:t>
      </w:r>
      <w:r w:rsidRPr="002A2EA6">
        <w:rPr>
          <w:vertAlign w:val="superscript"/>
          <w:lang w:val="fr-FR"/>
        </w:rPr>
        <w:t>er</w:t>
      </w:r>
      <w:r w:rsidR="00267CB2" w:rsidRPr="002A2EA6">
        <w:rPr>
          <w:lang w:val="fr-FR"/>
        </w:rPr>
        <w:t> </w:t>
      </w:r>
      <w:r w:rsidRPr="002A2EA6">
        <w:rPr>
          <w:lang w:val="fr-FR"/>
        </w:rPr>
        <w:t>au 6 novembre</w:t>
      </w:r>
      <w:r w:rsidR="00DC7F5A" w:rsidRPr="002A2EA6">
        <w:rPr>
          <w:lang w:val="fr-FR"/>
        </w:rPr>
        <w:t> </w:t>
      </w:r>
      <w:r w:rsidRPr="002A2EA6">
        <w:rPr>
          <w:lang w:val="fr-FR"/>
        </w:rPr>
        <w:t>2021. La représentante de la Colombie a déclaré qu</w:t>
      </w:r>
      <w:r w:rsidR="00CA4DAC">
        <w:rPr>
          <w:lang w:val="fr-FR"/>
        </w:rPr>
        <w:t>’</w:t>
      </w:r>
      <w:r w:rsidRPr="002A2EA6">
        <w:rPr>
          <w:lang w:val="fr-FR"/>
        </w:rPr>
        <w:t>à l</w:t>
      </w:r>
      <w:r w:rsidR="00CA4DAC">
        <w:rPr>
          <w:lang w:val="fr-FR"/>
        </w:rPr>
        <w:t>’</w:t>
      </w:r>
      <w:r w:rsidRPr="002A2EA6">
        <w:rPr>
          <w:lang w:val="fr-FR"/>
        </w:rPr>
        <w:t xml:space="preserve">issue de longs </w:t>
      </w:r>
      <w:r w:rsidRPr="002A2EA6">
        <w:rPr>
          <w:lang w:val="fr-FR"/>
        </w:rPr>
        <w:lastRenderedPageBreak/>
        <w:t>échanges avec l</w:t>
      </w:r>
      <w:r w:rsidR="00CA4DAC">
        <w:rPr>
          <w:lang w:val="fr-FR"/>
        </w:rPr>
        <w:t>’</w:t>
      </w:r>
      <w:r w:rsidRPr="002A2EA6">
        <w:rPr>
          <w:lang w:val="fr-FR"/>
        </w:rPr>
        <w:t xml:space="preserve">Indonésie, le Gouvernement colombien avait décidé de retirer son offre </w:t>
      </w:r>
      <w:r w:rsidR="00935000" w:rsidRPr="002A2EA6">
        <w:rPr>
          <w:lang w:val="fr-FR"/>
        </w:rPr>
        <w:t>de sorte que la</w:t>
      </w:r>
      <w:r w:rsidR="00DC7F5A" w:rsidRPr="002A2EA6">
        <w:rPr>
          <w:lang w:val="fr-FR"/>
        </w:rPr>
        <w:t> </w:t>
      </w:r>
      <w:r w:rsidR="00935000" w:rsidRPr="002A2EA6">
        <w:rPr>
          <w:lang w:val="fr-FR"/>
        </w:rPr>
        <w:t xml:space="preserve">réunion </w:t>
      </w:r>
      <w:r w:rsidRPr="002A2EA6">
        <w:rPr>
          <w:lang w:val="fr-FR"/>
        </w:rPr>
        <w:t>puisse se tenir en Indonésie</w:t>
      </w:r>
      <w:r w:rsidR="00E65FC3" w:rsidRPr="002A2EA6">
        <w:rPr>
          <w:lang w:val="fr-FR"/>
        </w:rPr>
        <w:t xml:space="preserve"> puisque</w:t>
      </w:r>
      <w:r w:rsidR="00935000" w:rsidRPr="002A2EA6">
        <w:rPr>
          <w:lang w:val="fr-FR"/>
        </w:rPr>
        <w:t>,</w:t>
      </w:r>
      <w:r w:rsidR="00E65FC3" w:rsidRPr="002A2EA6">
        <w:rPr>
          <w:lang w:val="fr-FR"/>
        </w:rPr>
        <w:t xml:space="preserve"> selon le principe de rotation de la présidence </w:t>
      </w:r>
      <w:r w:rsidR="00935000" w:rsidRPr="002A2EA6">
        <w:rPr>
          <w:lang w:val="fr-FR"/>
        </w:rPr>
        <w:t xml:space="preserve">adopté </w:t>
      </w:r>
      <w:r w:rsidR="00E65FC3" w:rsidRPr="002A2EA6">
        <w:rPr>
          <w:lang w:val="fr-FR"/>
        </w:rPr>
        <w:t>à la deuxième réunion de la Conférence des Parties, la région de l</w:t>
      </w:r>
      <w:r w:rsidR="00CA4DAC">
        <w:rPr>
          <w:lang w:val="fr-FR"/>
        </w:rPr>
        <w:t>’</w:t>
      </w:r>
      <w:r w:rsidR="00E65FC3" w:rsidRPr="002A2EA6">
        <w:rPr>
          <w:lang w:val="fr-FR"/>
        </w:rPr>
        <w:t>Asie et du Pacifique désignerait le</w:t>
      </w:r>
      <w:r w:rsidR="00DC7F5A" w:rsidRPr="002A2EA6">
        <w:rPr>
          <w:lang w:val="fr-FR"/>
        </w:rPr>
        <w:t> </w:t>
      </w:r>
      <w:r w:rsidR="00E65FC3" w:rsidRPr="002A2EA6">
        <w:rPr>
          <w:lang w:val="fr-FR"/>
        </w:rPr>
        <w:t>Président de la quatrième réunion de la Conférence des Parties</w:t>
      </w:r>
      <w:r w:rsidRPr="002A2EA6">
        <w:rPr>
          <w:lang w:val="fr-FR"/>
        </w:rPr>
        <w:t>. Le</w:t>
      </w:r>
      <w:r w:rsidR="00E65FC3" w:rsidRPr="002A2EA6">
        <w:rPr>
          <w:lang w:val="fr-FR"/>
        </w:rPr>
        <w:t> </w:t>
      </w:r>
      <w:r w:rsidRPr="002A2EA6">
        <w:rPr>
          <w:lang w:val="fr-FR"/>
        </w:rPr>
        <w:t>Gouvernement colombien a offert son assistance au Gouvernement indonésien pour les préparatifs de la réunion et</w:t>
      </w:r>
      <w:r w:rsidR="78304C88" w:rsidRPr="002A2EA6">
        <w:rPr>
          <w:lang w:val="fr-FR"/>
        </w:rPr>
        <w:t xml:space="preserve"> a également</w:t>
      </w:r>
      <w:r w:rsidRPr="002A2EA6">
        <w:rPr>
          <w:lang w:val="fr-FR"/>
        </w:rPr>
        <w:t xml:space="preserve"> proposé d</w:t>
      </w:r>
      <w:r w:rsidR="00CA4DAC">
        <w:rPr>
          <w:lang w:val="fr-FR"/>
        </w:rPr>
        <w:t>’</w:t>
      </w:r>
      <w:r w:rsidRPr="002A2EA6">
        <w:rPr>
          <w:lang w:val="fr-FR"/>
        </w:rPr>
        <w:t>accueillir la réunion régionale</w:t>
      </w:r>
      <w:r w:rsidR="2C387EE3" w:rsidRPr="002A2EA6">
        <w:rPr>
          <w:lang w:val="fr-FR"/>
        </w:rPr>
        <w:t xml:space="preserve"> préparatoire</w:t>
      </w:r>
      <w:r w:rsidRPr="002A2EA6">
        <w:rPr>
          <w:lang w:val="fr-FR"/>
        </w:rPr>
        <w:t xml:space="preserve"> pour l</w:t>
      </w:r>
      <w:r w:rsidR="00CA4DAC">
        <w:rPr>
          <w:lang w:val="fr-FR"/>
        </w:rPr>
        <w:t>’</w:t>
      </w:r>
      <w:r w:rsidRPr="002A2EA6">
        <w:rPr>
          <w:lang w:val="fr-FR"/>
        </w:rPr>
        <w:t>Amérique latine et les</w:t>
      </w:r>
      <w:r w:rsidR="00E65FC3" w:rsidRPr="002A2EA6">
        <w:rPr>
          <w:lang w:val="fr-FR"/>
        </w:rPr>
        <w:t> </w:t>
      </w:r>
      <w:r w:rsidRPr="002A2EA6">
        <w:rPr>
          <w:lang w:val="fr-FR"/>
        </w:rPr>
        <w:t xml:space="preserve">Caraïbes </w:t>
      </w:r>
      <w:r w:rsidR="58B23A73" w:rsidRPr="002A2EA6">
        <w:rPr>
          <w:lang w:val="fr-FR"/>
        </w:rPr>
        <w:t>pour</w:t>
      </w:r>
      <w:r w:rsidRPr="002A2EA6">
        <w:rPr>
          <w:lang w:val="fr-FR"/>
        </w:rPr>
        <w:t xml:space="preserve"> la</w:t>
      </w:r>
      <w:r w:rsidR="00CE52B4" w:rsidRPr="002A2EA6">
        <w:rPr>
          <w:lang w:val="fr-FR"/>
        </w:rPr>
        <w:t> </w:t>
      </w:r>
      <w:r w:rsidRPr="002A2EA6">
        <w:rPr>
          <w:lang w:val="fr-FR"/>
        </w:rPr>
        <w:t>quatrième</w:t>
      </w:r>
      <w:r w:rsidR="00CE52B4" w:rsidRPr="002A2EA6">
        <w:rPr>
          <w:lang w:val="fr-FR"/>
        </w:rPr>
        <w:t> </w:t>
      </w:r>
      <w:r w:rsidRPr="002A2EA6">
        <w:rPr>
          <w:lang w:val="fr-FR"/>
        </w:rPr>
        <w:t>réunion de la Conférence des Parties. La</w:t>
      </w:r>
      <w:r w:rsidR="00267CB2" w:rsidRPr="002A2EA6">
        <w:rPr>
          <w:lang w:val="fr-FR"/>
        </w:rPr>
        <w:t> </w:t>
      </w:r>
      <w:r w:rsidRPr="002A2EA6">
        <w:rPr>
          <w:lang w:val="fr-FR"/>
        </w:rPr>
        <w:t>représentante de l</w:t>
      </w:r>
      <w:r w:rsidR="00CA4DAC">
        <w:rPr>
          <w:lang w:val="fr-FR"/>
        </w:rPr>
        <w:t>’</w:t>
      </w:r>
      <w:r w:rsidRPr="002A2EA6">
        <w:rPr>
          <w:lang w:val="fr-FR"/>
        </w:rPr>
        <w:t>Indonésie a remercié le</w:t>
      </w:r>
      <w:r w:rsidR="00CE52B4" w:rsidRPr="002A2EA6">
        <w:rPr>
          <w:lang w:val="fr-FR"/>
        </w:rPr>
        <w:t> </w:t>
      </w:r>
      <w:r w:rsidRPr="002A2EA6">
        <w:rPr>
          <w:lang w:val="fr-FR"/>
        </w:rPr>
        <w:t>Gouvernement colombien d</w:t>
      </w:r>
      <w:r w:rsidR="00CA4DAC">
        <w:rPr>
          <w:lang w:val="fr-FR"/>
        </w:rPr>
        <w:t>’</w:t>
      </w:r>
      <w:r w:rsidRPr="002A2EA6">
        <w:rPr>
          <w:lang w:val="fr-FR"/>
        </w:rPr>
        <w:t xml:space="preserve">avoir donné </w:t>
      </w:r>
      <w:r w:rsidR="00664055" w:rsidRPr="002A2EA6">
        <w:rPr>
          <w:lang w:val="fr-FR"/>
        </w:rPr>
        <w:t xml:space="preserve">à son pays </w:t>
      </w:r>
      <w:r w:rsidRPr="002A2EA6">
        <w:rPr>
          <w:lang w:val="fr-FR"/>
        </w:rPr>
        <w:t>l</w:t>
      </w:r>
      <w:r w:rsidR="00CA4DAC">
        <w:rPr>
          <w:lang w:val="fr-FR"/>
        </w:rPr>
        <w:t>’</w:t>
      </w:r>
      <w:r w:rsidRPr="002A2EA6">
        <w:rPr>
          <w:lang w:val="fr-FR"/>
        </w:rPr>
        <w:t>occasion d</w:t>
      </w:r>
      <w:r w:rsidR="00CA4DAC">
        <w:rPr>
          <w:lang w:val="fr-FR"/>
        </w:rPr>
        <w:t>’</w:t>
      </w:r>
      <w:r w:rsidRPr="002A2EA6">
        <w:rPr>
          <w:lang w:val="fr-FR"/>
        </w:rPr>
        <w:t>accueillir la</w:t>
      </w:r>
      <w:r w:rsidR="00E65FC3" w:rsidRPr="002A2EA6">
        <w:rPr>
          <w:lang w:val="fr-FR"/>
        </w:rPr>
        <w:t> </w:t>
      </w:r>
      <w:r w:rsidRPr="002A2EA6">
        <w:rPr>
          <w:lang w:val="fr-FR"/>
        </w:rPr>
        <w:t>réunion et déclaré que le Gouvernement indonésien se réjouissait à la perspective d</w:t>
      </w:r>
      <w:r w:rsidR="00CA4DAC">
        <w:rPr>
          <w:lang w:val="fr-FR"/>
        </w:rPr>
        <w:t>’</w:t>
      </w:r>
      <w:r w:rsidRPr="002A2EA6">
        <w:rPr>
          <w:lang w:val="fr-FR"/>
        </w:rPr>
        <w:t>élargir sa</w:t>
      </w:r>
      <w:r w:rsidR="00E65FC3" w:rsidRPr="002A2EA6">
        <w:rPr>
          <w:lang w:val="fr-FR"/>
        </w:rPr>
        <w:t> </w:t>
      </w:r>
      <w:r w:rsidRPr="002A2EA6">
        <w:rPr>
          <w:lang w:val="fr-FR"/>
        </w:rPr>
        <w:t>collaboration historique avec le</w:t>
      </w:r>
      <w:r w:rsidR="00CE52B4" w:rsidRPr="002A2EA6">
        <w:rPr>
          <w:lang w:val="fr-FR"/>
        </w:rPr>
        <w:t> </w:t>
      </w:r>
      <w:r w:rsidRPr="002A2EA6">
        <w:rPr>
          <w:lang w:val="fr-FR"/>
        </w:rPr>
        <w:t>Gouvernement colombien afin d</w:t>
      </w:r>
      <w:r w:rsidR="00CA4DAC">
        <w:rPr>
          <w:lang w:val="fr-FR"/>
        </w:rPr>
        <w:t>’</w:t>
      </w:r>
      <w:r w:rsidRPr="002A2EA6">
        <w:rPr>
          <w:lang w:val="fr-FR"/>
        </w:rPr>
        <w:t>organiser la réunion.</w:t>
      </w:r>
    </w:p>
    <w:p w14:paraId="19149E26" w14:textId="2DAB9871" w:rsidR="00664055" w:rsidRPr="002A2EA6" w:rsidRDefault="008B2088" w:rsidP="001712F4">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décidé que sa quatrième réunion se tiendrait à Bali (Indonésie)</w:t>
      </w:r>
      <w:r w:rsidR="00F92ACE" w:rsidRPr="002A2EA6">
        <w:rPr>
          <w:lang w:val="fr-FR"/>
        </w:rPr>
        <w:t xml:space="preserve"> du</w:t>
      </w:r>
      <w:r w:rsidR="0090074E">
        <w:rPr>
          <w:lang w:val="fr-FR"/>
        </w:rPr>
        <w:t> </w:t>
      </w:r>
      <w:r w:rsidR="00F92ACE" w:rsidRPr="002A2EA6">
        <w:rPr>
          <w:lang w:val="fr-FR"/>
        </w:rPr>
        <w:t>1</w:t>
      </w:r>
      <w:r w:rsidR="000B0230" w:rsidRPr="000B0230">
        <w:rPr>
          <w:vertAlign w:val="superscript"/>
          <w:lang w:val="fr-FR"/>
        </w:rPr>
        <w:t>er</w:t>
      </w:r>
      <w:r w:rsidR="000B0230">
        <w:rPr>
          <w:lang w:val="fr-FR"/>
        </w:rPr>
        <w:t xml:space="preserve"> </w:t>
      </w:r>
      <w:r w:rsidR="00F92ACE" w:rsidRPr="002A2EA6">
        <w:rPr>
          <w:lang w:val="fr-FR"/>
        </w:rPr>
        <w:t>au 5 novembre 20</w:t>
      </w:r>
      <w:r w:rsidR="00B35314" w:rsidRPr="002A2EA6">
        <w:rPr>
          <w:lang w:val="fr-FR"/>
        </w:rPr>
        <w:t>21</w:t>
      </w:r>
      <w:r w:rsidRPr="002A2EA6">
        <w:rPr>
          <w:lang w:val="fr-FR"/>
        </w:rPr>
        <w:t>.</w:t>
      </w:r>
    </w:p>
    <w:p w14:paraId="400A4CD4" w14:textId="6E1F013E" w:rsidR="00530857" w:rsidRPr="002A2EA6" w:rsidRDefault="00530857" w:rsidP="00CE52B4">
      <w:pPr>
        <w:pStyle w:val="CH1"/>
        <w:rPr>
          <w:lang w:val="fr-FR"/>
        </w:rPr>
      </w:pPr>
      <w:r w:rsidRPr="002A2EA6">
        <w:rPr>
          <w:lang w:val="fr-FR"/>
        </w:rPr>
        <w:tab/>
        <w:t>IX.</w:t>
      </w:r>
      <w:r w:rsidRPr="002A2EA6">
        <w:rPr>
          <w:lang w:val="fr-FR"/>
        </w:rPr>
        <w:tab/>
        <w:t>Questions diverses</w:t>
      </w:r>
    </w:p>
    <w:p w14:paraId="43DF61D8" w14:textId="54C4B872" w:rsidR="3A6E257B" w:rsidRPr="002A2EA6" w:rsidRDefault="3A6E257B" w:rsidP="00D86FD7">
      <w:pPr>
        <w:pStyle w:val="ZZAnxtitle"/>
        <w:spacing w:before="80"/>
        <w:rPr>
          <w:b w:val="0"/>
          <w:bCs w:val="0"/>
          <w:sz w:val="20"/>
          <w:szCs w:val="20"/>
          <w:lang w:val="fr-FR"/>
        </w:rPr>
      </w:pPr>
      <w:r w:rsidRPr="002A2EA6">
        <w:rPr>
          <w:sz w:val="20"/>
          <w:szCs w:val="20"/>
          <w:lang w:val="fr-FR"/>
        </w:rPr>
        <w:t xml:space="preserve">Orientations pour remplir le formulaire </w:t>
      </w:r>
      <w:r w:rsidR="00D86FD7" w:rsidRPr="002A2EA6">
        <w:rPr>
          <w:sz w:val="20"/>
          <w:szCs w:val="20"/>
          <w:lang w:val="fr-FR"/>
        </w:rPr>
        <w:t>de communication d</w:t>
      </w:r>
      <w:r w:rsidR="00CA4DAC">
        <w:rPr>
          <w:sz w:val="20"/>
          <w:szCs w:val="20"/>
          <w:lang w:val="fr-FR"/>
        </w:rPr>
        <w:t>’</w:t>
      </w:r>
      <w:r w:rsidR="00D86FD7" w:rsidRPr="002A2EA6">
        <w:rPr>
          <w:sz w:val="20"/>
          <w:szCs w:val="20"/>
          <w:lang w:val="fr-FR"/>
        </w:rPr>
        <w:t>informations</w:t>
      </w:r>
    </w:p>
    <w:p w14:paraId="5B128D77" w14:textId="73125318" w:rsidR="3A6E257B" w:rsidRPr="002A2EA6" w:rsidRDefault="3A6E257B" w:rsidP="001712F4">
      <w:pPr>
        <w:pStyle w:val="Normalnumber"/>
        <w:numPr>
          <w:ilvl w:val="0"/>
          <w:numId w:val="42"/>
        </w:numPr>
        <w:tabs>
          <w:tab w:val="clear" w:pos="1814"/>
          <w:tab w:val="left" w:pos="1843"/>
          <w:tab w:val="left" w:pos="1985"/>
        </w:tabs>
        <w:ind w:left="1288" w:hanging="28"/>
        <w:rPr>
          <w:lang w:val="fr-FR"/>
        </w:rPr>
      </w:pPr>
      <w:r w:rsidRPr="002A2EA6">
        <w:rPr>
          <w:lang w:val="fr-FR"/>
        </w:rPr>
        <w:t>La représentante du secrétariat a rappelé que, dans sa décision</w:t>
      </w:r>
      <w:r w:rsidR="00267CB2" w:rsidRPr="002A2EA6">
        <w:rPr>
          <w:lang w:val="fr-FR"/>
        </w:rPr>
        <w:t> </w:t>
      </w:r>
      <w:r w:rsidRPr="002A2EA6">
        <w:rPr>
          <w:lang w:val="fr-FR"/>
        </w:rPr>
        <w:t>MC-1/8 sur la périodicité et la présentation des rapports à respecter par les Parties, la Conférence des Parties avait</w:t>
      </w:r>
      <w:r w:rsidR="122A7E21" w:rsidRPr="002A2EA6">
        <w:rPr>
          <w:lang w:val="fr-FR"/>
        </w:rPr>
        <w:t xml:space="preserve"> </w:t>
      </w:r>
      <w:r w:rsidRPr="002A2EA6">
        <w:rPr>
          <w:lang w:val="fr-FR"/>
        </w:rPr>
        <w:t>adopté un</w:t>
      </w:r>
      <w:r w:rsidR="00DC7F5A" w:rsidRPr="002A2EA6">
        <w:rPr>
          <w:lang w:val="fr-FR"/>
        </w:rPr>
        <w:t> </w:t>
      </w:r>
      <w:r w:rsidRPr="002A2EA6">
        <w:rPr>
          <w:lang w:val="fr-FR"/>
        </w:rPr>
        <w:t>formulaire de communication d</w:t>
      </w:r>
      <w:r w:rsidR="00CA4DAC">
        <w:rPr>
          <w:lang w:val="fr-FR"/>
        </w:rPr>
        <w:t>’</w:t>
      </w:r>
      <w:r w:rsidRPr="002A2EA6">
        <w:rPr>
          <w:lang w:val="fr-FR"/>
        </w:rPr>
        <w:t xml:space="preserve">informations et décidé que chaque </w:t>
      </w:r>
      <w:r w:rsidR="00732623" w:rsidRPr="002A2EA6">
        <w:rPr>
          <w:lang w:val="fr-FR"/>
        </w:rPr>
        <w:t>P</w:t>
      </w:r>
      <w:r w:rsidRPr="002A2EA6">
        <w:rPr>
          <w:lang w:val="fr-FR"/>
        </w:rPr>
        <w:t>artie devait, tous les</w:t>
      </w:r>
      <w:r w:rsidR="00DC7F5A" w:rsidRPr="002A2EA6">
        <w:rPr>
          <w:lang w:val="fr-FR"/>
        </w:rPr>
        <w:t> </w:t>
      </w:r>
      <w:r w:rsidRPr="002A2EA6">
        <w:rPr>
          <w:lang w:val="fr-FR"/>
        </w:rPr>
        <w:t>quatre ans, présenter un rapport complet fournissant les informations demandées dans l</w:t>
      </w:r>
      <w:r w:rsidR="00CA4DAC">
        <w:rPr>
          <w:lang w:val="fr-FR"/>
        </w:rPr>
        <w:t>’</w:t>
      </w:r>
      <w:r w:rsidRPr="002A2EA6">
        <w:rPr>
          <w:lang w:val="fr-FR"/>
        </w:rPr>
        <w:t xml:space="preserve">intégralité du formulaire et, tous les deux ans, un rapport fournissant les informations demandées aux </w:t>
      </w:r>
      <w:r w:rsidR="00C36661" w:rsidRPr="002A2EA6">
        <w:rPr>
          <w:lang w:val="fr-FR"/>
        </w:rPr>
        <w:t xml:space="preserve">seules </w:t>
      </w:r>
      <w:r w:rsidRPr="002A2EA6">
        <w:rPr>
          <w:lang w:val="fr-FR"/>
        </w:rPr>
        <w:t>rubriques marquées d</w:t>
      </w:r>
      <w:r w:rsidR="00CA4DAC">
        <w:rPr>
          <w:lang w:val="fr-FR"/>
        </w:rPr>
        <w:t>’</w:t>
      </w:r>
      <w:r w:rsidRPr="002A2EA6">
        <w:rPr>
          <w:lang w:val="fr-FR"/>
        </w:rPr>
        <w:t>un astérisque. Afin d</w:t>
      </w:r>
      <w:r w:rsidR="00CA4DAC">
        <w:rPr>
          <w:lang w:val="fr-FR"/>
        </w:rPr>
        <w:t>’</w:t>
      </w:r>
      <w:r w:rsidRPr="002A2EA6">
        <w:rPr>
          <w:lang w:val="fr-FR"/>
        </w:rPr>
        <w:t>aider les Parties à rassembler les informations nécessaires à l</w:t>
      </w:r>
      <w:r w:rsidR="00CA4DAC">
        <w:rPr>
          <w:lang w:val="fr-FR"/>
        </w:rPr>
        <w:t>’</w:t>
      </w:r>
      <w:r w:rsidRPr="002A2EA6">
        <w:rPr>
          <w:lang w:val="fr-FR"/>
        </w:rPr>
        <w:t>établissement du premier rapport biennal abrégé et à présenter celui-ci, le secrétariat avait élaboré un outil électronique de présentation de rapports ainsi qu</w:t>
      </w:r>
      <w:r w:rsidR="00CA4DAC">
        <w:rPr>
          <w:lang w:val="fr-FR"/>
        </w:rPr>
        <w:t>’</w:t>
      </w:r>
      <w:r w:rsidRPr="002A2EA6">
        <w:rPr>
          <w:lang w:val="fr-FR"/>
        </w:rPr>
        <w:t>un document contenant des réponses aux</w:t>
      </w:r>
      <w:r w:rsidR="0080659C" w:rsidRPr="002A2EA6">
        <w:rPr>
          <w:lang w:val="fr-FR"/>
        </w:rPr>
        <w:t> </w:t>
      </w:r>
      <w:r w:rsidRPr="002A2EA6">
        <w:rPr>
          <w:lang w:val="fr-FR"/>
        </w:rPr>
        <w:t>questions les plus fréquentes (UNEP/MC/COP.3/INF/26). Les réunions d</w:t>
      </w:r>
      <w:r w:rsidR="00CA4DAC">
        <w:rPr>
          <w:lang w:val="fr-FR"/>
        </w:rPr>
        <w:t>’</w:t>
      </w:r>
      <w:r w:rsidRPr="002A2EA6">
        <w:rPr>
          <w:lang w:val="fr-FR"/>
        </w:rPr>
        <w:t>étude sur les problèmes en matière de présentation de rapports tenues en marge de</w:t>
      </w:r>
      <w:r w:rsidR="30DAD3D0" w:rsidRPr="002A2EA6">
        <w:rPr>
          <w:lang w:val="fr-FR"/>
        </w:rPr>
        <w:t>s</w:t>
      </w:r>
      <w:r w:rsidRPr="002A2EA6">
        <w:rPr>
          <w:lang w:val="fr-FR"/>
        </w:rPr>
        <w:t xml:space="preserve"> réunion</w:t>
      </w:r>
      <w:r w:rsidR="784EBC8C" w:rsidRPr="002A2EA6">
        <w:rPr>
          <w:lang w:val="fr-FR"/>
        </w:rPr>
        <w:t>s</w:t>
      </w:r>
      <w:r w:rsidRPr="002A2EA6">
        <w:rPr>
          <w:lang w:val="fr-FR"/>
        </w:rPr>
        <w:t xml:space="preserve"> offraient également aux Parties une aide dans ce domaine. Comme les rapports seraient présentés par les </w:t>
      </w:r>
      <w:r w:rsidR="0008532E" w:rsidRPr="002A2EA6">
        <w:rPr>
          <w:lang w:val="fr-FR"/>
        </w:rPr>
        <w:t xml:space="preserve">correspondants </w:t>
      </w:r>
      <w:r w:rsidRPr="002A2EA6">
        <w:rPr>
          <w:lang w:val="fr-FR"/>
        </w:rPr>
        <w:t>nationaux, qui recevraient alors un lien vers l</w:t>
      </w:r>
      <w:r w:rsidR="00CA4DAC">
        <w:rPr>
          <w:lang w:val="fr-FR"/>
        </w:rPr>
        <w:t>’</w:t>
      </w:r>
      <w:r w:rsidRPr="002A2EA6">
        <w:rPr>
          <w:lang w:val="fr-FR"/>
        </w:rPr>
        <w:t>outil électronique leur permettant de le faire, la représentante du secrétariat a mis l</w:t>
      </w:r>
      <w:r w:rsidR="00CA4DAC">
        <w:rPr>
          <w:lang w:val="fr-FR"/>
        </w:rPr>
        <w:t>’</w:t>
      </w:r>
      <w:r w:rsidRPr="002A2EA6">
        <w:rPr>
          <w:lang w:val="fr-FR"/>
        </w:rPr>
        <w:t xml:space="preserve">accent sur la nécessité pour les Parties de vérifier que les coordonnées communiquées au secrétariat pour chaque </w:t>
      </w:r>
      <w:r w:rsidR="00B70A79" w:rsidRPr="002A2EA6">
        <w:rPr>
          <w:lang w:val="fr-FR"/>
        </w:rPr>
        <w:t xml:space="preserve">correspondant </w:t>
      </w:r>
      <w:r w:rsidRPr="002A2EA6">
        <w:rPr>
          <w:lang w:val="fr-FR"/>
        </w:rPr>
        <w:t>national étaient correctes.</w:t>
      </w:r>
    </w:p>
    <w:p w14:paraId="3A55A1C1" w14:textId="58EB1609" w:rsidR="3A6E257B" w:rsidRPr="002A2EA6" w:rsidRDefault="3059AE25" w:rsidP="001712F4">
      <w:pPr>
        <w:pStyle w:val="Normalnumber"/>
        <w:numPr>
          <w:ilvl w:val="0"/>
          <w:numId w:val="42"/>
        </w:numPr>
        <w:tabs>
          <w:tab w:val="clear" w:pos="1814"/>
          <w:tab w:val="left" w:pos="1843"/>
          <w:tab w:val="left" w:pos="1985"/>
        </w:tabs>
        <w:ind w:left="1288" w:hanging="28"/>
        <w:rPr>
          <w:lang w:val="fr-FR"/>
        </w:rPr>
      </w:pPr>
      <w:r w:rsidRPr="002A2EA6">
        <w:rPr>
          <w:lang w:val="fr-FR"/>
        </w:rPr>
        <w:t>Deux</w:t>
      </w:r>
      <w:r w:rsidR="00267CB2" w:rsidRPr="002A2EA6">
        <w:rPr>
          <w:lang w:val="fr-FR"/>
        </w:rPr>
        <w:t> </w:t>
      </w:r>
      <w:r w:rsidRPr="002A2EA6">
        <w:rPr>
          <w:lang w:val="fr-FR"/>
        </w:rPr>
        <w:t>représentants ont souligné qu</w:t>
      </w:r>
      <w:r w:rsidR="00CA4DAC">
        <w:rPr>
          <w:lang w:val="fr-FR"/>
        </w:rPr>
        <w:t>’</w:t>
      </w:r>
      <w:r w:rsidRPr="002A2EA6">
        <w:rPr>
          <w:lang w:val="fr-FR"/>
        </w:rPr>
        <w:t>il était difficile de suivre les activités en matière de commerce de mercure et d</w:t>
      </w:r>
      <w:r w:rsidR="00CA4DAC">
        <w:rPr>
          <w:lang w:val="fr-FR"/>
        </w:rPr>
        <w:t>’</w:t>
      </w:r>
      <w:r w:rsidRPr="002A2EA6">
        <w:rPr>
          <w:lang w:val="fr-FR"/>
        </w:rPr>
        <w:t>utiliser les formulaires conçus à cette fin. L</w:t>
      </w:r>
      <w:r w:rsidR="00CA4DAC">
        <w:rPr>
          <w:lang w:val="fr-FR"/>
        </w:rPr>
        <w:t>’</w:t>
      </w:r>
      <w:r w:rsidRPr="002A2EA6">
        <w:rPr>
          <w:lang w:val="fr-FR"/>
        </w:rPr>
        <w:t>un d</w:t>
      </w:r>
      <w:r w:rsidR="00CA4DAC">
        <w:rPr>
          <w:lang w:val="fr-FR"/>
        </w:rPr>
        <w:t>’</w:t>
      </w:r>
      <w:r w:rsidRPr="002A2EA6">
        <w:rPr>
          <w:lang w:val="fr-FR"/>
        </w:rPr>
        <w:t>entre eux a proposé que la</w:t>
      </w:r>
      <w:r w:rsidR="0080659C" w:rsidRPr="002A2EA6">
        <w:rPr>
          <w:lang w:val="fr-FR"/>
        </w:rPr>
        <w:t> </w:t>
      </w:r>
      <w:r w:rsidRPr="002A2EA6">
        <w:rPr>
          <w:lang w:val="fr-FR"/>
        </w:rPr>
        <w:t>question du commerce de mercure soit inscrite à l</w:t>
      </w:r>
      <w:r w:rsidR="00CA4DAC">
        <w:rPr>
          <w:lang w:val="fr-FR"/>
        </w:rPr>
        <w:t>’</w:t>
      </w:r>
      <w:r w:rsidRPr="002A2EA6">
        <w:rPr>
          <w:lang w:val="fr-FR"/>
        </w:rPr>
        <w:t>ordre du jour de la quatrième réunion de la</w:t>
      </w:r>
      <w:r w:rsidR="0080659C" w:rsidRPr="002A2EA6">
        <w:rPr>
          <w:lang w:val="fr-FR"/>
        </w:rPr>
        <w:t> </w:t>
      </w:r>
      <w:r w:rsidRPr="002A2EA6">
        <w:rPr>
          <w:lang w:val="fr-FR"/>
        </w:rPr>
        <w:t>Conférence des Parties. Le représentant du secrétariat a rappelé qu</w:t>
      </w:r>
      <w:r w:rsidR="00CA4DAC">
        <w:rPr>
          <w:lang w:val="fr-FR"/>
        </w:rPr>
        <w:t>’</w:t>
      </w:r>
      <w:r w:rsidRPr="002A2EA6">
        <w:rPr>
          <w:lang w:val="fr-FR"/>
        </w:rPr>
        <w:t>à sa première</w:t>
      </w:r>
      <w:r w:rsidR="008A4505" w:rsidRPr="002A2EA6">
        <w:rPr>
          <w:lang w:val="fr-FR"/>
        </w:rPr>
        <w:t> </w:t>
      </w:r>
      <w:r w:rsidRPr="002A2EA6">
        <w:rPr>
          <w:lang w:val="fr-FR"/>
        </w:rPr>
        <w:t>réunion, la</w:t>
      </w:r>
      <w:r w:rsidR="0080659C" w:rsidRPr="002A2EA6">
        <w:rPr>
          <w:lang w:val="fr-FR"/>
        </w:rPr>
        <w:t> </w:t>
      </w:r>
      <w:r w:rsidRPr="002A2EA6">
        <w:rPr>
          <w:lang w:val="fr-FR"/>
        </w:rPr>
        <w:t>Conférence avait adopté des orientations pour remplir les formulaires requis au titre de l</w:t>
      </w:r>
      <w:r w:rsidR="00CA4DAC">
        <w:rPr>
          <w:lang w:val="fr-FR"/>
        </w:rPr>
        <w:t>’</w:t>
      </w:r>
      <w:r w:rsidRPr="002A2EA6">
        <w:rPr>
          <w:lang w:val="fr-FR"/>
        </w:rPr>
        <w:t>article 3 sur le commerce de mercure.</w:t>
      </w:r>
    </w:p>
    <w:p w14:paraId="7E283062" w14:textId="4E6C57CF" w:rsidR="3A6E257B" w:rsidRPr="002A2EA6" w:rsidRDefault="3059AE25" w:rsidP="001712F4">
      <w:pPr>
        <w:pStyle w:val="Normalnumber"/>
        <w:numPr>
          <w:ilvl w:val="0"/>
          <w:numId w:val="42"/>
        </w:numPr>
        <w:tabs>
          <w:tab w:val="clear" w:pos="1814"/>
          <w:tab w:val="left" w:pos="1843"/>
          <w:tab w:val="left" w:pos="1985"/>
        </w:tabs>
        <w:ind w:left="1288" w:hanging="28"/>
        <w:rPr>
          <w:lang w:val="fr-FR"/>
        </w:rPr>
      </w:pPr>
      <w:r w:rsidRPr="002A2EA6">
        <w:rPr>
          <w:lang w:val="fr-FR"/>
        </w:rPr>
        <w:t>La représentante du Canada a présenté un document de séance conjointement établi par son</w:t>
      </w:r>
      <w:r w:rsidR="008A4505" w:rsidRPr="002A2EA6">
        <w:rPr>
          <w:lang w:val="fr-FR"/>
        </w:rPr>
        <w:t> </w:t>
      </w:r>
      <w:r w:rsidRPr="002A2EA6">
        <w:rPr>
          <w:lang w:val="fr-FR"/>
        </w:rPr>
        <w:t>pays, la Norvège</w:t>
      </w:r>
      <w:r w:rsidR="00340426" w:rsidRPr="002A2EA6">
        <w:rPr>
          <w:lang w:val="fr-FR"/>
        </w:rPr>
        <w:t>,</w:t>
      </w:r>
      <w:r w:rsidRPr="002A2EA6">
        <w:rPr>
          <w:lang w:val="fr-FR"/>
        </w:rPr>
        <w:t xml:space="preserve"> la Suisse</w:t>
      </w:r>
      <w:r w:rsidR="00340426" w:rsidRPr="002A2EA6">
        <w:rPr>
          <w:lang w:val="fr-FR"/>
        </w:rPr>
        <w:t xml:space="preserve"> et l</w:t>
      </w:r>
      <w:r w:rsidR="00CA4DAC">
        <w:rPr>
          <w:lang w:val="fr-FR"/>
        </w:rPr>
        <w:t>’</w:t>
      </w:r>
      <w:r w:rsidR="00340426" w:rsidRPr="002A2EA6">
        <w:rPr>
          <w:lang w:val="fr-FR"/>
        </w:rPr>
        <w:t>Union européenne et ses États membres</w:t>
      </w:r>
      <w:r w:rsidRPr="002A2EA6">
        <w:rPr>
          <w:lang w:val="fr-FR"/>
        </w:rPr>
        <w:t>, dans lequel figurait un</w:t>
      </w:r>
      <w:r w:rsidR="008A4505" w:rsidRPr="002A2EA6">
        <w:rPr>
          <w:lang w:val="fr-FR"/>
        </w:rPr>
        <w:t> </w:t>
      </w:r>
      <w:r w:rsidRPr="002A2EA6">
        <w:rPr>
          <w:lang w:val="fr-FR"/>
        </w:rPr>
        <w:t>projet de texte de décision demandant au secrétariat de préparer un projet d</w:t>
      </w:r>
      <w:r w:rsidR="00CA4DAC">
        <w:rPr>
          <w:lang w:val="fr-FR"/>
        </w:rPr>
        <w:t>’</w:t>
      </w:r>
      <w:r w:rsidRPr="002A2EA6">
        <w:rPr>
          <w:lang w:val="fr-FR"/>
        </w:rPr>
        <w:t>orientations pour l</w:t>
      </w:r>
      <w:r w:rsidR="00CA4DAC">
        <w:rPr>
          <w:lang w:val="fr-FR"/>
        </w:rPr>
        <w:t>’</w:t>
      </w:r>
      <w:r w:rsidRPr="002A2EA6">
        <w:rPr>
          <w:lang w:val="fr-FR"/>
        </w:rPr>
        <w:t>établissement du premier rapport complet, qui devait être remis le 31 décembre</w:t>
      </w:r>
      <w:r w:rsidR="00CF143A" w:rsidRPr="002A2EA6">
        <w:rPr>
          <w:lang w:val="fr-FR"/>
        </w:rPr>
        <w:t> </w:t>
      </w:r>
      <w:r w:rsidRPr="002A2EA6">
        <w:rPr>
          <w:lang w:val="fr-FR"/>
        </w:rPr>
        <w:t>2021. Il y était proposé que ce projet d</w:t>
      </w:r>
      <w:r w:rsidR="00CA4DAC">
        <w:rPr>
          <w:lang w:val="fr-FR"/>
        </w:rPr>
        <w:t>’</w:t>
      </w:r>
      <w:r w:rsidRPr="002A2EA6">
        <w:rPr>
          <w:lang w:val="fr-FR"/>
        </w:rPr>
        <w:t>orientations soit établi pendant l</w:t>
      </w:r>
      <w:r w:rsidR="00CA4DAC">
        <w:rPr>
          <w:lang w:val="fr-FR"/>
        </w:rPr>
        <w:t>’</w:t>
      </w:r>
      <w:r w:rsidRPr="002A2EA6">
        <w:rPr>
          <w:lang w:val="fr-FR"/>
        </w:rPr>
        <w:t>intersession, que les Parties et d</w:t>
      </w:r>
      <w:r w:rsidR="00CA4DAC">
        <w:rPr>
          <w:lang w:val="fr-FR"/>
        </w:rPr>
        <w:t>’</w:t>
      </w:r>
      <w:r w:rsidRPr="002A2EA6">
        <w:rPr>
          <w:lang w:val="fr-FR"/>
        </w:rPr>
        <w:t>autres parties prenantes contribuent à son élaboration en faisant part de leurs observations afin que le</w:t>
      </w:r>
      <w:r w:rsidR="00C166F9">
        <w:rPr>
          <w:lang w:val="fr-FR"/>
        </w:rPr>
        <w:t> </w:t>
      </w:r>
      <w:r w:rsidRPr="002A2EA6">
        <w:rPr>
          <w:lang w:val="fr-FR"/>
        </w:rPr>
        <w:t>secrétariat puisse le réviser, que les Parties l</w:t>
      </w:r>
      <w:r w:rsidR="00CA4DAC">
        <w:rPr>
          <w:lang w:val="fr-FR"/>
        </w:rPr>
        <w:t>’</w:t>
      </w:r>
      <w:r w:rsidRPr="002A2EA6">
        <w:rPr>
          <w:lang w:val="fr-FR"/>
        </w:rPr>
        <w:t>utilisent à titre provisoire, et que la Conférence des Parties l</w:t>
      </w:r>
      <w:r w:rsidR="00CA4DAC">
        <w:rPr>
          <w:lang w:val="fr-FR"/>
        </w:rPr>
        <w:t>’</w:t>
      </w:r>
      <w:r w:rsidRPr="002A2EA6">
        <w:rPr>
          <w:lang w:val="fr-FR"/>
        </w:rPr>
        <w:t>examine et l</w:t>
      </w:r>
      <w:r w:rsidR="00CA4DAC">
        <w:rPr>
          <w:lang w:val="fr-FR"/>
        </w:rPr>
        <w:t>’</w:t>
      </w:r>
      <w:r w:rsidRPr="002A2EA6">
        <w:rPr>
          <w:lang w:val="fr-FR"/>
        </w:rPr>
        <w:t>adopte éventuellement à sa quatrième réunion.</w:t>
      </w:r>
    </w:p>
    <w:p w14:paraId="41922134" w14:textId="3027B1E2" w:rsidR="499B304F" w:rsidRPr="002A2EA6" w:rsidRDefault="499B304F" w:rsidP="001712F4">
      <w:pPr>
        <w:pStyle w:val="Normalnumber"/>
        <w:numPr>
          <w:ilvl w:val="0"/>
          <w:numId w:val="42"/>
        </w:numPr>
        <w:tabs>
          <w:tab w:val="clear" w:pos="1814"/>
          <w:tab w:val="left" w:pos="1843"/>
          <w:tab w:val="left" w:pos="1985"/>
        </w:tabs>
        <w:ind w:left="1288" w:hanging="28"/>
        <w:rPr>
          <w:lang w:val="fr-FR"/>
        </w:rPr>
      </w:pPr>
      <w:r w:rsidRPr="002A2EA6">
        <w:rPr>
          <w:lang w:val="fr-FR"/>
        </w:rPr>
        <w:t>Par la suite, à l</w:t>
      </w:r>
      <w:r w:rsidR="00CA4DAC">
        <w:rPr>
          <w:lang w:val="fr-FR"/>
        </w:rPr>
        <w:t>’</w:t>
      </w:r>
      <w:r w:rsidRPr="002A2EA6">
        <w:rPr>
          <w:lang w:val="fr-FR"/>
        </w:rPr>
        <w:t xml:space="preserve">issue de consultations approfondies avec les </w:t>
      </w:r>
      <w:r w:rsidR="007B643C" w:rsidRPr="002A2EA6">
        <w:rPr>
          <w:lang w:val="fr-FR"/>
        </w:rPr>
        <w:t>P</w:t>
      </w:r>
      <w:r w:rsidRPr="002A2EA6">
        <w:rPr>
          <w:lang w:val="fr-FR"/>
        </w:rPr>
        <w:t xml:space="preserve">arties </w:t>
      </w:r>
      <w:r w:rsidR="007B643C" w:rsidRPr="002A2EA6">
        <w:rPr>
          <w:lang w:val="fr-FR"/>
        </w:rPr>
        <w:t xml:space="preserve">favorables au </w:t>
      </w:r>
      <w:r w:rsidRPr="002A2EA6">
        <w:rPr>
          <w:lang w:val="fr-FR"/>
        </w:rPr>
        <w:t>projet de décision et d</w:t>
      </w:r>
      <w:r w:rsidR="00CA4DAC">
        <w:rPr>
          <w:lang w:val="fr-FR"/>
        </w:rPr>
        <w:t>’</w:t>
      </w:r>
      <w:r w:rsidRPr="002A2EA6">
        <w:rPr>
          <w:lang w:val="fr-FR"/>
        </w:rPr>
        <w:t>autres parties intéressées, l</w:t>
      </w:r>
      <w:r w:rsidR="007B643C" w:rsidRPr="002A2EA6">
        <w:rPr>
          <w:lang w:val="fr-FR"/>
        </w:rPr>
        <w:t>a</w:t>
      </w:r>
      <w:r w:rsidRPr="002A2EA6">
        <w:rPr>
          <w:lang w:val="fr-FR"/>
        </w:rPr>
        <w:t xml:space="preserve"> représentant</w:t>
      </w:r>
      <w:r w:rsidR="007B643C" w:rsidRPr="002A2EA6">
        <w:rPr>
          <w:lang w:val="fr-FR"/>
        </w:rPr>
        <w:t>e</w:t>
      </w:r>
      <w:r w:rsidRPr="002A2EA6">
        <w:rPr>
          <w:lang w:val="fr-FR"/>
        </w:rPr>
        <w:t xml:space="preserve"> du Canada a fait état du </w:t>
      </w:r>
      <w:r w:rsidR="007B643C" w:rsidRPr="002A2EA6">
        <w:rPr>
          <w:lang w:val="fr-FR"/>
        </w:rPr>
        <w:t xml:space="preserve">large appui </w:t>
      </w:r>
      <w:r w:rsidRPr="002A2EA6">
        <w:rPr>
          <w:lang w:val="fr-FR"/>
        </w:rPr>
        <w:t>dont bénéficiait le projet de décision, qui était motivé par la complexité d</w:t>
      </w:r>
      <w:r w:rsidR="36350B79" w:rsidRPr="002A2EA6">
        <w:rPr>
          <w:lang w:val="fr-FR"/>
        </w:rPr>
        <w:t>e la procédure d</w:t>
      </w:r>
      <w:r w:rsidR="00CA4DAC">
        <w:rPr>
          <w:lang w:val="fr-FR"/>
        </w:rPr>
        <w:t>’</w:t>
      </w:r>
      <w:r w:rsidRPr="002A2EA6">
        <w:rPr>
          <w:lang w:val="fr-FR"/>
        </w:rPr>
        <w:t xml:space="preserve">établissement des rapports nationaux. </w:t>
      </w:r>
      <w:r w:rsidR="2F1E7DA8" w:rsidRPr="002A2EA6">
        <w:rPr>
          <w:lang w:val="fr-FR"/>
        </w:rPr>
        <w:t>Au cours du débat qui a suivi, l</w:t>
      </w:r>
      <w:r w:rsidR="00CA4DAC">
        <w:rPr>
          <w:lang w:val="fr-FR"/>
        </w:rPr>
        <w:t>’</w:t>
      </w:r>
      <w:r w:rsidR="2F1E7DA8" w:rsidRPr="002A2EA6">
        <w:rPr>
          <w:lang w:val="fr-FR"/>
        </w:rPr>
        <w:t>ensemble des représentants qui se sont exprimés ont dit appuyer l</w:t>
      </w:r>
      <w:r w:rsidR="00CA4DAC">
        <w:rPr>
          <w:lang w:val="fr-FR"/>
        </w:rPr>
        <w:t>’</w:t>
      </w:r>
      <w:r w:rsidR="2F1E7DA8" w:rsidRPr="002A2EA6">
        <w:rPr>
          <w:lang w:val="fr-FR"/>
        </w:rPr>
        <w:t>initiative qui, selon eux, était très utile, diminuerait la charge pesant sur les</w:t>
      </w:r>
      <w:r w:rsidR="00C82686" w:rsidRPr="002A2EA6">
        <w:rPr>
          <w:lang w:val="fr-FR"/>
        </w:rPr>
        <w:t> </w:t>
      </w:r>
      <w:r w:rsidR="007B07A8" w:rsidRPr="002A2EA6">
        <w:rPr>
          <w:lang w:val="fr-FR"/>
        </w:rPr>
        <w:t xml:space="preserve">correspondants </w:t>
      </w:r>
      <w:r w:rsidR="2F1E7DA8" w:rsidRPr="002A2EA6">
        <w:rPr>
          <w:lang w:val="fr-FR"/>
        </w:rPr>
        <w:t xml:space="preserve">nationaux pour recenser ce qui devait être </w:t>
      </w:r>
      <w:r w:rsidR="073D56B8" w:rsidRPr="002A2EA6">
        <w:rPr>
          <w:lang w:val="fr-FR"/>
        </w:rPr>
        <w:t>inclus</w:t>
      </w:r>
      <w:r w:rsidR="2F1E7DA8" w:rsidRPr="002A2EA6">
        <w:rPr>
          <w:lang w:val="fr-FR"/>
        </w:rPr>
        <w:t xml:space="preserve"> dans les rapports et serait bénéfique au processus d</w:t>
      </w:r>
      <w:r w:rsidR="00CA4DAC">
        <w:rPr>
          <w:lang w:val="fr-FR"/>
        </w:rPr>
        <w:t>’</w:t>
      </w:r>
      <w:r w:rsidR="2F1E7DA8" w:rsidRPr="002A2EA6">
        <w:rPr>
          <w:lang w:val="fr-FR"/>
        </w:rPr>
        <w:t>évaluation de l</w:t>
      </w:r>
      <w:r w:rsidR="00CA4DAC">
        <w:rPr>
          <w:lang w:val="fr-FR"/>
        </w:rPr>
        <w:t>’</w:t>
      </w:r>
      <w:r w:rsidR="2F1E7DA8" w:rsidRPr="002A2EA6">
        <w:rPr>
          <w:lang w:val="fr-FR"/>
        </w:rPr>
        <w:t>efficacité.</w:t>
      </w:r>
      <w:r w:rsidR="006D4635" w:rsidRPr="002A2EA6">
        <w:rPr>
          <w:lang w:val="fr-FR"/>
        </w:rPr>
        <w:t xml:space="preserve"> Un représentant a notamment souligné l</w:t>
      </w:r>
      <w:r w:rsidR="00CA4DAC">
        <w:rPr>
          <w:lang w:val="fr-FR"/>
        </w:rPr>
        <w:t>’</w:t>
      </w:r>
      <w:r w:rsidR="006D4635" w:rsidRPr="002A2EA6">
        <w:rPr>
          <w:lang w:val="fr-FR"/>
        </w:rPr>
        <w:t>importance du projet de décision pour les Parties qui sont des petits États insulaires en développement, tandis qu</w:t>
      </w:r>
      <w:r w:rsidR="00CA4DAC">
        <w:rPr>
          <w:lang w:val="fr-FR"/>
        </w:rPr>
        <w:t>’</w:t>
      </w:r>
      <w:r w:rsidR="006D4635" w:rsidRPr="002A2EA6">
        <w:rPr>
          <w:lang w:val="fr-FR"/>
        </w:rPr>
        <w:t xml:space="preserve">une autre a déclaré que son pays était prêt à </w:t>
      </w:r>
      <w:r w:rsidR="2B6C4338" w:rsidRPr="002A2EA6">
        <w:rPr>
          <w:lang w:val="fr-FR"/>
        </w:rPr>
        <w:t xml:space="preserve">contribuer à </w:t>
      </w:r>
      <w:r w:rsidR="006D4635" w:rsidRPr="002A2EA6">
        <w:rPr>
          <w:lang w:val="fr-FR"/>
        </w:rPr>
        <w:t>l</w:t>
      </w:r>
      <w:r w:rsidR="00CA4DAC">
        <w:rPr>
          <w:lang w:val="fr-FR"/>
        </w:rPr>
        <w:t>’</w:t>
      </w:r>
      <w:r w:rsidR="006D4635" w:rsidRPr="002A2EA6">
        <w:rPr>
          <w:lang w:val="fr-FR"/>
        </w:rPr>
        <w:t>élaboration des</w:t>
      </w:r>
      <w:r w:rsidR="00C82686" w:rsidRPr="002A2EA6">
        <w:rPr>
          <w:lang w:val="fr-FR"/>
        </w:rPr>
        <w:t> </w:t>
      </w:r>
      <w:r w:rsidR="006D4635" w:rsidRPr="002A2EA6">
        <w:rPr>
          <w:lang w:val="fr-FR"/>
        </w:rPr>
        <w:t>orientations</w:t>
      </w:r>
      <w:r w:rsidR="3E918F62" w:rsidRPr="002A2EA6">
        <w:rPr>
          <w:lang w:val="fr-FR"/>
        </w:rPr>
        <w:t xml:space="preserve"> et qu</w:t>
      </w:r>
      <w:r w:rsidR="00CA4DAC">
        <w:rPr>
          <w:lang w:val="fr-FR"/>
        </w:rPr>
        <w:t>’</w:t>
      </w:r>
      <w:r w:rsidR="3E918F62" w:rsidRPr="002A2EA6">
        <w:rPr>
          <w:lang w:val="fr-FR"/>
        </w:rPr>
        <w:t>un troisième a proposé une légère amélioration du texte, laquelle a été approuvée par la Conférence des Parties.</w:t>
      </w:r>
    </w:p>
    <w:p w14:paraId="4DF8C7E6" w14:textId="76CC792B" w:rsidR="0F362A98" w:rsidRPr="002A2EA6" w:rsidRDefault="0F362A98" w:rsidP="001712F4">
      <w:pPr>
        <w:pStyle w:val="Normalnumber"/>
        <w:numPr>
          <w:ilvl w:val="0"/>
          <w:numId w:val="42"/>
        </w:numPr>
        <w:tabs>
          <w:tab w:val="clear" w:pos="1814"/>
          <w:tab w:val="left" w:pos="1843"/>
          <w:tab w:val="left" w:pos="1985"/>
        </w:tabs>
        <w:ind w:left="1288" w:hanging="28"/>
        <w:rPr>
          <w:lang w:val="fr-FR"/>
        </w:rPr>
      </w:pPr>
      <w:r w:rsidRPr="002A2EA6">
        <w:rPr>
          <w:lang w:val="fr-FR"/>
        </w:rPr>
        <w:t>Un représentant, tout en saluant le projet de décision et en soulignant l</w:t>
      </w:r>
      <w:r w:rsidR="00CA4DAC">
        <w:rPr>
          <w:lang w:val="fr-FR"/>
        </w:rPr>
        <w:t>’</w:t>
      </w:r>
      <w:r w:rsidRPr="002A2EA6">
        <w:rPr>
          <w:lang w:val="fr-FR"/>
        </w:rPr>
        <w:t>élan ayant conduit à son</w:t>
      </w:r>
      <w:r w:rsidR="00C82686" w:rsidRPr="002A2EA6">
        <w:rPr>
          <w:lang w:val="fr-FR"/>
        </w:rPr>
        <w:t> </w:t>
      </w:r>
      <w:r w:rsidRPr="002A2EA6">
        <w:rPr>
          <w:lang w:val="fr-FR"/>
        </w:rPr>
        <w:t>élaboration, a fait remarquer qu</w:t>
      </w:r>
      <w:r w:rsidR="00CA4DAC">
        <w:rPr>
          <w:lang w:val="fr-FR"/>
        </w:rPr>
        <w:t>’</w:t>
      </w:r>
      <w:r w:rsidRPr="002A2EA6">
        <w:rPr>
          <w:lang w:val="fr-FR"/>
        </w:rPr>
        <w:t xml:space="preserve">un équilibre délicat avait été atteint pour </w:t>
      </w:r>
      <w:r w:rsidR="00025D33" w:rsidRPr="002A2EA6">
        <w:rPr>
          <w:lang w:val="fr-FR"/>
        </w:rPr>
        <w:t xml:space="preserve">arrêter les </w:t>
      </w:r>
      <w:r w:rsidRPr="002A2EA6">
        <w:rPr>
          <w:lang w:val="fr-FR"/>
        </w:rPr>
        <w:t>éléments de la</w:t>
      </w:r>
      <w:r w:rsidR="00C82686" w:rsidRPr="002A2EA6">
        <w:rPr>
          <w:lang w:val="fr-FR"/>
        </w:rPr>
        <w:t> </w:t>
      </w:r>
      <w:r w:rsidRPr="002A2EA6">
        <w:rPr>
          <w:lang w:val="fr-FR"/>
        </w:rPr>
        <w:t>décision et a ajouté que, dans le cadre des travaux qui seraient menés pour élaborer les orientations elles-mêmes, il faudrait chercher à préserver ce même équilibre, ainsi que les compromis réalisés à cette fin.</w:t>
      </w:r>
    </w:p>
    <w:p w14:paraId="6CABCE23" w14:textId="581330B0" w:rsidR="3E918F62" w:rsidRPr="002A2EA6" w:rsidRDefault="660ABFC3" w:rsidP="001712F4">
      <w:pPr>
        <w:pStyle w:val="Normalnumber"/>
        <w:numPr>
          <w:ilvl w:val="0"/>
          <w:numId w:val="42"/>
        </w:numPr>
        <w:tabs>
          <w:tab w:val="clear" w:pos="1814"/>
          <w:tab w:val="left" w:pos="1843"/>
          <w:tab w:val="left" w:pos="1985"/>
        </w:tabs>
        <w:ind w:left="1288" w:hanging="28"/>
        <w:rPr>
          <w:lang w:val="fr-FR"/>
        </w:rPr>
      </w:pPr>
      <w:r w:rsidRPr="002A2EA6">
        <w:rPr>
          <w:lang w:val="fr-FR"/>
        </w:rPr>
        <w:lastRenderedPageBreak/>
        <w:t>Par la suite, la Conférence des Parties a adopté la décision</w:t>
      </w:r>
      <w:r w:rsidR="00267CB2" w:rsidRPr="002A2EA6">
        <w:rPr>
          <w:lang w:val="fr-FR"/>
        </w:rPr>
        <w:t> </w:t>
      </w:r>
      <w:r w:rsidRPr="002A2EA6">
        <w:rPr>
          <w:lang w:val="fr-FR"/>
        </w:rPr>
        <w:t xml:space="preserve">MC-3/13 </w:t>
      </w:r>
      <w:r w:rsidR="00040403" w:rsidRPr="002A2EA6">
        <w:rPr>
          <w:lang w:val="fr-FR"/>
        </w:rPr>
        <w:t>(</w:t>
      </w:r>
      <w:r w:rsidR="00C06B39" w:rsidRPr="002A2EA6">
        <w:rPr>
          <w:lang w:val="fr-FR"/>
        </w:rPr>
        <w:t>Instructions à suivre pour remplir le modèle de rapport national</w:t>
      </w:r>
      <w:r w:rsidR="00040403" w:rsidRPr="002A2EA6">
        <w:rPr>
          <w:lang w:val="fr-FR"/>
        </w:rPr>
        <w:t>)</w:t>
      </w:r>
      <w:r w:rsidRPr="002A2EA6">
        <w:rPr>
          <w:lang w:val="fr-FR"/>
        </w:rPr>
        <w:t>, qui figure dans l</w:t>
      </w:r>
      <w:r w:rsidR="00CA4DAC">
        <w:rPr>
          <w:lang w:val="fr-FR"/>
        </w:rPr>
        <w:t>’</w:t>
      </w:r>
      <w:r w:rsidRPr="002A2EA6">
        <w:rPr>
          <w:lang w:val="fr-FR"/>
        </w:rPr>
        <w:t>annexe du présent rapport.</w:t>
      </w:r>
    </w:p>
    <w:p w14:paraId="00E694DA" w14:textId="62791243" w:rsidR="00530857" w:rsidRPr="002A2EA6" w:rsidRDefault="00530857" w:rsidP="00530857">
      <w:pPr>
        <w:pStyle w:val="CH1"/>
        <w:rPr>
          <w:lang w:val="fr-FR"/>
        </w:rPr>
      </w:pPr>
      <w:r w:rsidRPr="002A2EA6">
        <w:rPr>
          <w:lang w:val="fr-FR"/>
        </w:rPr>
        <w:tab/>
        <w:t>X.</w:t>
      </w:r>
      <w:r w:rsidRPr="002A2EA6">
        <w:rPr>
          <w:lang w:val="fr-FR"/>
        </w:rPr>
        <w:tab/>
        <w:t>Adoption du rapport</w:t>
      </w:r>
    </w:p>
    <w:p w14:paraId="1105BD07" w14:textId="70E1B51A" w:rsidR="099F9E53" w:rsidRPr="002A2EA6" w:rsidRDefault="099F9E53" w:rsidP="001712F4">
      <w:pPr>
        <w:pStyle w:val="Normalnumber"/>
        <w:numPr>
          <w:ilvl w:val="0"/>
          <w:numId w:val="42"/>
        </w:numPr>
        <w:tabs>
          <w:tab w:val="clear" w:pos="1814"/>
          <w:tab w:val="left" w:pos="1843"/>
          <w:tab w:val="left" w:pos="1985"/>
        </w:tabs>
        <w:ind w:left="1288" w:hanging="28"/>
        <w:rPr>
          <w:lang w:val="fr-FR"/>
        </w:rPr>
      </w:pPr>
      <w:r w:rsidRPr="002A2EA6">
        <w:rPr>
          <w:lang w:val="fr-FR"/>
        </w:rPr>
        <w:t>La Conférence des Parties a adopté le présent rapport sur la base du projet de rapport qui avait été distribué, étant entendu que le Rapporteur se chargerait d</w:t>
      </w:r>
      <w:r w:rsidR="00CA4DAC">
        <w:rPr>
          <w:lang w:val="fr-FR"/>
        </w:rPr>
        <w:t>’</w:t>
      </w:r>
      <w:r w:rsidR="00415697" w:rsidRPr="002A2EA6">
        <w:rPr>
          <w:lang w:val="fr-FR"/>
        </w:rPr>
        <w:t>en arrêter la version définitive</w:t>
      </w:r>
      <w:r w:rsidRPr="002A2EA6">
        <w:rPr>
          <w:lang w:val="fr-FR"/>
        </w:rPr>
        <w:t>, en consultation avec le secrétariat.</w:t>
      </w:r>
    </w:p>
    <w:p w14:paraId="51AE2E5C" w14:textId="4DF9DFBC" w:rsidR="00530857" w:rsidRPr="002A2EA6" w:rsidRDefault="00530857" w:rsidP="00CE52B4">
      <w:pPr>
        <w:pStyle w:val="CH1"/>
        <w:rPr>
          <w:lang w:val="fr-FR"/>
        </w:rPr>
      </w:pPr>
      <w:r w:rsidRPr="002A2EA6">
        <w:rPr>
          <w:lang w:val="fr-FR"/>
        </w:rPr>
        <w:tab/>
        <w:t>XI.</w:t>
      </w:r>
      <w:r w:rsidRPr="002A2EA6">
        <w:rPr>
          <w:lang w:val="fr-FR"/>
        </w:rPr>
        <w:tab/>
        <w:t>Clôture de la réunion</w:t>
      </w:r>
    </w:p>
    <w:p w14:paraId="703411FD" w14:textId="40A085BE" w:rsidR="00262BC2" w:rsidRPr="002A2EA6" w:rsidRDefault="4395AA52" w:rsidP="001712F4">
      <w:pPr>
        <w:pStyle w:val="Normalnumber"/>
        <w:numPr>
          <w:ilvl w:val="0"/>
          <w:numId w:val="42"/>
        </w:numPr>
        <w:tabs>
          <w:tab w:val="clear" w:pos="1814"/>
          <w:tab w:val="left" w:pos="1843"/>
          <w:tab w:val="left" w:pos="1985"/>
        </w:tabs>
        <w:ind w:left="1288" w:hanging="28"/>
        <w:rPr>
          <w:lang w:val="fr-FR"/>
        </w:rPr>
      </w:pPr>
      <w:r w:rsidRPr="002A2EA6">
        <w:rPr>
          <w:lang w:val="fr-FR"/>
        </w:rPr>
        <w:t>Après les échanges de courtoisie d</w:t>
      </w:r>
      <w:r w:rsidR="00CA4DAC">
        <w:rPr>
          <w:lang w:val="fr-FR"/>
        </w:rPr>
        <w:t>’</w:t>
      </w:r>
      <w:r w:rsidRPr="002A2EA6">
        <w:rPr>
          <w:lang w:val="fr-FR"/>
        </w:rPr>
        <w:t>usage, la clôture de la réunion a été prononcée le</w:t>
      </w:r>
      <w:r w:rsidR="00C82686" w:rsidRPr="002A2EA6">
        <w:rPr>
          <w:lang w:val="fr-FR"/>
        </w:rPr>
        <w:t> </w:t>
      </w:r>
      <w:r w:rsidRPr="002A2EA6">
        <w:rPr>
          <w:lang w:val="fr-FR"/>
        </w:rPr>
        <w:t>samedi</w:t>
      </w:r>
      <w:r w:rsidR="00C82686" w:rsidRPr="002A2EA6">
        <w:rPr>
          <w:lang w:val="fr-FR"/>
        </w:rPr>
        <w:t> </w:t>
      </w:r>
      <w:r w:rsidRPr="002A2EA6">
        <w:rPr>
          <w:lang w:val="fr-FR"/>
        </w:rPr>
        <w:t>30</w:t>
      </w:r>
      <w:r w:rsidR="00267CB2" w:rsidRPr="002A2EA6">
        <w:rPr>
          <w:lang w:val="fr-FR"/>
        </w:rPr>
        <w:t> </w:t>
      </w:r>
      <w:r w:rsidRPr="002A2EA6">
        <w:rPr>
          <w:lang w:val="fr-FR"/>
        </w:rPr>
        <w:t>novembre 2019 à 2</w:t>
      </w:r>
      <w:r w:rsidR="00267CB2" w:rsidRPr="002A2EA6">
        <w:rPr>
          <w:lang w:val="fr-FR"/>
        </w:rPr>
        <w:t> </w:t>
      </w:r>
      <w:r w:rsidRPr="002A2EA6">
        <w:rPr>
          <w:lang w:val="fr-FR"/>
        </w:rPr>
        <w:t>h</w:t>
      </w:r>
      <w:r w:rsidR="00267CB2" w:rsidRPr="002A2EA6">
        <w:rPr>
          <w:lang w:val="fr-FR"/>
        </w:rPr>
        <w:t> </w:t>
      </w:r>
      <w:r w:rsidRPr="002A2EA6">
        <w:rPr>
          <w:lang w:val="fr-FR"/>
        </w:rPr>
        <w:t>30.</w:t>
      </w:r>
    </w:p>
    <w:p w14:paraId="745A008B" w14:textId="77777777" w:rsidR="00623DB1" w:rsidRDefault="00623DB1" w:rsidP="002A2EA6">
      <w:pPr>
        <w:pStyle w:val="ZZAnxheader"/>
        <w:rPr>
          <w:lang w:val="fr-FR"/>
        </w:rPr>
        <w:sectPr w:rsidR="00623DB1" w:rsidSect="00717DC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code="9"/>
          <w:pgMar w:top="907" w:right="992" w:bottom="1418" w:left="1418" w:header="539" w:footer="975" w:gutter="0"/>
          <w:cols w:space="539"/>
          <w:titlePg/>
          <w:docGrid w:linePitch="360"/>
        </w:sectPr>
      </w:pPr>
    </w:p>
    <w:p w14:paraId="33C9D4D8" w14:textId="387ED263" w:rsidR="002A2EA6" w:rsidRPr="002A2EA6" w:rsidRDefault="002A2EA6" w:rsidP="002A2EA6">
      <w:pPr>
        <w:pStyle w:val="ZZAnxheader"/>
        <w:rPr>
          <w:lang w:val="fr-FR"/>
        </w:rPr>
      </w:pPr>
      <w:r w:rsidRPr="002A2EA6">
        <w:rPr>
          <w:lang w:val="fr-FR"/>
        </w:rPr>
        <w:lastRenderedPageBreak/>
        <w:t>Annexe</w:t>
      </w:r>
    </w:p>
    <w:p w14:paraId="60F744C6" w14:textId="616C5764" w:rsidR="002A2EA6" w:rsidRPr="00501641" w:rsidRDefault="002A2EA6" w:rsidP="002A2EA6">
      <w:pPr>
        <w:pStyle w:val="ZZAnxtitle"/>
        <w:rPr>
          <w:lang w:val="fr-FR"/>
        </w:rPr>
      </w:pPr>
      <w:bookmarkStart w:id="56" w:name="_DV_C644"/>
      <w:r w:rsidRPr="00501641">
        <w:rPr>
          <w:rStyle w:val="DeltaViewInsertion"/>
          <w:color w:val="auto"/>
          <w:u w:val="none"/>
          <w:lang w:val="fr-FR"/>
        </w:rPr>
        <w:t>Décisions adoptées par la Conférence des Parties à la</w:t>
      </w:r>
      <w:r w:rsidR="00077F8F">
        <w:rPr>
          <w:rStyle w:val="DeltaViewInsertion"/>
          <w:color w:val="auto"/>
          <w:u w:val="none"/>
          <w:lang w:val="fr-FR"/>
        </w:rPr>
        <w:t> </w:t>
      </w:r>
      <w:r w:rsidRPr="00501641">
        <w:rPr>
          <w:rStyle w:val="DeltaViewInsertion"/>
          <w:color w:val="auto"/>
          <w:u w:val="none"/>
          <w:lang w:val="fr-FR"/>
        </w:rPr>
        <w:t>Convention</w:t>
      </w:r>
      <w:r w:rsidR="00077F8F">
        <w:rPr>
          <w:rStyle w:val="DeltaViewInsertion"/>
          <w:color w:val="auto"/>
          <w:u w:val="none"/>
          <w:lang w:val="fr-FR"/>
        </w:rPr>
        <w:t> </w:t>
      </w:r>
      <w:r w:rsidRPr="00501641">
        <w:rPr>
          <w:rStyle w:val="DeltaViewInsertion"/>
          <w:color w:val="auto"/>
          <w:u w:val="none"/>
          <w:lang w:val="fr-FR"/>
        </w:rPr>
        <w:t>de Minamata sur le mercure à sa troisième réunion</w:t>
      </w:r>
      <w:bookmarkEnd w:id="56"/>
    </w:p>
    <w:bookmarkStart w:id="57" w:name="_DV_C645"/>
    <w:p w14:paraId="64CE9CF6" w14:textId="36B51774" w:rsidR="00077F8F" w:rsidRDefault="002A2EA6" w:rsidP="00C72665">
      <w:pPr>
        <w:pStyle w:val="TOC1"/>
        <w:tabs>
          <w:tab w:val="left" w:pos="2127"/>
        </w:tabs>
        <w:rPr>
          <w:rFonts w:asciiTheme="minorHAnsi" w:eastAsiaTheme="minorEastAsia" w:hAnsiTheme="minorHAnsi" w:cstheme="minorBidi"/>
          <w:bCs w:val="0"/>
          <w:noProof/>
          <w:sz w:val="22"/>
          <w:szCs w:val="22"/>
          <w:lang w:val="en-GB" w:eastAsia="en-GB"/>
        </w:rPr>
      </w:pPr>
      <w:r w:rsidRPr="002A2EA6">
        <w:rPr>
          <w:rStyle w:val="DeltaViewInsertion"/>
          <w:color w:val="auto"/>
          <w:lang w:val="fr-FR"/>
        </w:rPr>
        <w:fldChar w:fldCharType="begin"/>
      </w:r>
      <w:r w:rsidRPr="002A2EA6">
        <w:rPr>
          <w:rStyle w:val="DeltaViewInsertion"/>
          <w:color w:val="auto"/>
          <w:lang w:val="fr-FR"/>
        </w:rPr>
        <w:instrText xml:space="preserve"> TOC \h \z \t "CH2,1" </w:instrText>
      </w:r>
      <w:r w:rsidRPr="002A2EA6">
        <w:rPr>
          <w:rStyle w:val="DeltaViewInsertion"/>
          <w:color w:val="auto"/>
          <w:lang w:val="fr-FR"/>
        </w:rPr>
        <w:fldChar w:fldCharType="separate"/>
      </w:r>
      <w:hyperlink w:anchor="_Toc39063349" w:history="1">
        <w:r w:rsidR="00077F8F" w:rsidRPr="00173BC4">
          <w:rPr>
            <w:rStyle w:val="Hyperlink"/>
            <w:noProof/>
          </w:rPr>
          <w:t>MC-3/1</w:t>
        </w:r>
        <w:r w:rsidR="00C72665">
          <w:rPr>
            <w:rStyle w:val="Hyperlink"/>
            <w:noProof/>
          </w:rPr>
          <w:tab/>
        </w:r>
        <w:r w:rsidR="00077F8F" w:rsidRPr="00173BC4">
          <w:rPr>
            <w:rStyle w:val="Hyperlink"/>
            <w:noProof/>
          </w:rPr>
          <w:t>Examen des Annexes A et B</w:t>
        </w:r>
        <w:r w:rsidR="00077F8F">
          <w:rPr>
            <w:noProof/>
            <w:webHidden/>
          </w:rPr>
          <w:tab/>
        </w:r>
        <w:r w:rsidR="00077F8F">
          <w:rPr>
            <w:noProof/>
            <w:webHidden/>
          </w:rPr>
          <w:fldChar w:fldCharType="begin"/>
        </w:r>
        <w:r w:rsidR="00077F8F">
          <w:rPr>
            <w:noProof/>
            <w:webHidden/>
          </w:rPr>
          <w:instrText xml:space="preserve"> PAGEREF _Toc39063349 \h </w:instrText>
        </w:r>
        <w:r w:rsidR="00077F8F">
          <w:rPr>
            <w:noProof/>
            <w:webHidden/>
          </w:rPr>
        </w:r>
        <w:r w:rsidR="00077F8F">
          <w:rPr>
            <w:noProof/>
            <w:webHidden/>
          </w:rPr>
          <w:fldChar w:fldCharType="separate"/>
        </w:r>
        <w:r w:rsidR="00CA4DAC">
          <w:rPr>
            <w:noProof/>
            <w:webHidden/>
          </w:rPr>
          <w:t>35</w:t>
        </w:r>
        <w:r w:rsidR="00077F8F">
          <w:rPr>
            <w:noProof/>
            <w:webHidden/>
          </w:rPr>
          <w:fldChar w:fldCharType="end"/>
        </w:r>
      </w:hyperlink>
    </w:p>
    <w:p w14:paraId="65687E67" w14:textId="7F453F69" w:rsidR="00077F8F" w:rsidRDefault="00CA4DAC" w:rsidP="00C72665">
      <w:pPr>
        <w:pStyle w:val="TOC1"/>
        <w:tabs>
          <w:tab w:val="left" w:pos="2127"/>
        </w:tabs>
        <w:rPr>
          <w:rFonts w:asciiTheme="minorHAnsi" w:eastAsiaTheme="minorEastAsia" w:hAnsiTheme="minorHAnsi" w:cstheme="minorBidi"/>
          <w:bCs w:val="0"/>
          <w:noProof/>
          <w:sz w:val="22"/>
          <w:szCs w:val="22"/>
          <w:lang w:val="en-GB" w:eastAsia="en-GB"/>
        </w:rPr>
      </w:pPr>
      <w:hyperlink w:anchor="_Toc39063350" w:history="1">
        <w:r w:rsidR="00077F8F" w:rsidRPr="00173BC4">
          <w:rPr>
            <w:rStyle w:val="Hyperlink"/>
            <w:noProof/>
          </w:rPr>
          <w:t>MC-3/2</w:t>
        </w:r>
        <w:r w:rsidR="00C72665">
          <w:rPr>
            <w:rStyle w:val="Hyperlink"/>
            <w:noProof/>
          </w:rPr>
          <w:tab/>
        </w:r>
        <w:r w:rsidR="00077F8F" w:rsidRPr="00173BC4">
          <w:rPr>
            <w:rStyle w:val="Hyperlink"/>
            <w:noProof/>
          </w:rPr>
          <w:t>Amalgames dentaires</w:t>
        </w:r>
        <w:r w:rsidR="00077F8F">
          <w:rPr>
            <w:noProof/>
            <w:webHidden/>
          </w:rPr>
          <w:tab/>
        </w:r>
        <w:r w:rsidR="00077F8F">
          <w:rPr>
            <w:noProof/>
            <w:webHidden/>
          </w:rPr>
          <w:fldChar w:fldCharType="begin"/>
        </w:r>
        <w:r w:rsidR="00077F8F">
          <w:rPr>
            <w:noProof/>
            <w:webHidden/>
          </w:rPr>
          <w:instrText xml:space="preserve"> PAGEREF _Toc39063350 \h </w:instrText>
        </w:r>
        <w:r w:rsidR="00077F8F">
          <w:rPr>
            <w:noProof/>
            <w:webHidden/>
          </w:rPr>
        </w:r>
        <w:r w:rsidR="00077F8F">
          <w:rPr>
            <w:noProof/>
            <w:webHidden/>
          </w:rPr>
          <w:fldChar w:fldCharType="separate"/>
        </w:r>
        <w:r>
          <w:rPr>
            <w:noProof/>
            <w:webHidden/>
          </w:rPr>
          <w:t>38</w:t>
        </w:r>
        <w:r w:rsidR="00077F8F">
          <w:rPr>
            <w:noProof/>
            <w:webHidden/>
          </w:rPr>
          <w:fldChar w:fldCharType="end"/>
        </w:r>
      </w:hyperlink>
    </w:p>
    <w:p w14:paraId="74C62AFA" w14:textId="5BDB03C8" w:rsidR="00077F8F" w:rsidRDefault="00CA4DAC" w:rsidP="00C72665">
      <w:pPr>
        <w:pStyle w:val="TOC1"/>
        <w:tabs>
          <w:tab w:val="left" w:pos="2127"/>
        </w:tabs>
        <w:rPr>
          <w:rFonts w:asciiTheme="minorHAnsi" w:eastAsiaTheme="minorEastAsia" w:hAnsiTheme="minorHAnsi" w:cstheme="minorBidi"/>
          <w:bCs w:val="0"/>
          <w:noProof/>
          <w:sz w:val="22"/>
          <w:szCs w:val="22"/>
          <w:lang w:val="en-GB" w:eastAsia="en-GB"/>
        </w:rPr>
      </w:pPr>
      <w:hyperlink w:anchor="_Toc39063351" w:history="1">
        <w:r w:rsidR="00077F8F" w:rsidRPr="00173BC4">
          <w:rPr>
            <w:rStyle w:val="Hyperlink"/>
            <w:noProof/>
          </w:rPr>
          <w:t>MC-3/3</w:t>
        </w:r>
        <w:r w:rsidR="00C72665">
          <w:rPr>
            <w:rStyle w:val="Hyperlink"/>
            <w:noProof/>
          </w:rPr>
          <w:tab/>
        </w:r>
        <w:r w:rsidR="00077F8F" w:rsidRPr="00173BC4">
          <w:rPr>
            <w:rStyle w:val="Hyperlink"/>
            <w:noProof/>
          </w:rPr>
          <w:t>Codes douaniers</w:t>
        </w:r>
        <w:r w:rsidR="00077F8F">
          <w:rPr>
            <w:noProof/>
            <w:webHidden/>
          </w:rPr>
          <w:tab/>
        </w:r>
        <w:r w:rsidR="00077F8F">
          <w:rPr>
            <w:noProof/>
            <w:webHidden/>
          </w:rPr>
          <w:fldChar w:fldCharType="begin"/>
        </w:r>
        <w:r w:rsidR="00077F8F">
          <w:rPr>
            <w:noProof/>
            <w:webHidden/>
          </w:rPr>
          <w:instrText xml:space="preserve"> PAGEREF _Toc39063351 \h </w:instrText>
        </w:r>
        <w:r w:rsidR="00077F8F">
          <w:rPr>
            <w:noProof/>
            <w:webHidden/>
          </w:rPr>
        </w:r>
        <w:r w:rsidR="00077F8F">
          <w:rPr>
            <w:noProof/>
            <w:webHidden/>
          </w:rPr>
          <w:fldChar w:fldCharType="separate"/>
        </w:r>
        <w:r>
          <w:rPr>
            <w:noProof/>
            <w:webHidden/>
          </w:rPr>
          <w:t>39</w:t>
        </w:r>
        <w:r w:rsidR="00077F8F">
          <w:rPr>
            <w:noProof/>
            <w:webHidden/>
          </w:rPr>
          <w:fldChar w:fldCharType="end"/>
        </w:r>
      </w:hyperlink>
    </w:p>
    <w:p w14:paraId="716BB8CC" w14:textId="6AE4DA10" w:rsidR="00077F8F" w:rsidRDefault="00CA4DAC" w:rsidP="00C72665">
      <w:pPr>
        <w:pStyle w:val="TOC1"/>
        <w:tabs>
          <w:tab w:val="left" w:pos="2127"/>
        </w:tabs>
        <w:rPr>
          <w:rFonts w:asciiTheme="minorHAnsi" w:eastAsiaTheme="minorEastAsia" w:hAnsiTheme="minorHAnsi" w:cstheme="minorBidi"/>
          <w:bCs w:val="0"/>
          <w:noProof/>
          <w:sz w:val="22"/>
          <w:szCs w:val="22"/>
          <w:lang w:val="en-GB" w:eastAsia="en-GB"/>
        </w:rPr>
      </w:pPr>
      <w:hyperlink w:anchor="_Toc39063352" w:history="1">
        <w:r w:rsidR="00077F8F" w:rsidRPr="00173BC4">
          <w:rPr>
            <w:rStyle w:val="Hyperlink"/>
            <w:noProof/>
          </w:rPr>
          <w:t>MC-3/4</w:t>
        </w:r>
        <w:r w:rsidR="00C72665">
          <w:rPr>
            <w:rStyle w:val="Hyperlink"/>
            <w:noProof/>
          </w:rPr>
          <w:tab/>
        </w:r>
        <w:r w:rsidR="00077F8F" w:rsidRPr="00173BC4">
          <w:rPr>
            <w:rStyle w:val="Hyperlink"/>
            <w:noProof/>
          </w:rPr>
          <w:t>Rejets de mercure</w:t>
        </w:r>
        <w:r w:rsidR="00077F8F">
          <w:rPr>
            <w:noProof/>
            <w:webHidden/>
          </w:rPr>
          <w:tab/>
        </w:r>
        <w:r w:rsidR="00077F8F">
          <w:rPr>
            <w:noProof/>
            <w:webHidden/>
          </w:rPr>
          <w:fldChar w:fldCharType="begin"/>
        </w:r>
        <w:r w:rsidR="00077F8F">
          <w:rPr>
            <w:noProof/>
            <w:webHidden/>
          </w:rPr>
          <w:instrText xml:space="preserve"> PAGEREF _Toc39063352 \h </w:instrText>
        </w:r>
        <w:r w:rsidR="00077F8F">
          <w:rPr>
            <w:noProof/>
            <w:webHidden/>
          </w:rPr>
        </w:r>
        <w:r w:rsidR="00077F8F">
          <w:rPr>
            <w:noProof/>
            <w:webHidden/>
          </w:rPr>
          <w:fldChar w:fldCharType="separate"/>
        </w:r>
        <w:r>
          <w:rPr>
            <w:noProof/>
            <w:webHidden/>
          </w:rPr>
          <w:t>40</w:t>
        </w:r>
        <w:r w:rsidR="00077F8F">
          <w:rPr>
            <w:noProof/>
            <w:webHidden/>
          </w:rPr>
          <w:fldChar w:fldCharType="end"/>
        </w:r>
      </w:hyperlink>
    </w:p>
    <w:p w14:paraId="4C9D4D3D" w14:textId="040AFA0D" w:rsidR="00077F8F" w:rsidRDefault="00CA4DAC" w:rsidP="00C72665">
      <w:pPr>
        <w:pStyle w:val="TOC1"/>
        <w:tabs>
          <w:tab w:val="left" w:pos="2127"/>
        </w:tabs>
        <w:rPr>
          <w:rFonts w:asciiTheme="minorHAnsi" w:eastAsiaTheme="minorEastAsia" w:hAnsiTheme="minorHAnsi" w:cstheme="minorBidi"/>
          <w:bCs w:val="0"/>
          <w:noProof/>
          <w:sz w:val="22"/>
          <w:szCs w:val="22"/>
          <w:lang w:val="en-GB" w:eastAsia="en-GB"/>
        </w:rPr>
      </w:pPr>
      <w:hyperlink w:anchor="_Toc39063353" w:history="1">
        <w:r w:rsidR="00077F8F" w:rsidRPr="00173BC4">
          <w:rPr>
            <w:rStyle w:val="Hyperlink"/>
            <w:noProof/>
          </w:rPr>
          <w:t>MC-3/5</w:t>
        </w:r>
        <w:r w:rsidR="00C72665">
          <w:rPr>
            <w:rStyle w:val="Hyperlink"/>
            <w:noProof/>
          </w:rPr>
          <w:tab/>
        </w:r>
        <w:r w:rsidR="00077F8F" w:rsidRPr="00173BC4">
          <w:rPr>
            <w:rStyle w:val="Hyperlink"/>
            <w:noProof/>
          </w:rPr>
          <w:t>Seuils applicables aux déchets de mercure</w:t>
        </w:r>
        <w:r w:rsidR="00077F8F">
          <w:rPr>
            <w:noProof/>
            <w:webHidden/>
          </w:rPr>
          <w:tab/>
        </w:r>
        <w:r w:rsidR="00077F8F">
          <w:rPr>
            <w:noProof/>
            <w:webHidden/>
          </w:rPr>
          <w:fldChar w:fldCharType="begin"/>
        </w:r>
        <w:r w:rsidR="00077F8F">
          <w:rPr>
            <w:noProof/>
            <w:webHidden/>
          </w:rPr>
          <w:instrText xml:space="preserve"> PAGEREF _Toc39063353 \h </w:instrText>
        </w:r>
        <w:r w:rsidR="00077F8F">
          <w:rPr>
            <w:noProof/>
            <w:webHidden/>
          </w:rPr>
        </w:r>
        <w:r w:rsidR="00077F8F">
          <w:rPr>
            <w:noProof/>
            <w:webHidden/>
          </w:rPr>
          <w:fldChar w:fldCharType="separate"/>
        </w:r>
        <w:r>
          <w:rPr>
            <w:noProof/>
            <w:webHidden/>
          </w:rPr>
          <w:t>41</w:t>
        </w:r>
        <w:r w:rsidR="00077F8F">
          <w:rPr>
            <w:noProof/>
            <w:webHidden/>
          </w:rPr>
          <w:fldChar w:fldCharType="end"/>
        </w:r>
      </w:hyperlink>
    </w:p>
    <w:p w14:paraId="49A902FD" w14:textId="21765E63" w:rsidR="00077F8F" w:rsidRDefault="00CA4DAC" w:rsidP="00C72665">
      <w:pPr>
        <w:pStyle w:val="TOC1"/>
        <w:tabs>
          <w:tab w:val="left" w:pos="2127"/>
        </w:tabs>
        <w:rPr>
          <w:rFonts w:asciiTheme="minorHAnsi" w:eastAsiaTheme="minorEastAsia" w:hAnsiTheme="minorHAnsi" w:cstheme="minorBidi"/>
          <w:bCs w:val="0"/>
          <w:noProof/>
          <w:sz w:val="22"/>
          <w:szCs w:val="22"/>
          <w:lang w:val="en-GB" w:eastAsia="en-GB"/>
        </w:rPr>
      </w:pPr>
      <w:hyperlink w:anchor="_Toc39063354" w:history="1">
        <w:r w:rsidR="00077F8F" w:rsidRPr="00173BC4">
          <w:rPr>
            <w:rStyle w:val="Hyperlink"/>
            <w:noProof/>
          </w:rPr>
          <w:t>MC-3/6</w:t>
        </w:r>
        <w:r w:rsidR="00C72665">
          <w:rPr>
            <w:rStyle w:val="Hyperlink"/>
            <w:noProof/>
          </w:rPr>
          <w:tab/>
        </w:r>
        <w:r w:rsidR="00077F8F" w:rsidRPr="00173BC4">
          <w:rPr>
            <w:rStyle w:val="Hyperlink"/>
            <w:noProof/>
          </w:rPr>
          <w:t>Orientations sur la gestion des sites contaminés</w:t>
        </w:r>
        <w:r w:rsidR="00077F8F">
          <w:rPr>
            <w:noProof/>
            <w:webHidden/>
          </w:rPr>
          <w:tab/>
        </w:r>
        <w:r w:rsidR="00077F8F">
          <w:rPr>
            <w:noProof/>
            <w:webHidden/>
          </w:rPr>
          <w:fldChar w:fldCharType="begin"/>
        </w:r>
        <w:r w:rsidR="00077F8F">
          <w:rPr>
            <w:noProof/>
            <w:webHidden/>
          </w:rPr>
          <w:instrText xml:space="preserve"> PAGEREF _Toc39063354 \h </w:instrText>
        </w:r>
        <w:r w:rsidR="00077F8F">
          <w:rPr>
            <w:noProof/>
            <w:webHidden/>
          </w:rPr>
        </w:r>
        <w:r w:rsidR="00077F8F">
          <w:rPr>
            <w:noProof/>
            <w:webHidden/>
          </w:rPr>
          <w:fldChar w:fldCharType="separate"/>
        </w:r>
        <w:r>
          <w:rPr>
            <w:noProof/>
            <w:webHidden/>
          </w:rPr>
          <w:t>47</w:t>
        </w:r>
        <w:r w:rsidR="00077F8F">
          <w:rPr>
            <w:noProof/>
            <w:webHidden/>
          </w:rPr>
          <w:fldChar w:fldCharType="end"/>
        </w:r>
      </w:hyperlink>
    </w:p>
    <w:p w14:paraId="73E477FA" w14:textId="3D6D58E9" w:rsidR="00077F8F" w:rsidRDefault="00CA4DAC" w:rsidP="00C72665">
      <w:pPr>
        <w:pStyle w:val="TOC1"/>
        <w:tabs>
          <w:tab w:val="left" w:pos="2127"/>
        </w:tabs>
        <w:rPr>
          <w:rFonts w:asciiTheme="minorHAnsi" w:eastAsiaTheme="minorEastAsia" w:hAnsiTheme="minorHAnsi" w:cstheme="minorBidi"/>
          <w:bCs w:val="0"/>
          <w:noProof/>
          <w:sz w:val="22"/>
          <w:szCs w:val="22"/>
          <w:lang w:val="en-GB" w:eastAsia="en-GB"/>
        </w:rPr>
      </w:pPr>
      <w:hyperlink w:anchor="_Toc39063355" w:history="1">
        <w:r w:rsidR="00077F8F" w:rsidRPr="00173BC4">
          <w:rPr>
            <w:rStyle w:val="Hyperlink"/>
            <w:noProof/>
          </w:rPr>
          <w:t>MC-3/7</w:t>
        </w:r>
        <w:r w:rsidR="00C72665">
          <w:rPr>
            <w:rStyle w:val="Hyperlink"/>
            <w:noProof/>
          </w:rPr>
          <w:tab/>
        </w:r>
        <w:r w:rsidR="00077F8F" w:rsidRPr="00173BC4">
          <w:rPr>
            <w:rStyle w:val="Hyperlink"/>
            <w:noProof/>
          </w:rPr>
          <w:t>Premier examen du mécanisme de financement</w:t>
        </w:r>
        <w:r w:rsidR="00077F8F">
          <w:rPr>
            <w:noProof/>
            <w:webHidden/>
          </w:rPr>
          <w:tab/>
        </w:r>
        <w:r w:rsidR="00077F8F">
          <w:rPr>
            <w:noProof/>
            <w:webHidden/>
          </w:rPr>
          <w:fldChar w:fldCharType="begin"/>
        </w:r>
        <w:r w:rsidR="00077F8F">
          <w:rPr>
            <w:noProof/>
            <w:webHidden/>
          </w:rPr>
          <w:instrText xml:space="preserve"> PAGEREF _Toc39063355 \h </w:instrText>
        </w:r>
        <w:r w:rsidR="00077F8F">
          <w:rPr>
            <w:noProof/>
            <w:webHidden/>
          </w:rPr>
        </w:r>
        <w:r w:rsidR="00077F8F">
          <w:rPr>
            <w:noProof/>
            <w:webHidden/>
          </w:rPr>
          <w:fldChar w:fldCharType="separate"/>
        </w:r>
        <w:r>
          <w:rPr>
            <w:noProof/>
            <w:webHidden/>
          </w:rPr>
          <w:t>48</w:t>
        </w:r>
        <w:r w:rsidR="00077F8F">
          <w:rPr>
            <w:noProof/>
            <w:webHidden/>
          </w:rPr>
          <w:fldChar w:fldCharType="end"/>
        </w:r>
      </w:hyperlink>
    </w:p>
    <w:p w14:paraId="1EDBAA62" w14:textId="5417F5AB" w:rsidR="00077F8F" w:rsidRPr="00077F8F" w:rsidRDefault="00CA4DAC" w:rsidP="00590132">
      <w:pPr>
        <w:pStyle w:val="TOC1"/>
        <w:tabs>
          <w:tab w:val="clear" w:pos="1814"/>
          <w:tab w:val="left" w:pos="2127"/>
        </w:tabs>
        <w:ind w:left="2127" w:hanging="880"/>
        <w:rPr>
          <w:rFonts w:eastAsiaTheme="minorEastAsia"/>
          <w:bCs w:val="0"/>
          <w:noProof/>
          <w:sz w:val="22"/>
          <w:szCs w:val="22"/>
          <w:lang w:val="en-GB" w:eastAsia="en-GB"/>
        </w:rPr>
      </w:pPr>
      <w:hyperlink w:anchor="_Toc39063356" w:history="1">
        <w:r w:rsidR="00077F8F" w:rsidRPr="00077F8F">
          <w:rPr>
            <w:rStyle w:val="Hyperlink"/>
            <w:rFonts w:eastAsia="Times New Roman Bold"/>
            <w:noProof/>
          </w:rPr>
          <w:t>MC-3/8</w:t>
        </w:r>
        <w:r w:rsidR="00C72665">
          <w:rPr>
            <w:rStyle w:val="Hyperlink"/>
            <w:rFonts w:eastAsia="Times New Roman Bold"/>
            <w:noProof/>
          </w:rPr>
          <w:tab/>
        </w:r>
        <w:r w:rsidR="00077F8F" w:rsidRPr="00077F8F">
          <w:rPr>
            <w:rStyle w:val="Hyperlink"/>
            <w:rFonts w:eastAsia="Times New Roman Bold"/>
            <w:noProof/>
          </w:rPr>
          <w:t xml:space="preserve">Article 14 : </w:t>
        </w:r>
        <w:r w:rsidR="0013561F">
          <w:rPr>
            <w:rStyle w:val="Hyperlink"/>
            <w:noProof/>
          </w:rPr>
          <w:t>r</w:t>
        </w:r>
        <w:r w:rsidR="00077F8F" w:rsidRPr="00077F8F">
          <w:rPr>
            <w:rStyle w:val="Hyperlink"/>
            <w:noProof/>
          </w:rPr>
          <w:t xml:space="preserve">enforcement des capacités, assistance technique et transfert </w:t>
        </w:r>
        <w:r w:rsidR="00590132">
          <w:rPr>
            <w:rStyle w:val="Hyperlink"/>
            <w:noProof/>
          </w:rPr>
          <w:br/>
        </w:r>
        <w:r w:rsidR="00077F8F" w:rsidRPr="00077F8F">
          <w:rPr>
            <w:rStyle w:val="Hyperlink"/>
            <w:noProof/>
          </w:rPr>
          <w:t>de</w:t>
        </w:r>
        <w:r w:rsidR="00590132">
          <w:rPr>
            <w:rStyle w:val="Hyperlink"/>
            <w:noProof/>
          </w:rPr>
          <w:t> </w:t>
        </w:r>
        <w:r w:rsidR="00077F8F" w:rsidRPr="00077F8F">
          <w:rPr>
            <w:rStyle w:val="Hyperlink"/>
            <w:noProof/>
          </w:rPr>
          <w:t>technologies</w:t>
        </w:r>
        <w:r w:rsidR="00077F8F" w:rsidRPr="00077F8F">
          <w:rPr>
            <w:noProof/>
            <w:webHidden/>
          </w:rPr>
          <w:tab/>
        </w:r>
        <w:r w:rsidR="00077F8F" w:rsidRPr="00077F8F">
          <w:rPr>
            <w:noProof/>
            <w:webHidden/>
          </w:rPr>
          <w:fldChar w:fldCharType="begin"/>
        </w:r>
        <w:r w:rsidR="00077F8F" w:rsidRPr="00077F8F">
          <w:rPr>
            <w:noProof/>
            <w:webHidden/>
          </w:rPr>
          <w:instrText xml:space="preserve"> PAGEREF _Toc39063356 \h </w:instrText>
        </w:r>
        <w:r w:rsidR="00077F8F" w:rsidRPr="00077F8F">
          <w:rPr>
            <w:noProof/>
            <w:webHidden/>
          </w:rPr>
        </w:r>
        <w:r w:rsidR="00077F8F" w:rsidRPr="00077F8F">
          <w:rPr>
            <w:noProof/>
            <w:webHidden/>
          </w:rPr>
          <w:fldChar w:fldCharType="separate"/>
        </w:r>
        <w:r>
          <w:rPr>
            <w:noProof/>
            <w:webHidden/>
          </w:rPr>
          <w:t>49</w:t>
        </w:r>
        <w:r w:rsidR="00077F8F" w:rsidRPr="00077F8F">
          <w:rPr>
            <w:noProof/>
            <w:webHidden/>
          </w:rPr>
          <w:fldChar w:fldCharType="end"/>
        </w:r>
      </w:hyperlink>
    </w:p>
    <w:p w14:paraId="6C242F1E" w14:textId="792BBE29" w:rsidR="00077F8F" w:rsidRDefault="00CA4DAC" w:rsidP="007A7ADA">
      <w:pPr>
        <w:pStyle w:val="TOC1"/>
        <w:tabs>
          <w:tab w:val="clear" w:pos="1814"/>
          <w:tab w:val="left" w:pos="2127"/>
        </w:tabs>
        <w:ind w:left="2127" w:hanging="880"/>
        <w:rPr>
          <w:rFonts w:asciiTheme="minorHAnsi" w:eastAsiaTheme="minorEastAsia" w:hAnsiTheme="minorHAnsi" w:cstheme="minorBidi"/>
          <w:bCs w:val="0"/>
          <w:noProof/>
          <w:sz w:val="22"/>
          <w:szCs w:val="22"/>
          <w:lang w:val="en-GB" w:eastAsia="en-GB"/>
        </w:rPr>
      </w:pPr>
      <w:hyperlink w:anchor="_Toc39063357" w:history="1">
        <w:r w:rsidR="00077F8F" w:rsidRPr="00173BC4">
          <w:rPr>
            <w:rStyle w:val="Hyperlink"/>
            <w:noProof/>
          </w:rPr>
          <w:t>MC-3/9</w:t>
        </w:r>
        <w:r w:rsidR="007A7ADA">
          <w:rPr>
            <w:rStyle w:val="Hyperlink"/>
            <w:noProof/>
          </w:rPr>
          <w:tab/>
        </w:r>
        <w:r w:rsidR="00077F8F" w:rsidRPr="00173BC4">
          <w:rPr>
            <w:rStyle w:val="Hyperlink"/>
            <w:noProof/>
          </w:rPr>
          <w:t>Comité de mise en œuvre et du respect des obligations : mandat et modèle pour les</w:t>
        </w:r>
        <w:r w:rsidR="007A7ADA">
          <w:rPr>
            <w:rStyle w:val="Hyperlink"/>
            <w:noProof/>
          </w:rPr>
          <w:t> </w:t>
        </w:r>
        <w:r w:rsidR="00077F8F" w:rsidRPr="00173BC4">
          <w:rPr>
            <w:rStyle w:val="Hyperlink"/>
            <w:noProof/>
          </w:rPr>
          <w:t>communications écrites transmises par les Parties concernant leur respect des</w:t>
        </w:r>
        <w:r w:rsidR="007A7ADA">
          <w:rPr>
            <w:rStyle w:val="Hyperlink"/>
            <w:noProof/>
          </w:rPr>
          <w:t> </w:t>
        </w:r>
        <w:r w:rsidR="00077F8F" w:rsidRPr="00173BC4">
          <w:rPr>
            <w:rStyle w:val="Hyperlink"/>
            <w:noProof/>
          </w:rPr>
          <w:t>dispositions</w:t>
        </w:r>
        <w:r w:rsidR="00077F8F">
          <w:rPr>
            <w:noProof/>
            <w:webHidden/>
          </w:rPr>
          <w:tab/>
        </w:r>
        <w:r w:rsidR="00077F8F">
          <w:rPr>
            <w:noProof/>
            <w:webHidden/>
          </w:rPr>
          <w:fldChar w:fldCharType="begin"/>
        </w:r>
        <w:r w:rsidR="00077F8F">
          <w:rPr>
            <w:noProof/>
            <w:webHidden/>
          </w:rPr>
          <w:instrText xml:space="preserve"> PAGEREF _Toc39063357 \h </w:instrText>
        </w:r>
        <w:r w:rsidR="00077F8F">
          <w:rPr>
            <w:noProof/>
            <w:webHidden/>
          </w:rPr>
        </w:r>
        <w:r w:rsidR="00077F8F">
          <w:rPr>
            <w:noProof/>
            <w:webHidden/>
          </w:rPr>
          <w:fldChar w:fldCharType="separate"/>
        </w:r>
        <w:r>
          <w:rPr>
            <w:noProof/>
            <w:webHidden/>
          </w:rPr>
          <w:t>50</w:t>
        </w:r>
        <w:r w:rsidR="00077F8F">
          <w:rPr>
            <w:noProof/>
            <w:webHidden/>
          </w:rPr>
          <w:fldChar w:fldCharType="end"/>
        </w:r>
      </w:hyperlink>
    </w:p>
    <w:p w14:paraId="332BFDFC" w14:textId="61F3C406" w:rsidR="00077F8F" w:rsidRDefault="00CA4DAC" w:rsidP="007A7ADA">
      <w:pPr>
        <w:pStyle w:val="TOC1"/>
        <w:tabs>
          <w:tab w:val="clear" w:pos="1814"/>
          <w:tab w:val="left" w:pos="2127"/>
        </w:tabs>
        <w:ind w:left="2127" w:hanging="880"/>
        <w:rPr>
          <w:rFonts w:asciiTheme="minorHAnsi" w:eastAsiaTheme="minorEastAsia" w:hAnsiTheme="minorHAnsi" w:cstheme="minorBidi"/>
          <w:bCs w:val="0"/>
          <w:noProof/>
          <w:sz w:val="22"/>
          <w:szCs w:val="22"/>
          <w:lang w:val="en-GB" w:eastAsia="en-GB"/>
        </w:rPr>
      </w:pPr>
      <w:hyperlink w:anchor="_Toc39063362" w:history="1">
        <w:r w:rsidR="00077F8F" w:rsidRPr="00173BC4">
          <w:rPr>
            <w:rStyle w:val="Hyperlink"/>
            <w:noProof/>
          </w:rPr>
          <w:t>MC-3/10</w:t>
        </w:r>
        <w:r w:rsidR="007A7ADA">
          <w:rPr>
            <w:rStyle w:val="Hyperlink"/>
            <w:noProof/>
          </w:rPr>
          <w:tab/>
        </w:r>
        <w:r w:rsidR="00077F8F" w:rsidRPr="00173BC4">
          <w:rPr>
            <w:rStyle w:val="Hyperlink"/>
            <w:noProof/>
          </w:rPr>
          <w:t>Modalités de la première évaluation de l</w:t>
        </w:r>
        <w:r>
          <w:rPr>
            <w:rStyle w:val="Hyperlink"/>
            <w:noProof/>
          </w:rPr>
          <w:t>’</w:t>
        </w:r>
        <w:r w:rsidR="00077F8F" w:rsidRPr="00173BC4">
          <w:rPr>
            <w:rStyle w:val="Hyperlink"/>
            <w:noProof/>
          </w:rPr>
          <w:t>efficacité de la Convention de Minamata sur</w:t>
        </w:r>
        <w:r w:rsidR="00077F8F">
          <w:rPr>
            <w:rStyle w:val="Hyperlink"/>
            <w:noProof/>
          </w:rPr>
          <w:t> </w:t>
        </w:r>
        <w:r w:rsidR="00077F8F" w:rsidRPr="00173BC4">
          <w:rPr>
            <w:rStyle w:val="Hyperlink"/>
            <w:noProof/>
          </w:rPr>
          <w:t>le</w:t>
        </w:r>
        <w:r w:rsidR="00077F8F">
          <w:rPr>
            <w:rStyle w:val="Hyperlink"/>
            <w:noProof/>
          </w:rPr>
          <w:t> </w:t>
        </w:r>
        <w:r w:rsidR="00077F8F" w:rsidRPr="00173BC4">
          <w:rPr>
            <w:rStyle w:val="Hyperlink"/>
            <w:noProof/>
          </w:rPr>
          <w:t>mercure</w:t>
        </w:r>
        <w:r w:rsidR="00077F8F">
          <w:rPr>
            <w:noProof/>
            <w:webHidden/>
          </w:rPr>
          <w:tab/>
        </w:r>
        <w:r w:rsidR="00077F8F">
          <w:rPr>
            <w:noProof/>
            <w:webHidden/>
          </w:rPr>
          <w:fldChar w:fldCharType="begin"/>
        </w:r>
        <w:r w:rsidR="00077F8F">
          <w:rPr>
            <w:noProof/>
            <w:webHidden/>
          </w:rPr>
          <w:instrText xml:space="preserve"> PAGEREF _Toc39063362 \h </w:instrText>
        </w:r>
        <w:r w:rsidR="00077F8F">
          <w:rPr>
            <w:noProof/>
            <w:webHidden/>
          </w:rPr>
        </w:r>
        <w:r w:rsidR="00077F8F">
          <w:rPr>
            <w:noProof/>
            <w:webHidden/>
          </w:rPr>
          <w:fldChar w:fldCharType="separate"/>
        </w:r>
        <w:r>
          <w:rPr>
            <w:noProof/>
            <w:webHidden/>
          </w:rPr>
          <w:t>57</w:t>
        </w:r>
        <w:r w:rsidR="00077F8F">
          <w:rPr>
            <w:noProof/>
            <w:webHidden/>
          </w:rPr>
          <w:fldChar w:fldCharType="end"/>
        </w:r>
      </w:hyperlink>
    </w:p>
    <w:p w14:paraId="688CE7BD" w14:textId="5DA1C311" w:rsidR="00077F8F" w:rsidRDefault="00CA4DAC" w:rsidP="007A7ADA">
      <w:pPr>
        <w:pStyle w:val="TOC1"/>
        <w:tabs>
          <w:tab w:val="clear" w:pos="1814"/>
          <w:tab w:val="left" w:pos="2127"/>
        </w:tabs>
        <w:ind w:left="2127" w:hanging="880"/>
        <w:rPr>
          <w:rFonts w:asciiTheme="minorHAnsi" w:eastAsiaTheme="minorEastAsia" w:hAnsiTheme="minorHAnsi" w:cstheme="minorBidi"/>
          <w:bCs w:val="0"/>
          <w:noProof/>
          <w:sz w:val="22"/>
          <w:szCs w:val="22"/>
          <w:lang w:val="en-GB" w:eastAsia="en-GB"/>
        </w:rPr>
      </w:pPr>
      <w:hyperlink w:anchor="_Toc39063364" w:history="1">
        <w:r w:rsidR="00077F8F" w:rsidRPr="00173BC4">
          <w:rPr>
            <w:rStyle w:val="Hyperlink"/>
            <w:noProof/>
          </w:rPr>
          <w:t>MC-3/11</w:t>
        </w:r>
        <w:r w:rsidR="007A7ADA">
          <w:rPr>
            <w:rStyle w:val="Hyperlink"/>
            <w:noProof/>
          </w:rPr>
          <w:tab/>
        </w:r>
        <w:r w:rsidR="00077F8F" w:rsidRPr="00173BC4">
          <w:rPr>
            <w:rStyle w:val="Hyperlink"/>
            <w:noProof/>
          </w:rPr>
          <w:t>Renforcement de la coopération entre le secrétariat de la Convention de Minamata et le</w:t>
        </w:r>
        <w:r w:rsidR="007A7ADA">
          <w:rPr>
            <w:rStyle w:val="Hyperlink"/>
            <w:noProof/>
          </w:rPr>
          <w:t> </w:t>
        </w:r>
        <w:r w:rsidR="00077F8F" w:rsidRPr="00173BC4">
          <w:rPr>
            <w:rStyle w:val="Hyperlink"/>
            <w:noProof/>
          </w:rPr>
          <w:t>Secrétariat des conventions de Bâle, de Rotterdam et de Stockholm</w:t>
        </w:r>
        <w:r w:rsidR="00077F8F">
          <w:rPr>
            <w:noProof/>
            <w:webHidden/>
          </w:rPr>
          <w:tab/>
        </w:r>
        <w:r w:rsidR="00077F8F">
          <w:rPr>
            <w:noProof/>
            <w:webHidden/>
          </w:rPr>
          <w:fldChar w:fldCharType="begin"/>
        </w:r>
        <w:r w:rsidR="00077F8F">
          <w:rPr>
            <w:noProof/>
            <w:webHidden/>
          </w:rPr>
          <w:instrText xml:space="preserve"> PAGEREF _Toc39063364 \h </w:instrText>
        </w:r>
        <w:r w:rsidR="00077F8F">
          <w:rPr>
            <w:noProof/>
            <w:webHidden/>
          </w:rPr>
        </w:r>
        <w:r w:rsidR="00077F8F">
          <w:rPr>
            <w:noProof/>
            <w:webHidden/>
          </w:rPr>
          <w:fldChar w:fldCharType="separate"/>
        </w:r>
        <w:r>
          <w:rPr>
            <w:noProof/>
            <w:webHidden/>
          </w:rPr>
          <w:t>66</w:t>
        </w:r>
        <w:r w:rsidR="00077F8F">
          <w:rPr>
            <w:noProof/>
            <w:webHidden/>
          </w:rPr>
          <w:fldChar w:fldCharType="end"/>
        </w:r>
      </w:hyperlink>
    </w:p>
    <w:p w14:paraId="00A33EEA" w14:textId="77E7CE38" w:rsidR="00077F8F" w:rsidRDefault="00CA4DAC" w:rsidP="007A7ADA">
      <w:pPr>
        <w:pStyle w:val="TOC1"/>
        <w:tabs>
          <w:tab w:val="clear" w:pos="1814"/>
          <w:tab w:val="left" w:pos="2127"/>
        </w:tabs>
        <w:ind w:left="2127" w:hanging="880"/>
        <w:rPr>
          <w:rFonts w:asciiTheme="minorHAnsi" w:eastAsiaTheme="minorEastAsia" w:hAnsiTheme="minorHAnsi" w:cstheme="minorBidi"/>
          <w:bCs w:val="0"/>
          <w:noProof/>
          <w:sz w:val="22"/>
          <w:szCs w:val="22"/>
          <w:lang w:val="en-GB" w:eastAsia="en-GB"/>
        </w:rPr>
      </w:pPr>
      <w:hyperlink w:anchor="_Toc39063365" w:history="1">
        <w:r w:rsidR="00077F8F" w:rsidRPr="00173BC4">
          <w:rPr>
            <w:rStyle w:val="Hyperlink"/>
            <w:noProof/>
          </w:rPr>
          <w:t>MC-3/12</w:t>
        </w:r>
        <w:r w:rsidR="007A7ADA">
          <w:rPr>
            <w:rStyle w:val="Hyperlink"/>
            <w:noProof/>
          </w:rPr>
          <w:tab/>
        </w:r>
        <w:r w:rsidR="00077F8F" w:rsidRPr="00173BC4">
          <w:rPr>
            <w:rStyle w:val="Hyperlink"/>
            <w:noProof/>
          </w:rPr>
          <w:t>Programme de travail et budget de l</w:t>
        </w:r>
        <w:r>
          <w:rPr>
            <w:rStyle w:val="Hyperlink"/>
            <w:noProof/>
          </w:rPr>
          <w:t>’</w:t>
        </w:r>
        <w:r w:rsidR="00077F8F" w:rsidRPr="00173BC4">
          <w:rPr>
            <w:rStyle w:val="Hyperlink"/>
            <w:noProof/>
          </w:rPr>
          <w:t>exercice biennal 2020–2021</w:t>
        </w:r>
        <w:r w:rsidR="00077F8F">
          <w:rPr>
            <w:noProof/>
            <w:webHidden/>
          </w:rPr>
          <w:tab/>
        </w:r>
        <w:r w:rsidR="00077F8F">
          <w:rPr>
            <w:noProof/>
            <w:webHidden/>
          </w:rPr>
          <w:fldChar w:fldCharType="begin"/>
        </w:r>
        <w:r w:rsidR="00077F8F">
          <w:rPr>
            <w:noProof/>
            <w:webHidden/>
          </w:rPr>
          <w:instrText xml:space="preserve"> PAGEREF _Toc39063365 \h </w:instrText>
        </w:r>
        <w:r w:rsidR="00077F8F">
          <w:rPr>
            <w:noProof/>
            <w:webHidden/>
          </w:rPr>
        </w:r>
        <w:r w:rsidR="00077F8F">
          <w:rPr>
            <w:noProof/>
            <w:webHidden/>
          </w:rPr>
          <w:fldChar w:fldCharType="separate"/>
        </w:r>
        <w:r>
          <w:rPr>
            <w:noProof/>
            <w:webHidden/>
          </w:rPr>
          <w:t>68</w:t>
        </w:r>
        <w:r w:rsidR="00077F8F">
          <w:rPr>
            <w:noProof/>
            <w:webHidden/>
          </w:rPr>
          <w:fldChar w:fldCharType="end"/>
        </w:r>
      </w:hyperlink>
    </w:p>
    <w:p w14:paraId="4C91067F" w14:textId="0D3BD5A3" w:rsidR="00077F8F" w:rsidRDefault="00CA4DAC" w:rsidP="007A7ADA">
      <w:pPr>
        <w:pStyle w:val="TOC1"/>
        <w:tabs>
          <w:tab w:val="clear" w:pos="1814"/>
          <w:tab w:val="left" w:pos="2127"/>
        </w:tabs>
        <w:ind w:left="2127" w:hanging="880"/>
        <w:rPr>
          <w:rFonts w:asciiTheme="minorHAnsi" w:eastAsiaTheme="minorEastAsia" w:hAnsiTheme="minorHAnsi" w:cstheme="minorBidi"/>
          <w:bCs w:val="0"/>
          <w:noProof/>
          <w:sz w:val="22"/>
          <w:szCs w:val="22"/>
          <w:lang w:val="en-GB" w:eastAsia="en-GB"/>
        </w:rPr>
      </w:pPr>
      <w:hyperlink w:anchor="_Toc39063374" w:history="1">
        <w:r w:rsidR="00077F8F" w:rsidRPr="00173BC4">
          <w:rPr>
            <w:rStyle w:val="Hyperlink"/>
            <w:noProof/>
          </w:rPr>
          <w:t>MC-3/13</w:t>
        </w:r>
        <w:r w:rsidR="007A7ADA">
          <w:rPr>
            <w:rStyle w:val="Hyperlink"/>
            <w:noProof/>
          </w:rPr>
          <w:tab/>
        </w:r>
        <w:r w:rsidR="00077F8F" w:rsidRPr="00173BC4">
          <w:rPr>
            <w:rStyle w:val="Hyperlink"/>
            <w:noProof/>
          </w:rPr>
          <w:t>Instructions à suivre pour remplir le modèle de rapport national</w:t>
        </w:r>
        <w:r w:rsidR="00077F8F">
          <w:rPr>
            <w:noProof/>
            <w:webHidden/>
          </w:rPr>
          <w:tab/>
        </w:r>
        <w:r w:rsidR="00077F8F">
          <w:rPr>
            <w:noProof/>
            <w:webHidden/>
          </w:rPr>
          <w:fldChar w:fldCharType="begin"/>
        </w:r>
        <w:r w:rsidR="00077F8F">
          <w:rPr>
            <w:noProof/>
            <w:webHidden/>
          </w:rPr>
          <w:instrText xml:space="preserve"> PAGEREF _Toc39063374 \h </w:instrText>
        </w:r>
        <w:r w:rsidR="00077F8F">
          <w:rPr>
            <w:noProof/>
            <w:webHidden/>
          </w:rPr>
        </w:r>
        <w:r w:rsidR="00077F8F">
          <w:rPr>
            <w:noProof/>
            <w:webHidden/>
          </w:rPr>
          <w:fldChar w:fldCharType="separate"/>
        </w:r>
        <w:r>
          <w:rPr>
            <w:noProof/>
            <w:webHidden/>
          </w:rPr>
          <w:t>78</w:t>
        </w:r>
        <w:r w:rsidR="00077F8F">
          <w:rPr>
            <w:noProof/>
            <w:webHidden/>
          </w:rPr>
          <w:fldChar w:fldCharType="end"/>
        </w:r>
      </w:hyperlink>
    </w:p>
    <w:p w14:paraId="3B63CADC" w14:textId="0E902DF1" w:rsidR="002A2EA6" w:rsidRPr="002A2EA6" w:rsidRDefault="002A2EA6" w:rsidP="002A2EA6">
      <w:pPr>
        <w:pStyle w:val="ZZAnxtitle"/>
        <w:rPr>
          <w:rStyle w:val="DeltaViewInsertion"/>
          <w:color w:val="auto"/>
          <w:sz w:val="18"/>
          <w:szCs w:val="18"/>
          <w:lang w:val="fr-FR"/>
        </w:rPr>
      </w:pPr>
      <w:r w:rsidRPr="002A2EA6">
        <w:rPr>
          <w:rStyle w:val="DeltaViewInsertion"/>
          <w:color w:val="auto"/>
          <w:lang w:val="fr-FR"/>
        </w:rPr>
        <w:fldChar w:fldCharType="end"/>
      </w:r>
      <w:bookmarkEnd w:id="57"/>
      <w:r w:rsidRPr="002A2EA6">
        <w:rPr>
          <w:rStyle w:val="DeltaViewInsertion"/>
          <w:color w:val="auto"/>
          <w:lang w:val="fr-FR"/>
        </w:rPr>
        <w:br w:type="page"/>
      </w:r>
    </w:p>
    <w:p w14:paraId="7E6A3DCC" w14:textId="77777777" w:rsidR="002A2EA6" w:rsidRPr="00091854" w:rsidRDefault="002A2EA6" w:rsidP="002A2EA6">
      <w:pPr>
        <w:pStyle w:val="CH2"/>
        <w:rPr>
          <w:sz w:val="28"/>
          <w:szCs w:val="28"/>
          <w:lang w:val="fr-FR"/>
        </w:rPr>
      </w:pPr>
      <w:r w:rsidRPr="00091854">
        <w:rPr>
          <w:sz w:val="28"/>
          <w:szCs w:val="28"/>
          <w:lang w:val="fr-FR"/>
        </w:rPr>
        <w:lastRenderedPageBreak/>
        <w:tab/>
      </w:r>
      <w:r w:rsidRPr="00091854">
        <w:rPr>
          <w:sz w:val="28"/>
          <w:szCs w:val="28"/>
          <w:lang w:val="fr-FR"/>
        </w:rPr>
        <w:tab/>
      </w:r>
      <w:bookmarkStart w:id="58" w:name="_Toc39063349"/>
      <w:r w:rsidRPr="00091854">
        <w:rPr>
          <w:sz w:val="28"/>
          <w:szCs w:val="28"/>
          <w:lang w:val="fr-FR"/>
        </w:rPr>
        <w:t>MC-3/1 : Examen des Annexes A et B</w:t>
      </w:r>
      <w:bookmarkEnd w:id="58"/>
    </w:p>
    <w:p w14:paraId="4CD1C02E" w14:textId="77777777" w:rsidR="002A2EA6" w:rsidRPr="002A2EA6" w:rsidRDefault="002A2EA6" w:rsidP="002A2EA6">
      <w:pPr>
        <w:pStyle w:val="NormalNonumber"/>
        <w:rPr>
          <w:i/>
          <w:iCs/>
          <w:lang w:val="fr-FR"/>
        </w:rPr>
      </w:pPr>
      <w:r w:rsidRPr="002A2EA6">
        <w:rPr>
          <w:lang w:val="fr-FR"/>
        </w:rPr>
        <w:tab/>
      </w:r>
      <w:r w:rsidRPr="002A2EA6">
        <w:rPr>
          <w:i/>
          <w:iCs/>
          <w:lang w:val="fr-FR"/>
        </w:rPr>
        <w:t>La Conférence des Parties</w:t>
      </w:r>
    </w:p>
    <w:p w14:paraId="25C69555" w14:textId="33785535" w:rsidR="002A2EA6" w:rsidRPr="002A2EA6" w:rsidRDefault="002A2EA6" w:rsidP="00B52EB9">
      <w:pPr>
        <w:pStyle w:val="Normalnumber"/>
        <w:numPr>
          <w:ilvl w:val="0"/>
          <w:numId w:val="4"/>
        </w:numPr>
        <w:ind w:firstLine="559"/>
        <w:rPr>
          <w:lang w:val="fr-FR"/>
        </w:rPr>
      </w:pPr>
      <w:r w:rsidRPr="002A2EA6">
        <w:rPr>
          <w:i/>
          <w:iCs/>
          <w:lang w:val="fr-FR"/>
        </w:rPr>
        <w:t xml:space="preserve">Décide </w:t>
      </w:r>
      <w:r w:rsidRPr="002A2EA6">
        <w:rPr>
          <w:lang w:val="fr-FR"/>
        </w:rPr>
        <w:t>de créer un groupe spécial d</w:t>
      </w:r>
      <w:r w:rsidR="00CA4DAC">
        <w:rPr>
          <w:lang w:val="fr-FR"/>
        </w:rPr>
        <w:t>’</w:t>
      </w:r>
      <w:r w:rsidRPr="002A2EA6">
        <w:rPr>
          <w:lang w:val="fr-FR"/>
        </w:rPr>
        <w:t>experts, dont le mandat figure dans l</w:t>
      </w:r>
      <w:r w:rsidR="00CA4DAC">
        <w:rPr>
          <w:lang w:val="fr-FR"/>
        </w:rPr>
        <w:t>’</w:t>
      </w:r>
      <w:r w:rsidRPr="002A2EA6">
        <w:rPr>
          <w:lang w:val="fr-FR"/>
        </w:rPr>
        <w:t>annexe de</w:t>
      </w:r>
      <w:r w:rsidR="00077F8F">
        <w:rPr>
          <w:lang w:val="fr-FR"/>
        </w:rPr>
        <w:t> </w:t>
      </w:r>
      <w:r w:rsidRPr="002A2EA6">
        <w:rPr>
          <w:lang w:val="fr-FR"/>
        </w:rPr>
        <w:t>la présente décision ;</w:t>
      </w:r>
    </w:p>
    <w:p w14:paraId="4E5B9194" w14:textId="31D3D3B6"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 secrétariat d</w:t>
      </w:r>
      <w:r w:rsidR="00CA4DAC">
        <w:rPr>
          <w:lang w:val="fr-FR"/>
        </w:rPr>
        <w:t>’</w:t>
      </w:r>
      <w:r w:rsidRPr="002A2EA6">
        <w:rPr>
          <w:lang w:val="fr-FR"/>
        </w:rPr>
        <w:t>inviter les Parties à soumettre des communications avant le 31 mars 2020, notamment :</w:t>
      </w:r>
    </w:p>
    <w:p w14:paraId="29ECC158" w14:textId="2ABCFBDD" w:rsidR="002A2EA6" w:rsidRPr="002A2EA6" w:rsidRDefault="002A2EA6" w:rsidP="0087241A">
      <w:pPr>
        <w:pStyle w:val="ListParagraph"/>
        <w:numPr>
          <w:ilvl w:val="0"/>
          <w:numId w:val="39"/>
        </w:numPr>
        <w:spacing w:after="120"/>
        <w:ind w:left="1247" w:firstLine="601"/>
      </w:pPr>
      <w:r w:rsidRPr="002A2EA6">
        <w:t>Des renseignements sur les produits contenant du mercure ajouté et sur la disponibilité, la faisabilité technique et économique et les risques et avantages pour l</w:t>
      </w:r>
      <w:r w:rsidR="00CA4DAC">
        <w:t>’</w:t>
      </w:r>
      <w:r w:rsidRPr="002A2EA6">
        <w:t>environnement et la santé des solutions de remplacement sans mercure ajouté par rapport aux produits contenant du mercure ajouté, conformément au paragraphe 4 de l</w:t>
      </w:r>
      <w:r w:rsidR="00CA4DAC">
        <w:t>’</w:t>
      </w:r>
      <w:r w:rsidRPr="002A2EA6">
        <w:t>article 4 de la Convention ;</w:t>
      </w:r>
    </w:p>
    <w:p w14:paraId="7AC219FE" w14:textId="037E576E" w:rsidR="002A2EA6" w:rsidRPr="002A2EA6" w:rsidRDefault="002A2EA6" w:rsidP="00CF4B0C">
      <w:pPr>
        <w:pStyle w:val="ListParagraph"/>
        <w:numPr>
          <w:ilvl w:val="0"/>
          <w:numId w:val="39"/>
        </w:numPr>
        <w:spacing w:after="120"/>
        <w:ind w:firstLine="600"/>
      </w:pPr>
      <w:r w:rsidRPr="002A2EA6">
        <w:t>Des informations sur les procédés utilisant du mercure ou des composés du mercure et sur la disponibilité, la faisabilité technique et économique et les risques et avantages pour l</w:t>
      </w:r>
      <w:r w:rsidR="00CA4DAC">
        <w:t>’</w:t>
      </w:r>
      <w:r w:rsidRPr="002A2EA6">
        <w:t>environnement et la santé des solutions de remplacement sans mercure par rapport aux procédés de fabrication dans lesquels du mercure ou des composés du mercure sont utilisés, conformément au paragraphe 4 de l</w:t>
      </w:r>
      <w:r w:rsidR="00CA4DAC">
        <w:t>’</w:t>
      </w:r>
      <w:r w:rsidRPr="002A2EA6">
        <w:t>article 5 ;</w:t>
      </w:r>
    </w:p>
    <w:p w14:paraId="036C1AFD" w14:textId="1665C754" w:rsidR="002A2EA6" w:rsidRPr="002A2EA6" w:rsidRDefault="002A2EA6" w:rsidP="00CF4B0C">
      <w:pPr>
        <w:pStyle w:val="Normalnumber"/>
        <w:numPr>
          <w:ilvl w:val="0"/>
          <w:numId w:val="4"/>
        </w:numPr>
        <w:ind w:firstLine="567"/>
        <w:rPr>
          <w:lang w:val="fr-FR"/>
        </w:rPr>
      </w:pPr>
      <w:r w:rsidRPr="002A2EA6">
        <w:rPr>
          <w:i/>
          <w:iCs/>
          <w:lang w:val="fr-FR"/>
        </w:rPr>
        <w:t xml:space="preserve">Prie également </w:t>
      </w:r>
      <w:r w:rsidRPr="002A2EA6">
        <w:rPr>
          <w:lang w:val="fr-FR"/>
        </w:rPr>
        <w:t>le secrétariat de mettre les communications reçues à la disposition du public et d</w:t>
      </w:r>
      <w:r w:rsidR="00CA4DAC">
        <w:rPr>
          <w:lang w:val="fr-FR"/>
        </w:rPr>
        <w:t>’</w:t>
      </w:r>
      <w:r w:rsidRPr="002A2EA6">
        <w:rPr>
          <w:lang w:val="fr-FR"/>
        </w:rPr>
        <w:t>inviter les États non parties et autres intéressés à fournir, d</w:t>
      </w:r>
      <w:r w:rsidR="00CA4DAC">
        <w:rPr>
          <w:lang w:val="fr-FR"/>
        </w:rPr>
        <w:t>’</w:t>
      </w:r>
      <w:r w:rsidRPr="002A2EA6">
        <w:rPr>
          <w:lang w:val="fr-FR"/>
        </w:rPr>
        <w:t>ici au 30 avril 2020, des informations complémentaires sur les utilisations du mercure et les solutions de remplacement sans mercure mentionnées dans les communications ;</w:t>
      </w:r>
    </w:p>
    <w:p w14:paraId="65541D2C" w14:textId="212F4E04" w:rsidR="002A2EA6" w:rsidRPr="002A2EA6" w:rsidRDefault="002A2EA6" w:rsidP="00B52EB9">
      <w:pPr>
        <w:pStyle w:val="Normalnumber"/>
        <w:numPr>
          <w:ilvl w:val="0"/>
          <w:numId w:val="4"/>
        </w:numPr>
        <w:ind w:firstLine="567"/>
        <w:rPr>
          <w:lang w:val="fr-FR"/>
        </w:rPr>
      </w:pPr>
      <w:r w:rsidRPr="002A2EA6">
        <w:rPr>
          <w:i/>
          <w:iCs/>
          <w:lang w:val="fr-FR"/>
        </w:rPr>
        <w:t xml:space="preserve">Prie en outre </w:t>
      </w:r>
      <w:r w:rsidRPr="002A2EA6">
        <w:rPr>
          <w:lang w:val="fr-FR"/>
        </w:rPr>
        <w:t>le secrétariat de communiquer au groupe spécial d</w:t>
      </w:r>
      <w:r w:rsidR="00CA4DAC">
        <w:rPr>
          <w:lang w:val="fr-FR"/>
        </w:rPr>
        <w:t>’</w:t>
      </w:r>
      <w:r w:rsidRPr="002A2EA6">
        <w:rPr>
          <w:lang w:val="fr-FR"/>
        </w:rPr>
        <w:t xml:space="preserve">experts une compilation des communications et informations reçues en application des paragraphes 2 et 3 de la présente décision et de convoquer le groupe au plus tard le </w:t>
      </w:r>
      <w:r w:rsidR="009968A0">
        <w:rPr>
          <w:lang w:val="fr-FR"/>
        </w:rPr>
        <w:t>30 </w:t>
      </w:r>
      <w:r w:rsidRPr="002A2EA6">
        <w:rPr>
          <w:lang w:val="fr-FR"/>
        </w:rPr>
        <w:t>juin 2020. Le groupe spécial d</w:t>
      </w:r>
      <w:r w:rsidR="00CA4DAC">
        <w:rPr>
          <w:lang w:val="fr-FR"/>
        </w:rPr>
        <w:t>’</w:t>
      </w:r>
      <w:r w:rsidRPr="002A2EA6">
        <w:rPr>
          <w:lang w:val="fr-FR"/>
        </w:rPr>
        <w:t>experts sera appelé à établir un document dans lequel il enrichira et organisera les informations reçues pour chaque utilisation visée dans les informations communiquées par les Parties, compte tenu des informations complémentaires dont les experts disposent, et dans lequel il indiquera clairement ses sources d</w:t>
      </w:r>
      <w:r w:rsidR="00CA4DAC">
        <w:rPr>
          <w:lang w:val="fr-FR"/>
        </w:rPr>
        <w:t>’</w:t>
      </w:r>
      <w:r w:rsidRPr="002A2EA6">
        <w:rPr>
          <w:lang w:val="fr-FR"/>
        </w:rPr>
        <w:t xml:space="preserve">information ; </w:t>
      </w:r>
    </w:p>
    <w:p w14:paraId="66F002D7" w14:textId="6FE0FF86" w:rsidR="002A2EA6" w:rsidRPr="002A2EA6" w:rsidRDefault="002A2EA6" w:rsidP="00B52EB9">
      <w:pPr>
        <w:pStyle w:val="Normalnumber"/>
        <w:numPr>
          <w:ilvl w:val="0"/>
          <w:numId w:val="4"/>
        </w:numPr>
        <w:ind w:firstLine="567"/>
        <w:rPr>
          <w:bCs/>
          <w:lang w:val="fr-FR"/>
        </w:rPr>
      </w:pPr>
      <w:r w:rsidRPr="002A2EA6">
        <w:rPr>
          <w:i/>
          <w:iCs/>
          <w:lang w:val="fr-FR"/>
        </w:rPr>
        <w:t xml:space="preserve">Prie </w:t>
      </w:r>
      <w:r w:rsidRPr="002A2EA6">
        <w:rPr>
          <w:lang w:val="fr-FR"/>
        </w:rPr>
        <w:t xml:space="preserve">le secrétariat de mettre à la disposition des Parties ayant soumis des informations en application du paragraphe 2 de la présente décision, avant le </w:t>
      </w:r>
      <w:r w:rsidR="009968A0">
        <w:rPr>
          <w:lang w:val="fr-FR"/>
        </w:rPr>
        <w:t>31 </w:t>
      </w:r>
      <w:r w:rsidRPr="002A2EA6">
        <w:rPr>
          <w:lang w:val="fr-FR"/>
        </w:rPr>
        <w:t>août 2020, les informations reçues comme suite au paragraphe 4 de la présente décision ;</w:t>
      </w:r>
    </w:p>
    <w:p w14:paraId="20A9D47D" w14:textId="74BFD574" w:rsidR="002A2EA6" w:rsidRPr="002A2EA6" w:rsidRDefault="002A2EA6" w:rsidP="00B52EB9">
      <w:pPr>
        <w:pStyle w:val="Normalnumber"/>
        <w:numPr>
          <w:ilvl w:val="0"/>
          <w:numId w:val="4"/>
        </w:numPr>
        <w:ind w:firstLine="567"/>
        <w:rPr>
          <w:bCs/>
          <w:lang w:val="fr-FR"/>
        </w:rPr>
      </w:pPr>
      <w:r w:rsidRPr="002A2EA6">
        <w:rPr>
          <w:i/>
          <w:iCs/>
          <w:lang w:val="fr-FR"/>
        </w:rPr>
        <w:t xml:space="preserve">Prie également </w:t>
      </w:r>
      <w:r w:rsidRPr="002A2EA6">
        <w:rPr>
          <w:lang w:val="fr-FR"/>
        </w:rPr>
        <w:t>le secrétariat d</w:t>
      </w:r>
      <w:r w:rsidR="00CA4DAC">
        <w:rPr>
          <w:lang w:val="fr-FR"/>
        </w:rPr>
        <w:t>’</w:t>
      </w:r>
      <w:r w:rsidRPr="002A2EA6">
        <w:rPr>
          <w:lang w:val="fr-FR"/>
        </w:rPr>
        <w:t>inviter ces Parties à soumettre des communications révisées d</w:t>
      </w:r>
      <w:r w:rsidR="00CA4DAC">
        <w:rPr>
          <w:lang w:val="fr-FR"/>
        </w:rPr>
        <w:t>’</w:t>
      </w:r>
      <w:r w:rsidRPr="002A2EA6">
        <w:rPr>
          <w:lang w:val="fr-FR"/>
        </w:rPr>
        <w:t xml:space="preserve">ici au </w:t>
      </w:r>
      <w:r w:rsidR="004532FC">
        <w:rPr>
          <w:lang w:val="fr-FR"/>
        </w:rPr>
        <w:t>30 </w:t>
      </w:r>
      <w:r w:rsidRPr="002A2EA6">
        <w:rPr>
          <w:lang w:val="fr-FR"/>
        </w:rPr>
        <w:t>novembre 2020 ;</w:t>
      </w:r>
    </w:p>
    <w:p w14:paraId="2E4985D8" w14:textId="0C1D5506" w:rsidR="002A2EA6" w:rsidRPr="002A2EA6" w:rsidRDefault="002A2EA6" w:rsidP="00B52EB9">
      <w:pPr>
        <w:pStyle w:val="Normalnumber"/>
        <w:numPr>
          <w:ilvl w:val="0"/>
          <w:numId w:val="4"/>
        </w:numPr>
        <w:ind w:firstLine="567"/>
        <w:rPr>
          <w:lang w:val="fr-FR"/>
        </w:rPr>
      </w:pPr>
      <w:r w:rsidRPr="002A2EA6">
        <w:rPr>
          <w:i/>
          <w:iCs/>
          <w:lang w:val="fr-FR"/>
        </w:rPr>
        <w:t xml:space="preserve">Prie en outre </w:t>
      </w:r>
      <w:r w:rsidRPr="002A2EA6">
        <w:rPr>
          <w:lang w:val="fr-FR"/>
        </w:rPr>
        <w:t>le secrétariat de mettre les informations communiquées par les Parties en application du paragraphe 6 de la présente décision à la disposition du public d</w:t>
      </w:r>
      <w:r w:rsidR="00CA4DAC">
        <w:rPr>
          <w:lang w:val="fr-FR"/>
        </w:rPr>
        <w:t>’</w:t>
      </w:r>
      <w:r w:rsidRPr="002A2EA6">
        <w:rPr>
          <w:lang w:val="fr-FR"/>
        </w:rPr>
        <w:t>ici au </w:t>
      </w:r>
      <w:r w:rsidR="004532FC">
        <w:rPr>
          <w:lang w:val="fr-FR"/>
        </w:rPr>
        <w:t>31 </w:t>
      </w:r>
      <w:r w:rsidRPr="002A2EA6">
        <w:rPr>
          <w:lang w:val="fr-FR"/>
        </w:rPr>
        <w:t>décembre 2020, conformément au paragraphe 4 de l</w:t>
      </w:r>
      <w:r w:rsidR="00CA4DAC">
        <w:rPr>
          <w:lang w:val="fr-FR"/>
        </w:rPr>
        <w:t>’</w:t>
      </w:r>
      <w:r w:rsidRPr="002A2EA6">
        <w:rPr>
          <w:lang w:val="fr-FR"/>
        </w:rPr>
        <w:t>article 4 et au paragraphe 4 de l</w:t>
      </w:r>
      <w:r w:rsidR="00CA4DAC">
        <w:rPr>
          <w:lang w:val="fr-FR"/>
        </w:rPr>
        <w:t>’</w:t>
      </w:r>
      <w:r w:rsidRPr="002A2EA6">
        <w:rPr>
          <w:lang w:val="fr-FR"/>
        </w:rPr>
        <w:t>article 5 de la Convention ;</w:t>
      </w:r>
    </w:p>
    <w:p w14:paraId="55A07F6B" w14:textId="63B1A27A"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 secrétariat d</w:t>
      </w:r>
      <w:r w:rsidR="00CA4DAC">
        <w:rPr>
          <w:lang w:val="fr-FR"/>
        </w:rPr>
        <w:t>’</w:t>
      </w:r>
      <w:r w:rsidRPr="002A2EA6">
        <w:rPr>
          <w:lang w:val="fr-FR"/>
        </w:rPr>
        <w:t>établir, d</w:t>
      </w:r>
      <w:r w:rsidR="00CA4DAC">
        <w:rPr>
          <w:lang w:val="fr-FR"/>
        </w:rPr>
        <w:t>’</w:t>
      </w:r>
      <w:r w:rsidRPr="002A2EA6">
        <w:rPr>
          <w:lang w:val="fr-FR"/>
        </w:rPr>
        <w:t>ici au 30 avril 2021, un rapport sur les travaux du groupe spécial d</w:t>
      </w:r>
      <w:r w:rsidR="00CA4DAC">
        <w:rPr>
          <w:lang w:val="fr-FR"/>
        </w:rPr>
        <w:t>’</w:t>
      </w:r>
      <w:r w:rsidRPr="002A2EA6">
        <w:rPr>
          <w:lang w:val="fr-FR"/>
        </w:rPr>
        <w:t xml:space="preserve">experts rendant compte de ses activités, y compris toutes les informations recueillies auprès du groupe, des Parties et autres intéressés, qui lui sera présenté à sa quatrième réunion ; </w:t>
      </w:r>
    </w:p>
    <w:p w14:paraId="0944FE72" w14:textId="13D08B2B"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les Parties qui ont notifié au secrétariat, au moment où elles sont devenues parties à la Convention, qu</w:t>
      </w:r>
      <w:r w:rsidR="00CA4DAC">
        <w:rPr>
          <w:lang w:val="fr-FR"/>
        </w:rPr>
        <w:t>’</w:t>
      </w:r>
      <w:r w:rsidRPr="002A2EA6">
        <w:rPr>
          <w:lang w:val="fr-FR"/>
        </w:rPr>
        <w:t>elles mettraient en œuvre différentes mesures ou stratégies concernant les produits inscrits dans la première partie de l</w:t>
      </w:r>
      <w:r w:rsidR="00CA4DAC">
        <w:rPr>
          <w:lang w:val="fr-FR"/>
        </w:rPr>
        <w:t>’</w:t>
      </w:r>
      <w:r w:rsidRPr="002A2EA6">
        <w:rPr>
          <w:lang w:val="fr-FR"/>
        </w:rPr>
        <w:t>Annexe A de la Convention de faire rapport, avant le 30 juin 2020, sur les mesures ou stratégies mises en œuvre, notamment quantifier les réductions réalisées ;</w:t>
      </w:r>
    </w:p>
    <w:p w14:paraId="36E21556" w14:textId="682B0BB9" w:rsidR="002A2EA6" w:rsidRPr="002A2EA6" w:rsidRDefault="002A2EA6" w:rsidP="00B52EB9">
      <w:pPr>
        <w:pStyle w:val="Normalnumber"/>
        <w:numPr>
          <w:ilvl w:val="0"/>
          <w:numId w:val="4"/>
        </w:numPr>
        <w:ind w:firstLine="567"/>
        <w:rPr>
          <w:lang w:val="fr-FR"/>
        </w:rPr>
      </w:pPr>
      <w:r w:rsidRPr="002A2EA6">
        <w:rPr>
          <w:i/>
          <w:iCs/>
          <w:lang w:val="fr-FR"/>
        </w:rPr>
        <w:t xml:space="preserve">Prie </w:t>
      </w:r>
      <w:r w:rsidRPr="002A2EA6">
        <w:rPr>
          <w:lang w:val="fr-FR"/>
        </w:rPr>
        <w:t>le secrétariat de compiler les informations communiquées par les Parties comme suite au paragraphe 9 de la présente décision pour examen lors de l</w:t>
      </w:r>
      <w:r w:rsidR="00CA4DAC">
        <w:rPr>
          <w:lang w:val="fr-FR"/>
        </w:rPr>
        <w:t>’</w:t>
      </w:r>
      <w:r w:rsidRPr="002A2EA6">
        <w:rPr>
          <w:lang w:val="fr-FR"/>
        </w:rPr>
        <w:t>évaluation de l</w:t>
      </w:r>
      <w:r w:rsidR="00CA4DAC">
        <w:rPr>
          <w:lang w:val="fr-FR"/>
        </w:rPr>
        <w:t>’</w:t>
      </w:r>
      <w:r w:rsidRPr="002A2EA6">
        <w:rPr>
          <w:lang w:val="fr-FR"/>
        </w:rPr>
        <w:t>efficacité s</w:t>
      </w:r>
      <w:r w:rsidR="00CA4DAC">
        <w:rPr>
          <w:lang w:val="fr-FR"/>
        </w:rPr>
        <w:t>’</w:t>
      </w:r>
      <w:r w:rsidRPr="002A2EA6">
        <w:rPr>
          <w:lang w:val="fr-FR"/>
        </w:rPr>
        <w:t>agissant de l</w:t>
      </w:r>
      <w:r w:rsidR="00CA4DAC">
        <w:rPr>
          <w:lang w:val="fr-FR"/>
        </w:rPr>
        <w:t>’</w:t>
      </w:r>
      <w:r w:rsidRPr="002A2EA6">
        <w:rPr>
          <w:lang w:val="fr-FR"/>
        </w:rPr>
        <w:t>article 4 de la Convention ;</w:t>
      </w:r>
    </w:p>
    <w:p w14:paraId="1A594761" w14:textId="4949C7C5" w:rsidR="002A2EA6" w:rsidRPr="002A2EA6" w:rsidRDefault="002A2EA6" w:rsidP="00B52EB9">
      <w:pPr>
        <w:pStyle w:val="Normalnumber"/>
        <w:numPr>
          <w:ilvl w:val="0"/>
          <w:numId w:val="4"/>
        </w:numPr>
        <w:ind w:firstLine="567"/>
        <w:rPr>
          <w:lang w:val="fr-FR"/>
        </w:rPr>
      </w:pPr>
      <w:bookmarkStart w:id="59" w:name="_Hlk15061071"/>
      <w:r w:rsidRPr="002A2EA6">
        <w:rPr>
          <w:i/>
          <w:iCs/>
          <w:lang w:val="fr-FR"/>
        </w:rPr>
        <w:t>Prie également</w:t>
      </w:r>
      <w:r w:rsidRPr="002A2EA6">
        <w:rPr>
          <w:lang w:val="fr-FR"/>
        </w:rPr>
        <w:t xml:space="preserve"> le secrétariat de lui présenter, pour qu</w:t>
      </w:r>
      <w:r w:rsidR="00CA4DAC">
        <w:rPr>
          <w:lang w:val="fr-FR"/>
        </w:rPr>
        <w:t>’</w:t>
      </w:r>
      <w:r w:rsidRPr="002A2EA6">
        <w:rPr>
          <w:lang w:val="fr-FR"/>
        </w:rPr>
        <w:t>elle l</w:t>
      </w:r>
      <w:r w:rsidR="00CA4DAC">
        <w:rPr>
          <w:lang w:val="fr-FR"/>
        </w:rPr>
        <w:t>’</w:t>
      </w:r>
      <w:r w:rsidRPr="002A2EA6">
        <w:rPr>
          <w:lang w:val="fr-FR"/>
        </w:rPr>
        <w:t>examine à sa quatrième réunion, la compilation des communications finales présentées en application des paragraphes 7 et 9 de la présente décision.</w:t>
      </w:r>
      <w:bookmarkEnd w:id="59"/>
    </w:p>
    <w:p w14:paraId="2ECFF66B" w14:textId="5C9970DE" w:rsidR="00982443" w:rsidRPr="009F3EC9" w:rsidRDefault="00982443" w:rsidP="005C3057">
      <w:pPr>
        <w:pStyle w:val="ZZAnxtitle"/>
        <w:keepNext/>
      </w:pPr>
      <w:bookmarkStart w:id="60" w:name="_DV_C676"/>
      <w:r>
        <w:lastRenderedPageBreak/>
        <w:t>Annexe de la décision MC-3/1</w:t>
      </w:r>
    </w:p>
    <w:p w14:paraId="7B2D40DB" w14:textId="123683CE" w:rsidR="00982443" w:rsidRPr="009F3EC9" w:rsidRDefault="00982443" w:rsidP="005C3057">
      <w:pPr>
        <w:pStyle w:val="ZZAnxtitle"/>
        <w:keepNext/>
        <w:spacing w:before="240"/>
      </w:pPr>
      <w:r>
        <w:t>Mandat du groupe spécial d</w:t>
      </w:r>
      <w:r w:rsidR="00CA4DAC">
        <w:t>’</w:t>
      </w:r>
      <w:r>
        <w:t>experts</w:t>
      </w:r>
    </w:p>
    <w:p w14:paraId="121E1789" w14:textId="40440487" w:rsidR="00982443" w:rsidRPr="00901DBE" w:rsidRDefault="00982443" w:rsidP="009660A9">
      <w:pPr>
        <w:pStyle w:val="CH1"/>
      </w:pPr>
      <w:r>
        <w:rPr>
          <w:lang w:val="fr-FR"/>
        </w:rPr>
        <w:tab/>
      </w:r>
      <w:r w:rsidR="009660A9">
        <w:rPr>
          <w:lang w:val="fr-FR"/>
        </w:rPr>
        <w:t>I.</w:t>
      </w:r>
      <w:r w:rsidR="009660A9">
        <w:rPr>
          <w:lang w:val="fr-FR"/>
        </w:rPr>
        <w:tab/>
      </w:r>
      <w:r w:rsidRPr="009660A9">
        <w:t>Attributions</w:t>
      </w:r>
    </w:p>
    <w:p w14:paraId="27798D8E" w14:textId="395AABB3" w:rsidR="00982443" w:rsidRPr="009F3EC9" w:rsidRDefault="009660A9" w:rsidP="009660A9">
      <w:pPr>
        <w:pStyle w:val="NormalNonumber"/>
      </w:pPr>
      <w:r>
        <w:t>1.</w:t>
      </w:r>
      <w:r>
        <w:tab/>
      </w:r>
      <w:r w:rsidR="00982443">
        <w:t>À sa troisième réunion, la Conférence des Parties à la Convention de Minamata sur le mercure a, par sa décision</w:t>
      </w:r>
      <w:r w:rsidR="00052484">
        <w:t> </w:t>
      </w:r>
      <w:r w:rsidR="00982443">
        <w:t>MC-3/1, créé un groupe spécial d</w:t>
      </w:r>
      <w:r w:rsidR="00CA4DAC">
        <w:t>’</w:t>
      </w:r>
      <w:r w:rsidR="00982443">
        <w:t>experts chargé d</w:t>
      </w:r>
      <w:r w:rsidR="00CA4DAC">
        <w:t>’</w:t>
      </w:r>
      <w:r w:rsidR="00982443">
        <w:t>établir un document dans lequel il enrichirait et organiserait les informations communiquées par les Parties pour chaque utilisation en application de ladite décision, compte tenu des informations supplémentaires dont les experts disposent. Le document indique clairement les sources des informations qu</w:t>
      </w:r>
      <w:r w:rsidR="00CA4DAC">
        <w:t>’</w:t>
      </w:r>
      <w:r w:rsidR="00982443">
        <w:t>il présente.</w:t>
      </w:r>
    </w:p>
    <w:p w14:paraId="7D384F8F" w14:textId="3CD76D65" w:rsidR="00982443" w:rsidRPr="00901DBE" w:rsidRDefault="00EC6FA4" w:rsidP="00EC6FA4">
      <w:pPr>
        <w:pStyle w:val="CH1"/>
      </w:pPr>
      <w:r>
        <w:rPr>
          <w:lang w:val="fr-FR"/>
        </w:rPr>
        <w:tab/>
        <w:t>II.</w:t>
      </w:r>
      <w:r>
        <w:rPr>
          <w:lang w:val="fr-FR"/>
        </w:rPr>
        <w:tab/>
      </w:r>
      <w:r w:rsidR="00982443">
        <w:rPr>
          <w:lang w:val="fr-FR"/>
        </w:rPr>
        <w:t>Composition</w:t>
      </w:r>
    </w:p>
    <w:p w14:paraId="74510C05" w14:textId="0F99C581" w:rsidR="00982443" w:rsidRPr="009F3EC9" w:rsidRDefault="00EC6FA4" w:rsidP="00EC6FA4">
      <w:pPr>
        <w:pStyle w:val="NormalNonumber"/>
      </w:pPr>
      <w:r>
        <w:rPr>
          <w:lang w:val="fr-FR"/>
        </w:rPr>
        <w:t>2.</w:t>
      </w:r>
      <w:r>
        <w:rPr>
          <w:lang w:val="fr-FR"/>
        </w:rPr>
        <w:tab/>
      </w:r>
      <w:r w:rsidR="00982443">
        <w:rPr>
          <w:lang w:val="fr-FR"/>
        </w:rPr>
        <w:t>Le groupe spécial d</w:t>
      </w:r>
      <w:r w:rsidR="00CA4DAC">
        <w:rPr>
          <w:lang w:val="fr-FR"/>
        </w:rPr>
        <w:t>’</w:t>
      </w:r>
      <w:r w:rsidR="00982443">
        <w:rPr>
          <w:lang w:val="fr-FR"/>
        </w:rPr>
        <w:t>experts, qui élit deux</w:t>
      </w:r>
      <w:r w:rsidR="002B28B9">
        <w:rPr>
          <w:lang w:val="fr-FR"/>
        </w:rPr>
        <w:t> </w:t>
      </w:r>
      <w:r w:rsidR="00982443">
        <w:rPr>
          <w:lang w:val="fr-FR"/>
        </w:rPr>
        <w:t>coprésidents à sa première</w:t>
      </w:r>
      <w:r w:rsidR="002B28B9">
        <w:rPr>
          <w:lang w:val="fr-FR"/>
        </w:rPr>
        <w:t> </w:t>
      </w:r>
      <w:r w:rsidR="00982443">
        <w:rPr>
          <w:lang w:val="fr-FR"/>
        </w:rPr>
        <w:t>réunion, est composé d</w:t>
      </w:r>
      <w:r w:rsidR="00CA4DAC">
        <w:rPr>
          <w:lang w:val="fr-FR"/>
        </w:rPr>
        <w:t>’</w:t>
      </w:r>
      <w:r w:rsidR="00982443">
        <w:rPr>
          <w:lang w:val="fr-FR"/>
        </w:rPr>
        <w:t>experts nommés par les Parties des cinq</w:t>
      </w:r>
      <w:r w:rsidR="002B28B9">
        <w:rPr>
          <w:lang w:val="fr-FR"/>
        </w:rPr>
        <w:t> </w:t>
      </w:r>
      <w:r w:rsidR="00982443">
        <w:rPr>
          <w:lang w:val="fr-FR"/>
        </w:rPr>
        <w:t>régions de l</w:t>
      </w:r>
      <w:r w:rsidR="00CA4DAC">
        <w:rPr>
          <w:lang w:val="fr-FR"/>
        </w:rPr>
        <w:t>’</w:t>
      </w:r>
      <w:r w:rsidR="00982443">
        <w:rPr>
          <w:lang w:val="fr-FR"/>
        </w:rPr>
        <w:t>Organisation des Nations</w:t>
      </w:r>
      <w:r w:rsidR="002B28B9">
        <w:rPr>
          <w:lang w:val="fr-FR"/>
        </w:rPr>
        <w:t> </w:t>
      </w:r>
      <w:r w:rsidR="00982443">
        <w:rPr>
          <w:lang w:val="fr-FR"/>
        </w:rPr>
        <w:t>Unies, répartis comme suit</w:t>
      </w:r>
      <w:r w:rsidR="002B28B9">
        <w:rPr>
          <w:lang w:val="fr-FR"/>
        </w:rPr>
        <w:t> </w:t>
      </w:r>
      <w:r w:rsidR="00982443">
        <w:rPr>
          <w:lang w:val="fr-FR"/>
        </w:rPr>
        <w:t>: quatre</w:t>
      </w:r>
      <w:r w:rsidR="002B28B9">
        <w:rPr>
          <w:lang w:val="fr-FR"/>
        </w:rPr>
        <w:t> </w:t>
      </w:r>
      <w:r w:rsidR="00982443">
        <w:rPr>
          <w:lang w:val="fr-FR"/>
        </w:rPr>
        <w:t>experts issus des États d</w:t>
      </w:r>
      <w:r w:rsidR="00CA4DAC">
        <w:rPr>
          <w:lang w:val="fr-FR"/>
        </w:rPr>
        <w:t>’</w:t>
      </w:r>
      <w:r w:rsidR="00982443">
        <w:rPr>
          <w:lang w:val="fr-FR"/>
        </w:rPr>
        <w:t>Afrique ; quatre</w:t>
      </w:r>
      <w:r w:rsidR="004B53FC">
        <w:rPr>
          <w:lang w:val="fr-FR"/>
        </w:rPr>
        <w:t> </w:t>
      </w:r>
      <w:r w:rsidR="00982443">
        <w:rPr>
          <w:lang w:val="fr-FR"/>
        </w:rPr>
        <w:t>des États d</w:t>
      </w:r>
      <w:r w:rsidR="00CA4DAC">
        <w:rPr>
          <w:lang w:val="fr-FR"/>
        </w:rPr>
        <w:t>’</w:t>
      </w:r>
      <w:r w:rsidR="00982443">
        <w:rPr>
          <w:lang w:val="fr-FR"/>
        </w:rPr>
        <w:t>Asie et du Pacifique ; quatre</w:t>
      </w:r>
      <w:r w:rsidR="00052484">
        <w:rPr>
          <w:lang w:val="fr-FR"/>
        </w:rPr>
        <w:t> </w:t>
      </w:r>
      <w:r w:rsidR="00982443">
        <w:rPr>
          <w:lang w:val="fr-FR"/>
        </w:rPr>
        <w:t>des États d</w:t>
      </w:r>
      <w:r w:rsidR="00CA4DAC">
        <w:rPr>
          <w:lang w:val="fr-FR"/>
        </w:rPr>
        <w:t>’</w:t>
      </w:r>
      <w:r w:rsidR="00982443">
        <w:rPr>
          <w:lang w:val="fr-FR"/>
        </w:rPr>
        <w:t>Europe orientale ; quatre</w:t>
      </w:r>
      <w:r w:rsidR="004B53FC">
        <w:rPr>
          <w:lang w:val="fr-FR"/>
        </w:rPr>
        <w:t> </w:t>
      </w:r>
      <w:r w:rsidR="00982443">
        <w:rPr>
          <w:lang w:val="fr-FR"/>
        </w:rPr>
        <w:t>des États d</w:t>
      </w:r>
      <w:r w:rsidR="00CA4DAC">
        <w:rPr>
          <w:lang w:val="fr-FR"/>
        </w:rPr>
        <w:t>’</w:t>
      </w:r>
      <w:r w:rsidR="00982443">
        <w:rPr>
          <w:lang w:val="fr-FR"/>
        </w:rPr>
        <w:t>Amérique latine et des Caraïbes ; quatre</w:t>
      </w:r>
      <w:r w:rsidR="00052484">
        <w:rPr>
          <w:lang w:val="fr-FR"/>
        </w:rPr>
        <w:t> </w:t>
      </w:r>
      <w:r w:rsidR="00982443">
        <w:rPr>
          <w:lang w:val="fr-FR"/>
        </w:rPr>
        <w:t>des</w:t>
      </w:r>
      <w:r w:rsidR="00052484">
        <w:rPr>
          <w:lang w:val="fr-FR"/>
        </w:rPr>
        <w:t> </w:t>
      </w:r>
      <w:r w:rsidR="00982443">
        <w:rPr>
          <w:lang w:val="fr-FR"/>
        </w:rPr>
        <w:t>États d</w:t>
      </w:r>
      <w:r w:rsidR="00CA4DAC">
        <w:rPr>
          <w:lang w:val="fr-FR"/>
        </w:rPr>
        <w:t>’</w:t>
      </w:r>
      <w:r w:rsidR="00982443">
        <w:rPr>
          <w:lang w:val="fr-FR"/>
        </w:rPr>
        <w:t xml:space="preserve">Europe </w:t>
      </w:r>
      <w:r w:rsidR="00982443" w:rsidRPr="00EC6FA4">
        <w:t>occidentale</w:t>
      </w:r>
      <w:r w:rsidR="00982443">
        <w:rPr>
          <w:lang w:val="fr-FR"/>
        </w:rPr>
        <w:t xml:space="preserve"> et autres États. Avant sa première</w:t>
      </w:r>
      <w:r w:rsidR="00612775">
        <w:rPr>
          <w:lang w:val="fr-FR"/>
        </w:rPr>
        <w:t> </w:t>
      </w:r>
      <w:r w:rsidR="00982443">
        <w:rPr>
          <w:lang w:val="fr-FR"/>
        </w:rPr>
        <w:t>réunion, le groupe invite 10</w:t>
      </w:r>
      <w:r w:rsidR="00052484">
        <w:rPr>
          <w:lang w:val="fr-FR"/>
        </w:rPr>
        <w:t> </w:t>
      </w:r>
      <w:r w:rsidR="00982443">
        <w:rPr>
          <w:lang w:val="fr-FR"/>
        </w:rPr>
        <w:t>experts de pays non parties et d</w:t>
      </w:r>
      <w:r w:rsidR="00CA4DAC">
        <w:rPr>
          <w:lang w:val="fr-FR"/>
        </w:rPr>
        <w:t>’</w:t>
      </w:r>
      <w:r w:rsidR="00982443">
        <w:rPr>
          <w:lang w:val="fr-FR"/>
        </w:rPr>
        <w:t>autres parties prenantes, y compris d</w:t>
      </w:r>
      <w:r w:rsidR="00CA4DAC">
        <w:rPr>
          <w:lang w:val="fr-FR"/>
        </w:rPr>
        <w:t>’</w:t>
      </w:r>
      <w:r w:rsidR="00982443">
        <w:rPr>
          <w:lang w:val="fr-FR"/>
        </w:rPr>
        <w:t>organisations compétentes, possédant des connaissances techniques spécialisées correspondant aux qualifications recommandées, lesquelles sont précisées à la section</w:t>
      </w:r>
      <w:r w:rsidR="00612775">
        <w:rPr>
          <w:lang w:val="fr-FR"/>
        </w:rPr>
        <w:t> </w:t>
      </w:r>
      <w:r w:rsidR="00982443">
        <w:rPr>
          <w:lang w:val="fr-FR"/>
        </w:rPr>
        <w:t>III du présent mandat, à participer en qualité d</w:t>
      </w:r>
      <w:r w:rsidR="00CA4DAC">
        <w:rPr>
          <w:lang w:val="fr-FR"/>
        </w:rPr>
        <w:t>’</w:t>
      </w:r>
      <w:r w:rsidR="00982443">
        <w:rPr>
          <w:lang w:val="fr-FR"/>
        </w:rPr>
        <w:t>observateurs. Le</w:t>
      </w:r>
      <w:r w:rsidR="00052484">
        <w:rPr>
          <w:lang w:val="fr-FR"/>
        </w:rPr>
        <w:t> </w:t>
      </w:r>
      <w:r w:rsidR="00982443">
        <w:rPr>
          <w:lang w:val="fr-FR"/>
        </w:rPr>
        <w:t>groupe spécial d</w:t>
      </w:r>
      <w:r w:rsidR="00CA4DAC">
        <w:rPr>
          <w:lang w:val="fr-FR"/>
        </w:rPr>
        <w:t>’</w:t>
      </w:r>
      <w:r w:rsidR="00982443">
        <w:rPr>
          <w:lang w:val="fr-FR"/>
        </w:rPr>
        <w:t>experts peut également solliciter les contributions de gouvernements, d</w:t>
      </w:r>
      <w:r w:rsidR="00CA4DAC">
        <w:rPr>
          <w:lang w:val="fr-FR"/>
        </w:rPr>
        <w:t>’</w:t>
      </w:r>
      <w:r w:rsidR="00982443">
        <w:rPr>
          <w:lang w:val="fr-FR"/>
        </w:rPr>
        <w:t>organisations intergouvernementales, de l</w:t>
      </w:r>
      <w:r w:rsidR="00CA4DAC">
        <w:rPr>
          <w:lang w:val="fr-FR"/>
        </w:rPr>
        <w:t>’</w:t>
      </w:r>
      <w:r w:rsidR="00982443">
        <w:rPr>
          <w:lang w:val="fr-FR"/>
        </w:rPr>
        <w:t>industrie et d</w:t>
      </w:r>
      <w:r w:rsidR="00CA4DAC">
        <w:rPr>
          <w:lang w:val="fr-FR"/>
        </w:rPr>
        <w:t>’</w:t>
      </w:r>
      <w:r w:rsidR="00982443">
        <w:rPr>
          <w:lang w:val="fr-FR"/>
        </w:rPr>
        <w:t>organisations de la société civile afin de</w:t>
      </w:r>
      <w:r w:rsidR="00052484">
        <w:rPr>
          <w:lang w:val="fr-FR"/>
        </w:rPr>
        <w:t> </w:t>
      </w:r>
      <w:r w:rsidR="00982443">
        <w:rPr>
          <w:lang w:val="fr-FR"/>
        </w:rPr>
        <w:t>l</w:t>
      </w:r>
      <w:r w:rsidR="00CA4DAC">
        <w:rPr>
          <w:lang w:val="fr-FR"/>
        </w:rPr>
        <w:t>’</w:t>
      </w:r>
      <w:r w:rsidR="00982443">
        <w:rPr>
          <w:lang w:val="fr-FR"/>
        </w:rPr>
        <w:t>aider à mener à bien ses travaux, selon qu</w:t>
      </w:r>
      <w:r w:rsidR="00CA4DAC">
        <w:rPr>
          <w:lang w:val="fr-FR"/>
        </w:rPr>
        <w:t>’</w:t>
      </w:r>
      <w:r w:rsidR="00982443">
        <w:rPr>
          <w:lang w:val="fr-FR"/>
        </w:rPr>
        <w:t>il convient.</w:t>
      </w:r>
    </w:p>
    <w:p w14:paraId="64470B62" w14:textId="2EDCEFAE" w:rsidR="00982443" w:rsidRPr="009F3EC9" w:rsidRDefault="00EC6FA4" w:rsidP="00EC6FA4">
      <w:pPr>
        <w:pStyle w:val="CH1"/>
      </w:pPr>
      <w:r>
        <w:rPr>
          <w:lang w:val="fr-FR"/>
        </w:rPr>
        <w:tab/>
        <w:t>III.</w:t>
      </w:r>
      <w:r>
        <w:rPr>
          <w:lang w:val="fr-FR"/>
        </w:rPr>
        <w:tab/>
      </w:r>
      <w:r w:rsidR="00982443">
        <w:rPr>
          <w:lang w:val="fr-FR"/>
        </w:rPr>
        <w:t>Qualifications recommandées pour les membres et le</w:t>
      </w:r>
      <w:r w:rsidR="00612775">
        <w:rPr>
          <w:lang w:val="fr-FR"/>
        </w:rPr>
        <w:t>s </w:t>
      </w:r>
      <w:r w:rsidR="00982443">
        <w:rPr>
          <w:lang w:val="fr-FR"/>
        </w:rPr>
        <w:t>observateurs</w:t>
      </w:r>
    </w:p>
    <w:p w14:paraId="148C9A47" w14:textId="780DF0CB" w:rsidR="00982443" w:rsidRPr="009F3EC9" w:rsidRDefault="00EC6FA4" w:rsidP="00EC6FA4">
      <w:pPr>
        <w:pStyle w:val="NormalNonumber"/>
      </w:pPr>
      <w:r>
        <w:rPr>
          <w:lang w:val="fr-FR"/>
        </w:rPr>
        <w:t>3.</w:t>
      </w:r>
      <w:r>
        <w:rPr>
          <w:lang w:val="fr-FR"/>
        </w:rPr>
        <w:tab/>
      </w:r>
      <w:r w:rsidR="00982443">
        <w:rPr>
          <w:lang w:val="fr-FR"/>
        </w:rPr>
        <w:t>Les membres et les observateurs du groupe spécial d</w:t>
      </w:r>
      <w:r w:rsidR="00CA4DAC">
        <w:rPr>
          <w:lang w:val="fr-FR"/>
        </w:rPr>
        <w:t>’</w:t>
      </w:r>
      <w:r w:rsidR="00982443">
        <w:rPr>
          <w:lang w:val="fr-FR"/>
        </w:rPr>
        <w:t xml:space="preserve">experts devraient avoir des connaissances </w:t>
      </w:r>
      <w:r w:rsidR="00982443" w:rsidRPr="00EC6FA4">
        <w:t>spécialisées</w:t>
      </w:r>
      <w:r w:rsidR="00982443">
        <w:rPr>
          <w:lang w:val="fr-FR"/>
        </w:rPr>
        <w:t xml:space="preserve"> dans au moins un des domaines suivants</w:t>
      </w:r>
      <w:r w:rsidR="00052484">
        <w:rPr>
          <w:lang w:val="fr-FR"/>
        </w:rPr>
        <w:t> </w:t>
      </w:r>
      <w:r w:rsidR="00982443">
        <w:rPr>
          <w:lang w:val="fr-FR"/>
        </w:rPr>
        <w:t>:</w:t>
      </w:r>
    </w:p>
    <w:p w14:paraId="710749F1" w14:textId="05462669" w:rsidR="00982443" w:rsidRPr="00901DBE" w:rsidRDefault="00EC6FA4" w:rsidP="00EC6FA4">
      <w:pPr>
        <w:pStyle w:val="NormalNonumber"/>
      </w:pPr>
      <w:r>
        <w:rPr>
          <w:lang w:val="fr-FR"/>
        </w:rPr>
        <w:tab/>
        <w:t>a)</w:t>
      </w:r>
      <w:r>
        <w:rPr>
          <w:lang w:val="fr-FR"/>
        </w:rPr>
        <w:tab/>
      </w:r>
      <w:r w:rsidR="00982443">
        <w:rPr>
          <w:lang w:val="fr-FR"/>
        </w:rPr>
        <w:t>Produits contenant du mercure ajouté</w:t>
      </w:r>
      <w:r w:rsidR="00052484">
        <w:rPr>
          <w:lang w:val="fr-FR"/>
        </w:rPr>
        <w:t> </w:t>
      </w:r>
      <w:r w:rsidR="00982443">
        <w:rPr>
          <w:lang w:val="fr-FR"/>
        </w:rPr>
        <w:t xml:space="preserve">; </w:t>
      </w:r>
    </w:p>
    <w:p w14:paraId="3FAC8C93" w14:textId="0816B86F" w:rsidR="00982443" w:rsidRPr="009F3EC9" w:rsidRDefault="00EC6FA4" w:rsidP="00EC6FA4">
      <w:pPr>
        <w:pStyle w:val="NormalNonumber"/>
      </w:pPr>
      <w:r>
        <w:rPr>
          <w:lang w:val="fr-FR"/>
        </w:rPr>
        <w:tab/>
        <w:t>b)</w:t>
      </w:r>
      <w:r>
        <w:rPr>
          <w:lang w:val="fr-FR"/>
        </w:rPr>
        <w:tab/>
      </w:r>
      <w:r w:rsidR="00982443">
        <w:rPr>
          <w:lang w:val="fr-FR"/>
        </w:rPr>
        <w:t xml:space="preserve">Procédés de fabrication utilisant du mercure ou des composés du mercure ; </w:t>
      </w:r>
    </w:p>
    <w:p w14:paraId="5999BE24" w14:textId="749F8EAE" w:rsidR="00982443" w:rsidRPr="009F3EC9" w:rsidRDefault="00EC6FA4" w:rsidP="00EC6FA4">
      <w:pPr>
        <w:pStyle w:val="NormalNonumber"/>
      </w:pPr>
      <w:r>
        <w:rPr>
          <w:lang w:val="fr-FR"/>
        </w:rPr>
        <w:tab/>
        <w:t>c)</w:t>
      </w:r>
      <w:r>
        <w:rPr>
          <w:lang w:val="fr-FR"/>
        </w:rPr>
        <w:tab/>
      </w:r>
      <w:r w:rsidR="00982443">
        <w:rPr>
          <w:lang w:val="fr-FR"/>
        </w:rPr>
        <w:t>Disponibilité et faisabilité technique et économique des solutions de remplacement des</w:t>
      </w:r>
      <w:r w:rsidR="00052484">
        <w:rPr>
          <w:lang w:val="fr-FR"/>
        </w:rPr>
        <w:t> </w:t>
      </w:r>
      <w:r w:rsidR="00982443">
        <w:rPr>
          <w:lang w:val="fr-FR"/>
        </w:rPr>
        <w:t>produits contenant du mercure ajouté ou des procédés de fabrication utilisant du mercure ou des</w:t>
      </w:r>
      <w:r w:rsidR="00052484">
        <w:rPr>
          <w:lang w:val="fr-FR"/>
        </w:rPr>
        <w:t> </w:t>
      </w:r>
      <w:r w:rsidR="00982443">
        <w:rPr>
          <w:lang w:val="fr-FR"/>
        </w:rPr>
        <w:t>composés du mercure</w:t>
      </w:r>
      <w:r w:rsidR="00612775">
        <w:rPr>
          <w:lang w:val="fr-FR"/>
        </w:rPr>
        <w:t> </w:t>
      </w:r>
      <w:r w:rsidR="00982443">
        <w:rPr>
          <w:lang w:val="fr-FR"/>
        </w:rPr>
        <w:t>;</w:t>
      </w:r>
    </w:p>
    <w:p w14:paraId="7A2043A4" w14:textId="05A1F191" w:rsidR="00982443" w:rsidRPr="009F3EC9" w:rsidRDefault="00EC6FA4" w:rsidP="00EC6FA4">
      <w:pPr>
        <w:pStyle w:val="NormalNonumber"/>
      </w:pPr>
      <w:r>
        <w:rPr>
          <w:lang w:val="fr-FR"/>
        </w:rPr>
        <w:tab/>
        <w:t>d)</w:t>
      </w:r>
      <w:r>
        <w:rPr>
          <w:lang w:val="fr-FR"/>
        </w:rPr>
        <w:tab/>
      </w:r>
      <w:r w:rsidR="00982443">
        <w:rPr>
          <w:lang w:val="fr-FR"/>
        </w:rPr>
        <w:t>Risques et avantages pour l</w:t>
      </w:r>
      <w:r w:rsidR="00CA4DAC">
        <w:rPr>
          <w:lang w:val="fr-FR"/>
        </w:rPr>
        <w:t>’</w:t>
      </w:r>
      <w:r w:rsidR="00982443">
        <w:rPr>
          <w:lang w:val="fr-FR"/>
        </w:rPr>
        <w:t>environnement et la santé des solutions de remplacement des produits contenant du mercure ajouté ou des procédés de fabrication utilisant du mercure ou des</w:t>
      </w:r>
      <w:r w:rsidR="00052484">
        <w:rPr>
          <w:lang w:val="fr-FR"/>
        </w:rPr>
        <w:t> </w:t>
      </w:r>
      <w:r w:rsidR="00982443">
        <w:rPr>
          <w:lang w:val="fr-FR"/>
        </w:rPr>
        <w:t>composés du mercure ;</w:t>
      </w:r>
    </w:p>
    <w:p w14:paraId="42CFDF3E" w14:textId="5E072CD0" w:rsidR="00982443" w:rsidRPr="009F3EC9" w:rsidRDefault="00EC6FA4" w:rsidP="00EC6FA4">
      <w:pPr>
        <w:pStyle w:val="NormalNonumber"/>
      </w:pPr>
      <w:r>
        <w:rPr>
          <w:lang w:val="fr-FR"/>
        </w:rPr>
        <w:tab/>
        <w:t>e)</w:t>
      </w:r>
      <w:r>
        <w:rPr>
          <w:lang w:val="fr-FR"/>
        </w:rPr>
        <w:tab/>
      </w:r>
      <w:r w:rsidR="00982443">
        <w:rPr>
          <w:lang w:val="fr-FR"/>
        </w:rPr>
        <w:t>Politique réglementaire concernant les risques du mercure pour la santé humaine et l</w:t>
      </w:r>
      <w:r w:rsidR="00CA4DAC">
        <w:rPr>
          <w:lang w:val="fr-FR"/>
        </w:rPr>
        <w:t>’</w:t>
      </w:r>
      <w:r w:rsidR="00982443">
        <w:rPr>
          <w:lang w:val="fr-FR"/>
        </w:rPr>
        <w:t>environnement.</w:t>
      </w:r>
    </w:p>
    <w:p w14:paraId="3BB42052" w14:textId="5CB16FF1" w:rsidR="00982443" w:rsidRPr="00901DBE" w:rsidRDefault="00EC6FA4" w:rsidP="00EC6FA4">
      <w:pPr>
        <w:pStyle w:val="CH1"/>
      </w:pPr>
      <w:r>
        <w:rPr>
          <w:lang w:val="fr-FR"/>
        </w:rPr>
        <w:tab/>
        <w:t>IV.</w:t>
      </w:r>
      <w:r>
        <w:rPr>
          <w:lang w:val="fr-FR"/>
        </w:rPr>
        <w:tab/>
      </w:r>
      <w:r w:rsidR="00982443">
        <w:rPr>
          <w:lang w:val="fr-FR"/>
        </w:rPr>
        <w:t>Bureau</w:t>
      </w:r>
    </w:p>
    <w:p w14:paraId="0848B89E" w14:textId="75F2BE37" w:rsidR="00982443" w:rsidRPr="009F3EC9" w:rsidRDefault="00EC6FA4" w:rsidP="00EC6FA4">
      <w:pPr>
        <w:pStyle w:val="NormalNonumber"/>
      </w:pPr>
      <w:r>
        <w:rPr>
          <w:lang w:val="fr-FR"/>
        </w:rPr>
        <w:t>4.</w:t>
      </w:r>
      <w:r>
        <w:rPr>
          <w:lang w:val="fr-FR"/>
        </w:rPr>
        <w:tab/>
      </w:r>
      <w:r w:rsidR="00982443">
        <w:rPr>
          <w:lang w:val="fr-FR"/>
        </w:rPr>
        <w:t>Le groupe spécial d</w:t>
      </w:r>
      <w:r w:rsidR="00CA4DAC">
        <w:rPr>
          <w:lang w:val="fr-FR"/>
        </w:rPr>
        <w:t>’</w:t>
      </w:r>
      <w:r w:rsidR="00982443">
        <w:rPr>
          <w:lang w:val="fr-FR"/>
        </w:rPr>
        <w:t>experts élit deux</w:t>
      </w:r>
      <w:r w:rsidR="00494D5F">
        <w:rPr>
          <w:lang w:val="fr-FR"/>
        </w:rPr>
        <w:t> </w:t>
      </w:r>
      <w:r w:rsidR="00982443">
        <w:rPr>
          <w:lang w:val="fr-FR"/>
        </w:rPr>
        <w:t>coprésidents pour faciliter ses réunions.</w:t>
      </w:r>
    </w:p>
    <w:p w14:paraId="68DF3C2B" w14:textId="17837F0A" w:rsidR="00982443" w:rsidRPr="00901DBE" w:rsidRDefault="00EC6FA4" w:rsidP="00EC6FA4">
      <w:pPr>
        <w:pStyle w:val="CH1"/>
      </w:pPr>
      <w:r>
        <w:rPr>
          <w:lang w:val="fr-FR"/>
        </w:rPr>
        <w:tab/>
        <w:t>V.</w:t>
      </w:r>
      <w:r>
        <w:rPr>
          <w:lang w:val="fr-FR"/>
        </w:rPr>
        <w:tab/>
      </w:r>
      <w:r w:rsidR="00982443">
        <w:rPr>
          <w:lang w:val="fr-FR"/>
        </w:rPr>
        <w:t>Secrétariat</w:t>
      </w:r>
    </w:p>
    <w:p w14:paraId="5714355B" w14:textId="2D696A69" w:rsidR="00982443" w:rsidRPr="009F3EC9" w:rsidRDefault="00052484" w:rsidP="00052484">
      <w:pPr>
        <w:pStyle w:val="NormalNonumber"/>
      </w:pPr>
      <w:r>
        <w:rPr>
          <w:lang w:val="fr-FR"/>
        </w:rPr>
        <w:t>5.</w:t>
      </w:r>
      <w:r>
        <w:rPr>
          <w:lang w:val="fr-FR"/>
        </w:rPr>
        <w:tab/>
      </w:r>
      <w:r w:rsidR="00982443">
        <w:rPr>
          <w:lang w:val="fr-FR"/>
        </w:rPr>
        <w:t>Le secrétariat de la Convention de Minamata sur le mercure fournit un appui au groupe spécial d</w:t>
      </w:r>
      <w:r w:rsidR="00CA4DAC">
        <w:rPr>
          <w:lang w:val="fr-FR"/>
        </w:rPr>
        <w:t>’</w:t>
      </w:r>
      <w:r w:rsidR="00982443">
        <w:rPr>
          <w:lang w:val="fr-FR"/>
        </w:rPr>
        <w:t>experts.</w:t>
      </w:r>
    </w:p>
    <w:p w14:paraId="3D4FC7F0" w14:textId="17F82FF4" w:rsidR="00982443" w:rsidRPr="00901DBE" w:rsidRDefault="00052484" w:rsidP="00052484">
      <w:pPr>
        <w:pStyle w:val="CH1"/>
      </w:pPr>
      <w:r>
        <w:rPr>
          <w:lang w:val="fr-FR"/>
        </w:rPr>
        <w:tab/>
        <w:t>VI.</w:t>
      </w:r>
      <w:r>
        <w:rPr>
          <w:lang w:val="fr-FR"/>
        </w:rPr>
        <w:tab/>
      </w:r>
      <w:r w:rsidR="00982443">
        <w:rPr>
          <w:lang w:val="fr-FR"/>
        </w:rPr>
        <w:t>Questions administratives et procédurales</w:t>
      </w:r>
    </w:p>
    <w:p w14:paraId="38B620E6" w14:textId="42268253" w:rsidR="00982443" w:rsidRPr="009F3EC9" w:rsidRDefault="00052484" w:rsidP="00052484">
      <w:pPr>
        <w:pStyle w:val="NormalNonumber"/>
      </w:pPr>
      <w:r>
        <w:rPr>
          <w:lang w:val="fr-FR"/>
        </w:rPr>
        <w:t>6.</w:t>
      </w:r>
      <w:r>
        <w:rPr>
          <w:lang w:val="fr-FR"/>
        </w:rPr>
        <w:tab/>
      </w:r>
      <w:r w:rsidR="00982443">
        <w:rPr>
          <w:lang w:val="fr-FR"/>
        </w:rPr>
        <w:t>Le Règlement intérieur de la Conférence des Parties s</w:t>
      </w:r>
      <w:r w:rsidR="00CA4DAC">
        <w:rPr>
          <w:lang w:val="fr-FR"/>
        </w:rPr>
        <w:t>’</w:t>
      </w:r>
      <w:r w:rsidR="00982443">
        <w:rPr>
          <w:lang w:val="fr-FR"/>
        </w:rPr>
        <w:t xml:space="preserve">applique </w:t>
      </w:r>
      <w:r w:rsidR="00982443">
        <w:rPr>
          <w:i/>
          <w:iCs/>
          <w:lang w:val="fr-FR"/>
        </w:rPr>
        <w:t xml:space="preserve">mutatis mutandis </w:t>
      </w:r>
      <w:r w:rsidR="00982443">
        <w:rPr>
          <w:lang w:val="fr-FR"/>
        </w:rPr>
        <w:t>au groupe.</w:t>
      </w:r>
    </w:p>
    <w:p w14:paraId="3E18E1CF" w14:textId="1096B723" w:rsidR="00982443" w:rsidRPr="009F3EC9" w:rsidRDefault="00052484" w:rsidP="00052484">
      <w:pPr>
        <w:pStyle w:val="NormalNonumber"/>
      </w:pPr>
      <w:r>
        <w:rPr>
          <w:lang w:val="fr-FR"/>
        </w:rPr>
        <w:t>7.</w:t>
      </w:r>
      <w:r>
        <w:rPr>
          <w:lang w:val="fr-FR"/>
        </w:rPr>
        <w:tab/>
      </w:r>
      <w:r w:rsidR="00982443">
        <w:rPr>
          <w:lang w:val="fr-FR"/>
        </w:rPr>
        <w:t>Les travaux du groupe spécial d</w:t>
      </w:r>
      <w:r w:rsidR="00CA4DAC">
        <w:rPr>
          <w:lang w:val="fr-FR"/>
        </w:rPr>
        <w:t>’</w:t>
      </w:r>
      <w:r w:rsidR="00982443">
        <w:rPr>
          <w:lang w:val="fr-FR"/>
        </w:rPr>
        <w:t xml:space="preserve">experts sont organisés de manière à permettre à chaque expert de </w:t>
      </w:r>
      <w:r w:rsidR="00982443" w:rsidRPr="00052484">
        <w:t>participer</w:t>
      </w:r>
      <w:r w:rsidR="00982443">
        <w:rPr>
          <w:lang w:val="fr-FR"/>
        </w:rPr>
        <w:t xml:space="preserve"> à toutes les activités du groupe.</w:t>
      </w:r>
    </w:p>
    <w:p w14:paraId="5B9B9C43" w14:textId="63B9BA37" w:rsidR="00982443" w:rsidRPr="00901DBE" w:rsidRDefault="00982443" w:rsidP="00052484">
      <w:pPr>
        <w:pStyle w:val="CH1"/>
      </w:pPr>
      <w:r>
        <w:rPr>
          <w:lang w:val="fr-FR"/>
        </w:rPr>
        <w:lastRenderedPageBreak/>
        <w:tab/>
      </w:r>
      <w:r w:rsidR="00052484">
        <w:rPr>
          <w:lang w:val="fr-FR"/>
        </w:rPr>
        <w:t>VII.</w:t>
      </w:r>
      <w:r w:rsidR="00052484">
        <w:rPr>
          <w:lang w:val="fr-FR"/>
        </w:rPr>
        <w:tab/>
      </w:r>
      <w:r>
        <w:rPr>
          <w:lang w:val="fr-FR"/>
        </w:rPr>
        <w:t>Réunions</w:t>
      </w:r>
    </w:p>
    <w:p w14:paraId="7BC69CEA" w14:textId="71BEA266" w:rsidR="00982443" w:rsidRPr="009F3EC9" w:rsidRDefault="00052484" w:rsidP="00052484">
      <w:pPr>
        <w:pStyle w:val="NormalNonumber"/>
      </w:pPr>
      <w:r>
        <w:rPr>
          <w:lang w:val="fr-FR"/>
        </w:rPr>
        <w:t>8.</w:t>
      </w:r>
      <w:r>
        <w:rPr>
          <w:lang w:val="fr-FR"/>
        </w:rPr>
        <w:tab/>
      </w:r>
      <w:r w:rsidR="00982443">
        <w:rPr>
          <w:lang w:val="fr-FR"/>
        </w:rPr>
        <w:t>Le groupe spécial d</w:t>
      </w:r>
      <w:r w:rsidR="00CA4DAC">
        <w:rPr>
          <w:lang w:val="fr-FR"/>
        </w:rPr>
        <w:t>’</w:t>
      </w:r>
      <w:r w:rsidR="00982443">
        <w:rPr>
          <w:lang w:val="fr-FR"/>
        </w:rPr>
        <w:t>experts se réunit une fois en face à face pendant la période intersessions précédant la quatrième réunion de la Conférence des Parties à la Convention de Minamata, sous</w:t>
      </w:r>
      <w:r w:rsidR="00BC79CE">
        <w:rPr>
          <w:lang w:val="fr-FR"/>
        </w:rPr>
        <w:t> </w:t>
      </w:r>
      <w:r w:rsidR="00982443">
        <w:rPr>
          <w:lang w:val="fr-FR"/>
        </w:rPr>
        <w:t>réserve de la disponibilité de ressources, et travaille également par voie électronique.</w:t>
      </w:r>
    </w:p>
    <w:p w14:paraId="0D7EB067" w14:textId="404C6FF0" w:rsidR="00982443" w:rsidRPr="009F3EC9" w:rsidRDefault="00052484" w:rsidP="00052484">
      <w:pPr>
        <w:pStyle w:val="CH1"/>
      </w:pPr>
      <w:r>
        <w:rPr>
          <w:lang w:val="fr-FR"/>
        </w:rPr>
        <w:tab/>
        <w:t>VIII.</w:t>
      </w:r>
      <w:r>
        <w:rPr>
          <w:lang w:val="fr-FR"/>
        </w:rPr>
        <w:tab/>
      </w:r>
      <w:r w:rsidR="00982443">
        <w:rPr>
          <w:lang w:val="fr-FR"/>
        </w:rPr>
        <w:t>Langue</w:t>
      </w:r>
    </w:p>
    <w:p w14:paraId="50420867" w14:textId="0DBA6376" w:rsidR="00982443" w:rsidRPr="00A92454" w:rsidRDefault="00052484" w:rsidP="00052484">
      <w:pPr>
        <w:pStyle w:val="NormalNonumber"/>
        <w:rPr>
          <w:lang w:val="fr-FR"/>
        </w:rPr>
      </w:pPr>
      <w:r>
        <w:rPr>
          <w:lang w:val="fr-FR"/>
        </w:rPr>
        <w:t>9.</w:t>
      </w:r>
      <w:r>
        <w:rPr>
          <w:lang w:val="fr-FR"/>
        </w:rPr>
        <w:tab/>
      </w:r>
      <w:r w:rsidR="00982443">
        <w:rPr>
          <w:lang w:val="fr-FR"/>
        </w:rPr>
        <w:t xml:space="preserve">La langue de travail du groupe est </w:t>
      </w:r>
      <w:r w:rsidR="00982443" w:rsidRPr="00052484">
        <w:t>l</w:t>
      </w:r>
      <w:r w:rsidR="00CA4DAC">
        <w:t>’</w:t>
      </w:r>
      <w:r w:rsidR="00982443" w:rsidRPr="00052484">
        <w:t>anglais</w:t>
      </w:r>
      <w:r w:rsidR="00982443">
        <w:rPr>
          <w:lang w:val="fr-FR"/>
        </w:rPr>
        <w:t>.</w:t>
      </w:r>
    </w:p>
    <w:p w14:paraId="5FEE162A" w14:textId="77777777" w:rsidR="00933C76" w:rsidRDefault="00933C76">
      <w:pPr>
        <w:tabs>
          <w:tab w:val="clear" w:pos="1247"/>
          <w:tab w:val="clear" w:pos="1814"/>
          <w:tab w:val="clear" w:pos="2381"/>
          <w:tab w:val="clear" w:pos="2948"/>
          <w:tab w:val="clear" w:pos="3515"/>
        </w:tabs>
        <w:rPr>
          <w:b/>
          <w:sz w:val="24"/>
          <w:szCs w:val="24"/>
        </w:rPr>
      </w:pPr>
      <w:r>
        <w:br w:type="page"/>
      </w:r>
    </w:p>
    <w:p w14:paraId="15C8977E" w14:textId="64F9D85B" w:rsidR="002A2EA6" w:rsidRPr="00091854" w:rsidRDefault="002A2EA6" w:rsidP="002A2EA6">
      <w:pPr>
        <w:pStyle w:val="CH2"/>
        <w:rPr>
          <w:b w:val="0"/>
          <w:sz w:val="28"/>
          <w:szCs w:val="28"/>
          <w:lang w:val="fr-FR"/>
        </w:rPr>
      </w:pPr>
      <w:r w:rsidRPr="00091854">
        <w:rPr>
          <w:sz w:val="28"/>
          <w:szCs w:val="28"/>
          <w:lang w:val="fr-FR"/>
        </w:rPr>
        <w:lastRenderedPageBreak/>
        <w:tab/>
      </w:r>
      <w:r w:rsidRPr="00091854">
        <w:rPr>
          <w:sz w:val="28"/>
          <w:szCs w:val="28"/>
          <w:lang w:val="fr-FR"/>
        </w:rPr>
        <w:tab/>
      </w:r>
      <w:bookmarkStart w:id="61" w:name="_Toc39063350"/>
      <w:r w:rsidRPr="00091854">
        <w:rPr>
          <w:sz w:val="28"/>
          <w:szCs w:val="28"/>
          <w:lang w:val="fr-FR"/>
        </w:rPr>
        <w:t>MC-3/2 : Amalgames dentaires</w:t>
      </w:r>
      <w:bookmarkEnd w:id="61"/>
    </w:p>
    <w:p w14:paraId="4B688CB9" w14:textId="77777777" w:rsidR="002A2EA6" w:rsidRPr="002A2EA6" w:rsidRDefault="002A2EA6" w:rsidP="002A2EA6">
      <w:pPr>
        <w:pStyle w:val="NormalNonumber"/>
        <w:rPr>
          <w:i/>
          <w:iCs/>
          <w:lang w:val="fr-FR"/>
        </w:rPr>
      </w:pPr>
      <w:bookmarkStart w:id="62" w:name="_DV_C677"/>
      <w:r w:rsidRPr="002A2EA6">
        <w:rPr>
          <w:lang w:val="fr-FR"/>
        </w:rPr>
        <w:tab/>
      </w:r>
      <w:r w:rsidRPr="002A2EA6">
        <w:rPr>
          <w:i/>
          <w:iCs/>
          <w:lang w:val="fr-FR"/>
        </w:rPr>
        <w:t>La Conférence des Parties</w:t>
      </w:r>
      <w:bookmarkStart w:id="63" w:name="_DV_C678"/>
      <w:bookmarkEnd w:id="62"/>
    </w:p>
    <w:p w14:paraId="04EB67C8" w14:textId="4B8E2B72" w:rsidR="002A2EA6" w:rsidRPr="002A2EA6" w:rsidRDefault="002A2EA6" w:rsidP="002A2EA6">
      <w:pPr>
        <w:pStyle w:val="Normalnumber"/>
        <w:numPr>
          <w:ilvl w:val="0"/>
          <w:numId w:val="35"/>
        </w:numPr>
        <w:ind w:firstLine="567"/>
        <w:rPr>
          <w:lang w:val="fr-FR"/>
        </w:rPr>
      </w:pPr>
      <w:bookmarkStart w:id="64" w:name="_DV_C679"/>
      <w:bookmarkEnd w:id="63"/>
      <w:r w:rsidRPr="002A2EA6">
        <w:rPr>
          <w:i/>
          <w:iCs/>
          <w:lang w:val="fr-FR"/>
        </w:rPr>
        <w:t>Engage</w:t>
      </w:r>
      <w:r w:rsidRPr="002A2EA6">
        <w:rPr>
          <w:lang w:val="fr-FR"/>
        </w:rPr>
        <w:t xml:space="preserve"> les Parties à prendre davantage de mesures que les deux qui sont prescrites dans la deuxième partie de l</w:t>
      </w:r>
      <w:r w:rsidR="00CA4DAC">
        <w:rPr>
          <w:lang w:val="fr-FR"/>
        </w:rPr>
        <w:t>’</w:t>
      </w:r>
      <w:r w:rsidRPr="002A2EA6">
        <w:rPr>
          <w:lang w:val="fr-FR"/>
        </w:rPr>
        <w:t>Annexe A de la Convention pour éliminer progressivement l</w:t>
      </w:r>
      <w:r w:rsidR="00CA4DAC">
        <w:rPr>
          <w:lang w:val="fr-FR"/>
        </w:rPr>
        <w:t>’</w:t>
      </w:r>
      <w:r w:rsidRPr="002A2EA6">
        <w:rPr>
          <w:lang w:val="fr-FR"/>
        </w:rPr>
        <w:t>utilisation d</w:t>
      </w:r>
      <w:r w:rsidR="00CA4DAC">
        <w:rPr>
          <w:lang w:val="fr-FR"/>
        </w:rPr>
        <w:t>’</w:t>
      </w:r>
      <w:r w:rsidRPr="002A2EA6">
        <w:rPr>
          <w:lang w:val="fr-FR"/>
        </w:rPr>
        <w:t>amalgames dentaires ;</w:t>
      </w:r>
      <w:bookmarkStart w:id="65" w:name="_DV_C680"/>
      <w:bookmarkEnd w:id="64"/>
    </w:p>
    <w:p w14:paraId="55F91D93" w14:textId="633A24CE" w:rsidR="002A2EA6" w:rsidRPr="002A2EA6" w:rsidRDefault="002A2EA6" w:rsidP="002A2EA6">
      <w:pPr>
        <w:pStyle w:val="Normalnumber"/>
        <w:numPr>
          <w:ilvl w:val="0"/>
          <w:numId w:val="35"/>
        </w:numPr>
        <w:ind w:firstLine="567"/>
        <w:rPr>
          <w:lang w:val="fr-FR"/>
        </w:rPr>
      </w:pPr>
      <w:bookmarkStart w:id="66" w:name="_DV_C681"/>
      <w:bookmarkEnd w:id="65"/>
      <w:r w:rsidRPr="002A2EA6">
        <w:rPr>
          <w:i/>
          <w:iCs/>
          <w:lang w:val="fr-FR"/>
        </w:rPr>
        <w:t xml:space="preserve">Prie </w:t>
      </w:r>
      <w:r w:rsidRPr="002A2EA6">
        <w:rPr>
          <w:lang w:val="fr-FR"/>
        </w:rPr>
        <w:t>le secrétariat de demander aux Parties des informations sur la mise en œuvre de toute mesure supplémentaire qu</w:t>
      </w:r>
      <w:r w:rsidR="00CA4DAC">
        <w:rPr>
          <w:lang w:val="fr-FR"/>
        </w:rPr>
        <w:t>’</w:t>
      </w:r>
      <w:r w:rsidRPr="002A2EA6">
        <w:rPr>
          <w:lang w:val="fr-FR"/>
        </w:rPr>
        <w:t>elles auraient prise au regard de la deuxième partie de l</w:t>
      </w:r>
      <w:r w:rsidR="00CA4DAC">
        <w:rPr>
          <w:lang w:val="fr-FR"/>
        </w:rPr>
        <w:t>’</w:t>
      </w:r>
      <w:r w:rsidRPr="002A2EA6">
        <w:rPr>
          <w:lang w:val="fr-FR"/>
        </w:rPr>
        <w:t xml:space="preserve">Annexe A de la Convention ; </w:t>
      </w:r>
      <w:bookmarkStart w:id="67" w:name="_DV_C682"/>
      <w:bookmarkEnd w:id="66"/>
    </w:p>
    <w:p w14:paraId="50F079E7" w14:textId="236B00F9" w:rsidR="002A2EA6" w:rsidRPr="002A2EA6" w:rsidRDefault="002A2EA6" w:rsidP="002A2EA6">
      <w:pPr>
        <w:pStyle w:val="Normalnumber"/>
        <w:numPr>
          <w:ilvl w:val="0"/>
          <w:numId w:val="35"/>
        </w:numPr>
        <w:ind w:firstLine="567"/>
        <w:rPr>
          <w:lang w:val="fr-FR"/>
        </w:rPr>
      </w:pPr>
      <w:bookmarkStart w:id="68" w:name="_DV_C683"/>
      <w:bookmarkEnd w:id="67"/>
      <w:r w:rsidRPr="002A2EA6">
        <w:rPr>
          <w:i/>
          <w:iCs/>
          <w:lang w:val="fr-FR"/>
        </w:rPr>
        <w:t>Prie également</w:t>
      </w:r>
      <w:r w:rsidRPr="002A2EA6">
        <w:rPr>
          <w:lang w:val="fr-FR"/>
        </w:rPr>
        <w:t xml:space="preserve"> le secrétariat de demander aux Parties et autres intéressés de communiquer les informations visées au paragraphe 7 de l</w:t>
      </w:r>
      <w:r w:rsidR="00CA4DAC">
        <w:rPr>
          <w:lang w:val="fr-FR"/>
        </w:rPr>
        <w:t>’</w:t>
      </w:r>
      <w:r w:rsidRPr="002A2EA6">
        <w:rPr>
          <w:lang w:val="fr-FR"/>
        </w:rPr>
        <w:t>article 4 de la Convention d</w:t>
      </w:r>
      <w:r w:rsidR="00CA4DAC">
        <w:rPr>
          <w:lang w:val="fr-FR"/>
        </w:rPr>
        <w:t>’</w:t>
      </w:r>
      <w:r w:rsidRPr="002A2EA6">
        <w:rPr>
          <w:lang w:val="fr-FR"/>
        </w:rPr>
        <w:t>ici au 1</w:t>
      </w:r>
      <w:r w:rsidRPr="002A2EA6">
        <w:rPr>
          <w:vertAlign w:val="superscript"/>
          <w:lang w:val="fr-FR"/>
        </w:rPr>
        <w:t>er</w:t>
      </w:r>
      <w:r w:rsidRPr="002A2EA6">
        <w:rPr>
          <w:lang w:val="fr-FR"/>
        </w:rPr>
        <w:t> juillet 2020 ;</w:t>
      </w:r>
      <w:bookmarkStart w:id="69" w:name="_DV_C684"/>
      <w:bookmarkEnd w:id="68"/>
    </w:p>
    <w:p w14:paraId="3481632B" w14:textId="388885B6" w:rsidR="002A2EA6" w:rsidRPr="002A2EA6" w:rsidRDefault="002A2EA6" w:rsidP="002A2EA6">
      <w:pPr>
        <w:pStyle w:val="Normalnumber"/>
        <w:numPr>
          <w:ilvl w:val="0"/>
          <w:numId w:val="35"/>
        </w:numPr>
        <w:ind w:firstLine="567"/>
        <w:rPr>
          <w:lang w:val="fr-FR"/>
        </w:rPr>
      </w:pPr>
      <w:bookmarkStart w:id="70" w:name="_DV_C685"/>
      <w:bookmarkEnd w:id="69"/>
      <w:r w:rsidRPr="002A2EA6">
        <w:rPr>
          <w:i/>
          <w:iCs/>
          <w:lang w:val="fr-FR"/>
        </w:rPr>
        <w:t>Prie en outre</w:t>
      </w:r>
      <w:r w:rsidRPr="002A2EA6">
        <w:rPr>
          <w:lang w:val="fr-FR"/>
        </w:rPr>
        <w:t xml:space="preserve"> le secrétariat de compiler les informations reçues comme suite au paragraphe 3, en recensant clairement les sources d</w:t>
      </w:r>
      <w:r w:rsidR="00CA4DAC">
        <w:rPr>
          <w:lang w:val="fr-FR"/>
        </w:rPr>
        <w:t>’</w:t>
      </w:r>
      <w:r w:rsidRPr="002A2EA6">
        <w:rPr>
          <w:lang w:val="fr-FR"/>
        </w:rPr>
        <w:t>information, et de communiquer ces informations aux Parties avant le 1</w:t>
      </w:r>
      <w:r w:rsidRPr="002A2EA6">
        <w:rPr>
          <w:vertAlign w:val="superscript"/>
          <w:lang w:val="fr-FR"/>
        </w:rPr>
        <w:t>er</w:t>
      </w:r>
      <w:r w:rsidRPr="002A2EA6">
        <w:rPr>
          <w:lang w:val="fr-FR"/>
        </w:rPr>
        <w:t xml:space="preserve"> décembre 2020 ; </w:t>
      </w:r>
      <w:bookmarkStart w:id="71" w:name="_DV_C686"/>
      <w:bookmarkEnd w:id="70"/>
    </w:p>
    <w:p w14:paraId="62C630B3" w14:textId="03A83CFD" w:rsidR="002A2EA6" w:rsidRPr="002A2EA6" w:rsidRDefault="002A2EA6" w:rsidP="002A2EA6">
      <w:pPr>
        <w:pStyle w:val="Normalnumber"/>
        <w:numPr>
          <w:ilvl w:val="0"/>
          <w:numId w:val="35"/>
        </w:numPr>
        <w:ind w:firstLine="567"/>
        <w:rPr>
          <w:lang w:val="fr-FR"/>
        </w:rPr>
      </w:pPr>
      <w:bookmarkStart w:id="72" w:name="_DV_C687"/>
      <w:bookmarkEnd w:id="71"/>
      <w:r w:rsidRPr="002A2EA6">
        <w:rPr>
          <w:i/>
          <w:iCs/>
          <w:lang w:val="fr-FR"/>
        </w:rPr>
        <w:t xml:space="preserve">Prie </w:t>
      </w:r>
      <w:r w:rsidRPr="002A2EA6">
        <w:rPr>
          <w:lang w:val="fr-FR"/>
        </w:rPr>
        <w:t>le secrétariat d</w:t>
      </w:r>
      <w:r w:rsidR="00CA4DAC">
        <w:rPr>
          <w:lang w:val="fr-FR"/>
        </w:rPr>
        <w:t>’</w:t>
      </w:r>
      <w:r w:rsidRPr="002A2EA6">
        <w:rPr>
          <w:lang w:val="fr-FR"/>
        </w:rPr>
        <w:t>établir, d</w:t>
      </w:r>
      <w:r w:rsidR="00CA4DAC">
        <w:rPr>
          <w:lang w:val="fr-FR"/>
        </w:rPr>
        <w:t>’</w:t>
      </w:r>
      <w:r w:rsidRPr="002A2EA6">
        <w:rPr>
          <w:lang w:val="fr-FR"/>
        </w:rPr>
        <w:t>ici au 30 avril 2021, un document contenant les informations reçues des Parties par suite du paragraphe 2 de la présente décision et la compilation des informations visée au paragraphe 4 de la présente décision, de sorte qu</w:t>
      </w:r>
      <w:r w:rsidR="00CA4DAC">
        <w:rPr>
          <w:lang w:val="fr-FR"/>
        </w:rPr>
        <w:t>’</w:t>
      </w:r>
      <w:r w:rsidRPr="002A2EA6">
        <w:rPr>
          <w:lang w:val="fr-FR"/>
        </w:rPr>
        <w:t>elle puisse l</w:t>
      </w:r>
      <w:r w:rsidR="00CA4DAC">
        <w:rPr>
          <w:lang w:val="fr-FR"/>
        </w:rPr>
        <w:t>’</w:t>
      </w:r>
      <w:r w:rsidRPr="002A2EA6">
        <w:rPr>
          <w:lang w:val="fr-FR"/>
        </w:rPr>
        <w:t>examiner à sa quatrième réunion.</w:t>
      </w:r>
      <w:bookmarkEnd w:id="60"/>
      <w:bookmarkEnd w:id="72"/>
    </w:p>
    <w:p w14:paraId="68473930" w14:textId="77777777" w:rsidR="002A2EA6" w:rsidRPr="002A2EA6" w:rsidRDefault="002A2EA6" w:rsidP="002A2EA6">
      <w:pPr>
        <w:tabs>
          <w:tab w:val="clear" w:pos="1247"/>
          <w:tab w:val="clear" w:pos="1814"/>
          <w:tab w:val="clear" w:pos="2381"/>
          <w:tab w:val="clear" w:pos="2948"/>
          <w:tab w:val="clear" w:pos="3515"/>
        </w:tabs>
        <w:rPr>
          <w:b/>
          <w:sz w:val="24"/>
          <w:szCs w:val="24"/>
        </w:rPr>
      </w:pPr>
      <w:r w:rsidRPr="002A2EA6">
        <w:br w:type="page"/>
      </w:r>
    </w:p>
    <w:p w14:paraId="0F69D170" w14:textId="77777777" w:rsidR="002A2EA6" w:rsidRPr="00091854" w:rsidRDefault="002A2EA6" w:rsidP="002A2EA6">
      <w:pPr>
        <w:pStyle w:val="CH2"/>
        <w:rPr>
          <w:sz w:val="28"/>
          <w:szCs w:val="28"/>
          <w:lang w:val="fr-FR"/>
        </w:rPr>
      </w:pPr>
      <w:r w:rsidRPr="00091854">
        <w:rPr>
          <w:sz w:val="28"/>
          <w:szCs w:val="28"/>
          <w:lang w:val="fr-FR"/>
        </w:rPr>
        <w:lastRenderedPageBreak/>
        <w:tab/>
      </w:r>
      <w:r w:rsidRPr="00091854">
        <w:rPr>
          <w:sz w:val="28"/>
          <w:szCs w:val="28"/>
          <w:lang w:val="fr-FR"/>
        </w:rPr>
        <w:tab/>
      </w:r>
      <w:bookmarkStart w:id="73" w:name="_Toc39063351"/>
      <w:r w:rsidRPr="00091854">
        <w:rPr>
          <w:sz w:val="28"/>
          <w:szCs w:val="28"/>
          <w:lang w:val="fr-FR"/>
        </w:rPr>
        <w:t>MC-3/3 : Codes douaniers</w:t>
      </w:r>
      <w:bookmarkEnd w:id="73"/>
    </w:p>
    <w:p w14:paraId="699477D9" w14:textId="77777777" w:rsidR="002A2EA6" w:rsidRPr="002A2EA6" w:rsidRDefault="002A2EA6" w:rsidP="002A2EA6">
      <w:pPr>
        <w:pStyle w:val="NormalNonumber"/>
        <w:rPr>
          <w:i/>
          <w:lang w:val="fr-FR"/>
        </w:rPr>
      </w:pPr>
      <w:r w:rsidRPr="002A2EA6">
        <w:rPr>
          <w:i/>
          <w:lang w:val="fr-FR"/>
        </w:rPr>
        <w:tab/>
        <w:t>La Conférence des Parties</w:t>
      </w:r>
    </w:p>
    <w:p w14:paraId="7FC6A894" w14:textId="0E0090DF" w:rsidR="002A2EA6" w:rsidRPr="002A2EA6" w:rsidRDefault="002A2EA6" w:rsidP="002A2EA6">
      <w:pPr>
        <w:pStyle w:val="NormalNonumber"/>
        <w:rPr>
          <w:lang w:val="fr-FR"/>
        </w:rPr>
      </w:pPr>
      <w:r w:rsidRPr="002A2EA6">
        <w:rPr>
          <w:i/>
          <w:lang w:val="fr-FR"/>
        </w:rPr>
        <w:tab/>
      </w:r>
      <w:r w:rsidRPr="002A2EA6">
        <w:rPr>
          <w:lang w:val="fr-FR"/>
        </w:rPr>
        <w:t>1.</w:t>
      </w:r>
      <w:r w:rsidRPr="002A2EA6">
        <w:rPr>
          <w:lang w:val="fr-FR"/>
        </w:rPr>
        <w:tab/>
      </w:r>
      <w:r w:rsidRPr="002A2EA6">
        <w:rPr>
          <w:i/>
          <w:lang w:val="fr-FR"/>
        </w:rPr>
        <w:t xml:space="preserve">Prie </w:t>
      </w:r>
      <w:r w:rsidRPr="002A2EA6">
        <w:rPr>
          <w:lang w:val="fr-FR"/>
        </w:rPr>
        <w:t>le secrétariat, en collaboration avec le Partenariat mondial sur le mercure du Programme des Nations Unies pour l</w:t>
      </w:r>
      <w:r w:rsidR="00CA4DAC">
        <w:rPr>
          <w:lang w:val="fr-FR"/>
        </w:rPr>
        <w:t>’</w:t>
      </w:r>
      <w:r w:rsidRPr="002A2EA6">
        <w:rPr>
          <w:lang w:val="fr-FR"/>
        </w:rPr>
        <w:t>environnement au titre du domaine de partenariat relatif aux produits contenant du mercure (le « Partenariat sur les produits ») et en associant les experts compétents :</w:t>
      </w:r>
    </w:p>
    <w:p w14:paraId="033E336D" w14:textId="04B96BA4" w:rsidR="002A2EA6" w:rsidRPr="002A2EA6" w:rsidRDefault="002A2EA6" w:rsidP="002A2EA6">
      <w:pPr>
        <w:pStyle w:val="NormalNonumber"/>
        <w:rPr>
          <w:lang w:val="fr-FR"/>
        </w:rPr>
      </w:pPr>
      <w:r w:rsidRPr="002A2EA6">
        <w:rPr>
          <w:lang w:val="fr-FR"/>
        </w:rPr>
        <w:tab/>
        <w:t>a)</w:t>
      </w:r>
      <w:r w:rsidRPr="002A2EA6">
        <w:rPr>
          <w:lang w:val="fr-FR"/>
        </w:rPr>
        <w:tab/>
        <w:t>D</w:t>
      </w:r>
      <w:r w:rsidR="00CA4DAC">
        <w:rPr>
          <w:lang w:val="fr-FR"/>
        </w:rPr>
        <w:t>’</w:t>
      </w:r>
      <w:r w:rsidRPr="002A2EA6">
        <w:rPr>
          <w:lang w:val="fr-FR"/>
        </w:rPr>
        <w:t>élaborer un document d</w:t>
      </w:r>
      <w:r w:rsidR="00CA4DAC">
        <w:rPr>
          <w:lang w:val="fr-FR"/>
        </w:rPr>
        <w:t>’</w:t>
      </w:r>
      <w:r w:rsidRPr="002A2EA6">
        <w:rPr>
          <w:lang w:val="fr-FR"/>
        </w:rPr>
        <w:t>orientation comprenant :</w:t>
      </w:r>
    </w:p>
    <w:p w14:paraId="0447813E" w14:textId="6DAF44A7" w:rsidR="002A2EA6" w:rsidRPr="002A2EA6" w:rsidRDefault="002A2EA6" w:rsidP="002A2EA6">
      <w:pPr>
        <w:pStyle w:val="NormalNonumber"/>
        <w:ind w:left="2948" w:hanging="1701"/>
        <w:rPr>
          <w:rFonts w:eastAsia="Calibri"/>
          <w:lang w:val="fr-FR"/>
        </w:rPr>
      </w:pPr>
      <w:r w:rsidRPr="002A2EA6">
        <w:rPr>
          <w:rFonts w:eastAsia="Calibri"/>
          <w:lang w:val="fr-FR"/>
        </w:rPr>
        <w:tab/>
      </w:r>
      <w:r w:rsidRPr="002A2EA6">
        <w:rPr>
          <w:rFonts w:eastAsia="Calibri"/>
          <w:lang w:val="fr-FR"/>
        </w:rPr>
        <w:tab/>
      </w:r>
      <w:r w:rsidRPr="002A2EA6">
        <w:rPr>
          <w:rFonts w:eastAsia="Calibri"/>
          <w:lang w:val="fr-FR"/>
        </w:rPr>
        <w:tab/>
        <w:t>i)</w:t>
      </w:r>
      <w:r w:rsidRPr="002A2EA6">
        <w:rPr>
          <w:rFonts w:eastAsia="Calibri"/>
          <w:lang w:val="fr-FR"/>
        </w:rPr>
        <w:tab/>
        <w:t>Pour les produits contenant du mercure ajouté qui figurent dans l</w:t>
      </w:r>
      <w:r w:rsidR="00CA4DAC">
        <w:rPr>
          <w:rFonts w:eastAsia="Calibri"/>
          <w:lang w:val="fr-FR"/>
        </w:rPr>
        <w:t>’</w:t>
      </w:r>
      <w:r w:rsidRPr="002A2EA6">
        <w:rPr>
          <w:rFonts w:eastAsia="Calibri"/>
          <w:lang w:val="fr-FR"/>
        </w:rPr>
        <w:t>Annexe A de la Convention, une liste de codes de nomenclature douanière de plus de six chiffres qui pourraient être utilisés par les Parties ;</w:t>
      </w:r>
    </w:p>
    <w:p w14:paraId="4635D42F" w14:textId="5BF5174B" w:rsidR="002A2EA6" w:rsidRPr="002A2EA6" w:rsidRDefault="002A2EA6" w:rsidP="002A2EA6">
      <w:pPr>
        <w:pStyle w:val="NormalNonumber"/>
        <w:ind w:left="2948" w:hanging="1701"/>
        <w:rPr>
          <w:rFonts w:eastAsia="Calibri"/>
          <w:lang w:val="fr-FR"/>
        </w:rPr>
      </w:pPr>
      <w:bookmarkStart w:id="74" w:name="_Hlk25816095"/>
      <w:r w:rsidRPr="002A2EA6">
        <w:rPr>
          <w:rFonts w:eastAsia="Calibri"/>
          <w:shd w:val="clear" w:color="auto" w:fill="FFFFFF"/>
          <w:lang w:val="fr-FR"/>
        </w:rPr>
        <w:tab/>
      </w:r>
      <w:r w:rsidRPr="002A2EA6">
        <w:rPr>
          <w:rFonts w:eastAsia="Calibri"/>
          <w:lang w:val="fr-FR"/>
        </w:rPr>
        <w:tab/>
      </w:r>
      <w:r w:rsidRPr="002A2EA6">
        <w:rPr>
          <w:rFonts w:eastAsia="Calibri"/>
          <w:lang w:val="fr-FR"/>
        </w:rPr>
        <w:tab/>
        <w:t>ii)</w:t>
      </w:r>
      <w:r w:rsidRPr="002A2EA6">
        <w:rPr>
          <w:rFonts w:eastAsia="Calibri"/>
          <w:lang w:val="fr-FR"/>
        </w:rPr>
        <w:tab/>
        <w:t>Pour les produits contenant du mercure ajouté qui ne figurent pas dans l</w:t>
      </w:r>
      <w:r w:rsidR="00CA4DAC">
        <w:rPr>
          <w:rFonts w:eastAsia="Calibri"/>
          <w:lang w:val="fr-FR"/>
        </w:rPr>
        <w:t>’</w:t>
      </w:r>
      <w:r w:rsidRPr="002A2EA6">
        <w:rPr>
          <w:rFonts w:eastAsia="Calibri"/>
          <w:lang w:val="fr-FR"/>
        </w:rPr>
        <w:t>Annexe A</w:t>
      </w:r>
      <w:bookmarkEnd w:id="74"/>
      <w:r w:rsidRPr="002A2EA6">
        <w:rPr>
          <w:rFonts w:eastAsia="Calibri"/>
          <w:lang w:val="fr-FR"/>
        </w:rPr>
        <w:t xml:space="preserve"> de la Convention, une compilation des exemples fournis par des experts nationaux des codes de nomenclature douanière de plus de six chiffres actuellement utilisés par les Parties ; </w:t>
      </w:r>
    </w:p>
    <w:p w14:paraId="1A19E370" w14:textId="5448638C" w:rsidR="002A2EA6" w:rsidRPr="002A2EA6" w:rsidRDefault="002A2EA6" w:rsidP="002A2EA6">
      <w:pPr>
        <w:pStyle w:val="NormalNonumber"/>
        <w:ind w:left="2948" w:hanging="1701"/>
        <w:rPr>
          <w:rFonts w:eastAsia="Calibri"/>
          <w:lang w:val="fr-FR"/>
        </w:rPr>
      </w:pPr>
      <w:r w:rsidRPr="002A2EA6">
        <w:rPr>
          <w:rFonts w:eastAsia="Calibri"/>
          <w:lang w:val="fr-FR"/>
        </w:rPr>
        <w:tab/>
      </w:r>
      <w:r w:rsidRPr="002A2EA6">
        <w:rPr>
          <w:rFonts w:eastAsia="Calibri"/>
          <w:lang w:val="fr-FR"/>
        </w:rPr>
        <w:tab/>
      </w:r>
      <w:r w:rsidRPr="002A2EA6">
        <w:rPr>
          <w:rFonts w:eastAsia="Calibri"/>
          <w:lang w:val="fr-FR"/>
        </w:rPr>
        <w:tab/>
        <w:t>iii)</w:t>
      </w:r>
      <w:r w:rsidRPr="002A2EA6">
        <w:rPr>
          <w:rFonts w:eastAsia="Calibri"/>
          <w:lang w:val="fr-FR"/>
        </w:rPr>
        <w:tab/>
        <w:t>Des exemples de bonnes pratiques où l</w:t>
      </w:r>
      <w:r w:rsidR="00CA4DAC">
        <w:rPr>
          <w:rFonts w:eastAsia="Calibri"/>
          <w:lang w:val="fr-FR"/>
        </w:rPr>
        <w:t>’</w:t>
      </w:r>
      <w:r w:rsidRPr="002A2EA6">
        <w:rPr>
          <w:rFonts w:eastAsia="Calibri"/>
          <w:lang w:val="fr-FR"/>
        </w:rPr>
        <w:t>utilisation des codes de nomenclature douanière au niveau national a été complétée par l</w:t>
      </w:r>
      <w:r w:rsidR="00CA4DAC">
        <w:rPr>
          <w:rFonts w:eastAsia="Calibri"/>
          <w:lang w:val="fr-FR"/>
        </w:rPr>
        <w:t>’</w:t>
      </w:r>
      <w:r w:rsidRPr="002A2EA6">
        <w:rPr>
          <w:rFonts w:eastAsia="Calibri"/>
          <w:lang w:val="fr-FR"/>
        </w:rPr>
        <w:t>utilisation d</w:t>
      </w:r>
      <w:r w:rsidR="00CA4DAC">
        <w:rPr>
          <w:rFonts w:eastAsia="Calibri"/>
          <w:lang w:val="fr-FR"/>
        </w:rPr>
        <w:t>’</w:t>
      </w:r>
      <w:r w:rsidRPr="002A2EA6">
        <w:rPr>
          <w:rFonts w:eastAsia="Calibri"/>
          <w:lang w:val="fr-FR"/>
        </w:rPr>
        <w:t>autres outils de contrôle aux fins de la mise en œuvre des dispositions relatives au commerce, telles que celles figurant à l</w:t>
      </w:r>
      <w:r w:rsidR="00CA4DAC">
        <w:rPr>
          <w:rFonts w:eastAsia="Calibri"/>
          <w:lang w:val="fr-FR"/>
        </w:rPr>
        <w:t>’</w:t>
      </w:r>
      <w:r w:rsidRPr="002A2EA6">
        <w:rPr>
          <w:rFonts w:eastAsia="Calibri"/>
          <w:lang w:val="fr-FR"/>
        </w:rPr>
        <w:t>article 4 de la Convention ;</w:t>
      </w:r>
    </w:p>
    <w:p w14:paraId="6E36F81B" w14:textId="2D12BD61" w:rsidR="002A2EA6" w:rsidRPr="002A2EA6" w:rsidRDefault="002A2EA6" w:rsidP="002A2EA6">
      <w:pPr>
        <w:pStyle w:val="NormalNonumber"/>
        <w:rPr>
          <w:lang w:val="fr-FR"/>
        </w:rPr>
      </w:pPr>
      <w:r w:rsidRPr="002A2EA6">
        <w:rPr>
          <w:lang w:val="fr-FR"/>
        </w:rPr>
        <w:tab/>
        <w:t>b)</w:t>
      </w:r>
      <w:r w:rsidRPr="002A2EA6">
        <w:rPr>
          <w:lang w:val="fr-FR"/>
        </w:rPr>
        <w:tab/>
        <w:t>D</w:t>
      </w:r>
      <w:r w:rsidR="00CA4DAC">
        <w:rPr>
          <w:lang w:val="fr-FR"/>
        </w:rPr>
        <w:t>’</w:t>
      </w:r>
      <w:r w:rsidRPr="002A2EA6">
        <w:rPr>
          <w:lang w:val="fr-FR"/>
        </w:rPr>
        <w:t>évaluer dans quelle mesure élaborer par la suite des codes harmonisés à six chiffres compléterait utilement les résultats des travaux entrepris au titre de l</w:t>
      </w:r>
      <w:r w:rsidR="00CA4DAC">
        <w:rPr>
          <w:lang w:val="fr-FR"/>
        </w:rPr>
        <w:t>’</w:t>
      </w:r>
      <w:r w:rsidRPr="002A2EA6">
        <w:rPr>
          <w:lang w:val="fr-FR"/>
        </w:rPr>
        <w:t>alinéa a) i) du paragraphe 1 ci</w:t>
      </w:r>
      <w:r w:rsidRPr="002A2EA6">
        <w:rPr>
          <w:lang w:val="fr-FR"/>
        </w:rPr>
        <w:noBreakHyphen/>
        <w:t>dessus pour les produits contenant du mercure ajouté figurant dans l</w:t>
      </w:r>
      <w:r w:rsidR="00CA4DAC">
        <w:rPr>
          <w:lang w:val="fr-FR"/>
        </w:rPr>
        <w:t>’</w:t>
      </w:r>
      <w:r w:rsidRPr="002A2EA6">
        <w:rPr>
          <w:lang w:val="fr-FR"/>
        </w:rPr>
        <w:t>Annexe A ou au titre de l</w:t>
      </w:r>
      <w:r w:rsidR="00CA4DAC">
        <w:rPr>
          <w:lang w:val="fr-FR"/>
        </w:rPr>
        <w:t>’</w:t>
      </w:r>
      <w:r w:rsidRPr="002A2EA6">
        <w:rPr>
          <w:lang w:val="fr-FR"/>
        </w:rPr>
        <w:t xml:space="preserve">alinéa a) ii) </w:t>
      </w:r>
      <w:r w:rsidR="00A324EA" w:rsidRPr="002A2EA6">
        <w:rPr>
          <w:lang w:val="fr-FR"/>
        </w:rPr>
        <w:t>du paragraphe 1</w:t>
      </w:r>
      <w:r w:rsidR="00A324EA">
        <w:rPr>
          <w:lang w:val="fr-FR"/>
        </w:rPr>
        <w:t xml:space="preserve"> </w:t>
      </w:r>
      <w:r w:rsidRPr="002A2EA6">
        <w:rPr>
          <w:lang w:val="fr-FR"/>
        </w:rPr>
        <w:t>pour les produits contenant du mercure ajouté ne figurant pas dans l</w:t>
      </w:r>
      <w:r w:rsidR="00CA4DAC">
        <w:rPr>
          <w:lang w:val="fr-FR"/>
        </w:rPr>
        <w:t>’</w:t>
      </w:r>
      <w:r w:rsidRPr="002A2EA6">
        <w:rPr>
          <w:lang w:val="fr-FR"/>
        </w:rPr>
        <w:t>Annexe A. Cette évaluation inclura, dans la mesure du possible, plusieurs exemples de l</w:t>
      </w:r>
      <w:r w:rsidR="00CA4DAC">
        <w:rPr>
          <w:lang w:val="fr-FR"/>
        </w:rPr>
        <w:t>’</w:t>
      </w:r>
      <w:r w:rsidRPr="002A2EA6">
        <w:rPr>
          <w:lang w:val="fr-FR"/>
        </w:rPr>
        <w:t>utilisation de ces codes pour les produits contenant du mercure ajouté figurant dans l</w:t>
      </w:r>
      <w:r w:rsidR="00CA4DAC">
        <w:rPr>
          <w:lang w:val="fr-FR"/>
        </w:rPr>
        <w:t>’</w:t>
      </w:r>
      <w:r w:rsidRPr="002A2EA6">
        <w:rPr>
          <w:lang w:val="fr-FR"/>
        </w:rPr>
        <w:t>annexe et ceux n</w:t>
      </w:r>
      <w:r w:rsidR="00CA4DAC">
        <w:rPr>
          <w:lang w:val="fr-FR"/>
        </w:rPr>
        <w:t>’</w:t>
      </w:r>
      <w:r w:rsidRPr="002A2EA6">
        <w:rPr>
          <w:lang w:val="fr-FR"/>
        </w:rPr>
        <w:t>y figurant pas, en tenant compte de l</w:t>
      </w:r>
      <w:r w:rsidR="00CA4DAC">
        <w:rPr>
          <w:lang w:val="fr-FR"/>
        </w:rPr>
        <w:t>’</w:t>
      </w:r>
      <w:r w:rsidRPr="002A2EA6">
        <w:rPr>
          <w:lang w:val="fr-FR"/>
        </w:rPr>
        <w:t>expérience acquise en ce qui concerne ces codes dans le cadre d</w:t>
      </w:r>
      <w:r w:rsidR="00CA4DAC">
        <w:rPr>
          <w:lang w:val="fr-FR"/>
        </w:rPr>
        <w:t>’</w:t>
      </w:r>
      <w:r w:rsidRPr="002A2EA6">
        <w:rPr>
          <w:lang w:val="fr-FR"/>
        </w:rPr>
        <w:t>autres conventions internationales relatives à l</w:t>
      </w:r>
      <w:r w:rsidR="00CA4DAC">
        <w:rPr>
          <w:lang w:val="fr-FR"/>
        </w:rPr>
        <w:t>’</w:t>
      </w:r>
      <w:r w:rsidRPr="002A2EA6">
        <w:rPr>
          <w:lang w:val="fr-FR"/>
        </w:rPr>
        <w:t>environnement ;</w:t>
      </w:r>
    </w:p>
    <w:p w14:paraId="4DD91B65" w14:textId="77777777" w:rsidR="002A2EA6" w:rsidRPr="002A2EA6" w:rsidRDefault="002A2EA6" w:rsidP="002A2EA6">
      <w:pPr>
        <w:pStyle w:val="NormalNonumber"/>
        <w:rPr>
          <w:lang w:val="fr-FR"/>
        </w:rPr>
      </w:pPr>
      <w:r w:rsidRPr="002A2EA6">
        <w:rPr>
          <w:i/>
          <w:lang w:val="fr-FR"/>
        </w:rPr>
        <w:tab/>
      </w:r>
      <w:r w:rsidRPr="002A2EA6">
        <w:rPr>
          <w:lang w:val="fr-FR"/>
        </w:rPr>
        <w:t>2.</w:t>
      </w:r>
      <w:r w:rsidRPr="002A2EA6">
        <w:rPr>
          <w:lang w:val="fr-FR"/>
        </w:rPr>
        <w:tab/>
      </w:r>
      <w:r w:rsidRPr="002A2EA6">
        <w:rPr>
          <w:i/>
          <w:lang w:val="fr-FR"/>
        </w:rPr>
        <w:t xml:space="preserve">Prie également </w:t>
      </w:r>
      <w:r w:rsidRPr="002A2EA6">
        <w:rPr>
          <w:lang w:val="fr-FR"/>
        </w:rPr>
        <w:t>le secrétariat :</w:t>
      </w:r>
    </w:p>
    <w:p w14:paraId="1CFCC7A3" w14:textId="75FB488D" w:rsidR="002A2EA6" w:rsidRPr="002A2EA6" w:rsidRDefault="002A2EA6" w:rsidP="002A2EA6">
      <w:pPr>
        <w:pStyle w:val="NormalNonumber"/>
        <w:rPr>
          <w:lang w:val="fr-FR"/>
        </w:rPr>
      </w:pPr>
      <w:r w:rsidRPr="002A2EA6">
        <w:rPr>
          <w:lang w:val="fr-FR"/>
        </w:rPr>
        <w:tab/>
        <w:t>a)</w:t>
      </w:r>
      <w:r w:rsidRPr="002A2EA6">
        <w:rPr>
          <w:lang w:val="fr-FR"/>
        </w:rPr>
        <w:tab/>
        <w:t>De diffuser un appel à candidatures auprès de l</w:t>
      </w:r>
      <w:r w:rsidR="00CA4DAC">
        <w:rPr>
          <w:lang w:val="fr-FR"/>
        </w:rPr>
        <w:t>’</w:t>
      </w:r>
      <w:r w:rsidRPr="002A2EA6">
        <w:rPr>
          <w:lang w:val="fr-FR"/>
        </w:rPr>
        <w:t>ensemble des Parties, des non Parties et des autres parties prenantes, y compris les organisations compétentes, pour identifier des experts versés dans l</w:t>
      </w:r>
      <w:r w:rsidR="00CA4DAC">
        <w:rPr>
          <w:lang w:val="fr-FR"/>
        </w:rPr>
        <w:t>’</w:t>
      </w:r>
      <w:r w:rsidRPr="002A2EA6">
        <w:rPr>
          <w:lang w:val="fr-FR"/>
        </w:rPr>
        <w:t>utilisation des codes douaniers nationaux afin qu</w:t>
      </w:r>
      <w:r w:rsidR="00CA4DAC">
        <w:rPr>
          <w:lang w:val="fr-FR"/>
        </w:rPr>
        <w:t>’</w:t>
      </w:r>
      <w:r w:rsidRPr="002A2EA6">
        <w:rPr>
          <w:lang w:val="fr-FR"/>
        </w:rPr>
        <w:t xml:space="preserve">ils participent au processus ouvert ; </w:t>
      </w:r>
    </w:p>
    <w:p w14:paraId="288378CE" w14:textId="6292724F" w:rsidR="002A2EA6" w:rsidRPr="002A2EA6" w:rsidRDefault="002A2EA6" w:rsidP="002A2EA6">
      <w:pPr>
        <w:pStyle w:val="NormalNonumber"/>
        <w:rPr>
          <w:lang w:val="fr-FR"/>
        </w:rPr>
      </w:pPr>
      <w:r w:rsidRPr="002A2EA6">
        <w:rPr>
          <w:lang w:val="fr-FR"/>
        </w:rPr>
        <w:tab/>
        <w:t>b)</w:t>
      </w:r>
      <w:r w:rsidRPr="002A2EA6">
        <w:rPr>
          <w:lang w:val="fr-FR"/>
        </w:rPr>
        <w:tab/>
        <w:t>D</w:t>
      </w:r>
      <w:r w:rsidR="00CA4DAC">
        <w:rPr>
          <w:lang w:val="fr-FR"/>
        </w:rPr>
        <w:t>’</w:t>
      </w:r>
      <w:r w:rsidRPr="002A2EA6">
        <w:rPr>
          <w:lang w:val="fr-FR"/>
        </w:rPr>
        <w:t xml:space="preserve">inviter ces experts à soumettre des communications avant le 31 mars 2020, lesquelles devraient fournir des informations intéressant les travaux relatifs aux alinéas a) i) à iii) du paragraphe 1 de la présente décision ; </w:t>
      </w:r>
    </w:p>
    <w:p w14:paraId="56BE4057" w14:textId="331EDB1A" w:rsidR="002A2EA6" w:rsidRPr="002A2EA6" w:rsidRDefault="002A2EA6" w:rsidP="002A2EA6">
      <w:pPr>
        <w:pStyle w:val="NormalNonumber"/>
        <w:rPr>
          <w:lang w:val="fr-FR"/>
        </w:rPr>
      </w:pPr>
      <w:r w:rsidRPr="002A2EA6">
        <w:rPr>
          <w:lang w:val="fr-FR"/>
        </w:rPr>
        <w:tab/>
        <w:t>c)</w:t>
      </w:r>
      <w:r w:rsidRPr="002A2EA6">
        <w:rPr>
          <w:lang w:val="fr-FR"/>
        </w:rPr>
        <w:tab/>
        <w:t>D</w:t>
      </w:r>
      <w:r w:rsidR="00CA4DAC">
        <w:rPr>
          <w:lang w:val="fr-FR"/>
        </w:rPr>
        <w:t>’</w:t>
      </w:r>
      <w:r w:rsidRPr="002A2EA6">
        <w:rPr>
          <w:lang w:val="fr-FR"/>
        </w:rPr>
        <w:t>établir, en collaboration avec le Partenariat sur les produits, un projet de rapport couvrant les trois éléments visés au paragraphe 1 a) de la présente décision ;</w:t>
      </w:r>
    </w:p>
    <w:p w14:paraId="5BB72AB6" w14:textId="148E6C31" w:rsidR="002A2EA6" w:rsidRPr="002A2EA6" w:rsidRDefault="002A2EA6" w:rsidP="002A2EA6">
      <w:pPr>
        <w:pStyle w:val="NormalNonumber"/>
        <w:rPr>
          <w:lang w:val="fr-FR"/>
        </w:rPr>
      </w:pPr>
      <w:r w:rsidRPr="002A2EA6">
        <w:rPr>
          <w:lang w:val="fr-FR"/>
        </w:rPr>
        <w:tab/>
        <w:t>d)</w:t>
      </w:r>
      <w:r w:rsidRPr="002A2EA6">
        <w:rPr>
          <w:lang w:val="fr-FR"/>
        </w:rPr>
        <w:tab/>
        <w:t>De publier le rapport sur le site Web de la Convention et d</w:t>
      </w:r>
      <w:r w:rsidR="00CA4DAC">
        <w:rPr>
          <w:lang w:val="fr-FR"/>
        </w:rPr>
        <w:t>’</w:t>
      </w:r>
      <w:r w:rsidRPr="002A2EA6">
        <w:rPr>
          <w:lang w:val="fr-FR"/>
        </w:rPr>
        <w:t>inviter les Parties et autres intéressés à présenter des observations d</w:t>
      </w:r>
      <w:r w:rsidR="00CA4DAC">
        <w:rPr>
          <w:lang w:val="fr-FR"/>
        </w:rPr>
        <w:t>’</w:t>
      </w:r>
      <w:r w:rsidRPr="002A2EA6">
        <w:rPr>
          <w:lang w:val="fr-FR"/>
        </w:rPr>
        <w:t xml:space="preserve">ici au 30 janvier 2021 ; </w:t>
      </w:r>
    </w:p>
    <w:p w14:paraId="1CEE718B" w14:textId="77777777" w:rsidR="002A2EA6" w:rsidRPr="002A2EA6" w:rsidRDefault="002A2EA6" w:rsidP="002A2EA6">
      <w:pPr>
        <w:pStyle w:val="NormalNonumber"/>
        <w:rPr>
          <w:lang w:val="fr-FR"/>
        </w:rPr>
      </w:pPr>
      <w:r w:rsidRPr="002A2EA6">
        <w:rPr>
          <w:lang w:val="fr-FR"/>
        </w:rPr>
        <w:tab/>
        <w:t>e)</w:t>
      </w:r>
      <w:r w:rsidRPr="002A2EA6">
        <w:rPr>
          <w:lang w:val="fr-FR"/>
        </w:rPr>
        <w:tab/>
        <w:t xml:space="preserve">De réviser, en collaboration avec le Partenariat, le projet de rapport, en tenant compte des nouvelles contributions reçues des Parties et autres intéressés ; </w:t>
      </w:r>
    </w:p>
    <w:p w14:paraId="0286AAC8" w14:textId="77777777" w:rsidR="002A2EA6" w:rsidRPr="002A2EA6" w:rsidRDefault="002A2EA6" w:rsidP="002A2EA6">
      <w:pPr>
        <w:pStyle w:val="NormalNonumber"/>
        <w:rPr>
          <w:lang w:val="fr-FR"/>
        </w:rPr>
      </w:pPr>
      <w:r w:rsidRPr="002A2EA6">
        <w:rPr>
          <w:lang w:val="fr-FR"/>
        </w:rPr>
        <w:tab/>
        <w:t>f)</w:t>
      </w:r>
      <w:r w:rsidRPr="002A2EA6">
        <w:rPr>
          <w:lang w:val="fr-FR"/>
        </w:rPr>
        <w:tab/>
        <w:t>De lui soumettre le rapport final à sa quatrième réunion pour examen.</w:t>
      </w:r>
    </w:p>
    <w:p w14:paraId="03526080" w14:textId="77777777" w:rsidR="002A2EA6" w:rsidRPr="002A2EA6" w:rsidRDefault="002A2EA6" w:rsidP="002A2EA6">
      <w:pPr>
        <w:tabs>
          <w:tab w:val="clear" w:pos="1247"/>
          <w:tab w:val="clear" w:pos="1814"/>
          <w:tab w:val="clear" w:pos="2381"/>
          <w:tab w:val="clear" w:pos="2948"/>
          <w:tab w:val="clear" w:pos="3515"/>
        </w:tabs>
        <w:rPr>
          <w:b/>
          <w:sz w:val="24"/>
          <w:szCs w:val="24"/>
        </w:rPr>
      </w:pPr>
      <w:r w:rsidRPr="002A2EA6">
        <w:br w:type="page"/>
      </w:r>
    </w:p>
    <w:p w14:paraId="0A4CB791" w14:textId="77777777" w:rsidR="002A2EA6" w:rsidRPr="00091854" w:rsidRDefault="002A2EA6" w:rsidP="002A2EA6">
      <w:pPr>
        <w:pStyle w:val="CH2"/>
        <w:rPr>
          <w:sz w:val="28"/>
          <w:szCs w:val="28"/>
          <w:lang w:val="fr-FR"/>
        </w:rPr>
      </w:pPr>
      <w:r w:rsidRPr="00091854">
        <w:rPr>
          <w:sz w:val="28"/>
          <w:szCs w:val="28"/>
          <w:lang w:val="fr-FR"/>
        </w:rPr>
        <w:lastRenderedPageBreak/>
        <w:tab/>
      </w:r>
      <w:r w:rsidRPr="00091854">
        <w:rPr>
          <w:sz w:val="28"/>
          <w:szCs w:val="28"/>
          <w:lang w:val="fr-FR"/>
        </w:rPr>
        <w:tab/>
      </w:r>
      <w:bookmarkStart w:id="75" w:name="_Toc39063352"/>
      <w:r w:rsidRPr="00091854">
        <w:rPr>
          <w:sz w:val="28"/>
          <w:szCs w:val="28"/>
          <w:lang w:val="fr-FR"/>
        </w:rPr>
        <w:t>MC-3/4 : Rejets de mercure</w:t>
      </w:r>
      <w:bookmarkEnd w:id="75"/>
    </w:p>
    <w:p w14:paraId="3C2AEE78" w14:textId="77777777" w:rsidR="002A2EA6" w:rsidRPr="002A2EA6" w:rsidRDefault="002A2EA6" w:rsidP="002A2EA6">
      <w:pPr>
        <w:pStyle w:val="NormalNonumber"/>
        <w:rPr>
          <w:bCs/>
          <w:i/>
          <w:lang w:val="fr-FR"/>
        </w:rPr>
      </w:pPr>
      <w:r w:rsidRPr="002A2EA6">
        <w:rPr>
          <w:lang w:val="fr-FR"/>
        </w:rPr>
        <w:tab/>
      </w:r>
      <w:r w:rsidRPr="002A2EA6">
        <w:rPr>
          <w:i/>
          <w:lang w:val="fr-FR"/>
        </w:rPr>
        <w:t>La Conférence des Parties,</w:t>
      </w:r>
    </w:p>
    <w:p w14:paraId="560B37AB" w14:textId="47A1AB33" w:rsidR="002A2EA6" w:rsidRPr="002A2EA6" w:rsidRDefault="002A2EA6" w:rsidP="002A2EA6">
      <w:pPr>
        <w:pStyle w:val="NormalNonumber"/>
        <w:rPr>
          <w:bCs/>
          <w:lang w:val="fr-FR"/>
        </w:rPr>
      </w:pPr>
      <w:r w:rsidRPr="002A2EA6">
        <w:rPr>
          <w:i/>
          <w:iCs/>
          <w:lang w:val="fr-FR"/>
        </w:rPr>
        <w:tab/>
        <w:t xml:space="preserve">Se félicitant </w:t>
      </w:r>
      <w:r w:rsidRPr="002A2EA6">
        <w:rPr>
          <w:lang w:val="fr-FR"/>
        </w:rPr>
        <w:t>du rapport du groupe d</w:t>
      </w:r>
      <w:r w:rsidR="00CA4DAC">
        <w:rPr>
          <w:lang w:val="fr-FR"/>
        </w:rPr>
        <w:t>’</w:t>
      </w:r>
      <w:r w:rsidRPr="002A2EA6">
        <w:rPr>
          <w:lang w:val="fr-FR"/>
        </w:rPr>
        <w:t>experts techniques sur les orientations concernant les rejets de mercure, établi comme suite à la décision MC-2/3,</w:t>
      </w:r>
    </w:p>
    <w:p w14:paraId="07638D17" w14:textId="5A17E736" w:rsidR="002A2EA6" w:rsidRPr="002A2EA6" w:rsidRDefault="002A2EA6" w:rsidP="002A2EA6">
      <w:pPr>
        <w:pStyle w:val="NormalNonumber"/>
        <w:rPr>
          <w:bCs/>
          <w:lang w:val="fr-FR"/>
        </w:rPr>
      </w:pPr>
      <w:r w:rsidRPr="002A2EA6">
        <w:rPr>
          <w:i/>
          <w:iCs/>
          <w:lang w:val="fr-FR"/>
        </w:rPr>
        <w:tab/>
        <w:t xml:space="preserve">Sachant </w:t>
      </w:r>
      <w:r w:rsidRPr="002A2EA6">
        <w:rPr>
          <w:iCs/>
          <w:lang w:val="fr-FR"/>
        </w:rPr>
        <w:t>qu</w:t>
      </w:r>
      <w:r w:rsidR="00CA4DAC">
        <w:rPr>
          <w:iCs/>
          <w:lang w:val="fr-FR"/>
        </w:rPr>
        <w:t>’</w:t>
      </w:r>
      <w:r w:rsidRPr="002A2EA6">
        <w:rPr>
          <w:iCs/>
          <w:lang w:val="fr-FR"/>
        </w:rPr>
        <w:t xml:space="preserve">elle avait, dans sa </w:t>
      </w:r>
      <w:r w:rsidRPr="002A2EA6">
        <w:rPr>
          <w:lang w:val="fr-FR"/>
        </w:rPr>
        <w:t>décision MC-2/3, prié le groupe d</w:t>
      </w:r>
      <w:r w:rsidR="00CA4DAC">
        <w:rPr>
          <w:lang w:val="fr-FR"/>
        </w:rPr>
        <w:t>’</w:t>
      </w:r>
      <w:r w:rsidRPr="002A2EA6">
        <w:rPr>
          <w:lang w:val="fr-FR"/>
        </w:rPr>
        <w:t>élaborer un projet d</w:t>
      </w:r>
      <w:r w:rsidR="00CA4DAC">
        <w:rPr>
          <w:lang w:val="fr-FR"/>
        </w:rPr>
        <w:t>’</w:t>
      </w:r>
      <w:r w:rsidRPr="002A2EA6">
        <w:rPr>
          <w:lang w:val="fr-FR"/>
        </w:rPr>
        <w:t>orientations sur les méthodes normalisées et connues d</w:t>
      </w:r>
      <w:r w:rsidR="00CA4DAC">
        <w:rPr>
          <w:lang w:val="fr-FR"/>
        </w:rPr>
        <w:t>’</w:t>
      </w:r>
      <w:r w:rsidRPr="002A2EA6">
        <w:rPr>
          <w:lang w:val="fr-FR"/>
        </w:rPr>
        <w:t>établissement d</w:t>
      </w:r>
      <w:r w:rsidR="00CA4DAC">
        <w:rPr>
          <w:lang w:val="fr-FR"/>
        </w:rPr>
        <w:t>’</w:t>
      </w:r>
      <w:r w:rsidRPr="002A2EA6">
        <w:rPr>
          <w:lang w:val="fr-FR"/>
        </w:rPr>
        <w:t>inventaires applicables aux sources ponctuelles pertinentes identifiées, pour qu</w:t>
      </w:r>
      <w:r w:rsidR="00CA4DAC">
        <w:rPr>
          <w:lang w:val="fr-FR"/>
        </w:rPr>
        <w:t>’</w:t>
      </w:r>
      <w:r w:rsidRPr="002A2EA6">
        <w:rPr>
          <w:lang w:val="fr-FR"/>
        </w:rPr>
        <w:t>elle l</w:t>
      </w:r>
      <w:r w:rsidR="00CA4DAC">
        <w:rPr>
          <w:lang w:val="fr-FR"/>
        </w:rPr>
        <w:t>’</w:t>
      </w:r>
      <w:r w:rsidRPr="002A2EA6">
        <w:rPr>
          <w:lang w:val="fr-FR"/>
        </w:rPr>
        <w:t>adopte éventuellement à sa quatrième réunion,</w:t>
      </w:r>
    </w:p>
    <w:p w14:paraId="11286966" w14:textId="6DCB1BC3" w:rsidR="002A2EA6" w:rsidRPr="002A2EA6" w:rsidRDefault="002A2EA6" w:rsidP="002A2EA6">
      <w:pPr>
        <w:pStyle w:val="NormalNonumber"/>
        <w:rPr>
          <w:bCs/>
          <w:lang w:val="fr-FR"/>
        </w:rPr>
      </w:pPr>
      <w:r w:rsidRPr="002A2EA6">
        <w:rPr>
          <w:i/>
          <w:iCs/>
          <w:lang w:val="fr-FR"/>
        </w:rPr>
        <w:tab/>
        <w:t>Sachant également</w:t>
      </w:r>
      <w:r w:rsidRPr="002A2EA6">
        <w:rPr>
          <w:lang w:val="fr-FR"/>
        </w:rPr>
        <w:t xml:space="preserve"> qu</w:t>
      </w:r>
      <w:r w:rsidR="00CA4DAC">
        <w:rPr>
          <w:lang w:val="fr-FR"/>
        </w:rPr>
        <w:t>’</w:t>
      </w:r>
      <w:r w:rsidRPr="002A2EA6">
        <w:rPr>
          <w:lang w:val="fr-FR"/>
        </w:rPr>
        <w:t>elle avait indiqué, dans sa décision MC-2/3, qu</w:t>
      </w:r>
      <w:r w:rsidR="00CA4DAC">
        <w:rPr>
          <w:lang w:val="fr-FR"/>
        </w:rPr>
        <w:t>’</w:t>
      </w:r>
      <w:r w:rsidRPr="002A2EA6">
        <w:rPr>
          <w:lang w:val="fr-FR"/>
        </w:rPr>
        <w:t>elle réexaminerait, à sa troisième réunion, la composition du groupe d</w:t>
      </w:r>
      <w:r w:rsidR="00CA4DAC">
        <w:rPr>
          <w:lang w:val="fr-FR"/>
        </w:rPr>
        <w:t>’</w:t>
      </w:r>
      <w:r w:rsidRPr="002A2EA6">
        <w:rPr>
          <w:lang w:val="fr-FR"/>
        </w:rPr>
        <w:t>experts et la nécessité que ses membres se réunissent en présentiel,</w:t>
      </w:r>
    </w:p>
    <w:p w14:paraId="566030D1" w14:textId="139AAE98" w:rsidR="002A2EA6" w:rsidRPr="002A2EA6" w:rsidRDefault="002A2EA6" w:rsidP="002A2EA6">
      <w:pPr>
        <w:pStyle w:val="Normalnumber"/>
        <w:numPr>
          <w:ilvl w:val="0"/>
          <w:numId w:val="36"/>
        </w:numPr>
        <w:ind w:firstLine="567"/>
        <w:rPr>
          <w:lang w:val="fr-FR"/>
        </w:rPr>
      </w:pPr>
      <w:r w:rsidRPr="002A2EA6">
        <w:rPr>
          <w:i/>
          <w:iCs/>
          <w:lang w:val="fr-FR"/>
        </w:rPr>
        <w:t xml:space="preserve">Invite </w:t>
      </w:r>
      <w:r w:rsidRPr="002A2EA6">
        <w:rPr>
          <w:lang w:val="fr-FR"/>
        </w:rPr>
        <w:t>les Parties à confirmer les membres faisant actuellement partie du groupe, à désigner de nouveaux membres ou à remplacer des membres, selon qu</w:t>
      </w:r>
      <w:r w:rsidR="00CA4DAC">
        <w:rPr>
          <w:lang w:val="fr-FR"/>
        </w:rPr>
        <w:t>’</w:t>
      </w:r>
      <w:r w:rsidRPr="002A2EA6">
        <w:rPr>
          <w:lang w:val="fr-FR"/>
        </w:rPr>
        <w:t>il conviendra, par l</w:t>
      </w:r>
      <w:r w:rsidR="00CA4DAC">
        <w:rPr>
          <w:lang w:val="fr-FR"/>
        </w:rPr>
        <w:t>’</w:t>
      </w:r>
      <w:r w:rsidRPr="002A2EA6">
        <w:rPr>
          <w:lang w:val="fr-FR"/>
        </w:rPr>
        <w:t>intermédiaire de leurs membres siégeant au Bureau ;</w:t>
      </w:r>
    </w:p>
    <w:p w14:paraId="433D95B2" w14:textId="27ABA0F4" w:rsidR="002A2EA6" w:rsidRPr="002A2EA6" w:rsidRDefault="002A2EA6" w:rsidP="002A2EA6">
      <w:pPr>
        <w:pStyle w:val="Normalnumber"/>
        <w:numPr>
          <w:ilvl w:val="0"/>
          <w:numId w:val="36"/>
        </w:numPr>
        <w:ind w:firstLine="567"/>
        <w:rPr>
          <w:lang w:val="fr-FR"/>
        </w:rPr>
      </w:pPr>
      <w:r w:rsidRPr="002A2EA6">
        <w:rPr>
          <w:i/>
          <w:iCs/>
          <w:lang w:val="fr-FR"/>
        </w:rPr>
        <w:t xml:space="preserve">Prie </w:t>
      </w:r>
      <w:r w:rsidRPr="002A2EA6">
        <w:rPr>
          <w:lang w:val="fr-FR"/>
        </w:rPr>
        <w:t>le groupe de continuer à travailler par voie électronique, en organisant une réunion en présentiel si nécessaire et sous réserve de la disponibilité de ressources, conformément à la feuille de route figurant dans le rapport sur l</w:t>
      </w:r>
      <w:r w:rsidR="00CA4DAC">
        <w:rPr>
          <w:lang w:val="fr-FR"/>
        </w:rPr>
        <w:t>’</w:t>
      </w:r>
      <w:r w:rsidRPr="002A2EA6">
        <w:rPr>
          <w:lang w:val="fr-FR"/>
        </w:rPr>
        <w:t>élaboration d</w:t>
      </w:r>
      <w:r w:rsidR="00CA4DAC">
        <w:rPr>
          <w:lang w:val="fr-FR"/>
        </w:rPr>
        <w:t>’</w:t>
      </w:r>
      <w:r w:rsidRPr="002A2EA6">
        <w:rPr>
          <w:lang w:val="fr-FR"/>
        </w:rPr>
        <w:t>orientations concernant les méthodes à suivre pour établir les inventaires des rejets de mercure dans le sol et l</w:t>
      </w:r>
      <w:r w:rsidR="00CA4DAC">
        <w:rPr>
          <w:lang w:val="fr-FR"/>
        </w:rPr>
        <w:t>’</w:t>
      </w:r>
      <w:r w:rsidRPr="002A2EA6">
        <w:rPr>
          <w:lang w:val="fr-FR"/>
        </w:rPr>
        <w:t>eau conformément à l</w:t>
      </w:r>
      <w:r w:rsidR="00CA4DAC">
        <w:rPr>
          <w:lang w:val="fr-FR"/>
        </w:rPr>
        <w:t>’</w:t>
      </w:r>
      <w:r w:rsidRPr="002A2EA6">
        <w:rPr>
          <w:lang w:val="fr-FR"/>
        </w:rPr>
        <w:t>article 9 de la Convention</w:t>
      </w:r>
      <w:r w:rsidRPr="002A2EA6">
        <w:rPr>
          <w:rStyle w:val="FootnoteReference"/>
          <w:lang w:val="fr-FR"/>
        </w:rPr>
        <w:footnoteReference w:id="2"/>
      </w:r>
      <w:r w:rsidRPr="002A2EA6">
        <w:rPr>
          <w:lang w:val="fr-FR"/>
        </w:rPr>
        <w:t>, afin de produire un rapport comprenant un projet d</w:t>
      </w:r>
      <w:r w:rsidR="00CA4DAC">
        <w:rPr>
          <w:lang w:val="fr-FR"/>
        </w:rPr>
        <w:t>’</w:t>
      </w:r>
      <w:r w:rsidRPr="002A2EA6">
        <w:rPr>
          <w:lang w:val="fr-FR"/>
        </w:rPr>
        <w:t>orientations sur les méthodes d</w:t>
      </w:r>
      <w:r w:rsidR="00CA4DAC">
        <w:rPr>
          <w:lang w:val="fr-FR"/>
        </w:rPr>
        <w:t>’</w:t>
      </w:r>
      <w:r w:rsidRPr="002A2EA6">
        <w:rPr>
          <w:lang w:val="fr-FR"/>
        </w:rPr>
        <w:t>établissement d</w:t>
      </w:r>
      <w:r w:rsidR="00CA4DAC">
        <w:rPr>
          <w:lang w:val="fr-FR"/>
        </w:rPr>
        <w:t>’</w:t>
      </w:r>
      <w:r w:rsidRPr="002A2EA6">
        <w:rPr>
          <w:lang w:val="fr-FR"/>
        </w:rPr>
        <w:t>inventaires des rejets, un projet de liste des catégories de sources ponctuelles de rejets et une feuille de route encadrant l</w:t>
      </w:r>
      <w:r w:rsidR="00CA4DAC">
        <w:rPr>
          <w:lang w:val="fr-FR"/>
        </w:rPr>
        <w:t>’</w:t>
      </w:r>
      <w:r w:rsidRPr="002A2EA6">
        <w:rPr>
          <w:lang w:val="fr-FR"/>
        </w:rPr>
        <w:t>élaboration d</w:t>
      </w:r>
      <w:r w:rsidR="00CA4DAC">
        <w:rPr>
          <w:lang w:val="fr-FR"/>
        </w:rPr>
        <w:t>’</w:t>
      </w:r>
      <w:r w:rsidRPr="002A2EA6">
        <w:rPr>
          <w:lang w:val="fr-FR"/>
        </w:rPr>
        <w:t>orientations sur les meilleures techniques disponibles et les meilleures pratiques environnementales</w:t>
      </w:r>
      <w:r w:rsidRPr="002A2EA6">
        <w:rPr>
          <w:vertAlign w:val="superscript"/>
          <w:lang w:val="fr-FR"/>
        </w:rPr>
        <w:t> ;</w:t>
      </w:r>
    </w:p>
    <w:p w14:paraId="2CA4AA5A" w14:textId="77777777" w:rsidR="002A2EA6" w:rsidRPr="002A2EA6" w:rsidRDefault="002A2EA6" w:rsidP="002A2EA6">
      <w:pPr>
        <w:pStyle w:val="Normalnumber"/>
        <w:numPr>
          <w:ilvl w:val="0"/>
          <w:numId w:val="36"/>
        </w:numPr>
        <w:ind w:firstLine="567"/>
        <w:rPr>
          <w:lang w:val="fr-FR"/>
        </w:rPr>
      </w:pPr>
      <w:r w:rsidRPr="002A2EA6">
        <w:rPr>
          <w:i/>
          <w:iCs/>
          <w:lang w:val="fr-FR"/>
        </w:rPr>
        <w:t>Prie également</w:t>
      </w:r>
      <w:r w:rsidRPr="002A2EA6">
        <w:rPr>
          <w:lang w:val="fr-FR"/>
        </w:rPr>
        <w:t xml:space="preserve"> le groupe de fonder ses travaux sur les considérations suivantes :</w:t>
      </w:r>
    </w:p>
    <w:p w14:paraId="44280C9F" w14:textId="0736E225" w:rsidR="002A2EA6" w:rsidRPr="002A2EA6" w:rsidRDefault="002A2EA6" w:rsidP="002A2EA6">
      <w:pPr>
        <w:pStyle w:val="Normalnumber"/>
        <w:numPr>
          <w:ilvl w:val="1"/>
          <w:numId w:val="36"/>
        </w:numPr>
        <w:rPr>
          <w:lang w:val="fr-FR"/>
        </w:rPr>
      </w:pPr>
      <w:r w:rsidRPr="002A2EA6">
        <w:rPr>
          <w:lang w:val="fr-FR"/>
        </w:rPr>
        <w:t>Les catégories proposées ne sont pas censées inclure les sources ponctuelles pertinentes potentiellement importantes de rejets qui sont traités dans d</w:t>
      </w:r>
      <w:r w:rsidR="00CA4DAC">
        <w:rPr>
          <w:lang w:val="fr-FR"/>
        </w:rPr>
        <w:t>’</w:t>
      </w:r>
      <w:r w:rsidRPr="002A2EA6">
        <w:rPr>
          <w:lang w:val="fr-FR"/>
        </w:rPr>
        <w:t>autres dispositions de la Convention de Minamata sur le mercure, que ces autres dispositions prévoient ou non une obligation d</w:t>
      </w:r>
      <w:r w:rsidR="00CA4DAC">
        <w:rPr>
          <w:lang w:val="fr-FR"/>
        </w:rPr>
        <w:t>’</w:t>
      </w:r>
      <w:r w:rsidRPr="002A2EA6">
        <w:rPr>
          <w:lang w:val="fr-FR"/>
        </w:rPr>
        <w:t>inventaire </w:t>
      </w:r>
    </w:p>
    <w:p w14:paraId="4F790601" w14:textId="721B8ADE" w:rsidR="002A2EA6" w:rsidRPr="002A2EA6" w:rsidRDefault="002A2EA6" w:rsidP="002A2EA6">
      <w:pPr>
        <w:pStyle w:val="Normalnumber"/>
        <w:numPr>
          <w:ilvl w:val="1"/>
          <w:numId w:val="36"/>
        </w:numPr>
        <w:rPr>
          <w:lang w:val="fr-FR"/>
        </w:rPr>
      </w:pPr>
      <w:r w:rsidRPr="002A2EA6">
        <w:rPr>
          <w:lang w:val="fr-FR"/>
        </w:rPr>
        <w:t>Étant donné que l</w:t>
      </w:r>
      <w:r w:rsidR="00CA4DAC">
        <w:rPr>
          <w:lang w:val="fr-FR"/>
        </w:rPr>
        <w:t>’</w:t>
      </w:r>
      <w:r w:rsidRPr="002A2EA6">
        <w:rPr>
          <w:lang w:val="fr-FR"/>
        </w:rPr>
        <w:t>article 9 de la Convention porte sur les sources ponctuelles pertinentes, les sources diffuses ne devraient pas être incluses dans les catégories proposées. Les catégories recensées dans les orientations devraient également être limitées aux catégories de sources pour lesquelles des rejets de mercure ont été constatés ;</w:t>
      </w:r>
    </w:p>
    <w:p w14:paraId="70E830D2" w14:textId="74877EE5" w:rsidR="002A2EA6" w:rsidRPr="002A2EA6" w:rsidRDefault="002A2EA6" w:rsidP="002A2EA6">
      <w:pPr>
        <w:pStyle w:val="Normalnumber"/>
        <w:numPr>
          <w:ilvl w:val="1"/>
          <w:numId w:val="36"/>
        </w:numPr>
        <w:rPr>
          <w:lang w:val="fr-FR"/>
        </w:rPr>
      </w:pPr>
      <w:r w:rsidRPr="002A2EA6">
        <w:rPr>
          <w:lang w:val="fr-FR"/>
        </w:rPr>
        <w:t>L</w:t>
      </w:r>
      <w:r w:rsidR="00CA4DAC">
        <w:rPr>
          <w:lang w:val="fr-FR"/>
        </w:rPr>
        <w:t>’</w:t>
      </w:r>
      <w:r w:rsidRPr="002A2EA6">
        <w:rPr>
          <w:lang w:val="fr-FR"/>
        </w:rPr>
        <w:t>obligation d</w:t>
      </w:r>
      <w:r w:rsidR="00CA4DAC">
        <w:rPr>
          <w:lang w:val="fr-FR"/>
        </w:rPr>
        <w:t>’</w:t>
      </w:r>
      <w:r w:rsidRPr="002A2EA6">
        <w:rPr>
          <w:lang w:val="fr-FR"/>
        </w:rPr>
        <w:t>assurer la gestion écologiquement rationnelle des déchets énoncée dans la Convention porte sur les rejets importants dans le sol et dans l</w:t>
      </w:r>
      <w:r w:rsidR="00CA4DAC">
        <w:rPr>
          <w:lang w:val="fr-FR"/>
        </w:rPr>
        <w:t>’</w:t>
      </w:r>
      <w:r w:rsidRPr="002A2EA6">
        <w:rPr>
          <w:lang w:val="fr-FR"/>
        </w:rPr>
        <w:t xml:space="preserve">eau ; </w:t>
      </w:r>
    </w:p>
    <w:p w14:paraId="16A5EE0A" w14:textId="76142FFF" w:rsidR="002A2EA6" w:rsidRPr="002A2EA6" w:rsidRDefault="002A2EA6" w:rsidP="002A2EA6">
      <w:pPr>
        <w:pStyle w:val="Normalnumber"/>
        <w:numPr>
          <w:ilvl w:val="1"/>
          <w:numId w:val="36"/>
        </w:numPr>
        <w:rPr>
          <w:lang w:val="fr-FR"/>
        </w:rPr>
      </w:pPr>
      <w:r w:rsidRPr="002A2EA6">
        <w:rPr>
          <w:lang w:val="fr-FR"/>
        </w:rPr>
        <w:t>Bien que les eaux usées soient visées à l</w:t>
      </w:r>
      <w:r w:rsidR="00CA4DAC">
        <w:rPr>
          <w:lang w:val="fr-FR"/>
        </w:rPr>
        <w:t>’</w:t>
      </w:r>
      <w:r w:rsidRPr="002A2EA6">
        <w:rPr>
          <w:lang w:val="fr-FR"/>
        </w:rPr>
        <w:t>article 9, les Parties peuvent également contrôler les eaux usées au titre de l</w:t>
      </w:r>
      <w:r w:rsidR="00CA4DAC">
        <w:rPr>
          <w:lang w:val="fr-FR"/>
        </w:rPr>
        <w:t>’</w:t>
      </w:r>
      <w:r w:rsidRPr="002A2EA6">
        <w:rPr>
          <w:lang w:val="fr-FR"/>
        </w:rPr>
        <w:t>article 11 de la Convention ;</w:t>
      </w:r>
    </w:p>
    <w:p w14:paraId="76A9B1F2" w14:textId="71B6C58E" w:rsidR="002A2EA6" w:rsidRPr="002A2EA6" w:rsidRDefault="002A2EA6" w:rsidP="002A2EA6">
      <w:pPr>
        <w:pStyle w:val="Normalnumber"/>
        <w:numPr>
          <w:ilvl w:val="1"/>
          <w:numId w:val="36"/>
        </w:numPr>
        <w:rPr>
          <w:lang w:val="fr-FR"/>
        </w:rPr>
      </w:pPr>
      <w:r w:rsidRPr="002A2EA6">
        <w:rPr>
          <w:lang w:val="fr-FR"/>
        </w:rPr>
        <w:t>Sous réserve que les travaux décrits ci-dessus soient achevés et en vue d</w:t>
      </w:r>
      <w:r w:rsidR="00CA4DAC">
        <w:rPr>
          <w:lang w:val="fr-FR"/>
        </w:rPr>
        <w:t>’</w:t>
      </w:r>
      <w:r w:rsidRPr="002A2EA6">
        <w:rPr>
          <w:lang w:val="fr-FR"/>
        </w:rPr>
        <w:t>aider les Parties qui souhaitent élargir la portée de l</w:t>
      </w:r>
      <w:r w:rsidR="00CA4DAC">
        <w:rPr>
          <w:lang w:val="fr-FR"/>
        </w:rPr>
        <w:t>’</w:t>
      </w:r>
      <w:r w:rsidRPr="002A2EA6">
        <w:rPr>
          <w:lang w:val="fr-FR"/>
        </w:rPr>
        <w:t>inventaire visé au paragraphe 6 de l</w:t>
      </w:r>
      <w:r w:rsidR="00CA4DAC">
        <w:rPr>
          <w:lang w:val="fr-FR"/>
        </w:rPr>
        <w:t>’</w:t>
      </w:r>
      <w:r w:rsidRPr="002A2EA6">
        <w:rPr>
          <w:lang w:val="fr-FR"/>
        </w:rPr>
        <w:t>article 9 à des sources ponctuelles autres que celles visées à l</w:t>
      </w:r>
      <w:r w:rsidR="00CA4DAC">
        <w:rPr>
          <w:lang w:val="fr-FR"/>
        </w:rPr>
        <w:t>’</w:t>
      </w:r>
      <w:r w:rsidRPr="002A2EA6">
        <w:rPr>
          <w:lang w:val="fr-FR"/>
        </w:rPr>
        <w:t>article 9, les orientations concernant la méthode d</w:t>
      </w:r>
      <w:r w:rsidR="00CA4DAC">
        <w:rPr>
          <w:lang w:val="fr-FR"/>
        </w:rPr>
        <w:t>’</w:t>
      </w:r>
      <w:r w:rsidRPr="002A2EA6">
        <w:rPr>
          <w:lang w:val="fr-FR"/>
        </w:rPr>
        <w:t>établissement des inventaires des rejets devraient également fournir des informations sur les sources ponctuelles importantes de rejets figurant dans d</w:t>
      </w:r>
      <w:r w:rsidR="00CA4DAC">
        <w:rPr>
          <w:lang w:val="fr-FR"/>
        </w:rPr>
        <w:t>’</w:t>
      </w:r>
      <w:r w:rsidRPr="002A2EA6">
        <w:rPr>
          <w:lang w:val="fr-FR"/>
        </w:rPr>
        <w:t>autres dispositions de la Convention ;</w:t>
      </w:r>
    </w:p>
    <w:p w14:paraId="671C9995" w14:textId="77777777" w:rsidR="002A2EA6" w:rsidRPr="002A2EA6" w:rsidRDefault="002A2EA6" w:rsidP="002A2EA6">
      <w:pPr>
        <w:pStyle w:val="Normalnumber"/>
        <w:numPr>
          <w:ilvl w:val="0"/>
          <w:numId w:val="36"/>
        </w:numPr>
        <w:ind w:firstLine="567"/>
        <w:rPr>
          <w:bCs/>
          <w:lang w:val="fr-FR"/>
        </w:rPr>
      </w:pPr>
      <w:r w:rsidRPr="002A2EA6">
        <w:rPr>
          <w:i/>
          <w:iCs/>
          <w:lang w:val="fr-FR"/>
        </w:rPr>
        <w:t xml:space="preserve">Prie </w:t>
      </w:r>
      <w:r w:rsidRPr="002A2EA6">
        <w:rPr>
          <w:lang w:val="fr-FR"/>
        </w:rPr>
        <w:t>le secrétariat de continuer à aider le groupe dans ses travaux.</w:t>
      </w:r>
    </w:p>
    <w:p w14:paraId="4F3CCEF5" w14:textId="77777777" w:rsidR="002A2EA6" w:rsidRPr="002A2EA6" w:rsidRDefault="002A2EA6" w:rsidP="002A2EA6">
      <w:pPr>
        <w:tabs>
          <w:tab w:val="clear" w:pos="1247"/>
          <w:tab w:val="clear" w:pos="1814"/>
          <w:tab w:val="clear" w:pos="2381"/>
          <w:tab w:val="clear" w:pos="2948"/>
          <w:tab w:val="clear" w:pos="3515"/>
        </w:tabs>
        <w:rPr>
          <w:b/>
          <w:sz w:val="24"/>
          <w:szCs w:val="24"/>
        </w:rPr>
      </w:pPr>
      <w:r w:rsidRPr="002A2EA6">
        <w:br w:type="page"/>
      </w:r>
    </w:p>
    <w:p w14:paraId="6ADC6112" w14:textId="77777777" w:rsidR="002A2EA6" w:rsidRPr="00091854" w:rsidRDefault="002A2EA6" w:rsidP="002A2EA6">
      <w:pPr>
        <w:pStyle w:val="CH2"/>
        <w:rPr>
          <w:sz w:val="28"/>
          <w:szCs w:val="28"/>
          <w:lang w:val="fr-FR"/>
        </w:rPr>
      </w:pPr>
      <w:r w:rsidRPr="00091854">
        <w:rPr>
          <w:sz w:val="28"/>
          <w:szCs w:val="28"/>
          <w:lang w:val="fr-FR"/>
        </w:rPr>
        <w:lastRenderedPageBreak/>
        <w:tab/>
      </w:r>
      <w:r w:rsidRPr="00091854">
        <w:rPr>
          <w:sz w:val="28"/>
          <w:szCs w:val="28"/>
          <w:lang w:val="fr-FR"/>
        </w:rPr>
        <w:tab/>
      </w:r>
      <w:bookmarkStart w:id="76" w:name="_Toc39063353"/>
      <w:r w:rsidRPr="00091854">
        <w:rPr>
          <w:sz w:val="28"/>
          <w:szCs w:val="28"/>
          <w:lang w:val="fr-FR"/>
        </w:rPr>
        <w:t>MC-3/5 : Seuils applicables aux déchets de mercure</w:t>
      </w:r>
      <w:bookmarkEnd w:id="76"/>
    </w:p>
    <w:p w14:paraId="2384E81A" w14:textId="77777777" w:rsidR="002A2EA6" w:rsidRPr="002A2EA6" w:rsidRDefault="002A2EA6" w:rsidP="002A2EA6">
      <w:pPr>
        <w:pStyle w:val="NormalNonumber"/>
        <w:rPr>
          <w:i/>
          <w:iCs/>
          <w:lang w:val="fr-FR"/>
        </w:rPr>
      </w:pPr>
      <w:r w:rsidRPr="002A2EA6">
        <w:rPr>
          <w:lang w:val="fr-FR"/>
        </w:rPr>
        <w:tab/>
      </w:r>
      <w:r w:rsidRPr="002A2EA6">
        <w:rPr>
          <w:i/>
          <w:iCs/>
          <w:lang w:val="fr-FR"/>
        </w:rPr>
        <w:t>La Conférence des Parties,</w:t>
      </w:r>
    </w:p>
    <w:p w14:paraId="3CC8EAF6" w14:textId="407C4ABC" w:rsidR="002A2EA6" w:rsidRPr="002A2EA6" w:rsidRDefault="002A2EA6" w:rsidP="002A2EA6">
      <w:pPr>
        <w:pStyle w:val="NormalNonumber"/>
        <w:rPr>
          <w:lang w:val="fr-FR"/>
        </w:rPr>
      </w:pPr>
      <w:r w:rsidRPr="002A2EA6">
        <w:rPr>
          <w:i/>
          <w:lang w:val="fr-FR"/>
        </w:rPr>
        <w:tab/>
        <w:t xml:space="preserve">Accueillant avec satisfaction </w:t>
      </w:r>
      <w:r w:rsidRPr="002A2EA6">
        <w:rPr>
          <w:lang w:val="fr-FR"/>
        </w:rPr>
        <w:t>les résultats des travaux du groupe d</w:t>
      </w:r>
      <w:r w:rsidR="00CA4DAC">
        <w:rPr>
          <w:lang w:val="fr-FR"/>
        </w:rPr>
        <w:t>’</w:t>
      </w:r>
      <w:r w:rsidRPr="002A2EA6">
        <w:rPr>
          <w:lang w:val="fr-FR"/>
        </w:rPr>
        <w:t>experts techniques sur les seuils applicables aux déchets de mercure,</w:t>
      </w:r>
    </w:p>
    <w:p w14:paraId="02EABE15" w14:textId="17542330" w:rsidR="002A2EA6" w:rsidRPr="002A2EA6" w:rsidRDefault="002A2EA6" w:rsidP="002A2EA6">
      <w:pPr>
        <w:pStyle w:val="NormalNonumber"/>
        <w:rPr>
          <w:lang w:val="fr-FR"/>
        </w:rPr>
      </w:pPr>
      <w:r w:rsidRPr="002A2EA6">
        <w:rPr>
          <w:i/>
          <w:lang w:val="fr-FR"/>
        </w:rPr>
        <w:tab/>
        <w:t xml:space="preserve">Prenant note </w:t>
      </w:r>
      <w:r w:rsidRPr="002A2EA6">
        <w:rPr>
          <w:lang w:val="fr-FR"/>
        </w:rPr>
        <w:t xml:space="preserve">de la décision BC-14/8 </w:t>
      </w:r>
      <w:r w:rsidR="00E63EDF">
        <w:rPr>
          <w:lang w:val="fr-FR"/>
        </w:rPr>
        <w:t>(D</w:t>
      </w:r>
      <w:r w:rsidR="00E63EDF">
        <w:t>irectives techniques sur la gestion écologiquement rationnelle des déchets constitués de mercure ou de composés du mercure, en contenant ou contaminés par ces substances)</w:t>
      </w:r>
      <w:r w:rsidR="00566247">
        <w:t>,</w:t>
      </w:r>
      <w:r w:rsidR="00E63EDF">
        <w:t xml:space="preserve"> </w:t>
      </w:r>
      <w:r w:rsidRPr="002A2EA6">
        <w:rPr>
          <w:lang w:val="fr-FR"/>
        </w:rPr>
        <w:t xml:space="preserve">adoptée par la Conférence des Parties à la Convention de Bâle sur le contrôle des mouvements transfrontières de déchets dangereux et de leur élimination à sa quatorzième réunion, </w:t>
      </w:r>
    </w:p>
    <w:p w14:paraId="028ACF86" w14:textId="07DFAA49" w:rsidR="002A2EA6" w:rsidRPr="002A2EA6" w:rsidRDefault="002A2EA6" w:rsidP="002A2EA6">
      <w:pPr>
        <w:pStyle w:val="Normalnumber"/>
        <w:numPr>
          <w:ilvl w:val="0"/>
          <w:numId w:val="37"/>
        </w:numPr>
        <w:ind w:firstLine="567"/>
        <w:rPr>
          <w:rFonts w:eastAsia="MS PGothic"/>
          <w:lang w:val="fr-FR"/>
        </w:rPr>
      </w:pPr>
      <w:r w:rsidRPr="002A2EA6">
        <w:rPr>
          <w:i/>
          <w:lang w:val="fr-FR"/>
        </w:rPr>
        <w:t xml:space="preserve">Décide </w:t>
      </w:r>
      <w:r w:rsidRPr="002A2EA6">
        <w:rPr>
          <w:rFonts w:eastAsia="MS PGothic"/>
          <w:lang w:val="fr-FR"/>
        </w:rPr>
        <w:t>qu</w:t>
      </w:r>
      <w:r w:rsidR="00CA4DAC">
        <w:rPr>
          <w:rFonts w:eastAsia="MS PGothic"/>
          <w:lang w:val="fr-FR"/>
        </w:rPr>
        <w:t>’</w:t>
      </w:r>
      <w:r w:rsidRPr="002A2EA6">
        <w:rPr>
          <w:rFonts w:eastAsia="MS PGothic"/>
          <w:lang w:val="fr-FR"/>
        </w:rPr>
        <w:t>aucun seuil n</w:t>
      </w:r>
      <w:r w:rsidR="00CA4DAC">
        <w:rPr>
          <w:rFonts w:eastAsia="MS PGothic"/>
          <w:lang w:val="fr-FR"/>
        </w:rPr>
        <w:t>’</w:t>
      </w:r>
      <w:r w:rsidRPr="002A2EA6">
        <w:rPr>
          <w:rFonts w:eastAsia="MS PGothic"/>
          <w:lang w:val="fr-FR"/>
        </w:rPr>
        <w:t>a besoin d</w:t>
      </w:r>
      <w:r w:rsidR="00CA4DAC">
        <w:rPr>
          <w:rFonts w:eastAsia="MS PGothic"/>
          <w:lang w:val="fr-FR"/>
        </w:rPr>
        <w:t>’</w:t>
      </w:r>
      <w:r w:rsidRPr="002A2EA6">
        <w:rPr>
          <w:rFonts w:eastAsia="MS PGothic"/>
          <w:lang w:val="fr-FR"/>
        </w:rPr>
        <w:t>être établi pour les déchets de mercure relevant de l</w:t>
      </w:r>
      <w:r w:rsidR="00CA4DAC">
        <w:rPr>
          <w:rFonts w:eastAsia="MS PGothic"/>
          <w:lang w:val="fr-FR"/>
        </w:rPr>
        <w:t>’</w:t>
      </w:r>
      <w:r w:rsidRPr="002A2EA6">
        <w:rPr>
          <w:rFonts w:eastAsia="MS PGothic"/>
          <w:lang w:val="fr-FR"/>
        </w:rPr>
        <w:t>alinéa 2 a) de l</w:t>
      </w:r>
      <w:r w:rsidR="00CA4DAC">
        <w:rPr>
          <w:rFonts w:eastAsia="MS PGothic"/>
          <w:lang w:val="fr-FR"/>
        </w:rPr>
        <w:t>’</w:t>
      </w:r>
      <w:r w:rsidRPr="002A2EA6">
        <w:rPr>
          <w:rFonts w:eastAsia="MS PGothic"/>
          <w:lang w:val="fr-FR"/>
        </w:rPr>
        <w:t>article 11 et que les déchets énumérés dans le tableau 1 de l</w:t>
      </w:r>
      <w:r w:rsidR="00CA4DAC">
        <w:rPr>
          <w:rFonts w:eastAsia="MS PGothic"/>
          <w:lang w:val="fr-FR"/>
        </w:rPr>
        <w:t>’</w:t>
      </w:r>
      <w:r w:rsidRPr="002A2EA6">
        <w:rPr>
          <w:rFonts w:eastAsia="MS PGothic"/>
          <w:lang w:val="fr-FR"/>
        </w:rPr>
        <w:t>annexe à la présente décision sont considérés comme des déchets de mercure ;</w:t>
      </w:r>
    </w:p>
    <w:p w14:paraId="2247FB62" w14:textId="50321FE8" w:rsidR="002A2EA6" w:rsidRPr="002A2EA6" w:rsidRDefault="002A2EA6" w:rsidP="002A2EA6">
      <w:pPr>
        <w:pStyle w:val="Normalnumber"/>
        <w:numPr>
          <w:ilvl w:val="0"/>
          <w:numId w:val="37"/>
        </w:numPr>
        <w:ind w:firstLine="567"/>
        <w:rPr>
          <w:rFonts w:eastAsia="MS PGothic"/>
          <w:lang w:val="fr-FR"/>
        </w:rPr>
      </w:pPr>
      <w:r w:rsidRPr="002A2EA6">
        <w:rPr>
          <w:rFonts w:eastAsia="MS PGothic"/>
          <w:i/>
          <w:lang w:val="fr-FR"/>
        </w:rPr>
        <w:t xml:space="preserve">Décide également </w:t>
      </w:r>
      <w:r w:rsidRPr="002A2EA6">
        <w:rPr>
          <w:rFonts w:eastAsia="MS PGothic"/>
          <w:lang w:val="fr-FR"/>
        </w:rPr>
        <w:t>qu</w:t>
      </w:r>
      <w:r w:rsidR="00CA4DAC">
        <w:rPr>
          <w:rFonts w:eastAsia="MS PGothic"/>
          <w:lang w:val="fr-FR"/>
        </w:rPr>
        <w:t>’</w:t>
      </w:r>
      <w:r w:rsidRPr="002A2EA6">
        <w:rPr>
          <w:rFonts w:eastAsia="MS PGothic"/>
          <w:lang w:val="fr-FR"/>
        </w:rPr>
        <w:t>aucun seuil n</w:t>
      </w:r>
      <w:r w:rsidR="00CA4DAC">
        <w:rPr>
          <w:rFonts w:eastAsia="MS PGothic"/>
          <w:lang w:val="fr-FR"/>
        </w:rPr>
        <w:t>’</w:t>
      </w:r>
      <w:r w:rsidRPr="002A2EA6">
        <w:rPr>
          <w:rFonts w:eastAsia="MS PGothic"/>
          <w:lang w:val="fr-FR"/>
        </w:rPr>
        <w:t>a besoin d</w:t>
      </w:r>
      <w:r w:rsidR="00CA4DAC">
        <w:rPr>
          <w:rFonts w:eastAsia="MS PGothic"/>
          <w:lang w:val="fr-FR"/>
        </w:rPr>
        <w:t>’</w:t>
      </w:r>
      <w:r w:rsidRPr="002A2EA6">
        <w:rPr>
          <w:rFonts w:eastAsia="MS PGothic"/>
          <w:lang w:val="fr-FR"/>
        </w:rPr>
        <w:t>être établi pour les déchets de mercure relevant de l</w:t>
      </w:r>
      <w:r w:rsidR="00CA4DAC">
        <w:rPr>
          <w:rFonts w:eastAsia="MS PGothic"/>
          <w:lang w:val="fr-FR"/>
        </w:rPr>
        <w:t>’</w:t>
      </w:r>
      <w:r w:rsidRPr="002A2EA6">
        <w:rPr>
          <w:rFonts w:eastAsia="MS PGothic"/>
          <w:lang w:val="fr-FR"/>
        </w:rPr>
        <w:t>alinéa 2 b) de l</w:t>
      </w:r>
      <w:r w:rsidR="00CA4DAC">
        <w:rPr>
          <w:rFonts w:eastAsia="MS PGothic"/>
          <w:lang w:val="fr-FR"/>
        </w:rPr>
        <w:t>’</w:t>
      </w:r>
      <w:r w:rsidRPr="002A2EA6">
        <w:rPr>
          <w:rFonts w:eastAsia="MS PGothic"/>
          <w:lang w:val="fr-FR"/>
        </w:rPr>
        <w:t>article 11 et que les produits contenant du mercure ajouté qu</w:t>
      </w:r>
      <w:r w:rsidR="00CA4DAC">
        <w:rPr>
          <w:rFonts w:eastAsia="MS PGothic"/>
          <w:lang w:val="fr-FR"/>
        </w:rPr>
        <w:t>’</w:t>
      </w:r>
      <w:r w:rsidRPr="002A2EA6">
        <w:rPr>
          <w:rFonts w:eastAsia="MS PGothic"/>
          <w:lang w:val="fr-FR"/>
        </w:rPr>
        <w:t>on élimine, qu</w:t>
      </w:r>
      <w:r w:rsidR="00CA4DAC">
        <w:rPr>
          <w:rFonts w:eastAsia="MS PGothic"/>
          <w:lang w:val="fr-FR"/>
        </w:rPr>
        <w:t>’</w:t>
      </w:r>
      <w:r w:rsidRPr="002A2EA6">
        <w:rPr>
          <w:rFonts w:eastAsia="MS PGothic"/>
          <w:lang w:val="fr-FR"/>
        </w:rPr>
        <w:t>on a l</w:t>
      </w:r>
      <w:r w:rsidR="00CA4DAC">
        <w:rPr>
          <w:rFonts w:eastAsia="MS PGothic"/>
          <w:lang w:val="fr-FR"/>
        </w:rPr>
        <w:t>’</w:t>
      </w:r>
      <w:r w:rsidRPr="002A2EA6">
        <w:rPr>
          <w:rFonts w:eastAsia="MS PGothic"/>
          <w:lang w:val="fr-FR"/>
        </w:rPr>
        <w:t>intention d</w:t>
      </w:r>
      <w:r w:rsidR="00CA4DAC">
        <w:rPr>
          <w:rFonts w:eastAsia="MS PGothic"/>
          <w:lang w:val="fr-FR"/>
        </w:rPr>
        <w:t>’</w:t>
      </w:r>
      <w:r w:rsidRPr="002A2EA6">
        <w:rPr>
          <w:rFonts w:eastAsia="MS PGothic"/>
          <w:lang w:val="fr-FR"/>
        </w:rPr>
        <w:t>éliminer ou qu</w:t>
      </w:r>
      <w:r w:rsidR="00CA4DAC">
        <w:rPr>
          <w:rFonts w:eastAsia="MS PGothic"/>
          <w:lang w:val="fr-FR"/>
        </w:rPr>
        <w:t>’</w:t>
      </w:r>
      <w:r w:rsidRPr="002A2EA6">
        <w:rPr>
          <w:rFonts w:eastAsia="MS PGothic"/>
          <w:lang w:val="fr-FR"/>
        </w:rPr>
        <w:t>on est tenu d</w:t>
      </w:r>
      <w:r w:rsidR="00CA4DAC">
        <w:rPr>
          <w:rFonts w:eastAsia="MS PGothic"/>
          <w:lang w:val="fr-FR"/>
        </w:rPr>
        <w:t>’</w:t>
      </w:r>
      <w:r w:rsidRPr="002A2EA6">
        <w:rPr>
          <w:rFonts w:eastAsia="MS PGothic"/>
          <w:lang w:val="fr-FR"/>
        </w:rPr>
        <w:t>éliminer, y compris ceux énumérés dans le tableau 2 de l</w:t>
      </w:r>
      <w:r w:rsidR="00CA4DAC">
        <w:rPr>
          <w:rFonts w:eastAsia="MS PGothic"/>
          <w:lang w:val="fr-FR"/>
        </w:rPr>
        <w:t>’</w:t>
      </w:r>
      <w:r w:rsidRPr="002A2EA6">
        <w:rPr>
          <w:rFonts w:eastAsia="MS PGothic"/>
          <w:lang w:val="fr-FR"/>
        </w:rPr>
        <w:t>annexe à la présente décision, seront considérés comme des déchets de mercure ;</w:t>
      </w:r>
    </w:p>
    <w:p w14:paraId="3E83B5D0" w14:textId="2E2CA60E" w:rsidR="002A2EA6" w:rsidRPr="002A2EA6" w:rsidRDefault="002A2EA6" w:rsidP="002A2EA6">
      <w:pPr>
        <w:pStyle w:val="Normalnumber"/>
        <w:numPr>
          <w:ilvl w:val="0"/>
          <w:numId w:val="37"/>
        </w:numPr>
        <w:ind w:firstLine="567"/>
        <w:rPr>
          <w:rFonts w:eastAsia="MS PGothic"/>
          <w:lang w:val="fr-FR"/>
        </w:rPr>
      </w:pPr>
      <w:r w:rsidRPr="002A2EA6">
        <w:rPr>
          <w:rFonts w:eastAsia="MS PGothic"/>
          <w:i/>
          <w:lang w:val="fr-FR"/>
        </w:rPr>
        <w:t xml:space="preserve">Prie </w:t>
      </w:r>
      <w:r w:rsidRPr="002A2EA6">
        <w:rPr>
          <w:rFonts w:eastAsia="MS PGothic"/>
          <w:lang w:val="fr-FR"/>
        </w:rPr>
        <w:t xml:space="preserve">le </w:t>
      </w:r>
      <w:r w:rsidRPr="002A2EA6">
        <w:rPr>
          <w:lang w:val="fr-FR"/>
        </w:rPr>
        <w:t>groupe d</w:t>
      </w:r>
      <w:r w:rsidR="00CA4DAC">
        <w:rPr>
          <w:lang w:val="fr-FR"/>
        </w:rPr>
        <w:t>’</w:t>
      </w:r>
      <w:r w:rsidRPr="002A2EA6">
        <w:rPr>
          <w:lang w:val="fr-FR"/>
        </w:rPr>
        <w:t xml:space="preserve">experts techniques de justifier davantage </w:t>
      </w:r>
      <w:r w:rsidRPr="002A2EA6">
        <w:rPr>
          <w:rFonts w:eastAsia="MS PGothic"/>
          <w:lang w:val="fr-FR"/>
        </w:rPr>
        <w:t>sa recommandation selon laquelle un seuil de concentration totale pourrait convenir pour les déchets de mercure relevant de l</w:t>
      </w:r>
      <w:r w:rsidR="00CA4DAC">
        <w:rPr>
          <w:rFonts w:eastAsia="MS PGothic"/>
          <w:lang w:val="fr-FR"/>
        </w:rPr>
        <w:t>’</w:t>
      </w:r>
      <w:r w:rsidRPr="002A2EA6">
        <w:rPr>
          <w:rFonts w:eastAsia="MS PGothic"/>
          <w:lang w:val="fr-FR"/>
        </w:rPr>
        <w:t>alinéa 2 c) de l</w:t>
      </w:r>
      <w:r w:rsidR="00CA4DAC">
        <w:rPr>
          <w:rFonts w:eastAsia="MS PGothic"/>
          <w:lang w:val="fr-FR"/>
        </w:rPr>
        <w:t>’</w:t>
      </w:r>
      <w:r w:rsidRPr="002A2EA6">
        <w:rPr>
          <w:rFonts w:eastAsia="MS PGothic"/>
          <w:lang w:val="fr-FR"/>
        </w:rPr>
        <w:t>article 11, notamment de produire une analyse technique des solutions et un examen des conséquences possibles ;</w:t>
      </w:r>
    </w:p>
    <w:p w14:paraId="5DE2CF3E" w14:textId="6D38D7FE" w:rsidR="002A2EA6" w:rsidRPr="002A2EA6" w:rsidRDefault="002A2EA6" w:rsidP="002A2EA6">
      <w:pPr>
        <w:pStyle w:val="Normalnumber"/>
        <w:numPr>
          <w:ilvl w:val="0"/>
          <w:numId w:val="37"/>
        </w:numPr>
        <w:ind w:firstLine="567"/>
        <w:rPr>
          <w:rFonts w:eastAsia="MS PGothic"/>
          <w:w w:val="0"/>
          <w:lang w:val="fr-FR"/>
        </w:rPr>
      </w:pPr>
      <w:bookmarkStart w:id="77" w:name="_DV_C811"/>
      <w:r w:rsidRPr="002A2EA6">
        <w:rPr>
          <w:i/>
          <w:iCs/>
          <w:lang w:val="fr-FR"/>
        </w:rPr>
        <w:t>Prie</w:t>
      </w:r>
      <w:r w:rsidRPr="002A2EA6">
        <w:rPr>
          <w:lang w:val="fr-FR"/>
        </w:rPr>
        <w:t xml:space="preserve"> le secrétariat, agissant en coopération avec le partenariat pour l</w:t>
      </w:r>
      <w:r w:rsidR="00CA4DAC">
        <w:rPr>
          <w:lang w:val="fr-FR"/>
        </w:rPr>
        <w:t>’</w:t>
      </w:r>
      <w:r w:rsidRPr="002A2EA6">
        <w:rPr>
          <w:lang w:val="fr-FR"/>
        </w:rPr>
        <w:t>extraction minière artisanale et à petite échelle d</w:t>
      </w:r>
      <w:r w:rsidR="00CA4DAC">
        <w:rPr>
          <w:lang w:val="fr-FR"/>
        </w:rPr>
        <w:t>’</w:t>
      </w:r>
      <w:r w:rsidRPr="002A2EA6">
        <w:rPr>
          <w:lang w:val="fr-FR"/>
        </w:rPr>
        <w:t>or, de solliciter les observations des Parties et des autres parties prenantes afin d</w:t>
      </w:r>
      <w:r w:rsidR="00CA4DAC">
        <w:rPr>
          <w:lang w:val="fr-FR"/>
        </w:rPr>
        <w:t>’</w:t>
      </w:r>
      <w:r w:rsidRPr="002A2EA6">
        <w:rPr>
          <w:lang w:val="fr-FR"/>
        </w:rPr>
        <w:t>améliorer les orientations relatives à l</w:t>
      </w:r>
      <w:r w:rsidR="00CA4DAC">
        <w:rPr>
          <w:lang w:val="fr-FR"/>
        </w:rPr>
        <w:t>’</w:t>
      </w:r>
      <w:r w:rsidRPr="002A2EA6">
        <w:rPr>
          <w:lang w:val="fr-FR"/>
        </w:rPr>
        <w:t>établissement des plans d</w:t>
      </w:r>
      <w:r w:rsidR="00CA4DAC">
        <w:rPr>
          <w:lang w:val="fr-FR"/>
        </w:rPr>
        <w:t>’</w:t>
      </w:r>
      <w:r w:rsidRPr="002A2EA6">
        <w:rPr>
          <w:lang w:val="fr-FR"/>
        </w:rPr>
        <w:t>action nationaux en matière d</w:t>
      </w:r>
      <w:r w:rsidR="00CA4DAC">
        <w:rPr>
          <w:lang w:val="fr-FR"/>
        </w:rPr>
        <w:t>’</w:t>
      </w:r>
      <w:r w:rsidRPr="002A2EA6">
        <w:rPr>
          <w:lang w:val="fr-FR"/>
        </w:rPr>
        <w:t>extraction artisanale et à petite échelle d</w:t>
      </w:r>
      <w:r w:rsidR="00CA4DAC">
        <w:rPr>
          <w:lang w:val="fr-FR"/>
        </w:rPr>
        <w:t>’</w:t>
      </w:r>
      <w:r w:rsidRPr="002A2EA6">
        <w:rPr>
          <w:lang w:val="fr-FR"/>
        </w:rPr>
        <w:t>or en ce qui concerne la gestion des résidus issus de ces activités, de sorte qu</w:t>
      </w:r>
      <w:r w:rsidR="00CA4DAC">
        <w:rPr>
          <w:lang w:val="fr-FR"/>
        </w:rPr>
        <w:t>’</w:t>
      </w:r>
      <w:r w:rsidRPr="002A2EA6">
        <w:rPr>
          <w:lang w:val="fr-FR"/>
        </w:rPr>
        <w:t>elle puisse examiner et, éventuellement, adopter une version révisée des orientations à sa quatrième réunion ;</w:t>
      </w:r>
      <w:bookmarkEnd w:id="77"/>
    </w:p>
    <w:p w14:paraId="61355FD4" w14:textId="05EA7C39" w:rsidR="002A2EA6" w:rsidRPr="002A2EA6" w:rsidRDefault="002A2EA6" w:rsidP="002A2EA6">
      <w:pPr>
        <w:pStyle w:val="Normalnumber"/>
        <w:numPr>
          <w:ilvl w:val="0"/>
          <w:numId w:val="37"/>
        </w:numPr>
        <w:ind w:firstLine="567"/>
        <w:rPr>
          <w:rFonts w:eastAsia="MS PGothic"/>
          <w:iCs/>
          <w:lang w:val="fr-FR"/>
        </w:rPr>
      </w:pPr>
      <w:r w:rsidRPr="002A2EA6">
        <w:rPr>
          <w:rFonts w:eastAsia="MS PGothic"/>
          <w:i/>
          <w:lang w:val="fr-FR"/>
        </w:rPr>
        <w:t xml:space="preserve">Décide </w:t>
      </w:r>
      <w:r w:rsidRPr="002A2EA6">
        <w:rPr>
          <w:rFonts w:eastAsia="MS PGothic"/>
          <w:lang w:val="fr-FR"/>
        </w:rPr>
        <w:t>qu</w:t>
      </w:r>
      <w:r w:rsidR="00CA4DAC">
        <w:rPr>
          <w:rFonts w:eastAsia="MS PGothic"/>
          <w:lang w:val="fr-FR"/>
        </w:rPr>
        <w:t>’</w:t>
      </w:r>
      <w:r w:rsidRPr="002A2EA6">
        <w:rPr>
          <w:rFonts w:eastAsia="MS PGothic"/>
          <w:lang w:val="fr-FR"/>
        </w:rPr>
        <w:t>il n</w:t>
      </w:r>
      <w:r w:rsidR="00CA4DAC">
        <w:rPr>
          <w:rFonts w:eastAsia="MS PGothic"/>
          <w:lang w:val="fr-FR"/>
        </w:rPr>
        <w:t>’</w:t>
      </w:r>
      <w:r w:rsidRPr="002A2EA6">
        <w:rPr>
          <w:rFonts w:eastAsia="MS PGothic"/>
          <w:lang w:val="fr-FR"/>
        </w:rPr>
        <w:t>est pas à l</w:t>
      </w:r>
      <w:r w:rsidR="00CA4DAC">
        <w:rPr>
          <w:rFonts w:eastAsia="MS PGothic"/>
          <w:lang w:val="fr-FR"/>
        </w:rPr>
        <w:t>’</w:t>
      </w:r>
      <w:r w:rsidRPr="002A2EA6">
        <w:rPr>
          <w:rFonts w:eastAsia="MS PGothic"/>
          <w:lang w:val="fr-FR"/>
        </w:rPr>
        <w:t>heure actuelle nécessaire d</w:t>
      </w:r>
      <w:r w:rsidR="00CA4DAC">
        <w:rPr>
          <w:rFonts w:eastAsia="MS PGothic"/>
          <w:lang w:val="fr-FR"/>
        </w:rPr>
        <w:t>’</w:t>
      </w:r>
      <w:r w:rsidRPr="002A2EA6">
        <w:rPr>
          <w:rFonts w:eastAsia="MS PGothic"/>
          <w:lang w:val="fr-FR"/>
        </w:rPr>
        <w:t>établir des seuils pour les morts</w:t>
      </w:r>
      <w:r w:rsidRPr="002A2EA6">
        <w:rPr>
          <w:rFonts w:eastAsia="MS PGothic"/>
          <w:lang w:val="fr-FR"/>
        </w:rPr>
        <w:noBreakHyphen/>
        <w:t>terrains et les déchets de rocs provenant de l</w:t>
      </w:r>
      <w:r w:rsidR="00CA4DAC">
        <w:rPr>
          <w:rFonts w:eastAsia="MS PGothic"/>
          <w:lang w:val="fr-FR"/>
        </w:rPr>
        <w:t>’</w:t>
      </w:r>
      <w:r w:rsidRPr="002A2EA6">
        <w:rPr>
          <w:rFonts w:eastAsia="MS PGothic"/>
          <w:lang w:val="fr-FR"/>
        </w:rPr>
        <w:t>extraction minière, à l</w:t>
      </w:r>
      <w:r w:rsidR="00CA4DAC">
        <w:rPr>
          <w:rFonts w:eastAsia="MS PGothic"/>
          <w:lang w:val="fr-FR"/>
        </w:rPr>
        <w:t>’</w:t>
      </w:r>
      <w:r w:rsidRPr="002A2EA6">
        <w:rPr>
          <w:rFonts w:eastAsia="MS PGothic"/>
          <w:lang w:val="fr-FR"/>
        </w:rPr>
        <w:t>exception de l</w:t>
      </w:r>
      <w:r w:rsidR="00CA4DAC">
        <w:rPr>
          <w:rFonts w:eastAsia="MS PGothic"/>
          <w:lang w:val="fr-FR"/>
        </w:rPr>
        <w:t>’</w:t>
      </w:r>
      <w:r w:rsidRPr="002A2EA6">
        <w:rPr>
          <w:rFonts w:eastAsia="MS PGothic"/>
          <w:lang w:val="fr-FR"/>
        </w:rPr>
        <w:t>extraction minière primaire de mercure, et que les seuils pour les résidus provenant de l</w:t>
      </w:r>
      <w:r w:rsidR="00CA4DAC">
        <w:rPr>
          <w:rFonts w:eastAsia="MS PGothic"/>
          <w:lang w:val="fr-FR"/>
        </w:rPr>
        <w:t>’</w:t>
      </w:r>
      <w:r w:rsidRPr="002A2EA6">
        <w:rPr>
          <w:rFonts w:eastAsia="MS PGothic"/>
          <w:lang w:val="fr-FR"/>
        </w:rPr>
        <w:t>extraction minière, à l</w:t>
      </w:r>
      <w:r w:rsidR="00CA4DAC">
        <w:rPr>
          <w:rFonts w:eastAsia="MS PGothic"/>
          <w:lang w:val="fr-FR"/>
        </w:rPr>
        <w:t>’</w:t>
      </w:r>
      <w:r w:rsidRPr="002A2EA6">
        <w:rPr>
          <w:rFonts w:eastAsia="MS PGothic"/>
          <w:lang w:val="fr-FR"/>
        </w:rPr>
        <w:t>exception de l</w:t>
      </w:r>
      <w:r w:rsidR="00CA4DAC">
        <w:rPr>
          <w:rFonts w:eastAsia="MS PGothic"/>
          <w:lang w:val="fr-FR"/>
        </w:rPr>
        <w:t>’</w:t>
      </w:r>
      <w:r w:rsidRPr="002A2EA6">
        <w:rPr>
          <w:rFonts w:eastAsia="MS PGothic"/>
          <w:lang w:val="fr-FR"/>
        </w:rPr>
        <w:t>extraction minière primaire de mercure, devraient être établis selon une méthode d</w:t>
      </w:r>
      <w:r w:rsidR="00CA4DAC">
        <w:rPr>
          <w:rFonts w:eastAsia="MS PGothic"/>
          <w:lang w:val="fr-FR"/>
        </w:rPr>
        <w:t>’</w:t>
      </w:r>
      <w:r w:rsidRPr="002A2EA6">
        <w:rPr>
          <w:rFonts w:eastAsia="MS PGothic"/>
          <w:lang w:val="fr-FR"/>
        </w:rPr>
        <w:t>approche à deux niveaux, en utilisant le seuil de concentration totale comme premier filtre et un seuil de lixiviation comme second niveau, et prie le groupe d</w:t>
      </w:r>
      <w:r w:rsidR="00CA4DAC">
        <w:rPr>
          <w:rFonts w:eastAsia="MS PGothic"/>
          <w:lang w:val="fr-FR"/>
        </w:rPr>
        <w:t>’</w:t>
      </w:r>
      <w:r w:rsidRPr="002A2EA6">
        <w:rPr>
          <w:rFonts w:eastAsia="MS PGothic"/>
          <w:lang w:val="fr-FR"/>
        </w:rPr>
        <w:t>experts techniques de poursuivre ses travaux afin de définir lesdits seuils ;</w:t>
      </w:r>
    </w:p>
    <w:p w14:paraId="57AA2DD8" w14:textId="6C6248ED" w:rsidR="002A2EA6" w:rsidRPr="002A2EA6" w:rsidRDefault="002A2EA6" w:rsidP="002A2EA6">
      <w:pPr>
        <w:pStyle w:val="Normalnumber"/>
        <w:numPr>
          <w:ilvl w:val="0"/>
          <w:numId w:val="37"/>
        </w:numPr>
        <w:ind w:firstLine="567"/>
        <w:rPr>
          <w:rFonts w:eastAsia="MS PGothic"/>
          <w:lang w:val="fr-FR"/>
        </w:rPr>
      </w:pPr>
      <w:r w:rsidRPr="002A2EA6">
        <w:rPr>
          <w:rFonts w:eastAsia="MS PGothic"/>
          <w:i/>
          <w:lang w:val="fr-FR"/>
        </w:rPr>
        <w:t xml:space="preserve">Décide également </w:t>
      </w:r>
      <w:r w:rsidRPr="002A2EA6">
        <w:rPr>
          <w:rFonts w:eastAsia="MS PGothic"/>
          <w:lang w:val="fr-FR"/>
        </w:rPr>
        <w:t>de proroger le mandat du groupe d</w:t>
      </w:r>
      <w:r w:rsidR="00CA4DAC">
        <w:rPr>
          <w:rFonts w:eastAsia="MS PGothic"/>
          <w:lang w:val="fr-FR"/>
        </w:rPr>
        <w:t>’</w:t>
      </w:r>
      <w:r w:rsidRPr="002A2EA6">
        <w:rPr>
          <w:rFonts w:eastAsia="MS PGothic"/>
          <w:lang w:val="fr-FR"/>
        </w:rPr>
        <w:t>experts techniques jusqu</w:t>
      </w:r>
      <w:r w:rsidR="00CA4DAC">
        <w:rPr>
          <w:rFonts w:eastAsia="MS PGothic"/>
          <w:lang w:val="fr-FR"/>
        </w:rPr>
        <w:t>’</w:t>
      </w:r>
      <w:r w:rsidRPr="002A2EA6">
        <w:rPr>
          <w:rFonts w:eastAsia="MS PGothic"/>
          <w:lang w:val="fr-FR"/>
        </w:rPr>
        <w:t xml:space="preserve">à la quatrième réunion de la Conférence des Parties et invite le secrétariat à coopérer avec le </w:t>
      </w:r>
      <w:r w:rsidRPr="002A2EA6">
        <w:rPr>
          <w:rFonts w:eastAsia="MS PGothic"/>
          <w:w w:val="0"/>
          <w:lang w:val="fr-FR"/>
        </w:rPr>
        <w:t>secrétariat des conventions de Bâle, de Stockholm et de Rotterdam afin de faciliter la coopération entre les membres du groupe d</w:t>
      </w:r>
      <w:r w:rsidR="00CA4DAC">
        <w:rPr>
          <w:rFonts w:eastAsia="MS PGothic"/>
          <w:w w:val="0"/>
          <w:lang w:val="fr-FR"/>
        </w:rPr>
        <w:t>’</w:t>
      </w:r>
      <w:r w:rsidRPr="002A2EA6">
        <w:rPr>
          <w:rFonts w:eastAsia="MS PGothic"/>
          <w:w w:val="0"/>
          <w:lang w:val="fr-FR"/>
        </w:rPr>
        <w:t xml:space="preserve">experts techniques et le </w:t>
      </w:r>
      <w:r w:rsidRPr="002A2EA6">
        <w:rPr>
          <w:rFonts w:eastAsia="MS PGothic"/>
          <w:lang w:val="fr-FR"/>
        </w:rPr>
        <w:t>petit groupe de travail intersessions créé au titre de la Convention de Bâle afin de mettre à jour les directives techniques sur la gestion écologiquement rationnelle des déchets constitués de mercure ou de composés du mercure, en contenant ou contaminés par ces substances</w:t>
      </w:r>
      <w:r w:rsidRPr="002A2EA6">
        <w:rPr>
          <w:rStyle w:val="FootnoteReference"/>
          <w:rFonts w:eastAsia="MS PGothic"/>
          <w:lang w:val="fr-FR"/>
        </w:rPr>
        <w:footnoteReference w:id="3"/>
      </w:r>
      <w:r w:rsidRPr="002A2EA6">
        <w:rPr>
          <w:rFonts w:eastAsia="MS PGothic"/>
          <w:lang w:val="fr-FR"/>
        </w:rPr>
        <w:t> ;</w:t>
      </w:r>
    </w:p>
    <w:p w14:paraId="36AD8B8A" w14:textId="357DCD41" w:rsidR="002A2EA6" w:rsidRPr="002A2EA6" w:rsidRDefault="002A2EA6" w:rsidP="002A2EA6">
      <w:pPr>
        <w:pStyle w:val="Normalnumber"/>
        <w:numPr>
          <w:ilvl w:val="0"/>
          <w:numId w:val="37"/>
        </w:numPr>
        <w:ind w:firstLine="567"/>
        <w:rPr>
          <w:rFonts w:eastAsia="MS PGothic"/>
          <w:iCs/>
          <w:w w:val="0"/>
          <w:lang w:val="fr-FR"/>
        </w:rPr>
      </w:pPr>
      <w:r w:rsidRPr="002A2EA6">
        <w:rPr>
          <w:i/>
          <w:iCs/>
          <w:lang w:val="fr-FR"/>
        </w:rPr>
        <w:t>Décide en outre</w:t>
      </w:r>
      <w:r w:rsidRPr="002A2EA6">
        <w:rPr>
          <w:lang w:val="fr-FR"/>
        </w:rPr>
        <w:t xml:space="preserve"> de confier des attributions supplémentaires au groupe d</w:t>
      </w:r>
      <w:r w:rsidR="00CA4DAC">
        <w:rPr>
          <w:lang w:val="fr-FR"/>
        </w:rPr>
        <w:t>’</w:t>
      </w:r>
      <w:r w:rsidRPr="002A2EA6">
        <w:rPr>
          <w:lang w:val="fr-FR"/>
        </w:rPr>
        <w:t>experts techniques, en l</w:t>
      </w:r>
      <w:r w:rsidR="00CA4DAC">
        <w:rPr>
          <w:lang w:val="fr-FR"/>
        </w:rPr>
        <w:t>’</w:t>
      </w:r>
      <w:r w:rsidRPr="002A2EA6">
        <w:rPr>
          <w:lang w:val="fr-FR"/>
        </w:rPr>
        <w:t xml:space="preserve">occurrence : </w:t>
      </w:r>
      <w:bookmarkStart w:id="78" w:name="_DV_C835"/>
      <w:bookmarkStart w:id="79" w:name="_DV_C836"/>
      <w:bookmarkEnd w:id="78"/>
    </w:p>
    <w:p w14:paraId="3ACEFF54" w14:textId="1C470D12" w:rsidR="002A2EA6" w:rsidRPr="002A2EA6" w:rsidRDefault="002A2EA6" w:rsidP="002A2EA6">
      <w:pPr>
        <w:pStyle w:val="Normalnumber"/>
        <w:numPr>
          <w:ilvl w:val="1"/>
          <w:numId w:val="37"/>
        </w:numPr>
        <w:rPr>
          <w:rFonts w:eastAsia="MS PGothic"/>
          <w:w w:val="0"/>
          <w:lang w:val="fr-FR"/>
        </w:rPr>
      </w:pPr>
      <w:bookmarkStart w:id="80" w:name="_DV_C837"/>
      <w:bookmarkEnd w:id="79"/>
      <w:r w:rsidRPr="002A2EA6">
        <w:rPr>
          <w:lang w:val="fr-FR"/>
        </w:rPr>
        <w:t>Effectuer une analyse technique des seuils possibles compte tenu des effets de l</w:t>
      </w:r>
      <w:r w:rsidR="00CA4DAC">
        <w:rPr>
          <w:lang w:val="fr-FR"/>
        </w:rPr>
        <w:t>’</w:t>
      </w:r>
      <w:r w:rsidRPr="002A2EA6">
        <w:rPr>
          <w:lang w:val="fr-FR"/>
        </w:rPr>
        <w:t>application des différents seuils proposés et formuler des recommandations ;</w:t>
      </w:r>
      <w:bookmarkStart w:id="81" w:name="_DV_C838"/>
      <w:bookmarkEnd w:id="80"/>
    </w:p>
    <w:p w14:paraId="32261D52" w14:textId="26C5E11D" w:rsidR="002A2EA6" w:rsidRPr="002A2EA6" w:rsidRDefault="002A2EA6" w:rsidP="002A2EA6">
      <w:pPr>
        <w:pStyle w:val="Normalnumber"/>
        <w:numPr>
          <w:ilvl w:val="1"/>
          <w:numId w:val="37"/>
        </w:numPr>
        <w:rPr>
          <w:rFonts w:eastAsia="MS PGothic"/>
          <w:w w:val="0"/>
          <w:lang w:val="fr-FR"/>
        </w:rPr>
      </w:pPr>
      <w:bookmarkStart w:id="82" w:name="_DV_C839"/>
      <w:bookmarkEnd w:id="81"/>
      <w:r w:rsidRPr="002A2EA6">
        <w:rPr>
          <w:lang w:val="fr-FR"/>
        </w:rPr>
        <w:t>Définir des seuils applicables aux déchets de mercure relevant d</w:t>
      </w:r>
      <w:r w:rsidR="00E66D35">
        <w:rPr>
          <w:lang w:val="fr-FR"/>
        </w:rPr>
        <w:t>e l</w:t>
      </w:r>
      <w:r w:rsidR="00CA4DAC">
        <w:rPr>
          <w:lang w:val="fr-FR"/>
        </w:rPr>
        <w:t>’</w:t>
      </w:r>
      <w:r w:rsidR="00E66D35">
        <w:rPr>
          <w:lang w:val="fr-FR"/>
        </w:rPr>
        <w:t>alinéa c) d</w:t>
      </w:r>
      <w:r w:rsidRPr="002A2EA6">
        <w:rPr>
          <w:lang w:val="fr-FR"/>
        </w:rPr>
        <w:t>u paragraphe 2 de l</w:t>
      </w:r>
      <w:r w:rsidR="00CA4DAC">
        <w:rPr>
          <w:lang w:val="fr-FR"/>
        </w:rPr>
        <w:t>’</w:t>
      </w:r>
      <w:r w:rsidRPr="002A2EA6">
        <w:rPr>
          <w:lang w:val="fr-FR"/>
        </w:rPr>
        <w:t>article 11 ;</w:t>
      </w:r>
      <w:bookmarkStart w:id="83" w:name="_DV_C840"/>
      <w:bookmarkEnd w:id="82"/>
    </w:p>
    <w:p w14:paraId="7B3FAA87" w14:textId="6AC1B491" w:rsidR="002A2EA6" w:rsidRPr="002A2EA6" w:rsidRDefault="002A2EA6" w:rsidP="002A2EA6">
      <w:pPr>
        <w:pStyle w:val="Normalnumber"/>
        <w:numPr>
          <w:ilvl w:val="1"/>
          <w:numId w:val="37"/>
        </w:numPr>
        <w:rPr>
          <w:rFonts w:eastAsia="MS PGothic"/>
          <w:w w:val="0"/>
          <w:lang w:val="fr-FR"/>
        </w:rPr>
      </w:pPr>
      <w:bookmarkStart w:id="84" w:name="_DV_C841"/>
      <w:bookmarkEnd w:id="83"/>
      <w:r w:rsidRPr="002A2EA6">
        <w:rPr>
          <w:lang w:val="fr-FR"/>
        </w:rPr>
        <w:t>Analyser si les résidus de l</w:t>
      </w:r>
      <w:r w:rsidR="00CA4DAC">
        <w:rPr>
          <w:lang w:val="fr-FR"/>
        </w:rPr>
        <w:t>’</w:t>
      </w:r>
      <w:r w:rsidRPr="002A2EA6">
        <w:rPr>
          <w:lang w:val="fr-FR"/>
        </w:rPr>
        <w:t>extraction minière artisanale et à petite échelle d</w:t>
      </w:r>
      <w:r w:rsidR="00CA4DAC">
        <w:rPr>
          <w:lang w:val="fr-FR"/>
        </w:rPr>
        <w:t>’</w:t>
      </w:r>
      <w:r w:rsidRPr="002A2EA6">
        <w:rPr>
          <w:lang w:val="fr-FR"/>
        </w:rPr>
        <w:t>or doivent être soumis à un seuil, compte tenu du rapport entre les articles 11 et 7 ;</w:t>
      </w:r>
      <w:bookmarkStart w:id="85" w:name="_DV_C842"/>
      <w:bookmarkEnd w:id="84"/>
    </w:p>
    <w:p w14:paraId="547DF1C8" w14:textId="728283F7" w:rsidR="002A2EA6" w:rsidRPr="002A2EA6" w:rsidRDefault="002A2EA6" w:rsidP="002A2EA6">
      <w:pPr>
        <w:pStyle w:val="Normalnumber"/>
        <w:numPr>
          <w:ilvl w:val="1"/>
          <w:numId w:val="37"/>
        </w:numPr>
        <w:rPr>
          <w:rFonts w:eastAsia="MS PGothic"/>
          <w:w w:val="0"/>
          <w:lang w:val="fr-FR"/>
        </w:rPr>
      </w:pPr>
      <w:bookmarkStart w:id="86" w:name="_DV_C843"/>
      <w:bookmarkEnd w:id="85"/>
      <w:r w:rsidRPr="002A2EA6">
        <w:rPr>
          <w:lang w:val="fr-FR"/>
        </w:rPr>
        <w:t>Recommander des seuils concernant les résidus de l</w:t>
      </w:r>
      <w:r w:rsidR="00CA4DAC">
        <w:rPr>
          <w:lang w:val="fr-FR"/>
        </w:rPr>
        <w:t>’</w:t>
      </w:r>
      <w:r w:rsidRPr="002A2EA6">
        <w:rPr>
          <w:lang w:val="fr-FR"/>
        </w:rPr>
        <w:t>extraction industrielle de métaux non ferreux autres que l</w:t>
      </w:r>
      <w:r w:rsidR="00CA4DAC">
        <w:rPr>
          <w:lang w:val="fr-FR"/>
        </w:rPr>
        <w:t>’</w:t>
      </w:r>
      <w:r w:rsidRPr="002A2EA6">
        <w:rPr>
          <w:lang w:val="fr-FR"/>
        </w:rPr>
        <w:t>extraction primaire de mercure ;</w:t>
      </w:r>
      <w:bookmarkStart w:id="87" w:name="_DV_C844"/>
      <w:bookmarkEnd w:id="86"/>
    </w:p>
    <w:p w14:paraId="7EB15F7E" w14:textId="333014B3" w:rsidR="002A2EA6" w:rsidRPr="002A2EA6" w:rsidRDefault="002A2EA6" w:rsidP="002A2EA6">
      <w:pPr>
        <w:pStyle w:val="Normalnumber"/>
        <w:numPr>
          <w:ilvl w:val="1"/>
          <w:numId w:val="37"/>
        </w:numPr>
        <w:rPr>
          <w:rFonts w:eastAsia="MS PGothic"/>
          <w:w w:val="0"/>
          <w:lang w:val="fr-FR"/>
        </w:rPr>
      </w:pPr>
      <w:bookmarkStart w:id="88" w:name="_DV_C845"/>
      <w:bookmarkEnd w:id="87"/>
      <w:r w:rsidRPr="002A2EA6">
        <w:rPr>
          <w:lang w:val="fr-FR"/>
        </w:rPr>
        <w:t>Sous réserve que les activités décrites aux alinéas a) à d) ci-dessus aient été exécutées, examiner les listes de déchets de mercure relevant des alinéas a) à c) du paragraphe 2 de l</w:t>
      </w:r>
      <w:r w:rsidR="00CA4DAC">
        <w:rPr>
          <w:lang w:val="fr-FR"/>
        </w:rPr>
        <w:t>’</w:t>
      </w:r>
      <w:r w:rsidRPr="002A2EA6">
        <w:rPr>
          <w:lang w:val="fr-FR"/>
        </w:rPr>
        <w:t xml:space="preserve">article 11, </w:t>
      </w:r>
      <w:r w:rsidRPr="002A2EA6">
        <w:rPr>
          <w:lang w:val="fr-FR"/>
        </w:rPr>
        <w:lastRenderedPageBreak/>
        <w:t>figurant dans les tableaux 1, 2 et 3 de l</w:t>
      </w:r>
      <w:r w:rsidR="00CA4DAC">
        <w:rPr>
          <w:lang w:val="fr-FR"/>
        </w:rPr>
        <w:t>’</w:t>
      </w:r>
      <w:r w:rsidRPr="002A2EA6">
        <w:rPr>
          <w:lang w:val="fr-FR"/>
        </w:rPr>
        <w:t>annexe à la présente décision, et en recommander éventuellement une révision, s</w:t>
      </w:r>
      <w:r w:rsidR="00CA4DAC">
        <w:rPr>
          <w:lang w:val="fr-FR"/>
        </w:rPr>
        <w:t>’</w:t>
      </w:r>
      <w:r w:rsidRPr="002A2EA6">
        <w:rPr>
          <w:lang w:val="fr-FR"/>
        </w:rPr>
        <w:t>il y a lieu ;</w:t>
      </w:r>
      <w:bookmarkStart w:id="89" w:name="_DV_C846"/>
      <w:bookmarkEnd w:id="88"/>
    </w:p>
    <w:bookmarkEnd w:id="89"/>
    <w:p w14:paraId="75A95CCE" w14:textId="4EA29BF1" w:rsidR="002A2EA6" w:rsidRPr="002A2EA6" w:rsidRDefault="002A2EA6" w:rsidP="002A2EA6">
      <w:pPr>
        <w:pStyle w:val="Normalnumber"/>
        <w:numPr>
          <w:ilvl w:val="0"/>
          <w:numId w:val="37"/>
        </w:numPr>
        <w:ind w:firstLine="567"/>
        <w:rPr>
          <w:rFonts w:eastAsia="MS PGothic"/>
          <w:lang w:val="fr-FR"/>
        </w:rPr>
      </w:pPr>
      <w:r w:rsidRPr="002A2EA6">
        <w:rPr>
          <w:i/>
          <w:iCs/>
          <w:lang w:val="fr-FR"/>
        </w:rPr>
        <w:t xml:space="preserve">Invite </w:t>
      </w:r>
      <w:r w:rsidRPr="002A2EA6">
        <w:rPr>
          <w:lang w:val="fr-FR"/>
        </w:rPr>
        <w:t>les Parties à confirmer les membres faisant actuellement partie du groupe d</w:t>
      </w:r>
      <w:r w:rsidR="00CA4DAC">
        <w:rPr>
          <w:lang w:val="fr-FR"/>
        </w:rPr>
        <w:t>’</w:t>
      </w:r>
      <w:r w:rsidRPr="002A2EA6">
        <w:rPr>
          <w:lang w:val="fr-FR"/>
        </w:rPr>
        <w:t>experts techniques, à nommer de nouveaux membres ou à remplacer des membres, selon qu</w:t>
      </w:r>
      <w:r w:rsidR="00CA4DAC">
        <w:rPr>
          <w:lang w:val="fr-FR"/>
        </w:rPr>
        <w:t>’</w:t>
      </w:r>
      <w:r w:rsidRPr="002A2EA6">
        <w:rPr>
          <w:lang w:val="fr-FR"/>
        </w:rPr>
        <w:t>il conviendra, par l</w:t>
      </w:r>
      <w:r w:rsidR="00CA4DAC">
        <w:rPr>
          <w:lang w:val="fr-FR"/>
        </w:rPr>
        <w:t>’</w:t>
      </w:r>
      <w:r w:rsidRPr="002A2EA6">
        <w:rPr>
          <w:lang w:val="fr-FR"/>
        </w:rPr>
        <w:t>intermédiaire des membres du Bureau représentant les régions, compte tenu de l</w:t>
      </w:r>
      <w:r w:rsidR="00CA4DAC">
        <w:rPr>
          <w:lang w:val="fr-FR"/>
        </w:rPr>
        <w:t>’</w:t>
      </w:r>
      <w:r w:rsidRPr="002A2EA6">
        <w:rPr>
          <w:lang w:val="fr-FR"/>
        </w:rPr>
        <w:t>expertise nécessaire dans les domaines couverts par le mandat du groupe ;</w:t>
      </w:r>
    </w:p>
    <w:p w14:paraId="7D5A4ABC" w14:textId="66639474" w:rsidR="002A2EA6" w:rsidRPr="002A2EA6" w:rsidRDefault="002A2EA6" w:rsidP="002A2EA6">
      <w:pPr>
        <w:pStyle w:val="Normalnumber"/>
        <w:numPr>
          <w:ilvl w:val="0"/>
          <w:numId w:val="37"/>
        </w:numPr>
        <w:ind w:firstLine="567"/>
        <w:rPr>
          <w:rFonts w:eastAsia="MS PGothic"/>
          <w:w w:val="0"/>
          <w:lang w:val="fr-FR"/>
        </w:rPr>
      </w:pPr>
      <w:bookmarkStart w:id="90" w:name="_DV_C855"/>
      <w:r w:rsidRPr="002A2EA6">
        <w:rPr>
          <w:i/>
          <w:iCs/>
          <w:lang w:val="fr-FR"/>
        </w:rPr>
        <w:t>Décide</w:t>
      </w:r>
      <w:r w:rsidRPr="002A2EA6">
        <w:rPr>
          <w:lang w:val="fr-FR"/>
        </w:rPr>
        <w:t xml:space="preserve"> que le groupe d</w:t>
      </w:r>
      <w:r w:rsidR="00CA4DAC">
        <w:rPr>
          <w:lang w:val="fr-FR"/>
        </w:rPr>
        <w:t>’</w:t>
      </w:r>
      <w:r w:rsidRPr="002A2EA6">
        <w:rPr>
          <w:lang w:val="fr-FR"/>
        </w:rPr>
        <w:t>experts techniques effectuera ses travaux par voie électronique et se réunira une fois en présentiel afin d</w:t>
      </w:r>
      <w:r w:rsidR="00CA4DAC">
        <w:rPr>
          <w:lang w:val="fr-FR"/>
        </w:rPr>
        <w:t>’</w:t>
      </w:r>
      <w:r w:rsidRPr="002A2EA6">
        <w:rPr>
          <w:lang w:val="fr-FR"/>
        </w:rPr>
        <w:t>examiner les questions abordées aux paragraphes précédents de la présente décision, procédera à toute mise à jour nécessaire des listes figurant dans les tableaux 1, 2 et 3 de l</w:t>
      </w:r>
      <w:r w:rsidR="00CA4DAC">
        <w:rPr>
          <w:lang w:val="fr-FR"/>
        </w:rPr>
        <w:t>’</w:t>
      </w:r>
      <w:r w:rsidRPr="002A2EA6">
        <w:rPr>
          <w:lang w:val="fr-FR"/>
        </w:rPr>
        <w:t>annexe à la présente décision et lui rendra compte de ses travaux à sa quatrième réunion ;</w:t>
      </w:r>
      <w:bookmarkStart w:id="91" w:name="_DV_X959"/>
      <w:bookmarkStart w:id="92" w:name="_DV_C856"/>
      <w:bookmarkStart w:id="93" w:name="_DV_C857"/>
      <w:bookmarkStart w:id="94" w:name="_DV_X865"/>
      <w:bookmarkStart w:id="95" w:name="_DV_C858"/>
      <w:bookmarkStart w:id="96" w:name="_DV_C859"/>
      <w:bookmarkStart w:id="97" w:name="_DV_X967"/>
      <w:bookmarkStart w:id="98" w:name="_DV_C860"/>
      <w:bookmarkStart w:id="99" w:name="_DV_C861"/>
      <w:bookmarkStart w:id="100" w:name="_DV_C862"/>
      <w:bookmarkEnd w:id="90"/>
      <w:bookmarkEnd w:id="91"/>
      <w:bookmarkEnd w:id="92"/>
      <w:bookmarkEnd w:id="93"/>
      <w:bookmarkEnd w:id="94"/>
      <w:bookmarkEnd w:id="95"/>
      <w:bookmarkEnd w:id="96"/>
      <w:bookmarkEnd w:id="97"/>
      <w:bookmarkEnd w:id="98"/>
      <w:bookmarkEnd w:id="99"/>
    </w:p>
    <w:bookmarkEnd w:id="100"/>
    <w:p w14:paraId="0BF210E7" w14:textId="77777777" w:rsidR="002A2EA6" w:rsidRPr="002A2EA6" w:rsidRDefault="002A2EA6" w:rsidP="002A2EA6">
      <w:pPr>
        <w:pStyle w:val="Normalnumber"/>
        <w:numPr>
          <w:ilvl w:val="0"/>
          <w:numId w:val="37"/>
        </w:numPr>
        <w:ind w:firstLine="567"/>
        <w:rPr>
          <w:rFonts w:eastAsia="MS PGothic"/>
          <w:iCs/>
          <w:w w:val="0"/>
          <w:lang w:val="fr-FR"/>
        </w:rPr>
      </w:pPr>
      <w:r w:rsidRPr="002A2EA6">
        <w:rPr>
          <w:i/>
          <w:iCs/>
          <w:lang w:val="fr-FR"/>
        </w:rPr>
        <w:t>Demande</w:t>
      </w:r>
      <w:r w:rsidRPr="002A2EA6">
        <w:rPr>
          <w:lang w:val="fr-FR"/>
        </w:rPr>
        <w:t xml:space="preserve"> que les dispositions procédurales supplémentaires suivantes orientent les travaux du groupe :</w:t>
      </w:r>
      <w:bookmarkStart w:id="101" w:name="_DV_C867"/>
      <w:bookmarkStart w:id="102" w:name="_DV_C868"/>
      <w:bookmarkEnd w:id="101"/>
    </w:p>
    <w:p w14:paraId="607F121B" w14:textId="77777777" w:rsidR="002A2EA6" w:rsidRPr="002A2EA6" w:rsidRDefault="002A2EA6" w:rsidP="002A2EA6">
      <w:pPr>
        <w:pStyle w:val="Normalnumber"/>
        <w:numPr>
          <w:ilvl w:val="1"/>
          <w:numId w:val="37"/>
        </w:numPr>
        <w:rPr>
          <w:rFonts w:eastAsia="MS PGothic"/>
          <w:w w:val="0"/>
          <w:lang w:val="fr-FR"/>
        </w:rPr>
      </w:pPr>
      <w:bookmarkStart w:id="103" w:name="_DV_C869"/>
      <w:bookmarkEnd w:id="102"/>
      <w:r w:rsidRPr="002A2EA6">
        <w:rPr>
          <w:lang w:val="fr-FR"/>
        </w:rPr>
        <w:t>Tous les experts désignés par les Parties et présents travailleront sur les questions relevant du mandat du groupe, en évitant de traiter séparément les questions techniques ;</w:t>
      </w:r>
      <w:bookmarkStart w:id="104" w:name="_DV_C870"/>
      <w:bookmarkEnd w:id="103"/>
    </w:p>
    <w:p w14:paraId="05E68BC0" w14:textId="31289852" w:rsidR="002A2EA6" w:rsidRPr="002A2EA6" w:rsidRDefault="002A2EA6" w:rsidP="002A2EA6">
      <w:pPr>
        <w:pStyle w:val="Normalnumber"/>
        <w:numPr>
          <w:ilvl w:val="1"/>
          <w:numId w:val="37"/>
        </w:numPr>
        <w:rPr>
          <w:rFonts w:eastAsia="MS PGothic"/>
          <w:w w:val="0"/>
          <w:lang w:val="fr-FR"/>
        </w:rPr>
      </w:pPr>
      <w:bookmarkStart w:id="105" w:name="_DV_C871"/>
      <w:r w:rsidRPr="002A2EA6">
        <w:rPr>
          <w:lang w:val="fr-FR"/>
        </w:rPr>
        <w:t>Toutes les décisions du groupe d</w:t>
      </w:r>
      <w:r w:rsidR="00CA4DAC">
        <w:rPr>
          <w:lang w:val="fr-FR"/>
        </w:rPr>
        <w:t>’</w:t>
      </w:r>
      <w:r w:rsidRPr="002A2EA6">
        <w:rPr>
          <w:lang w:val="fr-FR"/>
        </w:rPr>
        <w:t>experts techniques doivent être prises par consensus. Faute de consensus, le secrétariat doit en prendre note, consigner les débats et les différents avis, et préciser le degré d</w:t>
      </w:r>
      <w:r w:rsidR="00CA4DAC">
        <w:rPr>
          <w:lang w:val="fr-FR"/>
        </w:rPr>
        <w:t>’</w:t>
      </w:r>
      <w:r w:rsidRPr="002A2EA6">
        <w:rPr>
          <w:lang w:val="fr-FR"/>
        </w:rPr>
        <w:t>adhésion remporté par chaque alternative ;</w:t>
      </w:r>
      <w:bookmarkEnd w:id="105"/>
    </w:p>
    <w:p w14:paraId="788BF47A" w14:textId="23379336" w:rsidR="002A2EA6" w:rsidRPr="002A2EA6" w:rsidRDefault="002A2EA6" w:rsidP="002A2EA6">
      <w:pPr>
        <w:pStyle w:val="Normalnumber"/>
        <w:numPr>
          <w:ilvl w:val="1"/>
          <w:numId w:val="37"/>
        </w:numPr>
        <w:rPr>
          <w:rFonts w:eastAsia="MS PGothic"/>
          <w:w w:val="0"/>
          <w:lang w:val="fr-FR"/>
        </w:rPr>
      </w:pPr>
      <w:bookmarkStart w:id="106" w:name="_DV_C873"/>
      <w:r w:rsidRPr="002A2EA6">
        <w:rPr>
          <w:lang w:val="fr-FR"/>
        </w:rPr>
        <w:t>Avant la réunion, le secrétariat et le président du groupe d</w:t>
      </w:r>
      <w:r w:rsidR="00CA4DAC">
        <w:rPr>
          <w:lang w:val="fr-FR"/>
        </w:rPr>
        <w:t>’</w:t>
      </w:r>
      <w:r w:rsidRPr="002A2EA6">
        <w:rPr>
          <w:lang w:val="fr-FR"/>
        </w:rPr>
        <w:t>experts techniques communiqueront aux Parties un ordre du jour provisoire et une note relative au déroulement de la réunion ;</w:t>
      </w:r>
      <w:bookmarkEnd w:id="106"/>
    </w:p>
    <w:p w14:paraId="2C2EE136" w14:textId="66256F25" w:rsidR="002A2EA6" w:rsidRPr="002A2EA6" w:rsidRDefault="002A2EA6" w:rsidP="002A2EA6">
      <w:pPr>
        <w:pStyle w:val="Normalnumber"/>
        <w:numPr>
          <w:ilvl w:val="0"/>
          <w:numId w:val="37"/>
        </w:numPr>
        <w:ind w:firstLine="567"/>
        <w:rPr>
          <w:rFonts w:eastAsia="MS PGothic"/>
          <w:w w:val="0"/>
          <w:lang w:val="fr-FR"/>
        </w:rPr>
      </w:pPr>
      <w:bookmarkStart w:id="107" w:name="_DV_C875"/>
      <w:bookmarkEnd w:id="104"/>
      <w:r w:rsidRPr="002A2EA6">
        <w:rPr>
          <w:i/>
          <w:iCs/>
          <w:lang w:val="fr-FR"/>
        </w:rPr>
        <w:t>Engage</w:t>
      </w:r>
      <w:r w:rsidRPr="002A2EA6">
        <w:rPr>
          <w:lang w:val="fr-FR"/>
        </w:rPr>
        <w:t xml:space="preserve"> les Parties et autres parties prenantes à contribuer à la mise à jour des directives techniques pour la gestion écologiquement rationnelle des déchets constitués de mercure élémentaire et des déchets contenant des composés du mercure ou contaminés par ces substances, en formulant des observations sur le projet de directives mises à jour lorsqu</w:t>
      </w:r>
      <w:r w:rsidR="00CA4DAC">
        <w:rPr>
          <w:lang w:val="fr-FR"/>
        </w:rPr>
        <w:t>’</w:t>
      </w:r>
      <w:r w:rsidRPr="002A2EA6">
        <w:rPr>
          <w:lang w:val="fr-FR"/>
        </w:rPr>
        <w:t>ils y sont invités</w:t>
      </w:r>
      <w:bookmarkStart w:id="108" w:name="_DV_C876"/>
      <w:bookmarkEnd w:id="107"/>
      <w:r w:rsidRPr="002A2EA6">
        <w:rPr>
          <w:lang w:val="fr-FR"/>
        </w:rPr>
        <w:t> ;</w:t>
      </w:r>
    </w:p>
    <w:bookmarkEnd w:id="108"/>
    <w:p w14:paraId="1D8295E2" w14:textId="77777777" w:rsidR="002A2EA6" w:rsidRPr="002A2EA6" w:rsidRDefault="002A2EA6" w:rsidP="002A2EA6">
      <w:pPr>
        <w:pStyle w:val="Normalnumber"/>
        <w:numPr>
          <w:ilvl w:val="0"/>
          <w:numId w:val="37"/>
        </w:numPr>
        <w:ind w:firstLine="567"/>
        <w:rPr>
          <w:rFonts w:eastAsia="MS PGothic"/>
          <w:lang w:val="fr-FR"/>
        </w:rPr>
      </w:pPr>
      <w:r w:rsidRPr="002A2EA6">
        <w:rPr>
          <w:i/>
          <w:iCs/>
          <w:lang w:val="fr-FR"/>
        </w:rPr>
        <w:t>Invite</w:t>
      </w:r>
      <w:r w:rsidRPr="002A2EA6">
        <w:rPr>
          <w:rFonts w:eastAsia="MS PGothic"/>
          <w:lang w:val="fr-FR"/>
        </w:rPr>
        <w:t xml:space="preserve"> les organes concernés de la Convention de Bâle à tenir compte de la présente décision lors de la mise à jour des directives techniques sur la gestion écologiquement rationnelle des déchets constitués de mercure ou de composés du mercure, en contenant ou contaminés par ces substances ;</w:t>
      </w:r>
    </w:p>
    <w:p w14:paraId="35BCBA98" w14:textId="40232C50" w:rsidR="002A2EA6" w:rsidRPr="002A2EA6" w:rsidRDefault="002A2EA6" w:rsidP="002A2EA6">
      <w:pPr>
        <w:pStyle w:val="Normalnumber"/>
        <w:numPr>
          <w:ilvl w:val="0"/>
          <w:numId w:val="37"/>
        </w:numPr>
        <w:ind w:firstLine="567"/>
        <w:rPr>
          <w:rFonts w:eastAsia="MS PGothic"/>
          <w:lang w:val="fr-FR"/>
        </w:rPr>
      </w:pPr>
      <w:r w:rsidRPr="002A2EA6">
        <w:rPr>
          <w:i/>
          <w:iCs/>
          <w:lang w:val="fr-FR"/>
        </w:rPr>
        <w:t>Prie</w:t>
      </w:r>
      <w:r w:rsidRPr="002A2EA6">
        <w:rPr>
          <w:rFonts w:eastAsia="MS PGothic"/>
          <w:i/>
          <w:lang w:val="fr-FR"/>
        </w:rPr>
        <w:t xml:space="preserve"> </w:t>
      </w:r>
      <w:r w:rsidRPr="002A2EA6">
        <w:rPr>
          <w:rFonts w:eastAsia="MS PGothic"/>
          <w:iCs/>
          <w:lang w:val="fr-FR"/>
        </w:rPr>
        <w:t xml:space="preserve">le </w:t>
      </w:r>
      <w:r w:rsidRPr="002A2EA6">
        <w:rPr>
          <w:rFonts w:eastAsia="MS PGothic"/>
          <w:lang w:val="fr-FR"/>
        </w:rPr>
        <w:t>Secrétariat de continuer à aider le groupe d</w:t>
      </w:r>
      <w:r w:rsidR="00CA4DAC">
        <w:rPr>
          <w:rFonts w:eastAsia="MS PGothic"/>
          <w:lang w:val="fr-FR"/>
        </w:rPr>
        <w:t>’</w:t>
      </w:r>
      <w:r w:rsidRPr="002A2EA6">
        <w:rPr>
          <w:rFonts w:eastAsia="MS PGothic"/>
          <w:lang w:val="fr-FR"/>
        </w:rPr>
        <w:t xml:space="preserve">experts techniques dans ses travaux. </w:t>
      </w:r>
    </w:p>
    <w:p w14:paraId="244F3B9A" w14:textId="27939084" w:rsidR="002A2EA6" w:rsidRPr="002A2EA6" w:rsidRDefault="002A2EA6" w:rsidP="002A2EA6">
      <w:pPr>
        <w:pStyle w:val="NormalNonumber"/>
        <w:spacing w:before="240"/>
        <w:rPr>
          <w:b/>
          <w:bCs/>
          <w:sz w:val="28"/>
          <w:szCs w:val="28"/>
          <w:lang w:val="fr-FR"/>
        </w:rPr>
      </w:pPr>
      <w:r w:rsidRPr="002A2EA6">
        <w:rPr>
          <w:rFonts w:eastAsia="MS PGothic"/>
          <w:b/>
          <w:bCs/>
          <w:sz w:val="28"/>
          <w:szCs w:val="28"/>
          <w:lang w:val="fr-FR"/>
        </w:rPr>
        <w:t>Annexe de la décision</w:t>
      </w:r>
      <w:r w:rsidRPr="002A2EA6">
        <w:rPr>
          <w:b/>
          <w:bCs/>
          <w:sz w:val="28"/>
          <w:szCs w:val="28"/>
          <w:lang w:val="fr-FR"/>
        </w:rPr>
        <w:t xml:space="preserve"> MC-3/5</w:t>
      </w:r>
    </w:p>
    <w:p w14:paraId="0EAE4962" w14:textId="48C268B9" w:rsidR="002A2EA6" w:rsidRPr="002A2EA6" w:rsidRDefault="002A2EA6" w:rsidP="002A2EA6">
      <w:pPr>
        <w:pStyle w:val="NormalNonumber"/>
        <w:spacing w:before="240"/>
        <w:rPr>
          <w:rFonts w:eastAsia="MS PGothic"/>
          <w:b/>
          <w:bCs/>
          <w:sz w:val="24"/>
          <w:szCs w:val="24"/>
          <w:lang w:val="fr-FR"/>
        </w:rPr>
      </w:pPr>
      <w:r w:rsidRPr="002A2EA6">
        <w:rPr>
          <w:rFonts w:eastAsia="MS PGothic"/>
          <w:b/>
          <w:bCs/>
          <w:sz w:val="24"/>
          <w:szCs w:val="24"/>
          <w:lang w:val="fr-FR"/>
        </w:rPr>
        <w:t>Listes des déchets de mercure relevant du paragraphe 2 de l</w:t>
      </w:r>
      <w:r w:rsidR="00CA4DAC">
        <w:rPr>
          <w:rFonts w:eastAsia="MS PGothic"/>
          <w:b/>
          <w:bCs/>
          <w:sz w:val="24"/>
          <w:szCs w:val="24"/>
          <w:lang w:val="fr-FR"/>
        </w:rPr>
        <w:t>’</w:t>
      </w:r>
      <w:r w:rsidRPr="002A2EA6">
        <w:rPr>
          <w:rFonts w:eastAsia="MS PGothic"/>
          <w:b/>
          <w:bCs/>
          <w:sz w:val="24"/>
          <w:szCs w:val="24"/>
          <w:lang w:val="fr-FR"/>
        </w:rPr>
        <w:t>article 11</w:t>
      </w:r>
    </w:p>
    <w:p w14:paraId="4F41DE30" w14:textId="3B7D2A64" w:rsidR="002A2EA6" w:rsidRPr="002A2EA6" w:rsidRDefault="002A2EA6" w:rsidP="002A2EA6">
      <w:pPr>
        <w:pStyle w:val="Titletable"/>
        <w:rPr>
          <w:lang w:val="fr-FR"/>
        </w:rPr>
      </w:pPr>
      <w:bookmarkStart w:id="109" w:name="_gjdgxs"/>
      <w:bookmarkEnd w:id="109"/>
      <w:r w:rsidRPr="002A2EA6">
        <w:rPr>
          <w:b w:val="0"/>
          <w:bCs w:val="0"/>
          <w:lang w:val="fr-FR"/>
        </w:rPr>
        <w:t>Tableau 1</w:t>
      </w:r>
      <w:r w:rsidRPr="002A2EA6">
        <w:rPr>
          <w:lang w:val="fr-FR"/>
        </w:rPr>
        <w:t xml:space="preserve"> </w:t>
      </w:r>
      <w:r w:rsidRPr="002A2EA6">
        <w:rPr>
          <w:lang w:val="fr-FR"/>
        </w:rPr>
        <w:br/>
        <w:t>Liste des déchets de mercure constitués de mercure ou de composés du mercure</w:t>
      </w:r>
      <w:r w:rsidRPr="002A2EA6">
        <w:rPr>
          <w:vertAlign w:val="superscript"/>
          <w:lang w:val="fr-FR"/>
        </w:rPr>
        <w:t>a</w:t>
      </w:r>
      <w:r w:rsidRPr="002A2EA6">
        <w:rPr>
          <w:lang w:val="fr-FR"/>
        </w:rPr>
        <w:t xml:space="preserve"> (alinéa 2 a) de l</w:t>
      </w:r>
      <w:r w:rsidR="00CA4DAC">
        <w:rPr>
          <w:lang w:val="fr-FR"/>
        </w:rPr>
        <w:t>’</w:t>
      </w:r>
      <w:r w:rsidRPr="002A2EA6">
        <w:rPr>
          <w:lang w:val="fr-FR"/>
        </w:rPr>
        <w:t>article 11)</w:t>
      </w:r>
    </w:p>
    <w:tbl>
      <w:tblPr>
        <w:tblW w:w="82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481"/>
        <w:gridCol w:w="5797"/>
      </w:tblGrid>
      <w:tr w:rsidR="002A2EA6" w:rsidRPr="002A2EA6" w14:paraId="64E90939" w14:textId="77777777" w:rsidTr="002A2EA6">
        <w:trPr>
          <w:trHeight w:val="57"/>
          <w:tblHeader/>
          <w:jc w:val="right"/>
        </w:trPr>
        <w:tc>
          <w:tcPr>
            <w:tcW w:w="2807" w:type="dxa"/>
            <w:tcBorders>
              <w:top w:val="single" w:sz="4" w:space="0" w:color="000000"/>
              <w:left w:val="nil"/>
              <w:bottom w:val="single" w:sz="12" w:space="0" w:color="auto"/>
              <w:right w:val="nil"/>
            </w:tcBorders>
            <w:vAlign w:val="center"/>
            <w:hideMark/>
          </w:tcPr>
          <w:p w14:paraId="2CF5AA03" w14:textId="77777777" w:rsidR="002A2EA6" w:rsidRPr="002A2EA6" w:rsidRDefault="002A2EA6" w:rsidP="002A2EA6">
            <w:pPr>
              <w:pStyle w:val="Normal-pool"/>
              <w:spacing w:before="60" w:after="60"/>
              <w:rPr>
                <w:i/>
                <w:iCs/>
                <w:sz w:val="18"/>
                <w:szCs w:val="18"/>
                <w:lang w:val="fr-FR"/>
              </w:rPr>
            </w:pPr>
            <w:r w:rsidRPr="002A2EA6">
              <w:rPr>
                <w:i/>
                <w:iCs/>
                <w:sz w:val="18"/>
                <w:szCs w:val="18"/>
                <w:lang w:val="fr-FR"/>
              </w:rPr>
              <w:t>Type de déchet</w:t>
            </w:r>
          </w:p>
        </w:tc>
        <w:tc>
          <w:tcPr>
            <w:tcW w:w="6584" w:type="dxa"/>
            <w:tcBorders>
              <w:top w:val="single" w:sz="4" w:space="0" w:color="000000"/>
              <w:left w:val="nil"/>
              <w:bottom w:val="single" w:sz="12" w:space="0" w:color="auto"/>
              <w:right w:val="nil"/>
            </w:tcBorders>
            <w:vAlign w:val="center"/>
            <w:hideMark/>
          </w:tcPr>
          <w:p w14:paraId="6787EF02" w14:textId="77777777" w:rsidR="002A2EA6" w:rsidRPr="002A2EA6" w:rsidRDefault="002A2EA6" w:rsidP="002A2EA6">
            <w:pPr>
              <w:pStyle w:val="Normal-pool"/>
              <w:spacing w:before="60" w:after="60"/>
              <w:rPr>
                <w:i/>
                <w:iCs/>
                <w:sz w:val="18"/>
                <w:szCs w:val="18"/>
                <w:lang w:val="fr-FR"/>
              </w:rPr>
            </w:pPr>
            <w:r w:rsidRPr="002A2EA6">
              <w:rPr>
                <w:i/>
                <w:iCs/>
                <w:sz w:val="18"/>
                <w:szCs w:val="18"/>
                <w:lang w:val="fr-FR"/>
              </w:rPr>
              <w:t>Sources de déchets</w:t>
            </w:r>
            <w:r w:rsidRPr="002A2EA6">
              <w:rPr>
                <w:i/>
                <w:iCs/>
                <w:sz w:val="18"/>
                <w:szCs w:val="18"/>
                <w:vertAlign w:val="superscript"/>
                <w:lang w:val="fr-FR"/>
              </w:rPr>
              <w:t>b</w:t>
            </w:r>
          </w:p>
        </w:tc>
      </w:tr>
      <w:tr w:rsidR="002A2EA6" w:rsidRPr="002A2EA6" w14:paraId="588FD405" w14:textId="77777777" w:rsidTr="002A2EA6">
        <w:trPr>
          <w:jc w:val="right"/>
        </w:trPr>
        <w:tc>
          <w:tcPr>
            <w:tcW w:w="2807" w:type="dxa"/>
            <w:tcBorders>
              <w:top w:val="single" w:sz="12" w:space="0" w:color="auto"/>
              <w:left w:val="nil"/>
              <w:bottom w:val="single" w:sz="4" w:space="0" w:color="000000"/>
              <w:right w:val="nil"/>
            </w:tcBorders>
            <w:hideMark/>
          </w:tcPr>
          <w:p w14:paraId="5B13C651" w14:textId="77777777" w:rsidR="002A2EA6" w:rsidRPr="002A2EA6" w:rsidRDefault="002A2EA6" w:rsidP="002A2EA6">
            <w:pPr>
              <w:pStyle w:val="Normal-pool"/>
              <w:spacing w:after="60"/>
              <w:rPr>
                <w:sz w:val="18"/>
                <w:szCs w:val="18"/>
                <w:lang w:val="fr-FR"/>
              </w:rPr>
            </w:pPr>
            <w:r w:rsidRPr="002A2EA6">
              <w:rPr>
                <w:sz w:val="18"/>
                <w:szCs w:val="18"/>
                <w:lang w:val="fr-FR"/>
              </w:rPr>
              <w:t>Mercure élémentaire récupéré</w:t>
            </w:r>
            <w:r w:rsidRPr="002A2EA6">
              <w:rPr>
                <w:sz w:val="18"/>
                <w:szCs w:val="18"/>
                <w:vertAlign w:val="superscript"/>
                <w:lang w:val="fr-FR"/>
              </w:rPr>
              <w:t>c</w:t>
            </w:r>
          </w:p>
        </w:tc>
        <w:tc>
          <w:tcPr>
            <w:tcW w:w="6584" w:type="dxa"/>
            <w:tcBorders>
              <w:top w:val="single" w:sz="12" w:space="0" w:color="auto"/>
              <w:left w:val="nil"/>
              <w:bottom w:val="single" w:sz="4" w:space="0" w:color="000000"/>
              <w:right w:val="nil"/>
            </w:tcBorders>
            <w:hideMark/>
          </w:tcPr>
          <w:p w14:paraId="20ABFFDF" w14:textId="77777777" w:rsidR="002A2EA6" w:rsidRPr="002A2EA6" w:rsidRDefault="002A2EA6" w:rsidP="002A2EA6">
            <w:pPr>
              <w:pStyle w:val="Normal-pool"/>
              <w:spacing w:after="60"/>
              <w:rPr>
                <w:sz w:val="18"/>
                <w:szCs w:val="18"/>
                <w:lang w:val="fr-FR"/>
              </w:rPr>
            </w:pPr>
            <w:r w:rsidRPr="002A2EA6">
              <w:rPr>
                <w:sz w:val="18"/>
                <w:szCs w:val="18"/>
                <w:lang w:val="fr-FR"/>
              </w:rPr>
              <w:t>Activité minière :</w:t>
            </w:r>
          </w:p>
          <w:p w14:paraId="0183DDD1" w14:textId="30DFBB5A" w:rsidR="002A2EA6" w:rsidRPr="002A2EA6" w:rsidRDefault="002A2EA6" w:rsidP="002A2EA6">
            <w:pPr>
              <w:pStyle w:val="NormalNonumber"/>
              <w:numPr>
                <w:ilvl w:val="0"/>
                <w:numId w:val="38"/>
              </w:numPr>
              <w:tabs>
                <w:tab w:val="clear" w:pos="1814"/>
                <w:tab w:val="left" w:pos="726"/>
              </w:tabs>
              <w:spacing w:after="60"/>
              <w:ind w:left="726" w:right="57" w:hanging="425"/>
              <w:rPr>
                <w:sz w:val="18"/>
                <w:szCs w:val="18"/>
                <w:lang w:val="fr-FR"/>
              </w:rPr>
            </w:pPr>
            <w:r w:rsidRPr="002A2EA6">
              <w:rPr>
                <w:sz w:val="18"/>
                <w:szCs w:val="18"/>
                <w:lang w:val="fr-FR"/>
              </w:rPr>
              <w:t>Résidus miniers de l</w:t>
            </w:r>
            <w:r w:rsidR="00CA4DAC">
              <w:rPr>
                <w:sz w:val="18"/>
                <w:szCs w:val="18"/>
                <w:lang w:val="fr-FR"/>
              </w:rPr>
              <w:t>’</w:t>
            </w:r>
            <w:r w:rsidRPr="002A2EA6">
              <w:rPr>
                <w:sz w:val="18"/>
                <w:szCs w:val="18"/>
                <w:lang w:val="fr-FR"/>
              </w:rPr>
              <w:t>extraction minière artisanale et à petite échelle</w:t>
            </w:r>
            <w:r w:rsidR="00D549B8">
              <w:rPr>
                <w:sz w:val="18"/>
                <w:szCs w:val="18"/>
                <w:lang w:val="fr-FR"/>
              </w:rPr>
              <w:t> </w:t>
            </w:r>
            <w:r w:rsidRPr="002A2EA6">
              <w:rPr>
                <w:sz w:val="18"/>
                <w:szCs w:val="18"/>
                <w:lang w:val="fr-FR"/>
              </w:rPr>
              <w:t>d</w:t>
            </w:r>
            <w:r w:rsidR="00CA4DAC">
              <w:rPr>
                <w:sz w:val="18"/>
                <w:szCs w:val="18"/>
                <w:lang w:val="fr-FR"/>
              </w:rPr>
              <w:t>’</w:t>
            </w:r>
            <w:r w:rsidRPr="002A2EA6">
              <w:rPr>
                <w:sz w:val="18"/>
                <w:szCs w:val="18"/>
                <w:lang w:val="fr-FR"/>
              </w:rPr>
              <w:t>or</w:t>
            </w:r>
          </w:p>
          <w:p w14:paraId="3AE13933" w14:textId="77777777" w:rsidR="002A2EA6" w:rsidRPr="002A2EA6" w:rsidRDefault="002A2EA6" w:rsidP="002A2EA6">
            <w:pPr>
              <w:pStyle w:val="Normal-pool"/>
              <w:spacing w:after="60"/>
              <w:rPr>
                <w:sz w:val="18"/>
                <w:szCs w:val="18"/>
                <w:lang w:val="fr-FR"/>
              </w:rPr>
            </w:pPr>
            <w:r w:rsidRPr="002A2EA6">
              <w:rPr>
                <w:sz w:val="18"/>
                <w:szCs w:val="18"/>
                <w:lang w:val="fr-FR"/>
              </w:rPr>
              <w:t>Mercure capté à partir de :</w:t>
            </w:r>
          </w:p>
          <w:p w14:paraId="6D5C1BB0" w14:textId="77777777"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Procédés de grillage et de fusion des métaux non ferreux</w:t>
            </w:r>
          </w:p>
          <w:p w14:paraId="019F2328" w14:textId="77777777"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Traitement du pétrole brut et du gaz naturel</w:t>
            </w:r>
          </w:p>
          <w:p w14:paraId="51145E84" w14:textId="77777777" w:rsidR="002A2EA6" w:rsidRPr="002A2EA6" w:rsidRDefault="002A2EA6" w:rsidP="002A2EA6">
            <w:pPr>
              <w:pStyle w:val="Normal-pool"/>
              <w:spacing w:after="60"/>
              <w:rPr>
                <w:sz w:val="18"/>
                <w:szCs w:val="18"/>
                <w:lang w:val="fr-FR"/>
              </w:rPr>
            </w:pPr>
            <w:r w:rsidRPr="002A2EA6">
              <w:rPr>
                <w:sz w:val="18"/>
                <w:szCs w:val="18"/>
                <w:lang w:val="fr-FR"/>
              </w:rPr>
              <w:t>Traitement de :</w:t>
            </w:r>
          </w:p>
          <w:p w14:paraId="157AD582" w14:textId="6EC203D8"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Produits contenant du mercure ajouté réduits à l</w:t>
            </w:r>
            <w:r w:rsidR="00CA4DAC">
              <w:rPr>
                <w:sz w:val="18"/>
                <w:szCs w:val="18"/>
                <w:lang w:val="fr-FR"/>
              </w:rPr>
              <w:t>’</w:t>
            </w:r>
            <w:r w:rsidRPr="002A2EA6">
              <w:rPr>
                <w:sz w:val="18"/>
                <w:szCs w:val="18"/>
                <w:lang w:val="fr-FR"/>
              </w:rPr>
              <w:t>état de déchets</w:t>
            </w:r>
          </w:p>
          <w:p w14:paraId="245D9C38" w14:textId="77777777"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 xml:space="preserve">Déchets contaminés par du mercure ou des composés du mercure </w:t>
            </w:r>
          </w:p>
          <w:p w14:paraId="363EC877" w14:textId="77777777"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Milieux naturels contaminés</w:t>
            </w:r>
          </w:p>
          <w:p w14:paraId="219D58F2" w14:textId="77777777" w:rsidR="002A2EA6" w:rsidRPr="002A2EA6" w:rsidRDefault="002A2EA6" w:rsidP="002A2EA6">
            <w:pPr>
              <w:pStyle w:val="Normal-pool"/>
              <w:spacing w:after="60"/>
              <w:rPr>
                <w:sz w:val="18"/>
                <w:szCs w:val="18"/>
                <w:lang w:val="fr-FR"/>
              </w:rPr>
            </w:pPr>
            <w:r w:rsidRPr="002A2EA6">
              <w:rPr>
                <w:sz w:val="18"/>
                <w:szCs w:val="18"/>
                <w:lang w:val="fr-FR"/>
              </w:rPr>
              <w:t>Traitement des déchets issus de :</w:t>
            </w:r>
          </w:p>
          <w:p w14:paraId="2C69FBFB" w14:textId="62E99BB8"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t>Production de chlore-alcali</w:t>
            </w:r>
            <w:r w:rsidRPr="002A2EA6">
              <w:rPr>
                <w:sz w:val="18"/>
                <w:szCs w:val="18"/>
                <w:vertAlign w:val="superscript"/>
                <w:lang w:val="fr-FR"/>
              </w:rPr>
              <w:t>d</w:t>
            </w:r>
            <w:r w:rsidRPr="002A2EA6">
              <w:rPr>
                <w:sz w:val="18"/>
                <w:szCs w:val="18"/>
                <w:lang w:val="fr-FR"/>
              </w:rPr>
              <w:t>, d</w:t>
            </w:r>
            <w:r w:rsidR="00CA4DAC">
              <w:rPr>
                <w:sz w:val="18"/>
                <w:szCs w:val="18"/>
                <w:lang w:val="fr-FR"/>
              </w:rPr>
              <w:t>’</w:t>
            </w:r>
            <w:r w:rsidRPr="002A2EA6">
              <w:rPr>
                <w:sz w:val="18"/>
                <w:szCs w:val="18"/>
                <w:lang w:val="fr-FR"/>
              </w:rPr>
              <w:t>alcoholates (par ex. méthylate et éthylate de sodium ou de potassium), de dithionite et de solution ultrapure d</w:t>
            </w:r>
            <w:r w:rsidR="00CA4DAC">
              <w:rPr>
                <w:sz w:val="18"/>
                <w:szCs w:val="18"/>
                <w:lang w:val="fr-FR"/>
              </w:rPr>
              <w:t>’</w:t>
            </w:r>
            <w:r w:rsidRPr="002A2EA6">
              <w:rPr>
                <w:sz w:val="18"/>
                <w:szCs w:val="18"/>
                <w:lang w:val="fr-FR"/>
              </w:rPr>
              <w:t>hydroxyde de potassium avec une technologie au mercure, y compris la mise hors service d</w:t>
            </w:r>
            <w:r w:rsidR="00CA4DAC">
              <w:rPr>
                <w:sz w:val="18"/>
                <w:szCs w:val="18"/>
                <w:lang w:val="fr-FR"/>
              </w:rPr>
              <w:t>’</w:t>
            </w:r>
            <w:r w:rsidRPr="002A2EA6">
              <w:rPr>
                <w:sz w:val="18"/>
                <w:szCs w:val="18"/>
                <w:lang w:val="fr-FR"/>
              </w:rPr>
              <w:t>usines</w:t>
            </w:r>
          </w:p>
          <w:p w14:paraId="78F48B45" w14:textId="44103CB0" w:rsidR="002A2EA6" w:rsidRPr="002A2EA6" w:rsidRDefault="002A2EA6" w:rsidP="002A2EA6">
            <w:pPr>
              <w:pStyle w:val="NormalNonumber"/>
              <w:numPr>
                <w:ilvl w:val="0"/>
                <w:numId w:val="38"/>
              </w:numPr>
              <w:tabs>
                <w:tab w:val="clear" w:pos="1814"/>
                <w:tab w:val="left" w:pos="726"/>
              </w:tabs>
              <w:spacing w:after="60"/>
              <w:ind w:left="726" w:hanging="425"/>
              <w:rPr>
                <w:sz w:val="18"/>
                <w:szCs w:val="18"/>
                <w:lang w:val="fr-FR"/>
              </w:rPr>
            </w:pPr>
            <w:r w:rsidRPr="002A2EA6">
              <w:rPr>
                <w:sz w:val="18"/>
                <w:szCs w:val="18"/>
                <w:lang w:val="fr-FR"/>
              </w:rPr>
              <w:lastRenderedPageBreak/>
              <w:t>Production de polyuréthane, de chlorure de vinyle monomère, d</w:t>
            </w:r>
            <w:r w:rsidR="00CA4DAC">
              <w:rPr>
                <w:sz w:val="18"/>
                <w:szCs w:val="18"/>
                <w:lang w:val="fr-FR"/>
              </w:rPr>
              <w:t>’</w:t>
            </w:r>
            <w:r w:rsidRPr="002A2EA6">
              <w:rPr>
                <w:sz w:val="18"/>
                <w:szCs w:val="18"/>
                <w:lang w:val="fr-FR"/>
              </w:rPr>
              <w:t>acétaldéhyde avec catalyseur contenant du mercure</w:t>
            </w:r>
          </w:p>
        </w:tc>
      </w:tr>
      <w:tr w:rsidR="002A2EA6" w:rsidRPr="002A2EA6" w14:paraId="529656C1" w14:textId="77777777" w:rsidTr="002A2EA6">
        <w:trPr>
          <w:jc w:val="right"/>
        </w:trPr>
        <w:tc>
          <w:tcPr>
            <w:tcW w:w="2807" w:type="dxa"/>
            <w:tcBorders>
              <w:top w:val="single" w:sz="4" w:space="0" w:color="000000"/>
              <w:left w:val="nil"/>
              <w:bottom w:val="single" w:sz="4" w:space="0" w:color="000000"/>
              <w:right w:val="nil"/>
            </w:tcBorders>
            <w:hideMark/>
          </w:tcPr>
          <w:p w14:paraId="20C5AAB2" w14:textId="77777777" w:rsidR="002A2EA6" w:rsidRPr="002A2EA6" w:rsidRDefault="002A2EA6" w:rsidP="002A2EA6">
            <w:pPr>
              <w:pStyle w:val="Normal-pool"/>
              <w:spacing w:after="60"/>
              <w:rPr>
                <w:sz w:val="18"/>
                <w:szCs w:val="18"/>
                <w:lang w:val="fr-FR"/>
              </w:rPr>
            </w:pPr>
            <w:r w:rsidRPr="002A2EA6">
              <w:rPr>
                <w:sz w:val="18"/>
                <w:szCs w:val="18"/>
                <w:lang w:val="fr-FR"/>
              </w:rPr>
              <w:lastRenderedPageBreak/>
              <w:t>Mercure élémentaire</w:t>
            </w:r>
          </w:p>
        </w:tc>
        <w:tc>
          <w:tcPr>
            <w:tcW w:w="6584" w:type="dxa"/>
            <w:tcBorders>
              <w:top w:val="single" w:sz="4" w:space="0" w:color="000000"/>
              <w:left w:val="nil"/>
              <w:bottom w:val="single" w:sz="4" w:space="0" w:color="000000"/>
              <w:right w:val="nil"/>
            </w:tcBorders>
          </w:tcPr>
          <w:p w14:paraId="5A323133" w14:textId="7B16BE88"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 de mercure (par ex. industries, laboratoires, cabinets dentaires, établissements d</w:t>
            </w:r>
            <w:r w:rsidR="00CA4DAC">
              <w:rPr>
                <w:sz w:val="18"/>
                <w:szCs w:val="18"/>
                <w:lang w:val="fr-FR"/>
              </w:rPr>
              <w:t>’</w:t>
            </w:r>
            <w:r w:rsidRPr="002A2EA6">
              <w:rPr>
                <w:sz w:val="18"/>
                <w:szCs w:val="18"/>
                <w:lang w:val="fr-FR"/>
              </w:rPr>
              <w:t>enseignement et de recherche, institutions gouvernementales, décharges, phares)</w:t>
            </w:r>
          </w:p>
        </w:tc>
      </w:tr>
      <w:tr w:rsidR="002A2EA6" w:rsidRPr="002A2EA6" w14:paraId="03642EB9" w14:textId="77777777" w:rsidTr="002A2EA6">
        <w:trPr>
          <w:trHeight w:val="1220"/>
          <w:jc w:val="right"/>
        </w:trPr>
        <w:tc>
          <w:tcPr>
            <w:tcW w:w="2807" w:type="dxa"/>
            <w:tcBorders>
              <w:top w:val="single" w:sz="4" w:space="0" w:color="000000"/>
              <w:left w:val="nil"/>
              <w:bottom w:val="single" w:sz="4" w:space="0" w:color="000000"/>
              <w:right w:val="nil"/>
            </w:tcBorders>
            <w:hideMark/>
          </w:tcPr>
          <w:p w14:paraId="6C8B1329" w14:textId="6F07EFB4" w:rsidR="002A2EA6" w:rsidRPr="002A2EA6" w:rsidRDefault="002A2EA6" w:rsidP="002A2EA6">
            <w:pPr>
              <w:pStyle w:val="Normal-pool"/>
              <w:spacing w:after="60"/>
              <w:rPr>
                <w:sz w:val="18"/>
                <w:szCs w:val="18"/>
                <w:lang w:val="fr-FR"/>
              </w:rPr>
            </w:pPr>
            <w:r w:rsidRPr="002A2EA6">
              <w:rPr>
                <w:sz w:val="18"/>
                <w:szCs w:val="18"/>
                <w:lang w:val="fr-FR"/>
              </w:rPr>
              <w:t>Chlorure de mercure (I) et</w:t>
            </w:r>
            <w:r w:rsidR="0090074E">
              <w:rPr>
                <w:sz w:val="18"/>
                <w:szCs w:val="18"/>
                <w:lang w:val="fr-FR"/>
              </w:rPr>
              <w:t> </w:t>
            </w:r>
            <w:r w:rsidRPr="002A2EA6">
              <w:rPr>
                <w:sz w:val="18"/>
                <w:szCs w:val="18"/>
                <w:lang w:val="fr-FR"/>
              </w:rPr>
              <w:t>chlorure de mercure (II)</w:t>
            </w:r>
          </w:p>
        </w:tc>
        <w:tc>
          <w:tcPr>
            <w:tcW w:w="6584" w:type="dxa"/>
            <w:tcBorders>
              <w:top w:val="single" w:sz="4" w:space="0" w:color="000000"/>
              <w:left w:val="nil"/>
              <w:bottom w:val="single" w:sz="4" w:space="0" w:color="000000"/>
              <w:right w:val="nil"/>
            </w:tcBorders>
            <w:hideMark/>
          </w:tcPr>
          <w:p w14:paraId="2E6AFF10" w14:textId="1B6FA18F"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Procédés de grillage et de fusion du zinc, du plomb, du cuivre et d</w:t>
            </w:r>
            <w:r w:rsidR="00CA4DAC">
              <w:rPr>
                <w:sz w:val="18"/>
                <w:szCs w:val="18"/>
                <w:lang w:val="fr-FR"/>
              </w:rPr>
              <w:t>’</w:t>
            </w:r>
            <w:r w:rsidRPr="002A2EA6">
              <w:rPr>
                <w:sz w:val="18"/>
                <w:szCs w:val="18"/>
                <w:lang w:val="fr-FR"/>
              </w:rPr>
              <w:t>or primaires</w:t>
            </w:r>
          </w:p>
          <w:p w14:paraId="59C7C355"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Réactif</w:t>
            </w:r>
          </w:p>
          <w:p w14:paraId="5F9D6865"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 xml:space="preserve">Électrode au calomel pour les mesures électrochimiques </w:t>
            </w:r>
          </w:p>
          <w:p w14:paraId="34BAE6B3"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Médicaments/ Produits pharmaceutiques</w:t>
            </w:r>
          </w:p>
          <w:p w14:paraId="01312C1C"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Catalyseur de chlorure de vinyle monomère – chlorure de mercure (II)</w:t>
            </w:r>
          </w:p>
          <w:p w14:paraId="5675E1CC"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2A2EA6" w:rsidRPr="002A2EA6" w14:paraId="087038AD" w14:textId="77777777" w:rsidTr="002A2EA6">
        <w:trPr>
          <w:jc w:val="right"/>
        </w:trPr>
        <w:tc>
          <w:tcPr>
            <w:tcW w:w="2807" w:type="dxa"/>
            <w:tcBorders>
              <w:top w:val="single" w:sz="4" w:space="0" w:color="000000"/>
              <w:left w:val="nil"/>
              <w:bottom w:val="single" w:sz="4" w:space="0" w:color="000000"/>
              <w:right w:val="nil"/>
            </w:tcBorders>
            <w:hideMark/>
          </w:tcPr>
          <w:p w14:paraId="35612575" w14:textId="77777777" w:rsidR="002A2EA6" w:rsidRPr="002A2EA6" w:rsidRDefault="002A2EA6" w:rsidP="002A2EA6">
            <w:pPr>
              <w:pStyle w:val="Normal-pool"/>
              <w:spacing w:after="60"/>
              <w:rPr>
                <w:sz w:val="18"/>
                <w:szCs w:val="18"/>
                <w:lang w:val="fr-FR"/>
              </w:rPr>
            </w:pPr>
            <w:r w:rsidRPr="002A2EA6">
              <w:rPr>
                <w:sz w:val="18"/>
                <w:szCs w:val="18"/>
                <w:lang w:val="fr-FR"/>
              </w:rPr>
              <w:t xml:space="preserve">Oxyde de mercure (II) </w:t>
            </w:r>
            <w:r w:rsidRPr="002A2EA6">
              <w:rPr>
                <w:sz w:val="18"/>
                <w:szCs w:val="18"/>
                <w:lang w:val="fr-FR"/>
              </w:rPr>
              <w:br/>
              <w:t>(oxyde mercurique)</w:t>
            </w:r>
          </w:p>
        </w:tc>
        <w:tc>
          <w:tcPr>
            <w:tcW w:w="6584" w:type="dxa"/>
            <w:tcBorders>
              <w:top w:val="single" w:sz="4" w:space="0" w:color="000000"/>
              <w:left w:val="nil"/>
              <w:bottom w:val="single" w:sz="4" w:space="0" w:color="000000"/>
              <w:right w:val="nil"/>
            </w:tcBorders>
            <w:hideMark/>
          </w:tcPr>
          <w:p w14:paraId="6AE6C075"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Piles sèches, pigment dans les peintures et les agents de modification du verre, fongicides, cosmétiques, réactifs de laboratoire, peintures antisalissures</w:t>
            </w:r>
          </w:p>
          <w:p w14:paraId="3172493B"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2A2EA6" w:rsidRPr="002A2EA6" w14:paraId="79A1B3A7" w14:textId="77777777" w:rsidTr="002A2EA6">
        <w:trPr>
          <w:jc w:val="right"/>
        </w:trPr>
        <w:tc>
          <w:tcPr>
            <w:tcW w:w="2807" w:type="dxa"/>
            <w:tcBorders>
              <w:top w:val="single" w:sz="4" w:space="0" w:color="000000"/>
              <w:left w:val="nil"/>
              <w:bottom w:val="single" w:sz="4" w:space="0" w:color="000000"/>
              <w:right w:val="nil"/>
            </w:tcBorders>
            <w:hideMark/>
          </w:tcPr>
          <w:p w14:paraId="543AE8F6" w14:textId="77777777" w:rsidR="002A2EA6" w:rsidRPr="002A2EA6" w:rsidRDefault="002A2EA6" w:rsidP="002A2EA6">
            <w:pPr>
              <w:pStyle w:val="Normal-pool"/>
              <w:spacing w:after="60"/>
              <w:rPr>
                <w:sz w:val="18"/>
                <w:szCs w:val="18"/>
                <w:lang w:val="fr-FR"/>
              </w:rPr>
            </w:pPr>
            <w:r w:rsidRPr="002A2EA6">
              <w:rPr>
                <w:sz w:val="18"/>
                <w:szCs w:val="18"/>
                <w:lang w:val="fr-FR"/>
              </w:rPr>
              <w:t xml:space="preserve">Sulfate de mercure (II) </w:t>
            </w:r>
            <w:r w:rsidRPr="002A2EA6">
              <w:rPr>
                <w:sz w:val="18"/>
                <w:szCs w:val="18"/>
                <w:lang w:val="fr-FR"/>
              </w:rPr>
              <w:br/>
              <w:t>(sulfate mercurique)</w:t>
            </w:r>
          </w:p>
        </w:tc>
        <w:tc>
          <w:tcPr>
            <w:tcW w:w="6584" w:type="dxa"/>
            <w:tcBorders>
              <w:top w:val="single" w:sz="4" w:space="0" w:color="000000"/>
              <w:left w:val="nil"/>
              <w:bottom w:val="single" w:sz="4" w:space="0" w:color="000000"/>
              <w:right w:val="nil"/>
            </w:tcBorders>
            <w:hideMark/>
          </w:tcPr>
          <w:p w14:paraId="73081455" w14:textId="1E69850D"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Réactif de laboratoire, catalyseur utilisé pour la production d</w:t>
            </w:r>
            <w:r w:rsidR="00CA4DAC">
              <w:rPr>
                <w:sz w:val="18"/>
                <w:szCs w:val="18"/>
                <w:lang w:val="fr-FR"/>
              </w:rPr>
              <w:t>’</w:t>
            </w:r>
            <w:r w:rsidRPr="002A2EA6">
              <w:rPr>
                <w:sz w:val="18"/>
                <w:szCs w:val="18"/>
                <w:lang w:val="fr-FR"/>
              </w:rPr>
              <w:t>acétaldéhyde</w:t>
            </w:r>
          </w:p>
          <w:p w14:paraId="18010175"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2A2EA6" w:rsidRPr="002A2EA6" w14:paraId="2AE783C3" w14:textId="77777777" w:rsidTr="002A2EA6">
        <w:trPr>
          <w:jc w:val="right"/>
        </w:trPr>
        <w:tc>
          <w:tcPr>
            <w:tcW w:w="2807" w:type="dxa"/>
            <w:tcBorders>
              <w:top w:val="single" w:sz="4" w:space="0" w:color="000000"/>
              <w:left w:val="nil"/>
              <w:bottom w:val="single" w:sz="4" w:space="0" w:color="000000"/>
              <w:right w:val="nil"/>
            </w:tcBorders>
            <w:hideMark/>
          </w:tcPr>
          <w:p w14:paraId="4B75F8D1" w14:textId="77777777" w:rsidR="002A2EA6" w:rsidRPr="002A2EA6" w:rsidRDefault="002A2EA6" w:rsidP="002A2EA6">
            <w:pPr>
              <w:pStyle w:val="Normal-pool"/>
              <w:spacing w:after="60"/>
              <w:rPr>
                <w:sz w:val="18"/>
                <w:szCs w:val="18"/>
                <w:lang w:val="fr-FR"/>
              </w:rPr>
            </w:pPr>
            <w:r w:rsidRPr="002A2EA6">
              <w:rPr>
                <w:sz w:val="18"/>
                <w:szCs w:val="18"/>
                <w:lang w:val="fr-FR"/>
              </w:rPr>
              <w:t xml:space="preserve">Nitrate de mercure (II) </w:t>
            </w:r>
            <w:r w:rsidRPr="002A2EA6">
              <w:rPr>
                <w:sz w:val="18"/>
                <w:szCs w:val="18"/>
                <w:lang w:val="fr-FR"/>
              </w:rPr>
              <w:br/>
              <w:t>(nitrate mercurique)</w:t>
            </w:r>
          </w:p>
        </w:tc>
        <w:tc>
          <w:tcPr>
            <w:tcW w:w="6584" w:type="dxa"/>
            <w:tcBorders>
              <w:top w:val="single" w:sz="4" w:space="0" w:color="000000"/>
              <w:left w:val="nil"/>
              <w:bottom w:val="single" w:sz="4" w:space="0" w:color="000000"/>
              <w:right w:val="nil"/>
            </w:tcBorders>
            <w:hideMark/>
          </w:tcPr>
          <w:p w14:paraId="07D73A2E"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Agent oxydant, réactif de laboratoire</w:t>
            </w:r>
          </w:p>
          <w:p w14:paraId="66DF986D"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2A2EA6" w:rsidRPr="002A2EA6" w14:paraId="315BD29E" w14:textId="77777777" w:rsidTr="002A2EA6">
        <w:trPr>
          <w:jc w:val="right"/>
        </w:trPr>
        <w:tc>
          <w:tcPr>
            <w:tcW w:w="2807" w:type="dxa"/>
            <w:tcBorders>
              <w:top w:val="single" w:sz="4" w:space="0" w:color="000000"/>
              <w:left w:val="nil"/>
              <w:bottom w:val="single" w:sz="4" w:space="0" w:color="000000"/>
              <w:right w:val="nil"/>
            </w:tcBorders>
            <w:hideMark/>
          </w:tcPr>
          <w:p w14:paraId="0EB6947A" w14:textId="77777777" w:rsidR="002A2EA6" w:rsidRPr="002A2EA6" w:rsidRDefault="002A2EA6" w:rsidP="002A2EA6">
            <w:pPr>
              <w:pStyle w:val="Normal-pool"/>
              <w:spacing w:after="60"/>
              <w:rPr>
                <w:sz w:val="18"/>
                <w:szCs w:val="18"/>
                <w:lang w:val="fr-FR"/>
              </w:rPr>
            </w:pPr>
            <w:r w:rsidRPr="002A2EA6">
              <w:rPr>
                <w:sz w:val="18"/>
                <w:szCs w:val="18"/>
                <w:lang w:val="fr-FR"/>
              </w:rPr>
              <w:t>Concentré de cinabre</w:t>
            </w:r>
          </w:p>
        </w:tc>
        <w:tc>
          <w:tcPr>
            <w:tcW w:w="6584" w:type="dxa"/>
            <w:tcBorders>
              <w:top w:val="single" w:sz="4" w:space="0" w:color="000000"/>
              <w:left w:val="nil"/>
              <w:bottom w:val="single" w:sz="4" w:space="0" w:color="000000"/>
              <w:right w:val="nil"/>
            </w:tcBorders>
            <w:hideMark/>
          </w:tcPr>
          <w:p w14:paraId="0D6ACE7C"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 xml:space="preserve">Extraction minière primaire de mercure </w:t>
            </w:r>
          </w:p>
          <w:p w14:paraId="55802D6F"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r w:rsidR="002A2EA6" w:rsidRPr="002A2EA6" w14:paraId="6EE24211" w14:textId="77777777" w:rsidTr="002A2EA6">
        <w:trPr>
          <w:trHeight w:val="680"/>
          <w:jc w:val="right"/>
        </w:trPr>
        <w:tc>
          <w:tcPr>
            <w:tcW w:w="2807" w:type="dxa"/>
            <w:tcBorders>
              <w:top w:val="single" w:sz="4" w:space="0" w:color="000000"/>
              <w:left w:val="nil"/>
              <w:bottom w:val="single" w:sz="12" w:space="0" w:color="auto"/>
              <w:right w:val="nil"/>
            </w:tcBorders>
            <w:hideMark/>
          </w:tcPr>
          <w:p w14:paraId="2AABC254" w14:textId="77777777" w:rsidR="002A2EA6" w:rsidRPr="002A2EA6" w:rsidRDefault="002A2EA6" w:rsidP="002A2EA6">
            <w:pPr>
              <w:pStyle w:val="Normal-pool"/>
              <w:spacing w:after="60"/>
              <w:rPr>
                <w:sz w:val="18"/>
                <w:szCs w:val="18"/>
                <w:lang w:val="fr-FR"/>
              </w:rPr>
            </w:pPr>
            <w:r w:rsidRPr="002A2EA6">
              <w:rPr>
                <w:sz w:val="18"/>
                <w:szCs w:val="18"/>
                <w:lang w:val="fr-FR"/>
              </w:rPr>
              <w:t>Sulfure de mercure</w:t>
            </w:r>
          </w:p>
        </w:tc>
        <w:tc>
          <w:tcPr>
            <w:tcW w:w="6584" w:type="dxa"/>
            <w:tcBorders>
              <w:top w:val="single" w:sz="4" w:space="0" w:color="000000"/>
              <w:left w:val="nil"/>
              <w:bottom w:val="single" w:sz="12" w:space="0" w:color="auto"/>
              <w:right w:val="nil"/>
            </w:tcBorders>
            <w:hideMark/>
          </w:tcPr>
          <w:p w14:paraId="1A4ADC92"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Pigment</w:t>
            </w:r>
          </w:p>
          <w:p w14:paraId="44FC8E87"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Stabilisation des déchets de mercure pour stockage et/ou élimination</w:t>
            </w:r>
          </w:p>
          <w:p w14:paraId="27F4A171" w14:textId="77777777" w:rsidR="002A2EA6" w:rsidRPr="002A2EA6" w:rsidRDefault="002A2EA6" w:rsidP="002A2EA6">
            <w:pPr>
              <w:pStyle w:val="NormalNonumber"/>
              <w:tabs>
                <w:tab w:val="clear" w:pos="1814"/>
                <w:tab w:val="left" w:pos="726"/>
              </w:tabs>
              <w:spacing w:after="60"/>
              <w:ind w:left="0" w:right="57"/>
              <w:rPr>
                <w:sz w:val="18"/>
                <w:szCs w:val="18"/>
                <w:lang w:val="fr-FR"/>
              </w:rPr>
            </w:pPr>
            <w:r w:rsidRPr="002A2EA6">
              <w:rPr>
                <w:sz w:val="18"/>
                <w:szCs w:val="18"/>
                <w:lang w:val="fr-FR"/>
              </w:rPr>
              <w:t>Stocks</w:t>
            </w:r>
          </w:p>
        </w:tc>
      </w:tr>
    </w:tbl>
    <w:p w14:paraId="790D7418" w14:textId="61A7C260" w:rsidR="002A2EA6" w:rsidRPr="002A2EA6" w:rsidRDefault="002A2EA6" w:rsidP="002A2EA6">
      <w:pPr>
        <w:pStyle w:val="Normal-pool"/>
        <w:tabs>
          <w:tab w:val="clear" w:pos="1247"/>
        </w:tabs>
        <w:spacing w:after="40"/>
        <w:ind w:left="1247"/>
        <w:rPr>
          <w:sz w:val="17"/>
          <w:szCs w:val="17"/>
          <w:lang w:val="fr-FR"/>
        </w:rPr>
      </w:pPr>
      <w:r w:rsidRPr="002A2EA6">
        <w:rPr>
          <w:bCs/>
          <w:sz w:val="17"/>
          <w:szCs w:val="17"/>
          <w:vertAlign w:val="superscript"/>
          <w:lang w:val="fr-FR"/>
        </w:rPr>
        <w:t>a</w:t>
      </w:r>
      <w:r w:rsidRPr="002A2EA6">
        <w:rPr>
          <w:bCs/>
          <w:sz w:val="17"/>
          <w:szCs w:val="17"/>
          <w:lang w:val="fr-FR"/>
        </w:rPr>
        <w:t xml:space="preserve"> Aux termes de la Convention, on entend par </w:t>
      </w:r>
      <w:r w:rsidRPr="002A2EA6">
        <w:rPr>
          <w:sz w:val="17"/>
          <w:szCs w:val="17"/>
          <w:lang w:val="fr-FR"/>
        </w:rPr>
        <w:t>« composé du mercure » toute substance composée d</w:t>
      </w:r>
      <w:r w:rsidR="00CA4DAC">
        <w:rPr>
          <w:sz w:val="17"/>
          <w:szCs w:val="17"/>
          <w:lang w:val="fr-FR"/>
        </w:rPr>
        <w:t>’</w:t>
      </w:r>
      <w:r w:rsidRPr="002A2EA6">
        <w:rPr>
          <w:sz w:val="17"/>
          <w:szCs w:val="17"/>
          <w:lang w:val="fr-FR"/>
        </w:rPr>
        <w:t>atomes de mercure et d</w:t>
      </w:r>
      <w:r w:rsidR="00CA4DAC">
        <w:rPr>
          <w:sz w:val="17"/>
          <w:szCs w:val="17"/>
          <w:lang w:val="fr-FR"/>
        </w:rPr>
        <w:t>’</w:t>
      </w:r>
      <w:r w:rsidRPr="002A2EA6">
        <w:rPr>
          <w:sz w:val="17"/>
          <w:szCs w:val="17"/>
          <w:lang w:val="fr-FR"/>
        </w:rPr>
        <w:t>un ou de plusieurs atomes d</w:t>
      </w:r>
      <w:r w:rsidR="00CA4DAC">
        <w:rPr>
          <w:sz w:val="17"/>
          <w:szCs w:val="17"/>
          <w:lang w:val="fr-FR"/>
        </w:rPr>
        <w:t>’</w:t>
      </w:r>
      <w:r w:rsidRPr="002A2EA6">
        <w:rPr>
          <w:sz w:val="17"/>
          <w:szCs w:val="17"/>
          <w:lang w:val="fr-FR"/>
        </w:rPr>
        <w:t>autres éléments chimiques qui ne peut être séparée en ses différents composants que par réaction chimique.</w:t>
      </w:r>
    </w:p>
    <w:p w14:paraId="142BA88B"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b</w:t>
      </w:r>
      <w:r w:rsidRPr="002A2EA6">
        <w:rPr>
          <w:sz w:val="17"/>
          <w:szCs w:val="17"/>
          <w:lang w:val="fr-FR"/>
        </w:rPr>
        <w:t xml:space="preserve"> Une installation ou activité dans laquelle il est probable que des déchets soient générés ou accumulés.</w:t>
      </w:r>
    </w:p>
    <w:p w14:paraId="69ED9EA8" w14:textId="433EF441"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c</w:t>
      </w:r>
      <w:r w:rsidRPr="002A2EA6">
        <w:rPr>
          <w:sz w:val="17"/>
          <w:szCs w:val="17"/>
          <w:lang w:val="fr-FR"/>
        </w:rPr>
        <w:t xml:space="preserve"> Mercure récupéré, tel que défini à l</w:t>
      </w:r>
      <w:r w:rsidR="00CA4DAC">
        <w:rPr>
          <w:sz w:val="17"/>
          <w:szCs w:val="17"/>
          <w:lang w:val="fr-FR"/>
        </w:rPr>
        <w:t>’</w:t>
      </w:r>
      <w:r w:rsidRPr="002A2EA6">
        <w:rPr>
          <w:sz w:val="17"/>
          <w:szCs w:val="17"/>
          <w:lang w:val="fr-FR"/>
        </w:rPr>
        <w:t>alinéa 3 b) de l</w:t>
      </w:r>
      <w:r w:rsidR="00CA4DAC">
        <w:rPr>
          <w:sz w:val="17"/>
          <w:szCs w:val="17"/>
          <w:lang w:val="fr-FR"/>
        </w:rPr>
        <w:t>’</w:t>
      </w:r>
      <w:r w:rsidRPr="002A2EA6">
        <w:rPr>
          <w:sz w:val="17"/>
          <w:szCs w:val="17"/>
          <w:lang w:val="fr-FR"/>
        </w:rPr>
        <w:t>article 11.</w:t>
      </w:r>
    </w:p>
    <w:p w14:paraId="5BEC7BC8" w14:textId="77777777" w:rsidR="002A2EA6" w:rsidRPr="002A2EA6" w:rsidRDefault="002A2EA6" w:rsidP="002A2EA6">
      <w:pPr>
        <w:pStyle w:val="Normal-pool"/>
        <w:tabs>
          <w:tab w:val="clear" w:pos="1247"/>
        </w:tabs>
        <w:spacing w:after="40"/>
        <w:ind w:left="1247"/>
        <w:rPr>
          <w:lang w:val="fr-FR"/>
        </w:rPr>
      </w:pPr>
      <w:r w:rsidRPr="002A2EA6">
        <w:rPr>
          <w:sz w:val="17"/>
          <w:szCs w:val="17"/>
          <w:vertAlign w:val="superscript"/>
          <w:lang w:val="fr-FR"/>
        </w:rPr>
        <w:t>d</w:t>
      </w:r>
      <w:r w:rsidRPr="002A2EA6">
        <w:rPr>
          <w:sz w:val="17"/>
          <w:szCs w:val="17"/>
          <w:lang w:val="fr-FR"/>
        </w:rPr>
        <w:t xml:space="preserve"> La récupération peut parfois se produire sans traitement.</w:t>
      </w:r>
    </w:p>
    <w:p w14:paraId="0B1A499D" w14:textId="77777777" w:rsidR="00687B5D" w:rsidRDefault="00687B5D" w:rsidP="002A2EA6">
      <w:pPr>
        <w:pStyle w:val="Titletable"/>
        <w:spacing w:before="240"/>
        <w:rPr>
          <w:b w:val="0"/>
          <w:bCs w:val="0"/>
          <w:lang w:val="fr-FR"/>
        </w:rPr>
      </w:pPr>
      <w:r>
        <w:rPr>
          <w:b w:val="0"/>
          <w:bCs w:val="0"/>
          <w:lang w:val="fr-FR"/>
        </w:rPr>
        <w:br w:type="page"/>
      </w:r>
    </w:p>
    <w:p w14:paraId="1A557EF3" w14:textId="1E5D2DAE" w:rsidR="002A2EA6" w:rsidRPr="002A2EA6" w:rsidRDefault="002A2EA6" w:rsidP="002A2EA6">
      <w:pPr>
        <w:pStyle w:val="Titletable"/>
        <w:spacing w:before="240"/>
        <w:rPr>
          <w:lang w:val="fr-FR"/>
        </w:rPr>
      </w:pPr>
      <w:r w:rsidRPr="002A2EA6">
        <w:rPr>
          <w:b w:val="0"/>
          <w:bCs w:val="0"/>
          <w:lang w:val="fr-FR"/>
        </w:rPr>
        <w:lastRenderedPageBreak/>
        <w:t xml:space="preserve">Tableau 2 </w:t>
      </w:r>
      <w:r w:rsidRPr="002A2EA6">
        <w:rPr>
          <w:lang w:val="fr-FR"/>
        </w:rPr>
        <w:br/>
        <w:t>Liste non exhaustive des déchets contenant du mercure ou des composés du mercure (alinéa 2 b) de l</w:t>
      </w:r>
      <w:r w:rsidR="00CA4DAC">
        <w:rPr>
          <w:lang w:val="fr-FR"/>
        </w:rPr>
        <w:t>’</w:t>
      </w:r>
      <w:r w:rsidRPr="002A2EA6">
        <w:rPr>
          <w:lang w:val="fr-FR"/>
        </w:rPr>
        <w:t>article 11)</w:t>
      </w:r>
      <w:r w:rsidRPr="002A2EA6">
        <w:rPr>
          <w:sz w:val="24"/>
          <w:szCs w:val="24"/>
          <w:vertAlign w:val="superscript"/>
          <w:lang w:val="fr-FR"/>
        </w:rPr>
        <w:t>a</w:t>
      </w:r>
    </w:p>
    <w:tbl>
      <w:tblPr>
        <w:tblW w:w="82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552"/>
        <w:gridCol w:w="5726"/>
      </w:tblGrid>
      <w:tr w:rsidR="002A2EA6" w:rsidRPr="002A2EA6" w14:paraId="668E542F" w14:textId="77777777" w:rsidTr="007C0DA9">
        <w:trPr>
          <w:trHeight w:val="57"/>
          <w:tblHeader/>
          <w:jc w:val="right"/>
        </w:trPr>
        <w:tc>
          <w:tcPr>
            <w:tcW w:w="2552" w:type="dxa"/>
            <w:tcBorders>
              <w:top w:val="single" w:sz="4" w:space="0" w:color="000000"/>
              <w:left w:val="nil"/>
              <w:bottom w:val="single" w:sz="12" w:space="0" w:color="auto"/>
              <w:right w:val="nil"/>
            </w:tcBorders>
            <w:hideMark/>
          </w:tcPr>
          <w:p w14:paraId="5CF3FB34" w14:textId="77777777" w:rsidR="002A2EA6" w:rsidRPr="002A2EA6" w:rsidRDefault="002A2EA6" w:rsidP="002A2EA6">
            <w:pPr>
              <w:pStyle w:val="Normal-pool"/>
              <w:spacing w:before="60" w:after="60"/>
              <w:rPr>
                <w:i/>
                <w:iCs/>
                <w:sz w:val="18"/>
                <w:szCs w:val="18"/>
                <w:lang w:val="fr-FR"/>
              </w:rPr>
            </w:pPr>
            <w:r w:rsidRPr="002A2EA6">
              <w:rPr>
                <w:i/>
                <w:iCs/>
                <w:sz w:val="18"/>
                <w:szCs w:val="18"/>
                <w:lang w:val="fr-FR"/>
              </w:rPr>
              <w:t>Type de déchet</w:t>
            </w:r>
          </w:p>
        </w:tc>
        <w:tc>
          <w:tcPr>
            <w:tcW w:w="5726" w:type="dxa"/>
            <w:tcBorders>
              <w:top w:val="single" w:sz="4" w:space="0" w:color="000000"/>
              <w:left w:val="nil"/>
              <w:bottom w:val="single" w:sz="12" w:space="0" w:color="auto"/>
              <w:right w:val="nil"/>
            </w:tcBorders>
            <w:hideMark/>
          </w:tcPr>
          <w:p w14:paraId="16F8EC4F" w14:textId="77777777" w:rsidR="002A2EA6" w:rsidRPr="002A2EA6" w:rsidRDefault="002A2EA6" w:rsidP="002A2EA6">
            <w:pPr>
              <w:pStyle w:val="Normal-pool"/>
              <w:spacing w:before="60" w:after="60"/>
              <w:rPr>
                <w:i/>
                <w:iCs/>
                <w:sz w:val="18"/>
                <w:szCs w:val="18"/>
                <w:lang w:val="fr-FR"/>
              </w:rPr>
            </w:pPr>
            <w:r w:rsidRPr="002A2EA6">
              <w:rPr>
                <w:i/>
                <w:iCs/>
                <w:sz w:val="18"/>
                <w:szCs w:val="18"/>
                <w:lang w:val="fr-FR"/>
              </w:rPr>
              <w:t>Sources de déchets</w:t>
            </w:r>
            <w:r w:rsidRPr="00AF699B">
              <w:rPr>
                <w:i/>
                <w:iCs/>
                <w:sz w:val="18"/>
                <w:szCs w:val="18"/>
                <w:vertAlign w:val="superscript"/>
                <w:lang w:val="fr-FR"/>
              </w:rPr>
              <w:t>b</w:t>
            </w:r>
            <w:r w:rsidRPr="002A2EA6">
              <w:rPr>
                <w:i/>
                <w:iCs/>
                <w:sz w:val="18"/>
                <w:szCs w:val="18"/>
                <w:lang w:val="fr-FR"/>
              </w:rPr>
              <w:t xml:space="preserve"> </w:t>
            </w:r>
          </w:p>
        </w:tc>
      </w:tr>
      <w:tr w:rsidR="002A2EA6" w:rsidRPr="002A2EA6" w14:paraId="599D5865" w14:textId="77777777" w:rsidTr="007C0DA9">
        <w:trPr>
          <w:trHeight w:val="57"/>
          <w:jc w:val="right"/>
        </w:trPr>
        <w:tc>
          <w:tcPr>
            <w:tcW w:w="2552" w:type="dxa"/>
            <w:tcBorders>
              <w:top w:val="single" w:sz="12" w:space="0" w:color="auto"/>
              <w:left w:val="nil"/>
              <w:bottom w:val="single" w:sz="4" w:space="0" w:color="000000"/>
              <w:right w:val="nil"/>
            </w:tcBorders>
            <w:hideMark/>
          </w:tcPr>
          <w:p w14:paraId="7D4085D5" w14:textId="77777777" w:rsidR="002A2EA6" w:rsidRPr="002A2EA6" w:rsidRDefault="002A2EA6" w:rsidP="002A2EA6">
            <w:pPr>
              <w:pStyle w:val="Normal-pool"/>
              <w:spacing w:before="60" w:after="60"/>
              <w:rPr>
                <w:sz w:val="18"/>
                <w:szCs w:val="18"/>
                <w:lang w:val="fr-FR"/>
              </w:rPr>
            </w:pPr>
            <w:r w:rsidRPr="002A2EA6">
              <w:rPr>
                <w:sz w:val="18"/>
                <w:szCs w:val="18"/>
                <w:lang w:val="fr-FR"/>
              </w:rPr>
              <w:t>Instruments de mesure non électroniques contenant du mercure (baromètres, hygromètres, manomètres, thermomètres, sphygmomanomètres)</w:t>
            </w:r>
          </w:p>
        </w:tc>
        <w:tc>
          <w:tcPr>
            <w:tcW w:w="5726" w:type="dxa"/>
            <w:tcBorders>
              <w:top w:val="single" w:sz="12" w:space="0" w:color="auto"/>
              <w:left w:val="nil"/>
              <w:bottom w:val="single" w:sz="4" w:space="0" w:color="000000"/>
              <w:right w:val="nil"/>
            </w:tcBorders>
          </w:tcPr>
          <w:p w14:paraId="2F5B38C3" w14:textId="77777777" w:rsidR="002A2EA6" w:rsidRPr="002A2EA6" w:rsidRDefault="002A2EA6" w:rsidP="002A2EA6">
            <w:pPr>
              <w:pStyle w:val="Normal-pool"/>
              <w:spacing w:before="60" w:after="60"/>
              <w:rPr>
                <w:sz w:val="18"/>
                <w:szCs w:val="18"/>
                <w:lang w:val="fr-FR"/>
              </w:rPr>
            </w:pPr>
            <w:r w:rsidRPr="002A2EA6">
              <w:rPr>
                <w:sz w:val="18"/>
                <w:szCs w:val="18"/>
                <w:lang w:val="fr-FR"/>
              </w:rPr>
              <w:t>Hôpitaux, cliniques, établissements de santé (humaine et animale), pharmacies, ménages, écoles, laboratoires, universités, installations industrielles, aéroports, stations météorologiques, chantiers de recyclage des navires</w:t>
            </w:r>
          </w:p>
        </w:tc>
      </w:tr>
      <w:tr w:rsidR="002A2EA6" w:rsidRPr="002A2EA6" w14:paraId="0245CF87" w14:textId="77777777" w:rsidTr="007C0DA9">
        <w:trPr>
          <w:trHeight w:val="57"/>
          <w:jc w:val="right"/>
        </w:trPr>
        <w:tc>
          <w:tcPr>
            <w:tcW w:w="2552" w:type="dxa"/>
            <w:tcBorders>
              <w:top w:val="single" w:sz="4" w:space="0" w:color="000000"/>
              <w:left w:val="nil"/>
              <w:bottom w:val="single" w:sz="4" w:space="0" w:color="000000"/>
              <w:right w:val="nil"/>
            </w:tcBorders>
            <w:hideMark/>
          </w:tcPr>
          <w:p w14:paraId="04550671" w14:textId="74E1B295" w:rsidR="002A2EA6" w:rsidRPr="002A2EA6" w:rsidRDefault="002A2EA6" w:rsidP="002A2EA6">
            <w:pPr>
              <w:pStyle w:val="Normal-pool"/>
              <w:spacing w:before="60" w:after="60"/>
              <w:rPr>
                <w:sz w:val="18"/>
                <w:szCs w:val="18"/>
                <w:lang w:val="fr-FR"/>
              </w:rPr>
            </w:pPr>
            <w:r w:rsidRPr="002A2EA6">
              <w:rPr>
                <w:sz w:val="18"/>
                <w:szCs w:val="18"/>
                <w:lang w:val="fr-FR"/>
              </w:rPr>
              <w:t>Commutateurs, contacts, relais électriques et électroniques, et connecteurs électriques rotatifs contenant du mercure</w:t>
            </w:r>
          </w:p>
        </w:tc>
        <w:tc>
          <w:tcPr>
            <w:tcW w:w="5726" w:type="dxa"/>
            <w:tcBorders>
              <w:top w:val="single" w:sz="4" w:space="0" w:color="000000"/>
              <w:left w:val="nil"/>
              <w:bottom w:val="single" w:sz="4" w:space="0" w:color="000000"/>
              <w:right w:val="nil"/>
            </w:tcBorders>
            <w:hideMark/>
          </w:tcPr>
          <w:p w14:paraId="4CE4D82B" w14:textId="77777777" w:rsidR="002A2EA6" w:rsidRPr="002A2EA6" w:rsidRDefault="002A2EA6" w:rsidP="002A2EA6">
            <w:pPr>
              <w:pStyle w:val="Normal-pool"/>
              <w:spacing w:before="60" w:after="60"/>
              <w:rPr>
                <w:sz w:val="18"/>
                <w:szCs w:val="18"/>
                <w:lang w:val="fr-FR"/>
              </w:rPr>
            </w:pPr>
            <w:r w:rsidRPr="002A2EA6">
              <w:rPr>
                <w:sz w:val="18"/>
                <w:szCs w:val="18"/>
                <w:lang w:val="fr-FR"/>
              </w:rPr>
              <w:t>Installations de démantèlement des déchets de matériel électrique et électronique (relais, connecteurs et commutateurs), installations industrielles (avec chaudières), ménages, bureaux</w:t>
            </w:r>
          </w:p>
        </w:tc>
      </w:tr>
      <w:tr w:rsidR="002A2EA6" w:rsidRPr="002A2EA6" w14:paraId="177EC48E" w14:textId="77777777" w:rsidTr="007C0DA9">
        <w:trPr>
          <w:trHeight w:val="57"/>
          <w:jc w:val="right"/>
        </w:trPr>
        <w:tc>
          <w:tcPr>
            <w:tcW w:w="2552" w:type="dxa"/>
            <w:tcBorders>
              <w:top w:val="single" w:sz="4" w:space="0" w:color="000000"/>
              <w:left w:val="nil"/>
              <w:bottom w:val="single" w:sz="4" w:space="0" w:color="000000"/>
              <w:right w:val="nil"/>
            </w:tcBorders>
            <w:hideMark/>
          </w:tcPr>
          <w:p w14:paraId="4B3722B8" w14:textId="6E13B3D5" w:rsidR="002A2EA6" w:rsidRPr="002A2EA6" w:rsidRDefault="002A2EA6" w:rsidP="002A2EA6">
            <w:pPr>
              <w:pStyle w:val="Normal-pool"/>
              <w:spacing w:before="60" w:after="60"/>
              <w:rPr>
                <w:sz w:val="18"/>
                <w:szCs w:val="18"/>
                <w:lang w:val="fr-FR"/>
              </w:rPr>
            </w:pPr>
            <w:r w:rsidRPr="002A2EA6">
              <w:rPr>
                <w:sz w:val="18"/>
                <w:szCs w:val="18"/>
                <w:lang w:val="fr-FR"/>
              </w:rPr>
              <w:t>Ampoules fluorescentes, ampoules à décharge à haute intensité (DHI) (ampoules à vapeur de mercure, ampoules sodium aux halogénures métalliques et sous haute pression), lampes au néon/à l</w:t>
            </w:r>
            <w:r w:rsidR="00CA4DAC">
              <w:rPr>
                <w:sz w:val="18"/>
                <w:szCs w:val="18"/>
                <w:lang w:val="fr-FR"/>
              </w:rPr>
              <w:t>’</w:t>
            </w:r>
            <w:r w:rsidRPr="002A2EA6">
              <w:rPr>
                <w:sz w:val="18"/>
                <w:szCs w:val="18"/>
                <w:lang w:val="fr-FR"/>
              </w:rPr>
              <w:t>argon</w:t>
            </w:r>
          </w:p>
        </w:tc>
        <w:tc>
          <w:tcPr>
            <w:tcW w:w="5726" w:type="dxa"/>
            <w:tcBorders>
              <w:top w:val="single" w:sz="4" w:space="0" w:color="000000"/>
              <w:left w:val="nil"/>
              <w:bottom w:val="single" w:sz="4" w:space="0" w:color="000000"/>
              <w:right w:val="nil"/>
            </w:tcBorders>
            <w:hideMark/>
          </w:tcPr>
          <w:p w14:paraId="1D3BBAEC" w14:textId="77777777" w:rsidR="002A2EA6" w:rsidRPr="002A2EA6" w:rsidRDefault="002A2EA6" w:rsidP="002A2EA6">
            <w:pPr>
              <w:pStyle w:val="Normal-pool"/>
              <w:spacing w:before="60" w:after="60"/>
              <w:rPr>
                <w:sz w:val="18"/>
                <w:szCs w:val="18"/>
                <w:lang w:val="fr-FR"/>
              </w:rPr>
            </w:pPr>
            <w:r w:rsidRPr="002A2EA6">
              <w:rPr>
                <w:sz w:val="18"/>
                <w:szCs w:val="18"/>
                <w:lang w:val="fr-FR"/>
              </w:rPr>
              <w:t>Ménages, installations industrielles et commerciales, constructeurs automobiles, points de collecte</w:t>
            </w:r>
          </w:p>
        </w:tc>
      </w:tr>
      <w:tr w:rsidR="002A2EA6" w:rsidRPr="002A2EA6" w14:paraId="0452060A" w14:textId="77777777" w:rsidTr="007C0DA9">
        <w:trPr>
          <w:trHeight w:val="57"/>
          <w:jc w:val="right"/>
        </w:trPr>
        <w:tc>
          <w:tcPr>
            <w:tcW w:w="2552" w:type="dxa"/>
            <w:tcBorders>
              <w:top w:val="single" w:sz="4" w:space="0" w:color="000000"/>
              <w:left w:val="nil"/>
              <w:bottom w:val="single" w:sz="4" w:space="0" w:color="000000"/>
              <w:right w:val="nil"/>
            </w:tcBorders>
            <w:hideMark/>
          </w:tcPr>
          <w:p w14:paraId="754746BC" w14:textId="77777777" w:rsidR="002A2EA6" w:rsidRPr="002A2EA6" w:rsidRDefault="002A2EA6" w:rsidP="002A2EA6">
            <w:pPr>
              <w:pStyle w:val="Normal-pool"/>
              <w:spacing w:before="60" w:after="60"/>
              <w:rPr>
                <w:sz w:val="18"/>
                <w:szCs w:val="18"/>
                <w:lang w:val="fr-FR"/>
              </w:rPr>
            </w:pPr>
            <w:r w:rsidRPr="002A2EA6">
              <w:rPr>
                <w:sz w:val="18"/>
                <w:szCs w:val="18"/>
                <w:lang w:val="fr-FR"/>
              </w:rPr>
              <w:t>Piles/accumulateurs contenant du mercure</w:t>
            </w:r>
          </w:p>
        </w:tc>
        <w:tc>
          <w:tcPr>
            <w:tcW w:w="5726" w:type="dxa"/>
            <w:tcBorders>
              <w:top w:val="single" w:sz="4" w:space="0" w:color="000000"/>
              <w:left w:val="nil"/>
              <w:bottom w:val="single" w:sz="4" w:space="0" w:color="000000"/>
              <w:right w:val="nil"/>
            </w:tcBorders>
            <w:hideMark/>
          </w:tcPr>
          <w:p w14:paraId="4A71A19E" w14:textId="77777777" w:rsidR="002A2EA6" w:rsidRPr="002A2EA6" w:rsidRDefault="002A2EA6" w:rsidP="002A2EA6">
            <w:pPr>
              <w:pStyle w:val="Normal-pool"/>
              <w:spacing w:before="60" w:after="60"/>
              <w:rPr>
                <w:sz w:val="18"/>
                <w:szCs w:val="18"/>
                <w:lang w:val="fr-FR"/>
              </w:rPr>
            </w:pPr>
            <w:r w:rsidRPr="002A2EA6">
              <w:rPr>
                <w:sz w:val="18"/>
                <w:szCs w:val="18"/>
                <w:lang w:val="fr-FR"/>
              </w:rPr>
              <w:t>Ménages, installations industrielles et commerciales, points de collecte</w:t>
            </w:r>
          </w:p>
        </w:tc>
      </w:tr>
      <w:tr w:rsidR="002A2EA6" w:rsidRPr="002A2EA6" w14:paraId="28857DA9" w14:textId="77777777" w:rsidTr="007C0DA9">
        <w:trPr>
          <w:trHeight w:val="57"/>
          <w:jc w:val="right"/>
        </w:trPr>
        <w:tc>
          <w:tcPr>
            <w:tcW w:w="2552" w:type="dxa"/>
            <w:tcBorders>
              <w:top w:val="single" w:sz="4" w:space="0" w:color="000000"/>
              <w:left w:val="nil"/>
              <w:bottom w:val="single" w:sz="4" w:space="0" w:color="000000"/>
              <w:right w:val="nil"/>
            </w:tcBorders>
            <w:hideMark/>
          </w:tcPr>
          <w:p w14:paraId="59BE66BA" w14:textId="77777777" w:rsidR="002A2EA6" w:rsidRPr="002A2EA6" w:rsidRDefault="002A2EA6" w:rsidP="002A2EA6">
            <w:pPr>
              <w:pStyle w:val="Normal-pool"/>
              <w:spacing w:before="60" w:after="60"/>
              <w:rPr>
                <w:sz w:val="18"/>
                <w:szCs w:val="18"/>
                <w:lang w:val="fr-FR"/>
              </w:rPr>
            </w:pPr>
            <w:r w:rsidRPr="002A2EA6">
              <w:rPr>
                <w:sz w:val="18"/>
                <w:szCs w:val="18"/>
                <w:lang w:val="fr-FR"/>
              </w:rPr>
              <w:t>Biocides et pesticides contenant du mercure ainsi que leurs formulations et produits dérivés</w:t>
            </w:r>
          </w:p>
        </w:tc>
        <w:tc>
          <w:tcPr>
            <w:tcW w:w="5726" w:type="dxa"/>
            <w:tcBorders>
              <w:top w:val="single" w:sz="4" w:space="0" w:color="000000"/>
              <w:left w:val="nil"/>
              <w:bottom w:val="single" w:sz="4" w:space="0" w:color="000000"/>
              <w:right w:val="nil"/>
            </w:tcBorders>
            <w:hideMark/>
          </w:tcPr>
          <w:p w14:paraId="7877D724" w14:textId="77777777" w:rsidR="002A2EA6" w:rsidRPr="002A2EA6" w:rsidRDefault="002A2EA6" w:rsidP="002A2EA6">
            <w:pPr>
              <w:pStyle w:val="Normal-pool"/>
              <w:spacing w:before="60" w:after="60"/>
              <w:rPr>
                <w:sz w:val="18"/>
                <w:szCs w:val="18"/>
                <w:lang w:val="fr-FR"/>
              </w:rPr>
            </w:pPr>
            <w:r w:rsidRPr="002A2EA6">
              <w:rPr>
                <w:sz w:val="18"/>
                <w:szCs w:val="18"/>
                <w:lang w:val="fr-FR"/>
              </w:rPr>
              <w:t>Installations agricoles, horticoles, industrielles et commerciales (y compris stocks), laboratoires</w:t>
            </w:r>
          </w:p>
        </w:tc>
      </w:tr>
      <w:tr w:rsidR="002A2EA6" w:rsidRPr="002A2EA6" w14:paraId="14EA05EA" w14:textId="77777777" w:rsidTr="007C0DA9">
        <w:trPr>
          <w:trHeight w:val="57"/>
          <w:jc w:val="right"/>
        </w:trPr>
        <w:tc>
          <w:tcPr>
            <w:tcW w:w="2552" w:type="dxa"/>
            <w:tcBorders>
              <w:top w:val="single" w:sz="4" w:space="0" w:color="000000"/>
              <w:left w:val="nil"/>
              <w:bottom w:val="single" w:sz="4" w:space="0" w:color="000000"/>
              <w:right w:val="nil"/>
            </w:tcBorders>
            <w:hideMark/>
          </w:tcPr>
          <w:p w14:paraId="2432805B" w14:textId="77777777" w:rsidR="002A2EA6" w:rsidRPr="002A2EA6" w:rsidRDefault="002A2EA6" w:rsidP="002A2EA6">
            <w:pPr>
              <w:pStyle w:val="Normal-pool"/>
              <w:spacing w:before="60" w:after="60"/>
              <w:rPr>
                <w:sz w:val="18"/>
                <w:szCs w:val="18"/>
                <w:lang w:val="fr-FR"/>
              </w:rPr>
            </w:pPr>
            <w:r w:rsidRPr="002A2EA6">
              <w:rPr>
                <w:sz w:val="18"/>
                <w:szCs w:val="18"/>
                <w:lang w:val="fr-FR"/>
              </w:rPr>
              <w:t xml:space="preserve">Peintures et vernis contenant du mercure </w:t>
            </w:r>
          </w:p>
        </w:tc>
        <w:tc>
          <w:tcPr>
            <w:tcW w:w="5726" w:type="dxa"/>
            <w:tcBorders>
              <w:top w:val="single" w:sz="4" w:space="0" w:color="000000"/>
              <w:left w:val="nil"/>
              <w:bottom w:val="single" w:sz="4" w:space="0" w:color="000000"/>
              <w:right w:val="nil"/>
            </w:tcBorders>
            <w:hideMark/>
          </w:tcPr>
          <w:p w14:paraId="4072F33B" w14:textId="77777777" w:rsidR="002A2EA6" w:rsidRPr="002A2EA6" w:rsidRDefault="002A2EA6" w:rsidP="002A2EA6">
            <w:pPr>
              <w:pStyle w:val="Normal-pool"/>
              <w:spacing w:before="60" w:after="60"/>
              <w:rPr>
                <w:sz w:val="18"/>
                <w:szCs w:val="18"/>
                <w:lang w:val="fr-FR"/>
              </w:rPr>
            </w:pPr>
            <w:r w:rsidRPr="002A2EA6">
              <w:rPr>
                <w:sz w:val="18"/>
                <w:szCs w:val="18"/>
                <w:lang w:val="fr-FR"/>
              </w:rPr>
              <w:t>Installations industrielles et commerciales, ménages</w:t>
            </w:r>
          </w:p>
        </w:tc>
      </w:tr>
      <w:tr w:rsidR="002A2EA6" w:rsidRPr="002A2EA6" w14:paraId="4AA8C9F2" w14:textId="77777777" w:rsidTr="007C0DA9">
        <w:trPr>
          <w:trHeight w:val="57"/>
          <w:jc w:val="right"/>
        </w:trPr>
        <w:tc>
          <w:tcPr>
            <w:tcW w:w="2552" w:type="dxa"/>
            <w:tcBorders>
              <w:top w:val="single" w:sz="4" w:space="0" w:color="000000"/>
              <w:left w:val="nil"/>
              <w:bottom w:val="single" w:sz="4" w:space="0" w:color="000000"/>
              <w:right w:val="nil"/>
            </w:tcBorders>
            <w:hideMark/>
          </w:tcPr>
          <w:p w14:paraId="70F18F90" w14:textId="77777777" w:rsidR="002A2EA6" w:rsidRPr="002A2EA6" w:rsidRDefault="002A2EA6" w:rsidP="002A2EA6">
            <w:pPr>
              <w:pStyle w:val="Normal-pool"/>
              <w:spacing w:before="60" w:after="60"/>
              <w:rPr>
                <w:sz w:val="18"/>
                <w:szCs w:val="18"/>
                <w:lang w:val="fr-FR"/>
              </w:rPr>
            </w:pPr>
            <w:r w:rsidRPr="002A2EA6">
              <w:rPr>
                <w:sz w:val="18"/>
                <w:szCs w:val="18"/>
                <w:lang w:val="fr-FR"/>
              </w:rPr>
              <w:t>Produits pharmaceutiques contenant du mercure à usage humain et vétérinaire, y compris vaccins</w:t>
            </w:r>
          </w:p>
        </w:tc>
        <w:tc>
          <w:tcPr>
            <w:tcW w:w="5726" w:type="dxa"/>
            <w:tcBorders>
              <w:top w:val="single" w:sz="4" w:space="0" w:color="000000"/>
              <w:left w:val="nil"/>
              <w:bottom w:val="single" w:sz="4" w:space="0" w:color="000000"/>
              <w:right w:val="nil"/>
            </w:tcBorders>
            <w:hideMark/>
          </w:tcPr>
          <w:p w14:paraId="7E1D71EF" w14:textId="77777777" w:rsidR="002A2EA6" w:rsidRPr="002A2EA6" w:rsidRDefault="002A2EA6" w:rsidP="002A2EA6">
            <w:pPr>
              <w:pStyle w:val="Normal-pool"/>
              <w:spacing w:before="60" w:after="60"/>
              <w:rPr>
                <w:sz w:val="18"/>
                <w:szCs w:val="18"/>
                <w:lang w:val="fr-FR"/>
              </w:rPr>
            </w:pPr>
            <w:r w:rsidRPr="002A2EA6">
              <w:rPr>
                <w:sz w:val="18"/>
                <w:szCs w:val="18"/>
                <w:lang w:val="fr-FR"/>
              </w:rPr>
              <w:t>Installations industrielles et établissements de santé (y compris stocks), industrie animale</w:t>
            </w:r>
          </w:p>
        </w:tc>
      </w:tr>
      <w:tr w:rsidR="002A2EA6" w:rsidRPr="002A2EA6" w14:paraId="07167D4A" w14:textId="77777777" w:rsidTr="007C0DA9">
        <w:trPr>
          <w:trHeight w:val="57"/>
          <w:jc w:val="right"/>
        </w:trPr>
        <w:tc>
          <w:tcPr>
            <w:tcW w:w="2552" w:type="dxa"/>
            <w:tcBorders>
              <w:top w:val="single" w:sz="4" w:space="0" w:color="000000"/>
              <w:left w:val="nil"/>
              <w:bottom w:val="single" w:sz="4" w:space="0" w:color="000000"/>
              <w:right w:val="nil"/>
            </w:tcBorders>
            <w:hideMark/>
          </w:tcPr>
          <w:p w14:paraId="485826F3" w14:textId="77777777" w:rsidR="002A2EA6" w:rsidRPr="002A2EA6" w:rsidRDefault="002A2EA6" w:rsidP="002A2EA6">
            <w:pPr>
              <w:pStyle w:val="Normal-pool"/>
              <w:spacing w:before="60" w:after="60"/>
              <w:rPr>
                <w:sz w:val="18"/>
                <w:szCs w:val="18"/>
                <w:lang w:val="fr-FR"/>
              </w:rPr>
            </w:pPr>
            <w:r w:rsidRPr="002A2EA6">
              <w:rPr>
                <w:sz w:val="18"/>
                <w:szCs w:val="18"/>
                <w:lang w:val="fr-FR"/>
              </w:rPr>
              <w:t>Cosmétiques et produits connexes contenant du mercure</w:t>
            </w:r>
          </w:p>
        </w:tc>
        <w:tc>
          <w:tcPr>
            <w:tcW w:w="5726" w:type="dxa"/>
            <w:tcBorders>
              <w:top w:val="single" w:sz="4" w:space="0" w:color="000000"/>
              <w:left w:val="nil"/>
              <w:bottom w:val="single" w:sz="4" w:space="0" w:color="000000"/>
              <w:right w:val="nil"/>
            </w:tcBorders>
            <w:hideMark/>
          </w:tcPr>
          <w:p w14:paraId="78DB108A" w14:textId="77777777" w:rsidR="002A2EA6" w:rsidRPr="002A2EA6" w:rsidRDefault="002A2EA6" w:rsidP="002A2EA6">
            <w:pPr>
              <w:pStyle w:val="Normal-pool"/>
              <w:spacing w:before="60" w:after="60"/>
              <w:rPr>
                <w:sz w:val="18"/>
                <w:szCs w:val="18"/>
                <w:lang w:val="fr-FR"/>
              </w:rPr>
            </w:pPr>
            <w:r w:rsidRPr="002A2EA6">
              <w:rPr>
                <w:sz w:val="18"/>
                <w:szCs w:val="18"/>
                <w:lang w:val="fr-FR"/>
              </w:rPr>
              <w:t>Installations industrielles (y compris stocks)</w:t>
            </w:r>
          </w:p>
        </w:tc>
      </w:tr>
      <w:tr w:rsidR="002A2EA6" w:rsidRPr="002A2EA6" w14:paraId="754CEA54" w14:textId="77777777" w:rsidTr="007C0DA9">
        <w:trPr>
          <w:trHeight w:val="57"/>
          <w:jc w:val="right"/>
        </w:trPr>
        <w:tc>
          <w:tcPr>
            <w:tcW w:w="2552" w:type="dxa"/>
            <w:tcBorders>
              <w:top w:val="single" w:sz="4" w:space="0" w:color="000000"/>
              <w:left w:val="nil"/>
              <w:bottom w:val="single" w:sz="4" w:space="0" w:color="000000"/>
              <w:right w:val="nil"/>
            </w:tcBorders>
            <w:hideMark/>
          </w:tcPr>
          <w:p w14:paraId="04D13CCE" w14:textId="77777777" w:rsidR="002A2EA6" w:rsidRPr="002A2EA6" w:rsidRDefault="002A2EA6" w:rsidP="002A2EA6">
            <w:pPr>
              <w:pStyle w:val="Normal-pool"/>
              <w:spacing w:before="60" w:after="60"/>
              <w:rPr>
                <w:sz w:val="18"/>
                <w:szCs w:val="18"/>
                <w:lang w:val="fr-FR"/>
              </w:rPr>
            </w:pPr>
            <w:r w:rsidRPr="002A2EA6">
              <w:rPr>
                <w:sz w:val="18"/>
                <w:szCs w:val="18"/>
                <w:lang w:val="fr-FR"/>
              </w:rPr>
              <w:t>Amalgames dentaires</w:t>
            </w:r>
          </w:p>
        </w:tc>
        <w:tc>
          <w:tcPr>
            <w:tcW w:w="5726" w:type="dxa"/>
            <w:tcBorders>
              <w:top w:val="single" w:sz="4" w:space="0" w:color="000000"/>
              <w:left w:val="nil"/>
              <w:bottom w:val="single" w:sz="4" w:space="0" w:color="000000"/>
              <w:right w:val="nil"/>
            </w:tcBorders>
            <w:hideMark/>
          </w:tcPr>
          <w:p w14:paraId="6A1651CC" w14:textId="77777777" w:rsidR="002A2EA6" w:rsidRPr="002A2EA6" w:rsidRDefault="002A2EA6" w:rsidP="002A2EA6">
            <w:pPr>
              <w:pStyle w:val="Normal-pool"/>
              <w:spacing w:before="60" w:after="60"/>
              <w:rPr>
                <w:sz w:val="18"/>
                <w:szCs w:val="18"/>
                <w:lang w:val="fr-FR"/>
              </w:rPr>
            </w:pPr>
            <w:r w:rsidRPr="002A2EA6">
              <w:rPr>
                <w:sz w:val="18"/>
                <w:szCs w:val="18"/>
                <w:lang w:val="fr-FR"/>
              </w:rPr>
              <w:t>Cabinets dentaires, écoles dentaires, crématoriums</w:t>
            </w:r>
          </w:p>
        </w:tc>
      </w:tr>
      <w:tr w:rsidR="002A2EA6" w:rsidRPr="002A2EA6" w14:paraId="5BA2BF21" w14:textId="77777777" w:rsidTr="007C0DA9">
        <w:trPr>
          <w:trHeight w:val="57"/>
          <w:jc w:val="right"/>
        </w:trPr>
        <w:tc>
          <w:tcPr>
            <w:tcW w:w="2552" w:type="dxa"/>
            <w:tcBorders>
              <w:top w:val="single" w:sz="4" w:space="0" w:color="000000"/>
              <w:left w:val="nil"/>
              <w:bottom w:val="single" w:sz="12" w:space="0" w:color="auto"/>
              <w:right w:val="nil"/>
            </w:tcBorders>
            <w:hideMark/>
          </w:tcPr>
          <w:p w14:paraId="22C695F3" w14:textId="272F3B55" w:rsidR="002A2EA6" w:rsidRPr="002A2EA6" w:rsidRDefault="002A2EA6" w:rsidP="002A2EA6">
            <w:pPr>
              <w:pStyle w:val="Normal-pool"/>
              <w:spacing w:before="60" w:after="60"/>
              <w:rPr>
                <w:sz w:val="18"/>
                <w:szCs w:val="18"/>
                <w:lang w:val="fr-FR"/>
              </w:rPr>
            </w:pPr>
            <w:r w:rsidRPr="002A2EA6">
              <w:rPr>
                <w:sz w:val="18"/>
                <w:szCs w:val="18"/>
                <w:lang w:val="fr-FR"/>
              </w:rPr>
              <w:t>Instrument scientifique utilisé pour l</w:t>
            </w:r>
            <w:r w:rsidR="00CA4DAC">
              <w:rPr>
                <w:sz w:val="18"/>
                <w:szCs w:val="18"/>
                <w:lang w:val="fr-FR"/>
              </w:rPr>
              <w:t>’</w:t>
            </w:r>
            <w:r w:rsidRPr="002A2EA6">
              <w:rPr>
                <w:sz w:val="18"/>
                <w:szCs w:val="18"/>
                <w:lang w:val="fr-FR"/>
              </w:rPr>
              <w:t>étalonnage de dispositifs médicaux ou scientifiques contenant du mercure</w:t>
            </w:r>
          </w:p>
        </w:tc>
        <w:tc>
          <w:tcPr>
            <w:tcW w:w="5726" w:type="dxa"/>
            <w:tcBorders>
              <w:top w:val="single" w:sz="4" w:space="0" w:color="000000"/>
              <w:left w:val="nil"/>
              <w:bottom w:val="single" w:sz="12" w:space="0" w:color="auto"/>
              <w:right w:val="nil"/>
            </w:tcBorders>
            <w:hideMark/>
          </w:tcPr>
          <w:p w14:paraId="37734174" w14:textId="77777777" w:rsidR="002A2EA6" w:rsidRPr="002A2EA6" w:rsidRDefault="002A2EA6" w:rsidP="002A2EA6">
            <w:pPr>
              <w:pStyle w:val="Normal-pool"/>
              <w:spacing w:before="60" w:after="60"/>
              <w:rPr>
                <w:sz w:val="18"/>
                <w:szCs w:val="18"/>
                <w:lang w:val="fr-FR"/>
              </w:rPr>
            </w:pPr>
            <w:r w:rsidRPr="002A2EA6">
              <w:rPr>
                <w:sz w:val="18"/>
                <w:szCs w:val="18"/>
                <w:lang w:val="fr-FR"/>
              </w:rPr>
              <w:t>Laboratoires, institutions</w:t>
            </w:r>
            <w:r w:rsidRPr="002A2EA6">
              <w:rPr>
                <w:sz w:val="18"/>
                <w:szCs w:val="18"/>
                <w:vertAlign w:val="superscript"/>
                <w:lang w:val="fr-FR"/>
              </w:rPr>
              <w:t>c</w:t>
            </w:r>
            <w:r w:rsidRPr="002A2EA6">
              <w:rPr>
                <w:sz w:val="18"/>
                <w:szCs w:val="18"/>
                <w:lang w:val="fr-FR"/>
              </w:rPr>
              <w:t xml:space="preserve"> (y compris stocks)</w:t>
            </w:r>
          </w:p>
        </w:tc>
      </w:tr>
    </w:tbl>
    <w:p w14:paraId="0D8B337A" w14:textId="15A4E645" w:rsidR="002A2EA6" w:rsidRPr="002A2EA6" w:rsidRDefault="002A2EA6" w:rsidP="002A2EA6">
      <w:pPr>
        <w:tabs>
          <w:tab w:val="left" w:pos="4082"/>
        </w:tabs>
        <w:spacing w:before="20" w:after="40"/>
        <w:ind w:left="1247"/>
        <w:rPr>
          <w:sz w:val="17"/>
          <w:szCs w:val="17"/>
        </w:rPr>
      </w:pPr>
      <w:r w:rsidRPr="002A2EA6">
        <w:rPr>
          <w:sz w:val="17"/>
          <w:szCs w:val="17"/>
          <w:vertAlign w:val="superscript"/>
        </w:rPr>
        <w:t>a</w:t>
      </w:r>
      <w:r w:rsidRPr="002A2EA6">
        <w:rPr>
          <w:sz w:val="17"/>
          <w:szCs w:val="17"/>
        </w:rPr>
        <w:t xml:space="preserve"> Les produits contenant du mercure ajouté qui figurent dans la colonne « Type de déchet » du présent tableau sont considérés comme des déchets au sens de l</w:t>
      </w:r>
      <w:r w:rsidR="00CA4DAC">
        <w:rPr>
          <w:sz w:val="17"/>
          <w:szCs w:val="17"/>
        </w:rPr>
        <w:t>’</w:t>
      </w:r>
      <w:r w:rsidRPr="002A2EA6">
        <w:rPr>
          <w:sz w:val="17"/>
          <w:szCs w:val="17"/>
        </w:rPr>
        <w:t>alinéa 2 b) de l</w:t>
      </w:r>
      <w:r w:rsidR="00CA4DAC">
        <w:rPr>
          <w:sz w:val="17"/>
          <w:szCs w:val="17"/>
        </w:rPr>
        <w:t>’</w:t>
      </w:r>
      <w:r w:rsidRPr="002A2EA6">
        <w:rPr>
          <w:sz w:val="17"/>
          <w:szCs w:val="17"/>
        </w:rPr>
        <w:t>article 11 lorsqu</w:t>
      </w:r>
      <w:r w:rsidR="00CA4DAC">
        <w:rPr>
          <w:sz w:val="17"/>
          <w:szCs w:val="17"/>
        </w:rPr>
        <w:t>’</w:t>
      </w:r>
      <w:r w:rsidRPr="002A2EA6">
        <w:rPr>
          <w:sz w:val="17"/>
          <w:szCs w:val="17"/>
        </w:rPr>
        <w:t>on les élimine, qu</w:t>
      </w:r>
      <w:r w:rsidR="00CA4DAC">
        <w:rPr>
          <w:sz w:val="17"/>
          <w:szCs w:val="17"/>
        </w:rPr>
        <w:t>’</w:t>
      </w:r>
      <w:r w:rsidRPr="002A2EA6">
        <w:rPr>
          <w:sz w:val="17"/>
          <w:szCs w:val="17"/>
        </w:rPr>
        <w:t>on a l</w:t>
      </w:r>
      <w:r w:rsidR="00CA4DAC">
        <w:rPr>
          <w:sz w:val="17"/>
          <w:szCs w:val="17"/>
        </w:rPr>
        <w:t>’</w:t>
      </w:r>
      <w:r w:rsidRPr="002A2EA6">
        <w:rPr>
          <w:sz w:val="17"/>
          <w:szCs w:val="17"/>
        </w:rPr>
        <w:t>intention de les éliminer ou qu</w:t>
      </w:r>
      <w:r w:rsidR="00CA4DAC">
        <w:rPr>
          <w:sz w:val="17"/>
          <w:szCs w:val="17"/>
        </w:rPr>
        <w:t>’</w:t>
      </w:r>
      <w:r w:rsidRPr="002A2EA6">
        <w:rPr>
          <w:sz w:val="17"/>
          <w:szCs w:val="17"/>
        </w:rPr>
        <w:t xml:space="preserve">on est tenu de les éliminer </w:t>
      </w:r>
      <w:bookmarkStart w:id="110" w:name="_DV_X895"/>
      <w:bookmarkStart w:id="111" w:name="_DV_C1053"/>
      <w:r w:rsidRPr="002A2EA6">
        <w:rPr>
          <w:sz w:val="17"/>
          <w:szCs w:val="17"/>
        </w:rPr>
        <w:t>en application du droit national ou de la Convention de Minamata</w:t>
      </w:r>
      <w:bookmarkEnd w:id="110"/>
      <w:bookmarkEnd w:id="111"/>
      <w:r w:rsidRPr="002A2EA6">
        <w:rPr>
          <w:sz w:val="17"/>
          <w:szCs w:val="17"/>
        </w:rPr>
        <w:t>.</w:t>
      </w:r>
    </w:p>
    <w:p w14:paraId="304284AC" w14:textId="77777777" w:rsidR="002A2EA6" w:rsidRPr="002A2EA6" w:rsidRDefault="002A2EA6" w:rsidP="002A2EA6">
      <w:pPr>
        <w:tabs>
          <w:tab w:val="left" w:pos="4082"/>
        </w:tabs>
        <w:spacing w:before="20" w:after="40"/>
        <w:ind w:left="1247"/>
        <w:rPr>
          <w:sz w:val="17"/>
          <w:szCs w:val="17"/>
        </w:rPr>
      </w:pPr>
      <w:r w:rsidRPr="002A2EA6">
        <w:rPr>
          <w:sz w:val="17"/>
          <w:szCs w:val="17"/>
          <w:vertAlign w:val="superscript"/>
        </w:rPr>
        <w:t>b</w:t>
      </w:r>
      <w:r w:rsidRPr="002A2EA6">
        <w:rPr>
          <w:sz w:val="17"/>
          <w:szCs w:val="17"/>
        </w:rPr>
        <w:t xml:space="preserve"> Une installation ou activité dans laquelle il est probable que des déchets soient générés ou accumulés.</w:t>
      </w:r>
    </w:p>
    <w:p w14:paraId="02E87A8D" w14:textId="77777777" w:rsidR="002A2EA6" w:rsidRPr="002A2EA6" w:rsidRDefault="002A2EA6" w:rsidP="002A2EA6">
      <w:pPr>
        <w:tabs>
          <w:tab w:val="left" w:pos="4082"/>
        </w:tabs>
        <w:spacing w:before="20" w:after="40"/>
        <w:ind w:left="1247"/>
        <w:rPr>
          <w:sz w:val="17"/>
          <w:szCs w:val="17"/>
        </w:rPr>
      </w:pPr>
      <w:r w:rsidRPr="002A2EA6">
        <w:rPr>
          <w:sz w:val="17"/>
          <w:szCs w:val="17"/>
          <w:vertAlign w:val="superscript"/>
        </w:rPr>
        <w:t>c</w:t>
      </w:r>
      <w:r w:rsidRPr="002A2EA6">
        <w:rPr>
          <w:sz w:val="17"/>
          <w:szCs w:val="17"/>
        </w:rPr>
        <w:t xml:space="preserve"> Institutions publiques et privées.</w:t>
      </w:r>
    </w:p>
    <w:p w14:paraId="08D67772" w14:textId="77777777" w:rsidR="00AF699B" w:rsidRDefault="00AF699B">
      <w:pPr>
        <w:tabs>
          <w:tab w:val="clear" w:pos="1247"/>
          <w:tab w:val="clear" w:pos="1814"/>
          <w:tab w:val="clear" w:pos="2381"/>
          <w:tab w:val="clear" w:pos="2948"/>
          <w:tab w:val="clear" w:pos="3515"/>
        </w:tabs>
      </w:pPr>
      <w:r>
        <w:rPr>
          <w:b/>
          <w:bCs/>
        </w:rPr>
        <w:br w:type="page"/>
      </w:r>
    </w:p>
    <w:p w14:paraId="2BB23250" w14:textId="34E996AB" w:rsidR="002A2EA6" w:rsidRPr="002A2EA6" w:rsidRDefault="002A2EA6" w:rsidP="00AF699B">
      <w:pPr>
        <w:pStyle w:val="Titletable"/>
        <w:spacing w:before="240"/>
        <w:rPr>
          <w:lang w:val="fr-FR"/>
        </w:rPr>
      </w:pPr>
      <w:r w:rsidRPr="002A2EA6">
        <w:rPr>
          <w:b w:val="0"/>
          <w:bCs w:val="0"/>
          <w:lang w:val="fr-FR"/>
        </w:rPr>
        <w:lastRenderedPageBreak/>
        <w:t xml:space="preserve">Tableau 3 </w:t>
      </w:r>
      <w:r w:rsidRPr="002A2EA6">
        <w:rPr>
          <w:lang w:val="fr-FR"/>
        </w:rPr>
        <w:br/>
        <w:t>Liste indicative des déchets contaminés par du mercure ou des composés du mercure (alinéa 2 c) de l</w:t>
      </w:r>
      <w:r w:rsidR="00CA4DAC">
        <w:rPr>
          <w:lang w:val="fr-FR"/>
        </w:rPr>
        <w:t>’</w:t>
      </w:r>
      <w:r w:rsidRPr="002A2EA6">
        <w:rPr>
          <w:lang w:val="fr-FR"/>
        </w:rPr>
        <w:t>article 11)</w:t>
      </w:r>
      <w:r w:rsidRPr="002A2EA6">
        <w:rPr>
          <w:sz w:val="24"/>
          <w:szCs w:val="24"/>
          <w:vertAlign w:val="superscript"/>
          <w:lang w:val="fr-FR"/>
        </w:rPr>
        <w:t>a</w:t>
      </w:r>
    </w:p>
    <w:tbl>
      <w:tblPr>
        <w:tblW w:w="82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481"/>
        <w:gridCol w:w="5797"/>
      </w:tblGrid>
      <w:tr w:rsidR="002A2EA6" w:rsidRPr="002A2EA6" w14:paraId="2B13DCE6" w14:textId="77777777" w:rsidTr="002A2EA6">
        <w:trPr>
          <w:trHeight w:val="57"/>
          <w:tblHeader/>
          <w:jc w:val="right"/>
        </w:trPr>
        <w:tc>
          <w:tcPr>
            <w:tcW w:w="2835" w:type="dxa"/>
            <w:tcBorders>
              <w:top w:val="single" w:sz="4" w:space="0" w:color="000000"/>
              <w:left w:val="nil"/>
              <w:bottom w:val="single" w:sz="12" w:space="0" w:color="auto"/>
              <w:right w:val="nil"/>
            </w:tcBorders>
            <w:hideMark/>
          </w:tcPr>
          <w:p w14:paraId="6E40FEA7" w14:textId="77777777" w:rsidR="002A2EA6" w:rsidRPr="002A2EA6" w:rsidRDefault="002A2EA6" w:rsidP="002A2EA6">
            <w:pPr>
              <w:pStyle w:val="Normal-pool"/>
              <w:spacing w:before="60" w:after="60"/>
              <w:rPr>
                <w:i/>
                <w:iCs/>
                <w:sz w:val="18"/>
                <w:szCs w:val="18"/>
                <w:lang w:val="fr-FR"/>
              </w:rPr>
            </w:pPr>
            <w:r w:rsidRPr="002A2EA6">
              <w:rPr>
                <w:i/>
                <w:iCs/>
                <w:sz w:val="18"/>
                <w:szCs w:val="18"/>
                <w:lang w:val="fr-FR"/>
              </w:rPr>
              <w:t>Type de déchet</w:t>
            </w:r>
          </w:p>
        </w:tc>
        <w:tc>
          <w:tcPr>
            <w:tcW w:w="6650" w:type="dxa"/>
            <w:tcBorders>
              <w:top w:val="single" w:sz="4" w:space="0" w:color="000000"/>
              <w:left w:val="nil"/>
              <w:bottom w:val="single" w:sz="12" w:space="0" w:color="auto"/>
              <w:right w:val="nil"/>
            </w:tcBorders>
            <w:hideMark/>
          </w:tcPr>
          <w:p w14:paraId="4E764A79" w14:textId="77777777" w:rsidR="002A2EA6" w:rsidRPr="002A2EA6" w:rsidRDefault="002A2EA6" w:rsidP="002A2EA6">
            <w:pPr>
              <w:spacing w:before="60" w:after="60"/>
              <w:ind w:left="126"/>
              <w:rPr>
                <w:iCs/>
                <w:sz w:val="18"/>
                <w:szCs w:val="18"/>
              </w:rPr>
            </w:pPr>
            <w:r w:rsidRPr="002A2EA6">
              <w:rPr>
                <w:i/>
                <w:iCs/>
                <w:sz w:val="18"/>
                <w:szCs w:val="18"/>
              </w:rPr>
              <w:t>Sources de déchets</w:t>
            </w:r>
            <w:r w:rsidRPr="00AF699B">
              <w:rPr>
                <w:i/>
                <w:iCs/>
                <w:sz w:val="18"/>
                <w:szCs w:val="18"/>
                <w:vertAlign w:val="superscript"/>
              </w:rPr>
              <w:t>b</w:t>
            </w:r>
          </w:p>
        </w:tc>
      </w:tr>
      <w:tr w:rsidR="002A2EA6" w:rsidRPr="002A2EA6" w14:paraId="15560BB7" w14:textId="77777777" w:rsidTr="002A2EA6">
        <w:trPr>
          <w:trHeight w:val="57"/>
          <w:jc w:val="right"/>
        </w:trPr>
        <w:tc>
          <w:tcPr>
            <w:tcW w:w="2835" w:type="dxa"/>
            <w:tcBorders>
              <w:top w:val="single" w:sz="12" w:space="0" w:color="auto"/>
              <w:left w:val="nil"/>
              <w:bottom w:val="single" w:sz="4" w:space="0" w:color="000000"/>
              <w:right w:val="nil"/>
            </w:tcBorders>
            <w:hideMark/>
          </w:tcPr>
          <w:p w14:paraId="340E2E56" w14:textId="15E1FA14" w:rsidR="002A2EA6" w:rsidRPr="002A2EA6" w:rsidRDefault="002A2EA6" w:rsidP="002A2EA6">
            <w:pPr>
              <w:pStyle w:val="Normal-pool"/>
              <w:spacing w:before="60" w:after="60"/>
              <w:rPr>
                <w:sz w:val="18"/>
                <w:szCs w:val="18"/>
                <w:lang w:val="fr-FR"/>
              </w:rPr>
            </w:pPr>
            <w:r w:rsidRPr="002A2EA6">
              <w:rPr>
                <w:sz w:val="18"/>
                <w:szCs w:val="18"/>
                <w:lang w:val="fr-FR"/>
              </w:rPr>
              <w:t>Déchets provenant des installations industrielles antipollution d</w:t>
            </w:r>
            <w:r w:rsidR="00CA4DAC">
              <w:rPr>
                <w:sz w:val="18"/>
                <w:szCs w:val="18"/>
                <w:lang w:val="fr-FR"/>
              </w:rPr>
              <w:t>’</w:t>
            </w:r>
            <w:r w:rsidRPr="002A2EA6">
              <w:rPr>
                <w:sz w:val="18"/>
                <w:szCs w:val="18"/>
                <w:lang w:val="fr-FR"/>
              </w:rPr>
              <w:t>épuration des rejets gazeux industriels</w:t>
            </w:r>
            <w:r w:rsidRPr="002A2EA6">
              <w:rPr>
                <w:sz w:val="18"/>
                <w:szCs w:val="18"/>
                <w:vertAlign w:val="superscript"/>
                <w:lang w:val="fr-FR"/>
              </w:rPr>
              <w:t>c</w:t>
            </w:r>
          </w:p>
        </w:tc>
        <w:tc>
          <w:tcPr>
            <w:tcW w:w="6650" w:type="dxa"/>
            <w:tcBorders>
              <w:top w:val="single" w:sz="12" w:space="0" w:color="auto"/>
              <w:left w:val="nil"/>
              <w:bottom w:val="single" w:sz="4" w:space="0" w:color="000000"/>
              <w:right w:val="nil"/>
            </w:tcBorders>
            <w:hideMark/>
          </w:tcPr>
          <w:p w14:paraId="1F14575C" w14:textId="77777777" w:rsidR="002A2EA6" w:rsidRPr="002A2EA6" w:rsidRDefault="002A2EA6" w:rsidP="002A2EA6">
            <w:pPr>
              <w:spacing w:before="60" w:after="60"/>
              <w:ind w:left="126"/>
              <w:rPr>
                <w:sz w:val="18"/>
                <w:szCs w:val="18"/>
              </w:rPr>
            </w:pPr>
            <w:r w:rsidRPr="002A2EA6">
              <w:rPr>
                <w:sz w:val="18"/>
                <w:szCs w:val="18"/>
              </w:rPr>
              <w:t>Gaz de combustion provenant de sources telles que :</w:t>
            </w:r>
          </w:p>
          <w:p w14:paraId="6A682E26" w14:textId="500E78A1" w:rsidR="002A2EA6" w:rsidRPr="002A2EA6" w:rsidRDefault="002A2EA6" w:rsidP="002A2EA6">
            <w:pPr>
              <w:pStyle w:val="Normal-pool"/>
              <w:spacing w:before="40"/>
              <w:ind w:left="113"/>
              <w:rPr>
                <w:sz w:val="18"/>
                <w:szCs w:val="18"/>
                <w:lang w:val="fr-FR"/>
              </w:rPr>
            </w:pPr>
            <w:r w:rsidRPr="002A2EA6">
              <w:rPr>
                <w:sz w:val="18"/>
                <w:szCs w:val="18"/>
                <w:lang w:val="fr-FR"/>
              </w:rPr>
              <w:t>Extraction et utilisation de combustibles/sources d</w:t>
            </w:r>
            <w:r w:rsidR="00CA4DAC">
              <w:rPr>
                <w:sz w:val="18"/>
                <w:szCs w:val="18"/>
                <w:lang w:val="fr-FR"/>
              </w:rPr>
              <w:t>’</w:t>
            </w:r>
            <w:r w:rsidRPr="002A2EA6">
              <w:rPr>
                <w:sz w:val="18"/>
                <w:szCs w:val="18"/>
                <w:lang w:val="fr-FR"/>
              </w:rPr>
              <w:t>énergie</w:t>
            </w:r>
          </w:p>
          <w:p w14:paraId="39BF5DD1" w14:textId="77777777" w:rsidR="002A2EA6" w:rsidRPr="002A2EA6" w:rsidRDefault="002A2EA6" w:rsidP="002A2EA6">
            <w:pPr>
              <w:pStyle w:val="Normal-pool"/>
              <w:spacing w:before="40"/>
              <w:ind w:left="113"/>
              <w:rPr>
                <w:sz w:val="18"/>
                <w:szCs w:val="18"/>
                <w:lang w:val="fr-FR"/>
              </w:rPr>
            </w:pPr>
            <w:r w:rsidRPr="002A2EA6">
              <w:rPr>
                <w:sz w:val="18"/>
                <w:szCs w:val="18"/>
                <w:lang w:val="fr-FR"/>
              </w:rPr>
              <w:t>Procédés de fusion et de grillage utilisés dans la production de métaux non ferreux</w:t>
            </w:r>
          </w:p>
          <w:p w14:paraId="7D7EF7FC" w14:textId="072493E8" w:rsidR="002A2EA6" w:rsidRPr="002A2EA6" w:rsidRDefault="002A2EA6" w:rsidP="002A2EA6">
            <w:pPr>
              <w:pStyle w:val="Normal-pool"/>
              <w:spacing w:before="40"/>
              <w:ind w:left="113"/>
              <w:rPr>
                <w:sz w:val="18"/>
                <w:szCs w:val="18"/>
                <w:lang w:val="fr-FR"/>
              </w:rPr>
            </w:pPr>
            <w:r w:rsidRPr="002A2EA6">
              <w:rPr>
                <w:sz w:val="18"/>
                <w:szCs w:val="18"/>
                <w:lang w:val="fr-FR"/>
              </w:rPr>
              <w:t>Processus de production dans lesquels le mercure est présent en tant qu</w:t>
            </w:r>
            <w:r w:rsidR="00CA4DAC">
              <w:rPr>
                <w:sz w:val="18"/>
                <w:szCs w:val="18"/>
                <w:lang w:val="fr-FR"/>
              </w:rPr>
              <w:t>’</w:t>
            </w:r>
            <w:r w:rsidRPr="002A2EA6">
              <w:rPr>
                <w:sz w:val="18"/>
                <w:szCs w:val="18"/>
                <w:lang w:val="fr-FR"/>
              </w:rPr>
              <w:t>impureté</w:t>
            </w:r>
          </w:p>
          <w:p w14:paraId="0AFC6F51" w14:textId="4F259799" w:rsidR="002A2EA6" w:rsidRPr="002A2EA6" w:rsidRDefault="002A2EA6" w:rsidP="002A2EA6">
            <w:pPr>
              <w:pStyle w:val="Normal-pool"/>
              <w:spacing w:before="40"/>
              <w:ind w:left="113"/>
              <w:rPr>
                <w:sz w:val="18"/>
                <w:szCs w:val="18"/>
                <w:lang w:val="fr-FR"/>
              </w:rPr>
            </w:pPr>
            <w:r w:rsidRPr="002A2EA6">
              <w:rPr>
                <w:sz w:val="18"/>
                <w:szCs w:val="18"/>
                <w:lang w:val="fr-FR"/>
              </w:rPr>
              <w:t>Récupération de métaux précieux des déchets d</w:t>
            </w:r>
            <w:r w:rsidR="00CA4DAC">
              <w:rPr>
                <w:sz w:val="18"/>
                <w:szCs w:val="18"/>
                <w:lang w:val="fr-FR"/>
              </w:rPr>
              <w:t>’</w:t>
            </w:r>
            <w:r w:rsidRPr="002A2EA6">
              <w:rPr>
                <w:sz w:val="18"/>
                <w:szCs w:val="18"/>
                <w:lang w:val="fr-FR"/>
              </w:rPr>
              <w:t>équipements électriques et électroniques</w:t>
            </w:r>
          </w:p>
          <w:p w14:paraId="11473824" w14:textId="77777777" w:rsidR="002A2EA6" w:rsidRPr="002A2EA6" w:rsidRDefault="002A2EA6" w:rsidP="002A2EA6">
            <w:pPr>
              <w:pStyle w:val="Normal-pool"/>
              <w:spacing w:before="40"/>
              <w:ind w:left="113"/>
              <w:rPr>
                <w:sz w:val="18"/>
                <w:szCs w:val="18"/>
                <w:lang w:val="fr-FR"/>
              </w:rPr>
            </w:pPr>
            <w:r w:rsidRPr="002A2EA6">
              <w:rPr>
                <w:sz w:val="18"/>
                <w:szCs w:val="18"/>
                <w:lang w:val="fr-FR"/>
              </w:rPr>
              <w:t>Combustion de charbon</w:t>
            </w:r>
          </w:p>
          <w:p w14:paraId="74417C04" w14:textId="77777777" w:rsidR="002A2EA6" w:rsidRPr="002A2EA6" w:rsidRDefault="002A2EA6" w:rsidP="002A2EA6">
            <w:pPr>
              <w:pStyle w:val="Normal-pool"/>
              <w:spacing w:before="40"/>
              <w:ind w:left="113"/>
              <w:rPr>
                <w:sz w:val="18"/>
                <w:szCs w:val="18"/>
                <w:lang w:val="fr-FR"/>
              </w:rPr>
            </w:pPr>
            <w:r w:rsidRPr="002A2EA6">
              <w:rPr>
                <w:sz w:val="18"/>
                <w:szCs w:val="18"/>
                <w:lang w:val="fr-FR"/>
              </w:rPr>
              <w:t>Incinération et co-incinération de déchets</w:t>
            </w:r>
          </w:p>
          <w:p w14:paraId="0F3F9579" w14:textId="77777777" w:rsidR="002A2EA6" w:rsidRPr="002A2EA6" w:rsidRDefault="002A2EA6" w:rsidP="002A2EA6">
            <w:pPr>
              <w:pStyle w:val="Normal-pool"/>
              <w:spacing w:before="40"/>
              <w:ind w:left="113"/>
              <w:rPr>
                <w:sz w:val="18"/>
                <w:szCs w:val="18"/>
                <w:lang w:val="fr-FR"/>
              </w:rPr>
            </w:pPr>
            <w:r w:rsidRPr="002A2EA6">
              <w:rPr>
                <w:sz w:val="18"/>
                <w:szCs w:val="18"/>
                <w:lang w:val="fr-FR"/>
              </w:rPr>
              <w:t>Crématoriums</w:t>
            </w:r>
          </w:p>
        </w:tc>
      </w:tr>
      <w:tr w:rsidR="002A2EA6" w:rsidRPr="002A2EA6" w14:paraId="3ECED732" w14:textId="77777777" w:rsidTr="002A2EA6">
        <w:trPr>
          <w:trHeight w:val="57"/>
          <w:jc w:val="right"/>
        </w:trPr>
        <w:tc>
          <w:tcPr>
            <w:tcW w:w="2835" w:type="dxa"/>
            <w:tcBorders>
              <w:top w:val="single" w:sz="4" w:space="0" w:color="000000"/>
              <w:left w:val="nil"/>
              <w:bottom w:val="single" w:sz="4" w:space="0" w:color="000000"/>
              <w:right w:val="nil"/>
            </w:tcBorders>
            <w:hideMark/>
          </w:tcPr>
          <w:p w14:paraId="210C2D45" w14:textId="77777777" w:rsidR="002A2EA6" w:rsidRPr="002A2EA6" w:rsidRDefault="002A2EA6" w:rsidP="002A2EA6">
            <w:pPr>
              <w:pStyle w:val="Normal-pool"/>
              <w:spacing w:before="60" w:after="60"/>
              <w:rPr>
                <w:sz w:val="18"/>
                <w:szCs w:val="18"/>
                <w:lang w:val="fr-FR"/>
              </w:rPr>
            </w:pPr>
            <w:r w:rsidRPr="002A2EA6">
              <w:rPr>
                <w:sz w:val="18"/>
                <w:szCs w:val="18"/>
                <w:lang w:val="fr-FR"/>
              </w:rPr>
              <w:t>Mâchefers</w:t>
            </w:r>
          </w:p>
        </w:tc>
        <w:tc>
          <w:tcPr>
            <w:tcW w:w="6650" w:type="dxa"/>
            <w:tcBorders>
              <w:top w:val="single" w:sz="4" w:space="0" w:color="000000"/>
              <w:left w:val="nil"/>
              <w:bottom w:val="single" w:sz="4" w:space="0" w:color="000000"/>
              <w:right w:val="nil"/>
            </w:tcBorders>
            <w:hideMark/>
          </w:tcPr>
          <w:p w14:paraId="6B3175F9" w14:textId="77777777" w:rsidR="002A2EA6" w:rsidRPr="002A2EA6" w:rsidRDefault="002A2EA6" w:rsidP="002A2EA6">
            <w:pPr>
              <w:pStyle w:val="Normal-pool"/>
              <w:spacing w:before="40"/>
              <w:ind w:left="113"/>
              <w:rPr>
                <w:sz w:val="18"/>
                <w:szCs w:val="18"/>
                <w:lang w:val="fr-FR"/>
              </w:rPr>
            </w:pPr>
            <w:r w:rsidRPr="002A2EA6">
              <w:rPr>
                <w:sz w:val="18"/>
                <w:szCs w:val="18"/>
                <w:lang w:val="fr-FR"/>
              </w:rPr>
              <w:t xml:space="preserve">Combustion de charbon </w:t>
            </w:r>
          </w:p>
          <w:p w14:paraId="6387BD5A" w14:textId="5590904D" w:rsidR="002A2EA6" w:rsidRPr="002A2EA6" w:rsidRDefault="002A2EA6" w:rsidP="002A2EA6">
            <w:pPr>
              <w:pStyle w:val="Normal-pool"/>
              <w:spacing w:before="40"/>
              <w:ind w:left="113"/>
              <w:rPr>
                <w:sz w:val="18"/>
                <w:szCs w:val="18"/>
                <w:lang w:val="fr-FR"/>
              </w:rPr>
            </w:pPr>
            <w:r w:rsidRPr="002A2EA6">
              <w:rPr>
                <w:sz w:val="18"/>
                <w:szCs w:val="18"/>
                <w:lang w:val="fr-FR"/>
              </w:rPr>
              <w:t>Production d</w:t>
            </w:r>
            <w:r w:rsidR="00CA4DAC">
              <w:rPr>
                <w:sz w:val="18"/>
                <w:szCs w:val="18"/>
                <w:lang w:val="fr-FR"/>
              </w:rPr>
              <w:t>’</w:t>
            </w:r>
            <w:r w:rsidRPr="002A2EA6">
              <w:rPr>
                <w:sz w:val="18"/>
                <w:szCs w:val="18"/>
                <w:lang w:val="fr-FR"/>
              </w:rPr>
              <w:t>électricité et de chaleur à partir de biomasse</w:t>
            </w:r>
          </w:p>
          <w:p w14:paraId="6978151D" w14:textId="77777777" w:rsidR="002A2EA6" w:rsidRPr="002A2EA6" w:rsidRDefault="002A2EA6" w:rsidP="002A2EA6">
            <w:pPr>
              <w:pStyle w:val="Normal-pool"/>
              <w:spacing w:before="40"/>
              <w:ind w:left="113"/>
              <w:rPr>
                <w:sz w:val="18"/>
                <w:szCs w:val="18"/>
                <w:lang w:val="fr-FR"/>
              </w:rPr>
            </w:pPr>
            <w:r w:rsidRPr="002A2EA6">
              <w:rPr>
                <w:sz w:val="18"/>
                <w:szCs w:val="18"/>
                <w:lang w:val="fr-FR"/>
              </w:rPr>
              <w:t>Incinération et de déchets</w:t>
            </w:r>
          </w:p>
        </w:tc>
      </w:tr>
      <w:tr w:rsidR="002A2EA6" w:rsidRPr="002A2EA6" w14:paraId="266537C0" w14:textId="77777777" w:rsidTr="002A2EA6">
        <w:trPr>
          <w:trHeight w:val="57"/>
          <w:jc w:val="right"/>
        </w:trPr>
        <w:tc>
          <w:tcPr>
            <w:tcW w:w="2835" w:type="dxa"/>
            <w:tcBorders>
              <w:top w:val="single" w:sz="4" w:space="0" w:color="000000"/>
              <w:left w:val="nil"/>
              <w:bottom w:val="single" w:sz="4" w:space="0" w:color="000000"/>
              <w:right w:val="nil"/>
            </w:tcBorders>
            <w:hideMark/>
          </w:tcPr>
          <w:p w14:paraId="202274F4" w14:textId="77777777" w:rsidR="002A2EA6" w:rsidRPr="002A2EA6" w:rsidRDefault="002A2EA6" w:rsidP="002A2EA6">
            <w:pPr>
              <w:pStyle w:val="Normal-pool"/>
              <w:spacing w:before="60" w:after="60"/>
              <w:rPr>
                <w:sz w:val="18"/>
                <w:szCs w:val="18"/>
                <w:lang w:val="fr-FR"/>
              </w:rPr>
            </w:pPr>
            <w:r w:rsidRPr="002A2EA6">
              <w:rPr>
                <w:sz w:val="18"/>
                <w:szCs w:val="18"/>
                <w:lang w:val="fr-FR"/>
              </w:rPr>
              <w:t>Résidus du traitement des eaux usées/boues</w:t>
            </w:r>
            <w:r w:rsidRPr="002A2EA6">
              <w:rPr>
                <w:sz w:val="18"/>
                <w:szCs w:val="18"/>
                <w:vertAlign w:val="superscript"/>
                <w:lang w:val="fr-FR"/>
              </w:rPr>
              <w:t>d</w:t>
            </w:r>
          </w:p>
        </w:tc>
        <w:tc>
          <w:tcPr>
            <w:tcW w:w="6650" w:type="dxa"/>
            <w:tcBorders>
              <w:top w:val="single" w:sz="4" w:space="0" w:color="000000"/>
              <w:left w:val="nil"/>
              <w:bottom w:val="single" w:sz="4" w:space="0" w:color="000000"/>
              <w:right w:val="nil"/>
            </w:tcBorders>
            <w:hideMark/>
          </w:tcPr>
          <w:p w14:paraId="64ED7BAC" w14:textId="77777777" w:rsidR="002A2EA6" w:rsidRPr="002A2EA6" w:rsidRDefault="002A2EA6" w:rsidP="002A2EA6">
            <w:pPr>
              <w:spacing w:before="60" w:after="60"/>
              <w:ind w:left="126"/>
              <w:rPr>
                <w:sz w:val="18"/>
                <w:szCs w:val="18"/>
              </w:rPr>
            </w:pPr>
            <w:r w:rsidRPr="002A2EA6">
              <w:rPr>
                <w:sz w:val="18"/>
                <w:szCs w:val="18"/>
              </w:rPr>
              <w:t>Traitement des eaux usées :</w:t>
            </w:r>
          </w:p>
          <w:p w14:paraId="05AE56D2" w14:textId="6B937856" w:rsidR="002A2EA6" w:rsidRPr="002A2EA6" w:rsidRDefault="002A2EA6" w:rsidP="002A2EA6">
            <w:pPr>
              <w:pStyle w:val="Normal-pool"/>
              <w:spacing w:before="40"/>
              <w:ind w:left="113"/>
              <w:rPr>
                <w:sz w:val="18"/>
                <w:szCs w:val="18"/>
                <w:lang w:val="fr-FR"/>
              </w:rPr>
            </w:pPr>
            <w:r w:rsidRPr="002A2EA6">
              <w:rPr>
                <w:sz w:val="18"/>
                <w:szCs w:val="18"/>
                <w:lang w:val="fr-FR"/>
              </w:rPr>
              <w:t>Extraction et utilisation de combustibles/sources d</w:t>
            </w:r>
            <w:r w:rsidR="00CA4DAC">
              <w:rPr>
                <w:sz w:val="18"/>
                <w:szCs w:val="18"/>
                <w:lang w:val="fr-FR"/>
              </w:rPr>
              <w:t>’</w:t>
            </w:r>
            <w:r w:rsidRPr="002A2EA6">
              <w:rPr>
                <w:sz w:val="18"/>
                <w:szCs w:val="18"/>
                <w:lang w:val="fr-FR"/>
              </w:rPr>
              <w:t>énergie</w:t>
            </w:r>
          </w:p>
          <w:p w14:paraId="0C4567E5" w14:textId="77777777" w:rsidR="002A2EA6" w:rsidRPr="002A2EA6" w:rsidRDefault="002A2EA6" w:rsidP="002A2EA6">
            <w:pPr>
              <w:pStyle w:val="Normal-pool"/>
              <w:spacing w:before="40"/>
              <w:ind w:left="113"/>
              <w:rPr>
                <w:sz w:val="18"/>
                <w:szCs w:val="18"/>
                <w:lang w:val="fr-FR"/>
              </w:rPr>
            </w:pPr>
            <w:r w:rsidRPr="002A2EA6">
              <w:rPr>
                <w:sz w:val="18"/>
                <w:szCs w:val="18"/>
                <w:lang w:val="fr-FR"/>
              </w:rPr>
              <w:t>Fabrication de produits contenant du mercure ajouté</w:t>
            </w:r>
          </w:p>
          <w:p w14:paraId="5DAF791B" w14:textId="77777777" w:rsidR="002A2EA6" w:rsidRPr="002A2EA6" w:rsidRDefault="002A2EA6" w:rsidP="002A2EA6">
            <w:pPr>
              <w:pStyle w:val="Normal-pool"/>
              <w:spacing w:before="40"/>
              <w:ind w:left="113"/>
              <w:rPr>
                <w:sz w:val="18"/>
                <w:szCs w:val="18"/>
                <w:lang w:val="fr-FR"/>
              </w:rPr>
            </w:pPr>
            <w:r w:rsidRPr="002A2EA6">
              <w:rPr>
                <w:sz w:val="18"/>
                <w:szCs w:val="18"/>
                <w:lang w:val="fr-FR"/>
              </w:rPr>
              <w:t>Procédés de fabrication dans lesquels du mercure ou des composés du mercure sont utilisés</w:t>
            </w:r>
          </w:p>
          <w:p w14:paraId="2FC5F480" w14:textId="77777777" w:rsidR="002A2EA6" w:rsidRPr="002A2EA6" w:rsidRDefault="002A2EA6" w:rsidP="002A2EA6">
            <w:pPr>
              <w:pStyle w:val="Normal-pool"/>
              <w:spacing w:before="40"/>
              <w:ind w:left="113"/>
              <w:rPr>
                <w:sz w:val="18"/>
                <w:szCs w:val="18"/>
                <w:lang w:val="fr-FR"/>
              </w:rPr>
            </w:pPr>
            <w:r w:rsidRPr="002A2EA6">
              <w:rPr>
                <w:sz w:val="18"/>
                <w:szCs w:val="18"/>
                <w:lang w:val="fr-FR"/>
              </w:rPr>
              <w:t>Production primaire de métaux non ferreux</w:t>
            </w:r>
          </w:p>
          <w:p w14:paraId="5841975C" w14:textId="24741165" w:rsidR="002A2EA6" w:rsidRPr="002A2EA6" w:rsidRDefault="002A2EA6" w:rsidP="002A2EA6">
            <w:pPr>
              <w:pStyle w:val="Normal-pool"/>
              <w:spacing w:before="40"/>
              <w:ind w:left="113"/>
              <w:rPr>
                <w:sz w:val="18"/>
                <w:szCs w:val="18"/>
                <w:lang w:val="fr-FR"/>
              </w:rPr>
            </w:pPr>
            <w:r w:rsidRPr="002A2EA6">
              <w:rPr>
                <w:sz w:val="18"/>
                <w:szCs w:val="18"/>
                <w:lang w:val="fr-FR"/>
              </w:rPr>
              <w:t>Processus de production dans lesquels le mercure est présent en tant qu</w:t>
            </w:r>
            <w:r w:rsidR="00CA4DAC">
              <w:rPr>
                <w:sz w:val="18"/>
                <w:szCs w:val="18"/>
                <w:lang w:val="fr-FR"/>
              </w:rPr>
              <w:t>’</w:t>
            </w:r>
            <w:r w:rsidRPr="002A2EA6">
              <w:rPr>
                <w:sz w:val="18"/>
                <w:szCs w:val="18"/>
                <w:lang w:val="fr-FR"/>
              </w:rPr>
              <w:t>impureté</w:t>
            </w:r>
          </w:p>
          <w:p w14:paraId="67587B7D" w14:textId="16C1A1DA" w:rsidR="002A2EA6" w:rsidRPr="002A2EA6" w:rsidRDefault="002A2EA6" w:rsidP="002A2EA6">
            <w:pPr>
              <w:pStyle w:val="Normal-pool"/>
              <w:spacing w:before="40"/>
              <w:ind w:left="113"/>
              <w:rPr>
                <w:sz w:val="18"/>
                <w:szCs w:val="18"/>
                <w:lang w:val="fr-FR"/>
              </w:rPr>
            </w:pPr>
            <w:r w:rsidRPr="002A2EA6">
              <w:rPr>
                <w:sz w:val="18"/>
                <w:szCs w:val="18"/>
                <w:lang w:val="fr-FR"/>
              </w:rPr>
              <w:t>Récupération de métaux précieux des déchets d</w:t>
            </w:r>
            <w:r w:rsidR="00CA4DAC">
              <w:rPr>
                <w:sz w:val="18"/>
                <w:szCs w:val="18"/>
                <w:lang w:val="fr-FR"/>
              </w:rPr>
              <w:t>’</w:t>
            </w:r>
            <w:r w:rsidRPr="002A2EA6">
              <w:rPr>
                <w:sz w:val="18"/>
                <w:szCs w:val="18"/>
                <w:lang w:val="fr-FR"/>
              </w:rPr>
              <w:t>équipements électriques et électroniques</w:t>
            </w:r>
          </w:p>
          <w:p w14:paraId="488646CC" w14:textId="77777777" w:rsidR="002A2EA6" w:rsidRPr="002A2EA6" w:rsidRDefault="002A2EA6" w:rsidP="002A2EA6">
            <w:pPr>
              <w:pStyle w:val="Normal-pool"/>
              <w:spacing w:before="40"/>
              <w:ind w:left="113"/>
              <w:rPr>
                <w:sz w:val="18"/>
                <w:szCs w:val="18"/>
                <w:lang w:val="fr-FR"/>
              </w:rPr>
            </w:pPr>
            <w:r w:rsidRPr="002A2EA6">
              <w:rPr>
                <w:sz w:val="18"/>
                <w:szCs w:val="18"/>
                <w:lang w:val="fr-FR"/>
              </w:rPr>
              <w:t>Incinération et co-incinération de déchets et autres traitements thermiques</w:t>
            </w:r>
          </w:p>
          <w:p w14:paraId="6256D886" w14:textId="77777777" w:rsidR="002A2EA6" w:rsidRPr="002A2EA6" w:rsidRDefault="002A2EA6" w:rsidP="002A2EA6">
            <w:pPr>
              <w:pStyle w:val="Normal-pool"/>
              <w:spacing w:before="40"/>
              <w:ind w:left="113"/>
              <w:rPr>
                <w:sz w:val="18"/>
                <w:szCs w:val="18"/>
                <w:lang w:val="fr-FR"/>
              </w:rPr>
            </w:pPr>
            <w:r w:rsidRPr="002A2EA6">
              <w:rPr>
                <w:sz w:val="18"/>
                <w:szCs w:val="18"/>
                <w:lang w:val="fr-FR"/>
              </w:rPr>
              <w:t>Crématoriums</w:t>
            </w:r>
          </w:p>
          <w:p w14:paraId="38BD7368" w14:textId="77777777" w:rsidR="002A2EA6" w:rsidRPr="002A2EA6" w:rsidRDefault="002A2EA6" w:rsidP="002A2EA6">
            <w:pPr>
              <w:pStyle w:val="Normal-pool"/>
              <w:spacing w:before="40"/>
              <w:ind w:left="113"/>
              <w:rPr>
                <w:sz w:val="18"/>
                <w:szCs w:val="18"/>
                <w:lang w:val="fr-FR"/>
              </w:rPr>
            </w:pPr>
            <w:r w:rsidRPr="002A2EA6">
              <w:rPr>
                <w:sz w:val="18"/>
                <w:szCs w:val="18"/>
                <w:lang w:val="fr-FR"/>
              </w:rPr>
              <w:t>Établissements de santé</w:t>
            </w:r>
          </w:p>
          <w:p w14:paraId="570137BE" w14:textId="77777777" w:rsidR="002A2EA6" w:rsidRPr="002A2EA6" w:rsidRDefault="002A2EA6" w:rsidP="002A2EA6">
            <w:pPr>
              <w:pStyle w:val="Normal-pool"/>
              <w:spacing w:before="40"/>
              <w:ind w:left="113"/>
              <w:rPr>
                <w:sz w:val="18"/>
                <w:szCs w:val="18"/>
                <w:lang w:val="fr-FR"/>
              </w:rPr>
            </w:pPr>
            <w:r w:rsidRPr="002A2EA6">
              <w:rPr>
                <w:sz w:val="18"/>
                <w:szCs w:val="18"/>
                <w:lang w:val="fr-FR"/>
              </w:rPr>
              <w:t>Lixiviats de décharge contrôlés</w:t>
            </w:r>
          </w:p>
          <w:p w14:paraId="64C4617E" w14:textId="77777777" w:rsidR="002A2EA6" w:rsidRPr="002A2EA6" w:rsidRDefault="002A2EA6" w:rsidP="002A2EA6">
            <w:pPr>
              <w:pStyle w:val="Normal-pool"/>
              <w:spacing w:before="40"/>
              <w:ind w:left="113"/>
              <w:rPr>
                <w:sz w:val="18"/>
                <w:szCs w:val="18"/>
                <w:lang w:val="fr-FR"/>
              </w:rPr>
            </w:pPr>
            <w:r w:rsidRPr="002A2EA6">
              <w:rPr>
                <w:sz w:val="18"/>
                <w:szCs w:val="18"/>
                <w:lang w:val="fr-FR"/>
              </w:rPr>
              <w:t>Mise en décharge sauvage de déchets</w:t>
            </w:r>
          </w:p>
          <w:p w14:paraId="5CDD0712" w14:textId="77777777" w:rsidR="002A2EA6" w:rsidRPr="002A2EA6" w:rsidRDefault="002A2EA6" w:rsidP="002A2EA6">
            <w:pPr>
              <w:pStyle w:val="Normal-pool"/>
              <w:spacing w:before="40"/>
              <w:ind w:left="113"/>
              <w:rPr>
                <w:sz w:val="18"/>
                <w:szCs w:val="18"/>
                <w:lang w:val="fr-FR"/>
              </w:rPr>
            </w:pPr>
            <w:r w:rsidRPr="002A2EA6">
              <w:rPr>
                <w:sz w:val="18"/>
                <w:szCs w:val="18"/>
                <w:lang w:val="fr-FR"/>
              </w:rPr>
              <w:t>Installations agricoles</w:t>
            </w:r>
          </w:p>
        </w:tc>
      </w:tr>
      <w:tr w:rsidR="002A2EA6" w:rsidRPr="002A2EA6" w14:paraId="094FDB4D" w14:textId="77777777" w:rsidTr="002A2EA6">
        <w:trPr>
          <w:trHeight w:val="57"/>
          <w:jc w:val="right"/>
        </w:trPr>
        <w:tc>
          <w:tcPr>
            <w:tcW w:w="2835" w:type="dxa"/>
            <w:tcBorders>
              <w:top w:val="single" w:sz="4" w:space="0" w:color="000000"/>
              <w:left w:val="nil"/>
              <w:bottom w:val="single" w:sz="4" w:space="0" w:color="000000"/>
              <w:right w:val="nil"/>
            </w:tcBorders>
            <w:hideMark/>
          </w:tcPr>
          <w:p w14:paraId="14187E0B" w14:textId="2B6B19C4" w:rsidR="002A2EA6" w:rsidRPr="002A2EA6" w:rsidRDefault="002A2EA6" w:rsidP="002A2EA6">
            <w:pPr>
              <w:pStyle w:val="Normal-pool"/>
              <w:spacing w:before="60" w:after="60"/>
              <w:rPr>
                <w:sz w:val="18"/>
                <w:szCs w:val="18"/>
                <w:lang w:val="fr-FR"/>
              </w:rPr>
            </w:pPr>
            <w:r w:rsidRPr="002A2EA6">
              <w:rPr>
                <w:sz w:val="18"/>
                <w:szCs w:val="18"/>
                <w:lang w:val="fr-FR"/>
              </w:rPr>
              <w:t>Boues d</w:t>
            </w:r>
            <w:r w:rsidR="00CA4DAC">
              <w:rPr>
                <w:sz w:val="18"/>
                <w:szCs w:val="18"/>
                <w:lang w:val="fr-FR"/>
              </w:rPr>
              <w:t>’</w:t>
            </w:r>
            <w:r w:rsidRPr="002A2EA6">
              <w:rPr>
                <w:sz w:val="18"/>
                <w:szCs w:val="18"/>
                <w:lang w:val="fr-FR"/>
              </w:rPr>
              <w:t>épuration</w:t>
            </w:r>
          </w:p>
        </w:tc>
        <w:tc>
          <w:tcPr>
            <w:tcW w:w="6650" w:type="dxa"/>
            <w:tcBorders>
              <w:top w:val="single" w:sz="4" w:space="0" w:color="000000"/>
              <w:left w:val="nil"/>
              <w:bottom w:val="single" w:sz="4" w:space="0" w:color="000000"/>
              <w:right w:val="nil"/>
            </w:tcBorders>
            <w:hideMark/>
          </w:tcPr>
          <w:p w14:paraId="0AA835CE" w14:textId="77777777" w:rsidR="002A2EA6" w:rsidRPr="002A2EA6" w:rsidRDefault="002A2EA6" w:rsidP="002A2EA6">
            <w:pPr>
              <w:pStyle w:val="Normal-pool"/>
              <w:spacing w:before="40"/>
              <w:ind w:left="113"/>
              <w:rPr>
                <w:sz w:val="18"/>
                <w:szCs w:val="18"/>
                <w:lang w:val="fr-FR"/>
              </w:rPr>
            </w:pPr>
            <w:r w:rsidRPr="002A2EA6">
              <w:rPr>
                <w:sz w:val="18"/>
                <w:szCs w:val="18"/>
                <w:lang w:val="fr-FR"/>
              </w:rPr>
              <w:t>Réservoirs de séparation et réservoirs de roches sédimentaires pour le raffinage du pétrole brut, la production et la transformation de gaz naturel, le forage, le nettoyage de navires, les procédés chimiques, etc.</w:t>
            </w:r>
          </w:p>
          <w:p w14:paraId="7224D016" w14:textId="77777777" w:rsidR="002A2EA6" w:rsidRPr="002A2EA6" w:rsidRDefault="002A2EA6" w:rsidP="002A2EA6">
            <w:pPr>
              <w:pStyle w:val="Normal-pool"/>
              <w:spacing w:before="40"/>
              <w:ind w:left="113"/>
              <w:rPr>
                <w:sz w:val="18"/>
                <w:szCs w:val="18"/>
                <w:lang w:val="fr-FR"/>
              </w:rPr>
            </w:pPr>
            <w:r w:rsidRPr="002A2EA6">
              <w:rPr>
                <w:sz w:val="18"/>
                <w:szCs w:val="18"/>
                <w:lang w:val="fr-FR"/>
              </w:rPr>
              <w:t>Traitement des déchets contaminés par du mercure (par ex. précipitation ou oxydation chimiques)</w:t>
            </w:r>
          </w:p>
        </w:tc>
      </w:tr>
      <w:tr w:rsidR="002A2EA6" w:rsidRPr="002A2EA6" w14:paraId="5F21694B" w14:textId="77777777" w:rsidTr="002A2EA6">
        <w:trPr>
          <w:trHeight w:val="57"/>
          <w:jc w:val="right"/>
        </w:trPr>
        <w:tc>
          <w:tcPr>
            <w:tcW w:w="2835" w:type="dxa"/>
            <w:tcBorders>
              <w:top w:val="single" w:sz="4" w:space="0" w:color="000000"/>
              <w:left w:val="nil"/>
              <w:bottom w:val="single" w:sz="4" w:space="0" w:color="000000"/>
              <w:right w:val="nil"/>
            </w:tcBorders>
            <w:hideMark/>
          </w:tcPr>
          <w:p w14:paraId="579CBD76" w14:textId="77777777" w:rsidR="002A2EA6" w:rsidRPr="002A2EA6" w:rsidRDefault="002A2EA6" w:rsidP="002A2EA6">
            <w:pPr>
              <w:pStyle w:val="Normal-pool"/>
              <w:spacing w:before="60" w:after="60"/>
              <w:rPr>
                <w:sz w:val="18"/>
                <w:szCs w:val="18"/>
                <w:lang w:val="fr-FR"/>
              </w:rPr>
            </w:pPr>
            <w:r w:rsidRPr="002A2EA6">
              <w:rPr>
                <w:sz w:val="18"/>
                <w:szCs w:val="18"/>
                <w:lang w:val="fr-FR"/>
              </w:rPr>
              <w:t>Catalyseurs utilisés pour le raffinage du pétrole et du gaz</w:t>
            </w:r>
          </w:p>
        </w:tc>
        <w:tc>
          <w:tcPr>
            <w:tcW w:w="6650" w:type="dxa"/>
            <w:tcBorders>
              <w:top w:val="single" w:sz="4" w:space="0" w:color="000000"/>
              <w:left w:val="nil"/>
              <w:bottom w:val="single" w:sz="4" w:space="0" w:color="000000"/>
              <w:right w:val="nil"/>
            </w:tcBorders>
            <w:hideMark/>
          </w:tcPr>
          <w:p w14:paraId="331D4351" w14:textId="77777777" w:rsidR="002A2EA6" w:rsidRPr="002A2EA6" w:rsidRDefault="002A2EA6" w:rsidP="002A2EA6">
            <w:pPr>
              <w:pStyle w:val="Normal-pool"/>
              <w:spacing w:before="40"/>
              <w:ind w:left="113"/>
              <w:rPr>
                <w:sz w:val="18"/>
                <w:szCs w:val="18"/>
                <w:lang w:val="fr-FR"/>
              </w:rPr>
            </w:pPr>
            <w:r w:rsidRPr="002A2EA6">
              <w:rPr>
                <w:sz w:val="18"/>
                <w:szCs w:val="18"/>
                <w:lang w:val="fr-FR"/>
              </w:rPr>
              <w:t>Raffinage du pétrole brut</w:t>
            </w:r>
          </w:p>
          <w:p w14:paraId="04AC400A" w14:textId="77777777" w:rsidR="002A2EA6" w:rsidRPr="002A2EA6" w:rsidRDefault="002A2EA6" w:rsidP="002A2EA6">
            <w:pPr>
              <w:pStyle w:val="Normal-pool"/>
              <w:spacing w:before="40"/>
              <w:ind w:left="113"/>
              <w:rPr>
                <w:sz w:val="18"/>
                <w:szCs w:val="18"/>
                <w:lang w:val="fr-FR"/>
              </w:rPr>
            </w:pPr>
            <w:r w:rsidRPr="002A2EA6">
              <w:rPr>
                <w:sz w:val="18"/>
                <w:szCs w:val="18"/>
                <w:lang w:val="fr-FR"/>
              </w:rPr>
              <w:t>Transformation du gaz naturel</w:t>
            </w:r>
          </w:p>
        </w:tc>
      </w:tr>
      <w:tr w:rsidR="002A2EA6" w:rsidRPr="002A2EA6" w14:paraId="6D255737" w14:textId="77777777" w:rsidTr="002A2EA6">
        <w:trPr>
          <w:trHeight w:val="57"/>
          <w:jc w:val="right"/>
        </w:trPr>
        <w:tc>
          <w:tcPr>
            <w:tcW w:w="2835" w:type="dxa"/>
            <w:tcBorders>
              <w:top w:val="single" w:sz="4" w:space="0" w:color="000000"/>
              <w:left w:val="nil"/>
              <w:bottom w:val="single" w:sz="4" w:space="0" w:color="000000"/>
              <w:right w:val="nil"/>
            </w:tcBorders>
            <w:hideMark/>
          </w:tcPr>
          <w:p w14:paraId="1FD13BCA" w14:textId="0947DD22" w:rsidR="002A2EA6" w:rsidRPr="002A2EA6" w:rsidRDefault="002A2EA6" w:rsidP="002A2EA6">
            <w:pPr>
              <w:pStyle w:val="Normal-pool"/>
              <w:spacing w:before="60" w:after="60"/>
              <w:rPr>
                <w:sz w:val="18"/>
                <w:szCs w:val="18"/>
                <w:lang w:val="fr-FR"/>
              </w:rPr>
            </w:pPr>
            <w:r w:rsidRPr="002A2EA6">
              <w:rPr>
                <w:sz w:val="18"/>
                <w:szCs w:val="18"/>
                <w:lang w:val="fr-FR"/>
              </w:rPr>
              <w:t>Résidus miniers, résidus des procédés d</w:t>
            </w:r>
            <w:r w:rsidR="00CA4DAC">
              <w:rPr>
                <w:sz w:val="18"/>
                <w:szCs w:val="18"/>
                <w:lang w:val="fr-FR"/>
              </w:rPr>
              <w:t>’</w:t>
            </w:r>
            <w:r w:rsidRPr="002A2EA6">
              <w:rPr>
                <w:sz w:val="18"/>
                <w:szCs w:val="18"/>
                <w:lang w:val="fr-FR"/>
              </w:rPr>
              <w:t>extraction</w:t>
            </w:r>
          </w:p>
        </w:tc>
        <w:tc>
          <w:tcPr>
            <w:tcW w:w="6650" w:type="dxa"/>
            <w:tcBorders>
              <w:top w:val="single" w:sz="4" w:space="0" w:color="000000"/>
              <w:left w:val="nil"/>
              <w:bottom w:val="single" w:sz="4" w:space="0" w:color="000000"/>
              <w:right w:val="nil"/>
            </w:tcBorders>
            <w:hideMark/>
          </w:tcPr>
          <w:p w14:paraId="38EF6A2F" w14:textId="77777777" w:rsidR="002A2EA6" w:rsidRPr="002A2EA6" w:rsidRDefault="002A2EA6" w:rsidP="002A2EA6">
            <w:pPr>
              <w:pStyle w:val="Normal-pool"/>
              <w:spacing w:before="40"/>
              <w:ind w:left="113"/>
              <w:rPr>
                <w:sz w:val="18"/>
                <w:szCs w:val="18"/>
                <w:lang w:val="fr-FR"/>
              </w:rPr>
            </w:pPr>
            <w:r w:rsidRPr="002A2EA6">
              <w:rPr>
                <w:sz w:val="18"/>
                <w:szCs w:val="18"/>
                <w:lang w:val="fr-FR"/>
              </w:rPr>
              <w:t>Extraction minière primaire de mercure</w:t>
            </w:r>
          </w:p>
          <w:p w14:paraId="53C95095" w14:textId="51B95F66" w:rsidR="002A2EA6" w:rsidRPr="002A2EA6" w:rsidRDefault="002A2EA6" w:rsidP="002A2EA6">
            <w:pPr>
              <w:pStyle w:val="Normal-pool"/>
              <w:spacing w:before="40"/>
              <w:ind w:left="113"/>
              <w:rPr>
                <w:sz w:val="18"/>
                <w:szCs w:val="18"/>
                <w:lang w:val="fr-FR"/>
              </w:rPr>
            </w:pPr>
            <w:r w:rsidRPr="002A2EA6">
              <w:rPr>
                <w:sz w:val="18"/>
                <w:szCs w:val="18"/>
                <w:lang w:val="fr-FR"/>
              </w:rPr>
              <w:t>Extraction minière artisanale et à petite échelle d</w:t>
            </w:r>
            <w:r w:rsidR="00CA4DAC">
              <w:rPr>
                <w:sz w:val="18"/>
                <w:szCs w:val="18"/>
                <w:lang w:val="fr-FR"/>
              </w:rPr>
              <w:t>’</w:t>
            </w:r>
            <w:r w:rsidRPr="002A2EA6">
              <w:rPr>
                <w:sz w:val="18"/>
                <w:szCs w:val="18"/>
                <w:lang w:val="fr-FR"/>
              </w:rPr>
              <w:t>or</w:t>
            </w:r>
          </w:p>
        </w:tc>
      </w:tr>
      <w:tr w:rsidR="002A2EA6" w:rsidRPr="002A2EA6" w14:paraId="5AAC9B68" w14:textId="77777777" w:rsidTr="002A2EA6">
        <w:trPr>
          <w:trHeight w:val="57"/>
          <w:jc w:val="right"/>
        </w:trPr>
        <w:tc>
          <w:tcPr>
            <w:tcW w:w="2835" w:type="dxa"/>
            <w:tcBorders>
              <w:top w:val="single" w:sz="4" w:space="0" w:color="000000"/>
              <w:left w:val="nil"/>
              <w:bottom w:val="single" w:sz="4" w:space="0" w:color="000000"/>
              <w:right w:val="nil"/>
            </w:tcBorders>
            <w:hideMark/>
          </w:tcPr>
          <w:p w14:paraId="4C8FD92F" w14:textId="77777777" w:rsidR="002A2EA6" w:rsidRPr="002A2EA6" w:rsidRDefault="002A2EA6" w:rsidP="002A2EA6">
            <w:pPr>
              <w:pStyle w:val="Normal-pool"/>
              <w:spacing w:before="60" w:after="60"/>
              <w:rPr>
                <w:sz w:val="18"/>
                <w:szCs w:val="18"/>
                <w:lang w:val="fr-FR"/>
              </w:rPr>
            </w:pPr>
            <w:r w:rsidRPr="002A2EA6">
              <w:rPr>
                <w:sz w:val="18"/>
                <w:szCs w:val="18"/>
                <w:lang w:val="fr-FR"/>
              </w:rPr>
              <w:t>Gravats, rejets et sols</w:t>
            </w:r>
            <w:r w:rsidRPr="002A2EA6">
              <w:rPr>
                <w:sz w:val="18"/>
                <w:szCs w:val="18"/>
                <w:vertAlign w:val="superscript"/>
                <w:lang w:val="fr-FR"/>
              </w:rPr>
              <w:t>e</w:t>
            </w:r>
          </w:p>
        </w:tc>
        <w:tc>
          <w:tcPr>
            <w:tcW w:w="6650" w:type="dxa"/>
            <w:tcBorders>
              <w:top w:val="single" w:sz="4" w:space="0" w:color="000000"/>
              <w:left w:val="nil"/>
              <w:bottom w:val="single" w:sz="4" w:space="0" w:color="000000"/>
              <w:right w:val="nil"/>
            </w:tcBorders>
            <w:hideMark/>
          </w:tcPr>
          <w:p w14:paraId="458BB1D2" w14:textId="77777777" w:rsidR="002A2EA6" w:rsidRPr="002A2EA6" w:rsidRDefault="002A2EA6" w:rsidP="002A2EA6">
            <w:pPr>
              <w:pStyle w:val="Normal-pool"/>
              <w:spacing w:before="40"/>
              <w:ind w:left="113"/>
              <w:rPr>
                <w:sz w:val="18"/>
                <w:szCs w:val="18"/>
                <w:lang w:val="fr-FR"/>
              </w:rPr>
            </w:pPr>
            <w:r w:rsidRPr="002A2EA6">
              <w:rPr>
                <w:sz w:val="18"/>
                <w:szCs w:val="18"/>
                <w:lang w:val="fr-FR"/>
              </w:rPr>
              <w:t>Construction/démolition</w:t>
            </w:r>
          </w:p>
          <w:p w14:paraId="1B31A5A6" w14:textId="77777777" w:rsidR="002A2EA6" w:rsidRPr="002A2EA6" w:rsidRDefault="002A2EA6" w:rsidP="002A2EA6">
            <w:pPr>
              <w:pStyle w:val="Normal-pool"/>
              <w:spacing w:before="40"/>
              <w:ind w:left="113"/>
              <w:rPr>
                <w:sz w:val="18"/>
                <w:szCs w:val="18"/>
                <w:lang w:val="fr-FR"/>
              </w:rPr>
            </w:pPr>
            <w:r w:rsidRPr="002A2EA6">
              <w:rPr>
                <w:sz w:val="18"/>
                <w:szCs w:val="18"/>
                <w:lang w:val="fr-FR"/>
              </w:rPr>
              <w:t>Remise en état des sites contaminés</w:t>
            </w:r>
          </w:p>
        </w:tc>
      </w:tr>
      <w:tr w:rsidR="002A2EA6" w:rsidRPr="002A2EA6" w14:paraId="06276913" w14:textId="77777777" w:rsidTr="002A2EA6">
        <w:trPr>
          <w:trHeight w:val="57"/>
          <w:jc w:val="right"/>
        </w:trPr>
        <w:tc>
          <w:tcPr>
            <w:tcW w:w="2835" w:type="dxa"/>
            <w:tcBorders>
              <w:top w:val="single" w:sz="4" w:space="0" w:color="000000"/>
              <w:left w:val="nil"/>
              <w:bottom w:val="single" w:sz="4" w:space="0" w:color="000000"/>
              <w:right w:val="nil"/>
            </w:tcBorders>
            <w:hideMark/>
          </w:tcPr>
          <w:p w14:paraId="2AD2D746" w14:textId="77777777" w:rsidR="002A2EA6" w:rsidRPr="002A2EA6" w:rsidRDefault="002A2EA6" w:rsidP="002A2EA6">
            <w:pPr>
              <w:pStyle w:val="Normal-pool"/>
              <w:spacing w:before="60" w:after="60"/>
              <w:rPr>
                <w:sz w:val="18"/>
                <w:szCs w:val="18"/>
                <w:lang w:val="fr-FR"/>
              </w:rPr>
            </w:pPr>
            <w:r w:rsidRPr="002A2EA6">
              <w:rPr>
                <w:sz w:val="18"/>
                <w:szCs w:val="18"/>
                <w:lang w:val="fr-FR"/>
              </w:rPr>
              <w:t>Autres déchets des procédés de fabrication utilisant du mercure ou des composés du mercure</w:t>
            </w:r>
            <w:r w:rsidRPr="002A2EA6">
              <w:rPr>
                <w:sz w:val="18"/>
                <w:szCs w:val="18"/>
                <w:vertAlign w:val="superscript"/>
                <w:lang w:val="fr-FR"/>
              </w:rPr>
              <w:t>f</w:t>
            </w:r>
          </w:p>
        </w:tc>
        <w:tc>
          <w:tcPr>
            <w:tcW w:w="6650" w:type="dxa"/>
            <w:tcBorders>
              <w:top w:val="single" w:sz="4" w:space="0" w:color="000000"/>
              <w:left w:val="nil"/>
              <w:bottom w:val="single" w:sz="4" w:space="0" w:color="000000"/>
              <w:right w:val="nil"/>
            </w:tcBorders>
            <w:hideMark/>
          </w:tcPr>
          <w:p w14:paraId="759960E2" w14:textId="77777777" w:rsidR="002A2EA6" w:rsidRPr="002A2EA6" w:rsidRDefault="002A2EA6" w:rsidP="002A2EA6">
            <w:pPr>
              <w:pStyle w:val="Normal-pool"/>
              <w:spacing w:before="40"/>
              <w:ind w:left="113"/>
              <w:rPr>
                <w:sz w:val="18"/>
                <w:szCs w:val="18"/>
                <w:lang w:val="fr-FR"/>
              </w:rPr>
            </w:pPr>
            <w:r w:rsidRPr="002A2EA6">
              <w:rPr>
                <w:sz w:val="18"/>
                <w:szCs w:val="18"/>
                <w:lang w:val="fr-FR"/>
              </w:rPr>
              <w:t xml:space="preserve">Production de chlore-alcali avec une technologie au mercure </w:t>
            </w:r>
          </w:p>
          <w:p w14:paraId="1826B0BF" w14:textId="09FC5E87" w:rsidR="002A2EA6" w:rsidRPr="002A2EA6" w:rsidRDefault="002A2EA6" w:rsidP="002A2EA6">
            <w:pPr>
              <w:pStyle w:val="Normal-pool"/>
              <w:spacing w:before="40"/>
              <w:ind w:left="113"/>
              <w:rPr>
                <w:sz w:val="18"/>
                <w:szCs w:val="18"/>
                <w:lang w:val="fr-FR"/>
              </w:rPr>
            </w:pPr>
            <w:r w:rsidRPr="002A2EA6">
              <w:rPr>
                <w:sz w:val="18"/>
                <w:szCs w:val="18"/>
                <w:lang w:val="fr-FR"/>
              </w:rPr>
              <w:t>Production d</w:t>
            </w:r>
            <w:r w:rsidR="00CA4DAC">
              <w:rPr>
                <w:sz w:val="18"/>
                <w:szCs w:val="18"/>
                <w:lang w:val="fr-FR"/>
              </w:rPr>
              <w:t>’</w:t>
            </w:r>
            <w:r w:rsidRPr="002A2EA6">
              <w:rPr>
                <w:sz w:val="18"/>
                <w:szCs w:val="18"/>
                <w:lang w:val="fr-FR"/>
              </w:rPr>
              <w:t>alcoholates (par ex., méthylate ou éthylate de sodium ou de potassium)</w:t>
            </w:r>
          </w:p>
          <w:p w14:paraId="1F573F91" w14:textId="257B1288" w:rsidR="002A2EA6" w:rsidRPr="002A2EA6" w:rsidRDefault="002A2EA6" w:rsidP="002A2EA6">
            <w:pPr>
              <w:pStyle w:val="Normal-pool"/>
              <w:spacing w:before="40"/>
              <w:ind w:left="113"/>
              <w:rPr>
                <w:sz w:val="18"/>
                <w:szCs w:val="18"/>
                <w:lang w:val="fr-FR"/>
              </w:rPr>
            </w:pPr>
            <w:r w:rsidRPr="002A2EA6">
              <w:rPr>
                <w:sz w:val="18"/>
                <w:szCs w:val="18"/>
                <w:lang w:val="fr-FR"/>
              </w:rPr>
              <w:t>Dithionite et solution ultrapure d</w:t>
            </w:r>
            <w:r w:rsidR="00CA4DAC">
              <w:rPr>
                <w:sz w:val="18"/>
                <w:szCs w:val="18"/>
                <w:lang w:val="fr-FR"/>
              </w:rPr>
              <w:t>’</w:t>
            </w:r>
            <w:r w:rsidRPr="002A2EA6">
              <w:rPr>
                <w:sz w:val="18"/>
                <w:szCs w:val="18"/>
                <w:lang w:val="fr-FR"/>
              </w:rPr>
              <w:t xml:space="preserve">hydroxyde de potassium </w:t>
            </w:r>
          </w:p>
          <w:p w14:paraId="712E6FA5" w14:textId="77777777" w:rsidR="002A2EA6" w:rsidRPr="002A2EA6" w:rsidRDefault="002A2EA6" w:rsidP="002A2EA6">
            <w:pPr>
              <w:pStyle w:val="Normal-pool"/>
              <w:spacing w:before="40"/>
              <w:ind w:left="113"/>
              <w:rPr>
                <w:sz w:val="18"/>
                <w:szCs w:val="18"/>
                <w:lang w:val="fr-FR"/>
              </w:rPr>
            </w:pPr>
            <w:r w:rsidRPr="002A2EA6">
              <w:rPr>
                <w:sz w:val="18"/>
                <w:szCs w:val="18"/>
                <w:lang w:val="fr-FR"/>
              </w:rPr>
              <w:t>Production de chlorure de vinyle monomère dans laquelle le bichlorure de mercure (HgCl</w:t>
            </w:r>
            <w:r w:rsidRPr="002A2EA6">
              <w:rPr>
                <w:sz w:val="18"/>
                <w:szCs w:val="18"/>
                <w:vertAlign w:val="subscript"/>
                <w:lang w:val="fr-FR"/>
              </w:rPr>
              <w:t>2</w:t>
            </w:r>
            <w:r w:rsidRPr="002A2EA6">
              <w:rPr>
                <w:sz w:val="18"/>
                <w:szCs w:val="18"/>
                <w:lang w:val="fr-FR"/>
              </w:rPr>
              <w:t>) est utilisé comme catalyseur</w:t>
            </w:r>
          </w:p>
          <w:p w14:paraId="1D7E0235" w14:textId="19E1D593" w:rsidR="002A2EA6" w:rsidRPr="002A2EA6" w:rsidRDefault="002A2EA6" w:rsidP="002A2EA6">
            <w:pPr>
              <w:pStyle w:val="Normal-pool"/>
              <w:spacing w:before="40"/>
              <w:ind w:left="113"/>
              <w:rPr>
                <w:sz w:val="18"/>
                <w:szCs w:val="18"/>
                <w:lang w:val="fr-FR"/>
              </w:rPr>
            </w:pPr>
            <w:r w:rsidRPr="002A2EA6">
              <w:rPr>
                <w:sz w:val="18"/>
                <w:szCs w:val="18"/>
                <w:lang w:val="fr-FR"/>
              </w:rPr>
              <w:t>Production d</w:t>
            </w:r>
            <w:r w:rsidR="00CA4DAC">
              <w:rPr>
                <w:sz w:val="18"/>
                <w:szCs w:val="18"/>
                <w:lang w:val="fr-FR"/>
              </w:rPr>
              <w:t>’</w:t>
            </w:r>
            <w:r w:rsidRPr="002A2EA6">
              <w:rPr>
                <w:sz w:val="18"/>
                <w:szCs w:val="18"/>
                <w:lang w:val="fr-FR"/>
              </w:rPr>
              <w:t>acétaldéhyde dans laquelle le sulfate de mercure (HgSO</w:t>
            </w:r>
            <w:r w:rsidRPr="002A2EA6">
              <w:rPr>
                <w:sz w:val="18"/>
                <w:szCs w:val="18"/>
                <w:vertAlign w:val="subscript"/>
                <w:lang w:val="fr-FR"/>
              </w:rPr>
              <w:t>4</w:t>
            </w:r>
            <w:r w:rsidRPr="002A2EA6">
              <w:rPr>
                <w:sz w:val="18"/>
                <w:szCs w:val="18"/>
                <w:lang w:val="fr-FR"/>
              </w:rPr>
              <w:t>) est utilisé comme catalyseur, etc.</w:t>
            </w:r>
          </w:p>
        </w:tc>
      </w:tr>
      <w:tr w:rsidR="002A2EA6" w:rsidRPr="002A2EA6" w14:paraId="5638693C" w14:textId="77777777" w:rsidTr="002A2EA6">
        <w:trPr>
          <w:trHeight w:val="57"/>
          <w:jc w:val="right"/>
        </w:trPr>
        <w:tc>
          <w:tcPr>
            <w:tcW w:w="2835" w:type="dxa"/>
            <w:tcBorders>
              <w:top w:val="single" w:sz="4" w:space="0" w:color="000000"/>
              <w:left w:val="nil"/>
              <w:bottom w:val="single" w:sz="4" w:space="0" w:color="000000"/>
              <w:right w:val="nil"/>
            </w:tcBorders>
            <w:hideMark/>
          </w:tcPr>
          <w:p w14:paraId="30F6ABC2" w14:textId="77777777" w:rsidR="002A2EA6" w:rsidRPr="002A2EA6" w:rsidRDefault="002A2EA6" w:rsidP="002A2EA6">
            <w:pPr>
              <w:spacing w:before="60" w:after="60"/>
              <w:rPr>
                <w:sz w:val="18"/>
                <w:szCs w:val="18"/>
              </w:rPr>
            </w:pPr>
            <w:r w:rsidRPr="002A2EA6">
              <w:rPr>
                <w:sz w:val="18"/>
                <w:szCs w:val="18"/>
              </w:rPr>
              <w:t>Autres déchets issus de la fabrication de produits contenant du mercure ajouté</w:t>
            </w:r>
            <w:r w:rsidRPr="002A2EA6">
              <w:rPr>
                <w:sz w:val="18"/>
                <w:szCs w:val="18"/>
                <w:vertAlign w:val="superscript"/>
              </w:rPr>
              <w:t>g</w:t>
            </w:r>
          </w:p>
        </w:tc>
        <w:tc>
          <w:tcPr>
            <w:tcW w:w="6650" w:type="dxa"/>
            <w:tcBorders>
              <w:top w:val="single" w:sz="4" w:space="0" w:color="000000"/>
              <w:left w:val="nil"/>
              <w:bottom w:val="single" w:sz="4" w:space="0" w:color="000000"/>
              <w:right w:val="nil"/>
            </w:tcBorders>
            <w:hideMark/>
          </w:tcPr>
          <w:p w14:paraId="0228119D" w14:textId="77777777" w:rsidR="002A2EA6" w:rsidRPr="002A2EA6" w:rsidRDefault="002A2EA6" w:rsidP="002A2EA6">
            <w:pPr>
              <w:spacing w:before="60" w:after="60"/>
              <w:rPr>
                <w:sz w:val="18"/>
                <w:szCs w:val="18"/>
              </w:rPr>
            </w:pPr>
            <w:r w:rsidRPr="002A2EA6">
              <w:rPr>
                <w:sz w:val="18"/>
                <w:szCs w:val="18"/>
              </w:rPr>
              <w:t>Fabrication de produits contenant du mercure ajouté</w:t>
            </w:r>
          </w:p>
        </w:tc>
      </w:tr>
      <w:tr w:rsidR="002A2EA6" w:rsidRPr="002A2EA6" w14:paraId="5A6C461E" w14:textId="77777777" w:rsidTr="002A2EA6">
        <w:trPr>
          <w:trHeight w:val="57"/>
          <w:jc w:val="right"/>
        </w:trPr>
        <w:tc>
          <w:tcPr>
            <w:tcW w:w="2835" w:type="dxa"/>
            <w:tcBorders>
              <w:top w:val="single" w:sz="4" w:space="0" w:color="000000"/>
              <w:left w:val="nil"/>
              <w:bottom w:val="single" w:sz="4" w:space="0" w:color="000000"/>
              <w:right w:val="nil"/>
            </w:tcBorders>
            <w:hideMark/>
          </w:tcPr>
          <w:p w14:paraId="4D29FB4A" w14:textId="175DC860" w:rsidR="002A2EA6" w:rsidRPr="002A2EA6" w:rsidRDefault="002A2EA6" w:rsidP="002A2EA6">
            <w:pPr>
              <w:spacing w:before="60" w:after="60"/>
              <w:rPr>
                <w:sz w:val="18"/>
                <w:szCs w:val="18"/>
              </w:rPr>
            </w:pPr>
            <w:r w:rsidRPr="002A2EA6">
              <w:rPr>
                <w:sz w:val="18"/>
                <w:szCs w:val="18"/>
              </w:rPr>
              <w:lastRenderedPageBreak/>
              <w:t>Autres déchets issus de l</w:t>
            </w:r>
            <w:r w:rsidR="00CA4DAC">
              <w:rPr>
                <w:sz w:val="18"/>
                <w:szCs w:val="18"/>
              </w:rPr>
              <w:t>’</w:t>
            </w:r>
            <w:r w:rsidRPr="002A2EA6">
              <w:rPr>
                <w:sz w:val="18"/>
                <w:szCs w:val="18"/>
              </w:rPr>
              <w:t>épuration du gaz naturel</w:t>
            </w:r>
            <w:r w:rsidRPr="002A2EA6">
              <w:rPr>
                <w:sz w:val="18"/>
                <w:szCs w:val="18"/>
                <w:vertAlign w:val="superscript"/>
              </w:rPr>
              <w:t>h</w:t>
            </w:r>
          </w:p>
        </w:tc>
        <w:tc>
          <w:tcPr>
            <w:tcW w:w="6650" w:type="dxa"/>
            <w:tcBorders>
              <w:top w:val="single" w:sz="4" w:space="0" w:color="000000"/>
              <w:left w:val="nil"/>
              <w:bottom w:val="single" w:sz="4" w:space="0" w:color="000000"/>
              <w:right w:val="nil"/>
            </w:tcBorders>
            <w:hideMark/>
          </w:tcPr>
          <w:p w14:paraId="5E9A2437" w14:textId="77777777" w:rsidR="002A2EA6" w:rsidRPr="002A2EA6" w:rsidRDefault="002A2EA6" w:rsidP="002A2EA6">
            <w:pPr>
              <w:spacing w:before="60" w:after="60"/>
              <w:rPr>
                <w:sz w:val="18"/>
                <w:szCs w:val="18"/>
              </w:rPr>
            </w:pPr>
            <w:r w:rsidRPr="002A2EA6">
              <w:rPr>
                <w:sz w:val="18"/>
                <w:szCs w:val="18"/>
              </w:rPr>
              <w:t>Épuration du gaz naturel</w:t>
            </w:r>
          </w:p>
        </w:tc>
      </w:tr>
      <w:tr w:rsidR="002A2EA6" w:rsidRPr="002A2EA6" w14:paraId="183E1DE0" w14:textId="77777777" w:rsidTr="002A2EA6">
        <w:trPr>
          <w:trHeight w:val="57"/>
          <w:jc w:val="right"/>
        </w:trPr>
        <w:tc>
          <w:tcPr>
            <w:tcW w:w="2835" w:type="dxa"/>
            <w:tcBorders>
              <w:top w:val="single" w:sz="4" w:space="0" w:color="000000"/>
              <w:left w:val="nil"/>
              <w:bottom w:val="single" w:sz="12" w:space="0" w:color="auto"/>
              <w:right w:val="nil"/>
            </w:tcBorders>
            <w:hideMark/>
          </w:tcPr>
          <w:p w14:paraId="06CADB92" w14:textId="77777777" w:rsidR="002A2EA6" w:rsidRPr="002A2EA6" w:rsidRDefault="002A2EA6" w:rsidP="002A2EA6">
            <w:pPr>
              <w:spacing w:before="60" w:after="60"/>
              <w:rPr>
                <w:sz w:val="18"/>
                <w:szCs w:val="18"/>
              </w:rPr>
            </w:pPr>
            <w:r w:rsidRPr="002A2EA6">
              <w:rPr>
                <w:sz w:val="18"/>
                <w:szCs w:val="18"/>
              </w:rPr>
              <w:t>Déchets des installations de traitement des déchets</w:t>
            </w:r>
            <w:r w:rsidRPr="002A2EA6">
              <w:rPr>
                <w:sz w:val="18"/>
                <w:szCs w:val="18"/>
                <w:vertAlign w:val="superscript"/>
              </w:rPr>
              <w:t>i</w:t>
            </w:r>
          </w:p>
        </w:tc>
        <w:tc>
          <w:tcPr>
            <w:tcW w:w="6650" w:type="dxa"/>
            <w:tcBorders>
              <w:top w:val="single" w:sz="4" w:space="0" w:color="000000"/>
              <w:left w:val="nil"/>
              <w:bottom w:val="single" w:sz="12" w:space="0" w:color="auto"/>
              <w:right w:val="nil"/>
            </w:tcBorders>
            <w:hideMark/>
          </w:tcPr>
          <w:p w14:paraId="2F562E61" w14:textId="77777777" w:rsidR="002A2EA6" w:rsidRPr="002A2EA6" w:rsidRDefault="002A2EA6" w:rsidP="002A2EA6">
            <w:pPr>
              <w:spacing w:before="60" w:after="60"/>
              <w:rPr>
                <w:sz w:val="18"/>
                <w:szCs w:val="18"/>
              </w:rPr>
            </w:pPr>
            <w:r w:rsidRPr="002A2EA6">
              <w:rPr>
                <w:sz w:val="18"/>
                <w:szCs w:val="18"/>
              </w:rPr>
              <w:t>Installations de traitement des déchets</w:t>
            </w:r>
          </w:p>
        </w:tc>
      </w:tr>
    </w:tbl>
    <w:p w14:paraId="220CDDAA" w14:textId="4A566823"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a</w:t>
      </w:r>
      <w:r w:rsidRPr="002A2EA6">
        <w:rPr>
          <w:sz w:val="17"/>
          <w:szCs w:val="17"/>
          <w:lang w:val="fr-FR"/>
        </w:rPr>
        <w:t xml:space="preserve"> Les déchets figurant dans ce tableau sont considérés comme des déchets du mercure lorsqu</w:t>
      </w:r>
      <w:r w:rsidR="00CA4DAC">
        <w:rPr>
          <w:sz w:val="17"/>
          <w:szCs w:val="17"/>
          <w:lang w:val="fr-FR"/>
        </w:rPr>
        <w:t>’</w:t>
      </w:r>
      <w:r w:rsidRPr="002A2EA6">
        <w:rPr>
          <w:sz w:val="17"/>
          <w:szCs w:val="17"/>
          <w:lang w:val="fr-FR"/>
        </w:rPr>
        <w:t>ils dépassent les seuils. Les déchets qui dépassent les seuils fixés mais qui ne figurent pas dans cette liste seraient également considérés comme des déchets du mercure.</w:t>
      </w:r>
    </w:p>
    <w:p w14:paraId="62A07A94"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b</w:t>
      </w:r>
      <w:r w:rsidRPr="002A2EA6">
        <w:rPr>
          <w:sz w:val="17"/>
          <w:szCs w:val="17"/>
          <w:lang w:val="fr-FR"/>
        </w:rPr>
        <w:t xml:space="preserve"> Une installation ou activité dans laquelle il est probable que des déchets soient générés ou accumulés.</w:t>
      </w:r>
    </w:p>
    <w:p w14:paraId="418B65F8"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c</w:t>
      </w:r>
      <w:r w:rsidRPr="002A2EA6">
        <w:rPr>
          <w:sz w:val="17"/>
          <w:szCs w:val="17"/>
          <w:lang w:val="fr-FR"/>
        </w:rPr>
        <w:t xml:space="preserve"> Incluant les filtres et le charbon actif.</w:t>
      </w:r>
    </w:p>
    <w:p w14:paraId="1BD3ABA5"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d</w:t>
      </w:r>
      <w:r w:rsidRPr="002A2EA6">
        <w:rPr>
          <w:sz w:val="17"/>
          <w:szCs w:val="17"/>
          <w:lang w:val="fr-FR"/>
        </w:rPr>
        <w:t xml:space="preserve"> Incluant les filtres et les résines.</w:t>
      </w:r>
    </w:p>
    <w:p w14:paraId="226C9689"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e</w:t>
      </w:r>
      <w:r w:rsidRPr="002A2EA6">
        <w:rPr>
          <w:sz w:val="17"/>
          <w:szCs w:val="17"/>
          <w:lang w:val="fr-FR"/>
        </w:rPr>
        <w:t xml:space="preserve"> Les sols contaminés transportés hors site sont considérés comme des déchets.</w:t>
      </w:r>
    </w:p>
    <w:p w14:paraId="3AD7C516" w14:textId="625468B4"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f</w:t>
      </w:r>
      <w:r w:rsidRPr="002A2EA6">
        <w:rPr>
          <w:sz w:val="17"/>
          <w:szCs w:val="17"/>
          <w:lang w:val="fr-FR"/>
        </w:rPr>
        <w:t xml:space="preserve"> Cellules à mercure, unités pour la récupération du mercure (cornue), catalyseurs usagés, déchets issus d</w:t>
      </w:r>
      <w:r w:rsidR="00CA4DAC">
        <w:rPr>
          <w:sz w:val="17"/>
          <w:szCs w:val="17"/>
          <w:lang w:val="fr-FR"/>
        </w:rPr>
        <w:t>’</w:t>
      </w:r>
      <w:r w:rsidRPr="002A2EA6">
        <w:rPr>
          <w:sz w:val="17"/>
          <w:szCs w:val="17"/>
          <w:lang w:val="fr-FR"/>
        </w:rPr>
        <w:t>activités de démantèlement et de démolition, équipements de protection individuelle, éléments utilisés pour contenir les déversements de mercure, etc.</w:t>
      </w:r>
    </w:p>
    <w:p w14:paraId="02B0A321" w14:textId="00516813"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g</w:t>
      </w:r>
      <w:r w:rsidRPr="002A2EA6">
        <w:rPr>
          <w:sz w:val="17"/>
          <w:szCs w:val="17"/>
          <w:lang w:val="fr-FR"/>
        </w:rPr>
        <w:t xml:space="preserve"> Résidus de procédés, déchets issus d</w:t>
      </w:r>
      <w:r w:rsidR="00CA4DAC">
        <w:rPr>
          <w:sz w:val="17"/>
          <w:szCs w:val="17"/>
          <w:lang w:val="fr-FR"/>
        </w:rPr>
        <w:t>’</w:t>
      </w:r>
      <w:r w:rsidRPr="002A2EA6">
        <w:rPr>
          <w:sz w:val="17"/>
          <w:szCs w:val="17"/>
          <w:lang w:val="fr-FR"/>
        </w:rPr>
        <w:t>activités de démolition, etc.</w:t>
      </w:r>
    </w:p>
    <w:p w14:paraId="4D6EDD10"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h</w:t>
      </w:r>
      <w:r w:rsidRPr="002A2EA6">
        <w:rPr>
          <w:sz w:val="17"/>
          <w:szCs w:val="17"/>
          <w:lang w:val="fr-FR"/>
        </w:rPr>
        <w:t xml:space="preserve"> Dépôts enlevés de la tuyauterie et des équipements de nettoyage des canalisations, etc.</w:t>
      </w:r>
    </w:p>
    <w:p w14:paraId="312391DF" w14:textId="77777777" w:rsidR="002A2EA6" w:rsidRPr="002A2EA6" w:rsidRDefault="002A2EA6" w:rsidP="002A2EA6">
      <w:pPr>
        <w:pStyle w:val="Normal-pool"/>
        <w:tabs>
          <w:tab w:val="clear" w:pos="1247"/>
        </w:tabs>
        <w:spacing w:after="40"/>
        <w:ind w:left="1247"/>
        <w:rPr>
          <w:sz w:val="17"/>
          <w:szCs w:val="17"/>
          <w:lang w:val="fr-FR"/>
        </w:rPr>
      </w:pPr>
      <w:r w:rsidRPr="002A2EA6">
        <w:rPr>
          <w:sz w:val="17"/>
          <w:szCs w:val="17"/>
          <w:vertAlign w:val="superscript"/>
          <w:lang w:val="fr-FR"/>
        </w:rPr>
        <w:t>i</w:t>
      </w:r>
      <w:r w:rsidRPr="002A2EA6">
        <w:rPr>
          <w:sz w:val="17"/>
          <w:szCs w:val="17"/>
          <w:lang w:val="fr-FR"/>
        </w:rPr>
        <w:t xml:space="preserve"> Déchets traités pour stabiliser/solidifier le mercure dans les déchets, revêtements fluorescents, métal et verre.</w:t>
      </w:r>
    </w:p>
    <w:p w14:paraId="3C9FE770" w14:textId="77777777" w:rsidR="002A2EA6" w:rsidRPr="002A2EA6" w:rsidRDefault="002A2EA6" w:rsidP="002A2EA6">
      <w:pPr>
        <w:tabs>
          <w:tab w:val="clear" w:pos="1247"/>
          <w:tab w:val="clear" w:pos="1814"/>
          <w:tab w:val="clear" w:pos="2381"/>
          <w:tab w:val="clear" w:pos="2948"/>
          <w:tab w:val="clear" w:pos="3515"/>
        </w:tabs>
      </w:pPr>
      <w:r w:rsidRPr="002A2EA6">
        <w:br w:type="page"/>
      </w:r>
    </w:p>
    <w:p w14:paraId="5D7E7BD8" w14:textId="77777777" w:rsidR="002A2EA6" w:rsidRPr="00967278" w:rsidRDefault="002A2EA6" w:rsidP="002A2EA6">
      <w:pPr>
        <w:pStyle w:val="CH2"/>
        <w:rPr>
          <w:sz w:val="28"/>
          <w:szCs w:val="28"/>
          <w:lang w:val="fr-FR"/>
        </w:rPr>
      </w:pPr>
      <w:r w:rsidRPr="00967278">
        <w:rPr>
          <w:sz w:val="28"/>
          <w:szCs w:val="28"/>
          <w:lang w:val="fr-FR"/>
        </w:rPr>
        <w:lastRenderedPageBreak/>
        <w:tab/>
      </w:r>
      <w:r w:rsidRPr="00967278">
        <w:rPr>
          <w:sz w:val="28"/>
          <w:szCs w:val="28"/>
          <w:lang w:val="fr-FR"/>
        </w:rPr>
        <w:tab/>
      </w:r>
      <w:bookmarkStart w:id="112" w:name="_Toc39063354"/>
      <w:r w:rsidRPr="00967278">
        <w:rPr>
          <w:sz w:val="28"/>
          <w:szCs w:val="28"/>
          <w:lang w:val="fr-FR"/>
        </w:rPr>
        <w:t>MC-3/6 : Orientations sur la gestion des sites contaminés</w:t>
      </w:r>
      <w:bookmarkEnd w:id="112"/>
    </w:p>
    <w:p w14:paraId="5861E43C" w14:textId="77777777" w:rsidR="002A2EA6" w:rsidRPr="002A2EA6" w:rsidRDefault="002A2EA6" w:rsidP="002A2EA6">
      <w:pPr>
        <w:pStyle w:val="NormalNonumber"/>
        <w:rPr>
          <w:i/>
          <w:lang w:val="fr-FR"/>
        </w:rPr>
      </w:pPr>
      <w:r w:rsidRPr="002A2EA6">
        <w:rPr>
          <w:lang w:val="fr-FR"/>
        </w:rPr>
        <w:tab/>
      </w:r>
      <w:r w:rsidRPr="002A2EA6">
        <w:rPr>
          <w:i/>
          <w:lang w:val="fr-FR"/>
        </w:rPr>
        <w:t>La Conférence des Parties,</w:t>
      </w:r>
    </w:p>
    <w:p w14:paraId="3E7DB8AD" w14:textId="2E5334E6" w:rsidR="002A2EA6" w:rsidRPr="002A2EA6" w:rsidRDefault="002A2EA6" w:rsidP="002A2EA6">
      <w:pPr>
        <w:pStyle w:val="Normalnumber"/>
        <w:ind w:left="1247"/>
        <w:rPr>
          <w:i/>
          <w:lang w:val="fr-FR"/>
        </w:rPr>
      </w:pPr>
      <w:r w:rsidRPr="002A2EA6">
        <w:rPr>
          <w:i/>
          <w:lang w:val="fr-FR"/>
        </w:rPr>
        <w:tab/>
        <w:t xml:space="preserve">Consciente </w:t>
      </w:r>
      <w:r w:rsidRPr="002A2EA6">
        <w:rPr>
          <w:lang w:val="fr-FR"/>
        </w:rPr>
        <w:t>de la nécessité d</w:t>
      </w:r>
      <w:r w:rsidR="00CA4DAC">
        <w:rPr>
          <w:lang w:val="fr-FR"/>
        </w:rPr>
        <w:t>’</w:t>
      </w:r>
      <w:r w:rsidRPr="002A2EA6">
        <w:rPr>
          <w:lang w:val="fr-FR"/>
        </w:rPr>
        <w:t>aider les Parties à instaurer une gestion écologiquement rationnelle les sites contaminés en leur donnant des orientations,</w:t>
      </w:r>
    </w:p>
    <w:p w14:paraId="78228762" w14:textId="7A8D07A3" w:rsidR="002A2EA6" w:rsidRPr="002A2EA6" w:rsidRDefault="002A2EA6" w:rsidP="002A2EA6">
      <w:pPr>
        <w:pStyle w:val="NormalNonumber"/>
        <w:rPr>
          <w:i/>
          <w:lang w:val="fr-FR"/>
        </w:rPr>
      </w:pPr>
      <w:r w:rsidRPr="002A2EA6">
        <w:rPr>
          <w:i/>
          <w:lang w:val="fr-FR"/>
        </w:rPr>
        <w:tab/>
        <w:t xml:space="preserve">Prenant note </w:t>
      </w:r>
      <w:r w:rsidRPr="002A2EA6">
        <w:rPr>
          <w:lang w:val="fr-FR"/>
        </w:rPr>
        <w:t>du projet d</w:t>
      </w:r>
      <w:r w:rsidR="00CA4DAC">
        <w:rPr>
          <w:lang w:val="fr-FR"/>
        </w:rPr>
        <w:t>’</w:t>
      </w:r>
      <w:r w:rsidRPr="002A2EA6">
        <w:rPr>
          <w:lang w:val="fr-FR"/>
        </w:rPr>
        <w:t>orientations sur la gestion des sites contaminés établi par le secrétariat en concertation avec les experts désignés et figurant dans l</w:t>
      </w:r>
      <w:r w:rsidR="00CA4DAC">
        <w:rPr>
          <w:lang w:val="fr-FR"/>
        </w:rPr>
        <w:t>’</w:t>
      </w:r>
      <w:r w:rsidRPr="002A2EA6">
        <w:rPr>
          <w:lang w:val="fr-FR"/>
        </w:rPr>
        <w:t>annexe II de la note du secrétariat sur la question</w:t>
      </w:r>
      <w:r w:rsidRPr="002A2EA6">
        <w:rPr>
          <w:rStyle w:val="FootnoteReference"/>
          <w:lang w:val="fr-FR"/>
        </w:rPr>
        <w:footnoteReference w:id="4"/>
      </w:r>
      <w:r w:rsidRPr="002A2EA6">
        <w:rPr>
          <w:lang w:val="fr-FR"/>
        </w:rPr>
        <w:t>,</w:t>
      </w:r>
    </w:p>
    <w:p w14:paraId="5FB09FD4" w14:textId="1744618D" w:rsidR="002A2EA6" w:rsidRPr="002A2EA6" w:rsidRDefault="002A2EA6" w:rsidP="002A2EA6">
      <w:pPr>
        <w:pStyle w:val="NormalNonumber"/>
        <w:rPr>
          <w:lang w:val="fr-FR"/>
        </w:rPr>
      </w:pPr>
      <w:r w:rsidRPr="002A2EA6">
        <w:rPr>
          <w:i/>
          <w:lang w:val="fr-FR"/>
        </w:rPr>
        <w:tab/>
      </w:r>
      <w:r w:rsidRPr="002A2EA6">
        <w:rPr>
          <w:lang w:val="fr-FR"/>
        </w:rPr>
        <w:t>1.</w:t>
      </w:r>
      <w:r w:rsidRPr="002A2EA6">
        <w:rPr>
          <w:i/>
          <w:lang w:val="fr-FR"/>
        </w:rPr>
        <w:tab/>
        <w:t xml:space="preserve">Adopte </w:t>
      </w:r>
      <w:r w:rsidRPr="002A2EA6">
        <w:rPr>
          <w:lang w:val="fr-FR"/>
        </w:rPr>
        <w:t>les orientations sur la gestion des sites contaminés figurant dans l</w:t>
      </w:r>
      <w:r w:rsidR="00CA4DAC">
        <w:rPr>
          <w:lang w:val="fr-FR"/>
        </w:rPr>
        <w:t>’</w:t>
      </w:r>
      <w:r w:rsidRPr="002A2EA6">
        <w:rPr>
          <w:lang w:val="fr-FR"/>
        </w:rPr>
        <w:t>annexe II de la note révisée du secrétariat sur la question</w:t>
      </w:r>
      <w:r w:rsidRPr="002A2EA6">
        <w:rPr>
          <w:rStyle w:val="FootnoteReference"/>
          <w:lang w:val="fr-FR"/>
        </w:rPr>
        <w:footnoteReference w:id="5"/>
      </w:r>
      <w:r w:rsidRPr="002A2EA6">
        <w:rPr>
          <w:lang w:val="fr-FR"/>
        </w:rPr>
        <w:t>;</w:t>
      </w:r>
    </w:p>
    <w:p w14:paraId="15F07125" w14:textId="21B0CDAE" w:rsidR="002A2EA6" w:rsidRPr="002A2EA6" w:rsidRDefault="002A2EA6" w:rsidP="002A2EA6">
      <w:pPr>
        <w:pStyle w:val="NormalNonumber"/>
        <w:rPr>
          <w:i/>
          <w:lang w:val="fr-FR"/>
        </w:rPr>
      </w:pPr>
      <w:r w:rsidRPr="002A2EA6">
        <w:rPr>
          <w:i/>
          <w:lang w:val="fr-FR"/>
        </w:rPr>
        <w:tab/>
      </w:r>
      <w:r w:rsidRPr="002A2EA6">
        <w:rPr>
          <w:lang w:val="fr-FR"/>
        </w:rPr>
        <w:t>2</w:t>
      </w:r>
      <w:r w:rsidRPr="002A2EA6">
        <w:rPr>
          <w:i/>
          <w:lang w:val="fr-FR"/>
        </w:rPr>
        <w:t>.</w:t>
      </w:r>
      <w:r w:rsidRPr="002A2EA6">
        <w:rPr>
          <w:i/>
          <w:lang w:val="fr-FR"/>
        </w:rPr>
        <w:tab/>
        <w:t xml:space="preserve">Note </w:t>
      </w:r>
      <w:r w:rsidRPr="002A2EA6">
        <w:rPr>
          <w:lang w:val="fr-FR"/>
        </w:rPr>
        <w:t>qu</w:t>
      </w:r>
      <w:r w:rsidR="00CA4DAC">
        <w:rPr>
          <w:lang w:val="fr-FR"/>
        </w:rPr>
        <w:t>’</w:t>
      </w:r>
      <w:r w:rsidRPr="002A2EA6">
        <w:rPr>
          <w:lang w:val="fr-FR"/>
        </w:rPr>
        <w:t>il importe d</w:t>
      </w:r>
      <w:r w:rsidR="00CA4DAC">
        <w:rPr>
          <w:lang w:val="fr-FR"/>
        </w:rPr>
        <w:t>’</w:t>
      </w:r>
      <w:r w:rsidRPr="002A2EA6">
        <w:rPr>
          <w:lang w:val="fr-FR"/>
        </w:rPr>
        <w:t>assurer le renforcement des capacités, l</w:t>
      </w:r>
      <w:r w:rsidR="00CA4DAC">
        <w:rPr>
          <w:lang w:val="fr-FR"/>
        </w:rPr>
        <w:t>’</w:t>
      </w:r>
      <w:r w:rsidRPr="002A2EA6">
        <w:rPr>
          <w:lang w:val="fr-FR"/>
        </w:rPr>
        <w:t>assistance technique et le transfert de technologies, selon qu</w:t>
      </w:r>
      <w:r w:rsidR="00CA4DAC">
        <w:rPr>
          <w:lang w:val="fr-FR"/>
        </w:rPr>
        <w:t>’</w:t>
      </w:r>
      <w:r w:rsidRPr="002A2EA6">
        <w:rPr>
          <w:lang w:val="fr-FR"/>
        </w:rPr>
        <w:t xml:space="preserve">il convient et conformément aux articles 13 et 14 de la Convention de Minamata sur le mercure ; </w:t>
      </w:r>
    </w:p>
    <w:p w14:paraId="443145D9" w14:textId="75F57C29" w:rsidR="002A2EA6" w:rsidRPr="002A2EA6" w:rsidRDefault="002A2EA6" w:rsidP="002A2EA6">
      <w:pPr>
        <w:pStyle w:val="NormalNonumber"/>
        <w:rPr>
          <w:iCs/>
          <w:lang w:val="fr-FR"/>
        </w:rPr>
      </w:pPr>
      <w:r w:rsidRPr="002A2EA6">
        <w:rPr>
          <w:i/>
          <w:iCs/>
          <w:lang w:val="fr-FR"/>
        </w:rPr>
        <w:tab/>
      </w:r>
      <w:r w:rsidRPr="002A2EA6">
        <w:rPr>
          <w:iCs/>
          <w:lang w:val="fr-FR"/>
        </w:rPr>
        <w:t>3.</w:t>
      </w:r>
      <w:r w:rsidRPr="002A2EA6">
        <w:rPr>
          <w:i/>
          <w:iCs/>
          <w:lang w:val="fr-FR"/>
        </w:rPr>
        <w:tab/>
        <w:t>Engage</w:t>
      </w:r>
      <w:r w:rsidRPr="002A2EA6">
        <w:rPr>
          <w:lang w:val="fr-FR"/>
        </w:rPr>
        <w:t xml:space="preserve"> les Parties à tenir compte des orientations lors de l</w:t>
      </w:r>
      <w:r w:rsidR="00CA4DAC">
        <w:rPr>
          <w:lang w:val="fr-FR"/>
        </w:rPr>
        <w:t>’</w:t>
      </w:r>
      <w:r w:rsidRPr="002A2EA6">
        <w:rPr>
          <w:lang w:val="fr-FR"/>
        </w:rPr>
        <w:t>identification, de l</w:t>
      </w:r>
      <w:r w:rsidR="00CA4DAC">
        <w:rPr>
          <w:lang w:val="fr-FR"/>
        </w:rPr>
        <w:t>’</w:t>
      </w:r>
      <w:r w:rsidRPr="002A2EA6">
        <w:rPr>
          <w:lang w:val="fr-FR"/>
        </w:rPr>
        <w:t>évaluation, de la gestion et, s</w:t>
      </w:r>
      <w:r w:rsidR="00CA4DAC">
        <w:rPr>
          <w:lang w:val="fr-FR"/>
        </w:rPr>
        <w:t>’</w:t>
      </w:r>
      <w:r w:rsidRPr="002A2EA6">
        <w:rPr>
          <w:lang w:val="fr-FR"/>
        </w:rPr>
        <w:t>il y a lieu, de la remise en état des sites contaminés par du mercure ou des composés du mercure ;</w:t>
      </w:r>
    </w:p>
    <w:p w14:paraId="31517285" w14:textId="477D2639" w:rsidR="002A2EA6" w:rsidRPr="002A2EA6" w:rsidRDefault="002A2EA6" w:rsidP="002A2EA6">
      <w:pPr>
        <w:pStyle w:val="NormalNonumber"/>
        <w:rPr>
          <w:lang w:val="fr-FR"/>
        </w:rPr>
      </w:pPr>
      <w:r w:rsidRPr="002A2EA6">
        <w:rPr>
          <w:i/>
          <w:iCs/>
          <w:lang w:val="fr-FR"/>
        </w:rPr>
        <w:tab/>
      </w:r>
      <w:r w:rsidRPr="002A2EA6">
        <w:rPr>
          <w:iCs/>
          <w:lang w:val="fr-FR"/>
        </w:rPr>
        <w:t>4.</w:t>
      </w:r>
      <w:r w:rsidRPr="002A2EA6">
        <w:rPr>
          <w:i/>
          <w:iCs/>
          <w:lang w:val="fr-FR"/>
        </w:rPr>
        <w:tab/>
        <w:t>Prie</w:t>
      </w:r>
      <w:r w:rsidRPr="002A2EA6">
        <w:rPr>
          <w:lang w:val="fr-FR"/>
        </w:rPr>
        <w:t xml:space="preserve"> le secrétariat de continuer à rassembler des informations techniques à l</w:t>
      </w:r>
      <w:r w:rsidR="00CA4DAC">
        <w:rPr>
          <w:lang w:val="fr-FR"/>
        </w:rPr>
        <w:t>’</w:t>
      </w:r>
      <w:r w:rsidRPr="002A2EA6">
        <w:rPr>
          <w:lang w:val="fr-FR"/>
        </w:rPr>
        <w:t>appui des orientations, en coopération avec les experts désignés par les gouvernements, les réseaux compétents et d</w:t>
      </w:r>
      <w:r w:rsidR="00CA4DAC">
        <w:rPr>
          <w:lang w:val="fr-FR"/>
        </w:rPr>
        <w:t>’</w:t>
      </w:r>
      <w:r w:rsidRPr="002A2EA6">
        <w:rPr>
          <w:lang w:val="fr-FR"/>
        </w:rPr>
        <w:t xml:space="preserve">autres parties prenantes, et de mettre ces informations à la disposition des Parties ; </w:t>
      </w:r>
    </w:p>
    <w:p w14:paraId="1CA3263F" w14:textId="20877A62" w:rsidR="002A2EA6" w:rsidRPr="002A2EA6" w:rsidRDefault="002A2EA6" w:rsidP="002A2EA6">
      <w:pPr>
        <w:pStyle w:val="NormalNonumber"/>
        <w:rPr>
          <w:lang w:val="fr-FR"/>
        </w:rPr>
      </w:pPr>
      <w:r w:rsidRPr="002A2EA6">
        <w:rPr>
          <w:i/>
          <w:lang w:val="fr-FR"/>
        </w:rPr>
        <w:tab/>
      </w:r>
      <w:r w:rsidRPr="002A2EA6">
        <w:rPr>
          <w:lang w:val="fr-FR"/>
        </w:rPr>
        <w:t>5.</w:t>
      </w:r>
      <w:r w:rsidRPr="002A2EA6">
        <w:rPr>
          <w:i/>
          <w:lang w:val="fr-FR"/>
        </w:rPr>
        <w:tab/>
        <w:t>Note</w:t>
      </w:r>
      <w:r w:rsidRPr="002A2EA6">
        <w:rPr>
          <w:lang w:val="fr-FR"/>
        </w:rPr>
        <w:t xml:space="preserve"> que les orientations pourraient devoir être révisées à la lumière des enseignements tirés de leur utilisation de sorte qu</w:t>
      </w:r>
      <w:r w:rsidR="00CA4DAC">
        <w:rPr>
          <w:lang w:val="fr-FR"/>
        </w:rPr>
        <w:t>’</w:t>
      </w:r>
      <w:r w:rsidRPr="002A2EA6">
        <w:rPr>
          <w:lang w:val="fr-FR"/>
        </w:rPr>
        <w:t>elles suivent l</w:t>
      </w:r>
      <w:r w:rsidR="00CA4DAC">
        <w:rPr>
          <w:lang w:val="fr-FR"/>
        </w:rPr>
        <w:t>’</w:t>
      </w:r>
      <w:r w:rsidRPr="002A2EA6">
        <w:rPr>
          <w:lang w:val="fr-FR"/>
        </w:rPr>
        <w:t>évolution des bonnes pratiques.</w:t>
      </w:r>
    </w:p>
    <w:p w14:paraId="39FEEEC4" w14:textId="77777777" w:rsidR="002A2EA6" w:rsidRPr="002A2EA6" w:rsidRDefault="002A2EA6" w:rsidP="002A2EA6">
      <w:pPr>
        <w:tabs>
          <w:tab w:val="clear" w:pos="1247"/>
          <w:tab w:val="clear" w:pos="1814"/>
          <w:tab w:val="clear" w:pos="2381"/>
          <w:tab w:val="clear" w:pos="2948"/>
          <w:tab w:val="clear" w:pos="3515"/>
        </w:tabs>
        <w:rPr>
          <w:b/>
          <w:sz w:val="24"/>
          <w:szCs w:val="24"/>
        </w:rPr>
      </w:pPr>
      <w:r w:rsidRPr="002A2EA6">
        <w:br w:type="page"/>
      </w:r>
    </w:p>
    <w:p w14:paraId="041AB1AB" w14:textId="77777777" w:rsidR="002A2EA6" w:rsidRPr="00143E51" w:rsidRDefault="002A2EA6" w:rsidP="002A2EA6">
      <w:pPr>
        <w:pStyle w:val="CH2"/>
        <w:rPr>
          <w:sz w:val="28"/>
          <w:szCs w:val="28"/>
          <w:lang w:val="fr-FR"/>
        </w:rPr>
      </w:pPr>
      <w:r w:rsidRPr="002A2EA6">
        <w:rPr>
          <w:lang w:val="fr-FR"/>
        </w:rPr>
        <w:lastRenderedPageBreak/>
        <w:tab/>
      </w:r>
      <w:r w:rsidRPr="00143E51">
        <w:rPr>
          <w:sz w:val="28"/>
          <w:szCs w:val="28"/>
          <w:lang w:val="fr-FR"/>
        </w:rPr>
        <w:tab/>
      </w:r>
      <w:bookmarkStart w:id="113" w:name="_Toc39063355"/>
      <w:r w:rsidRPr="00143E51">
        <w:rPr>
          <w:sz w:val="28"/>
          <w:szCs w:val="28"/>
          <w:lang w:val="fr-FR"/>
        </w:rPr>
        <w:t>MC-3/7 : Premier examen du mécanisme de financement</w:t>
      </w:r>
      <w:bookmarkEnd w:id="113"/>
    </w:p>
    <w:p w14:paraId="0F1EA625" w14:textId="77777777" w:rsidR="002A2EA6" w:rsidRPr="002A2EA6" w:rsidRDefault="002A2EA6" w:rsidP="002A2EA6">
      <w:pPr>
        <w:pStyle w:val="NormalNonumber"/>
        <w:rPr>
          <w:i/>
          <w:iCs/>
          <w:lang w:val="fr-FR"/>
        </w:rPr>
      </w:pPr>
      <w:r w:rsidRPr="002A2EA6">
        <w:rPr>
          <w:i/>
          <w:iCs/>
          <w:lang w:val="fr-FR"/>
        </w:rPr>
        <w:tab/>
        <w:t>La Conférence des Parties,</w:t>
      </w:r>
    </w:p>
    <w:p w14:paraId="25D895B0" w14:textId="167DFA28" w:rsidR="002A2EA6" w:rsidRPr="002A2EA6" w:rsidRDefault="002A2EA6" w:rsidP="002A2EA6">
      <w:pPr>
        <w:pStyle w:val="NormalNonumber"/>
        <w:rPr>
          <w:lang w:val="fr-FR"/>
        </w:rPr>
      </w:pPr>
      <w:r w:rsidRPr="002A2EA6">
        <w:rPr>
          <w:i/>
          <w:iCs/>
          <w:lang w:val="fr-FR"/>
        </w:rPr>
        <w:tab/>
        <w:t>Considérant</w:t>
      </w:r>
      <w:r w:rsidRPr="002A2EA6">
        <w:rPr>
          <w:lang w:val="fr-FR"/>
        </w:rPr>
        <w:t xml:space="preserve"> le paragraphe 11 de l</w:t>
      </w:r>
      <w:r w:rsidR="00CA4DAC">
        <w:rPr>
          <w:lang w:val="fr-FR"/>
        </w:rPr>
        <w:t>’</w:t>
      </w:r>
      <w:r w:rsidRPr="002A2EA6">
        <w:rPr>
          <w:lang w:val="fr-FR"/>
        </w:rPr>
        <w:t>article 13 sur l</w:t>
      </w:r>
      <w:r w:rsidR="00CA4DAC">
        <w:rPr>
          <w:lang w:val="fr-FR"/>
        </w:rPr>
        <w:t>’</w:t>
      </w:r>
      <w:r w:rsidRPr="002A2EA6">
        <w:rPr>
          <w:lang w:val="fr-FR"/>
        </w:rPr>
        <w:t>examen du mécanisme de financement,</w:t>
      </w:r>
    </w:p>
    <w:p w14:paraId="00F335EA" w14:textId="18A3A77E" w:rsidR="002A2EA6" w:rsidRPr="002A2EA6" w:rsidRDefault="002A2EA6" w:rsidP="002A2EA6">
      <w:pPr>
        <w:pStyle w:val="NormalNonumber"/>
        <w:rPr>
          <w:lang w:val="fr-FR"/>
        </w:rPr>
      </w:pPr>
      <w:r w:rsidRPr="002A2EA6">
        <w:rPr>
          <w:lang w:val="fr-FR"/>
        </w:rPr>
        <w:tab/>
        <w:t>1.</w:t>
      </w:r>
      <w:r w:rsidRPr="002A2EA6">
        <w:rPr>
          <w:lang w:val="fr-FR"/>
        </w:rPr>
        <w:tab/>
      </w:r>
      <w:r w:rsidRPr="002A2EA6">
        <w:rPr>
          <w:i/>
          <w:iCs/>
          <w:lang w:val="fr-FR"/>
        </w:rPr>
        <w:t>Accueille avec satisfaction</w:t>
      </w:r>
      <w:r w:rsidRPr="002A2EA6">
        <w:rPr>
          <w:lang w:val="fr-FR"/>
        </w:rPr>
        <w:t xml:space="preserve"> la note du secrétariat sur le premier examen du mécanisme de financement</w:t>
      </w:r>
      <w:r w:rsidRPr="002A2EA6">
        <w:rPr>
          <w:rStyle w:val="FootnoteReference"/>
          <w:lang w:val="fr-FR"/>
        </w:rPr>
        <w:footnoteReference w:id="6"/>
      </w:r>
      <w:r w:rsidRPr="002A2EA6">
        <w:rPr>
          <w:lang w:val="fr-FR"/>
        </w:rPr>
        <w:t>, sur la base duquel elle a entrepris l</w:t>
      </w:r>
      <w:r w:rsidR="00CA4DAC">
        <w:rPr>
          <w:lang w:val="fr-FR"/>
        </w:rPr>
        <w:t>’</w:t>
      </w:r>
      <w:r w:rsidRPr="002A2EA6">
        <w:rPr>
          <w:lang w:val="fr-FR"/>
        </w:rPr>
        <w:t>examen de ce dernier, conformément au paragraphe 11 de l</w:t>
      </w:r>
      <w:r w:rsidR="00CA4DAC">
        <w:rPr>
          <w:lang w:val="fr-FR"/>
        </w:rPr>
        <w:t>’</w:t>
      </w:r>
      <w:r w:rsidRPr="002A2EA6">
        <w:rPr>
          <w:lang w:val="fr-FR"/>
        </w:rPr>
        <w:t>article 13 ;</w:t>
      </w:r>
    </w:p>
    <w:p w14:paraId="0D681599" w14:textId="763DB067" w:rsidR="002A2EA6" w:rsidRPr="002A2EA6" w:rsidRDefault="002A2EA6" w:rsidP="002A2EA6">
      <w:pPr>
        <w:pStyle w:val="NormalNonumber"/>
        <w:rPr>
          <w:lang w:val="fr-FR"/>
        </w:rPr>
      </w:pPr>
      <w:r w:rsidRPr="002A2EA6">
        <w:rPr>
          <w:lang w:val="fr-FR"/>
        </w:rPr>
        <w:tab/>
        <w:t>2.</w:t>
      </w:r>
      <w:r w:rsidRPr="002A2EA6">
        <w:rPr>
          <w:lang w:val="fr-FR"/>
        </w:rPr>
        <w:tab/>
      </w:r>
      <w:r w:rsidRPr="002A2EA6">
        <w:rPr>
          <w:i/>
          <w:iCs/>
          <w:lang w:val="fr-FR"/>
        </w:rPr>
        <w:t>Prie</w:t>
      </w:r>
      <w:r w:rsidRPr="002A2EA6">
        <w:rPr>
          <w:lang w:val="fr-FR"/>
        </w:rPr>
        <w:t xml:space="preserve"> le secrétariat d</w:t>
      </w:r>
      <w:r w:rsidR="00CA4DAC">
        <w:rPr>
          <w:lang w:val="fr-FR"/>
        </w:rPr>
        <w:t>’</w:t>
      </w:r>
      <w:r w:rsidRPr="002A2EA6">
        <w:rPr>
          <w:lang w:val="fr-FR"/>
        </w:rPr>
        <w:t>établir un projet de cadre pour le deuxième examen, afin qu</w:t>
      </w:r>
      <w:r w:rsidR="00CA4DAC">
        <w:rPr>
          <w:lang w:val="fr-FR"/>
        </w:rPr>
        <w:t>’</w:t>
      </w:r>
      <w:r w:rsidRPr="002A2EA6">
        <w:rPr>
          <w:lang w:val="fr-FR"/>
        </w:rPr>
        <w:t>elle puisse l</w:t>
      </w:r>
      <w:r w:rsidR="00CA4DAC">
        <w:rPr>
          <w:lang w:val="fr-FR"/>
        </w:rPr>
        <w:t>’</w:t>
      </w:r>
      <w:r w:rsidRPr="002A2EA6">
        <w:rPr>
          <w:lang w:val="fr-FR"/>
        </w:rPr>
        <w:t>examiner à sa quatrième réunion.</w:t>
      </w:r>
    </w:p>
    <w:p w14:paraId="6D113BEA" w14:textId="77777777" w:rsidR="002A2EA6" w:rsidRPr="002A2EA6" w:rsidRDefault="002A2EA6" w:rsidP="002A2EA6">
      <w:pPr>
        <w:tabs>
          <w:tab w:val="clear" w:pos="1247"/>
          <w:tab w:val="clear" w:pos="1814"/>
          <w:tab w:val="clear" w:pos="2381"/>
          <w:tab w:val="clear" w:pos="2948"/>
          <w:tab w:val="clear" w:pos="3515"/>
        </w:tabs>
      </w:pPr>
      <w:r w:rsidRPr="002A2EA6">
        <w:br w:type="page"/>
      </w:r>
    </w:p>
    <w:p w14:paraId="4934613A" w14:textId="4B68CD25" w:rsidR="002A2EA6" w:rsidRPr="002534DA" w:rsidRDefault="002A2EA6" w:rsidP="002A2EA6">
      <w:pPr>
        <w:pStyle w:val="CH2"/>
        <w:rPr>
          <w:rStyle w:val="DeltaViewInsertion"/>
          <w:rFonts w:ascii="Times New Roman Bold" w:eastAsia="MS PGothic" w:hAnsi="Times New Roman Bold"/>
          <w:color w:val="auto"/>
          <w:sz w:val="28"/>
          <w:szCs w:val="28"/>
          <w:lang w:val="fr-FR"/>
        </w:rPr>
      </w:pPr>
      <w:r w:rsidRPr="00AF699B">
        <w:rPr>
          <w:rStyle w:val="DeltaViewInsertion"/>
          <w:rFonts w:ascii="Times New Roman Bold" w:eastAsia="Times New Roman Bold" w:hAnsi="Times New Roman Bold"/>
          <w:color w:val="auto"/>
          <w:u w:val="none"/>
          <w:lang w:val="fr-FR"/>
        </w:rPr>
        <w:lastRenderedPageBreak/>
        <w:tab/>
      </w:r>
      <w:r w:rsidRPr="002534DA">
        <w:rPr>
          <w:rStyle w:val="DeltaViewInsertion"/>
          <w:rFonts w:ascii="Times New Roman Bold" w:eastAsia="Times New Roman Bold" w:hAnsi="Times New Roman Bold"/>
          <w:color w:val="auto"/>
          <w:sz w:val="28"/>
          <w:szCs w:val="28"/>
          <w:u w:val="none"/>
          <w:lang w:val="fr-FR"/>
        </w:rPr>
        <w:tab/>
      </w:r>
      <w:bookmarkStart w:id="114" w:name="_Toc39063356"/>
      <w:r w:rsidRPr="002534DA">
        <w:rPr>
          <w:rStyle w:val="DeltaViewInsertion"/>
          <w:rFonts w:ascii="Times New Roman Bold" w:eastAsia="Times New Roman Bold" w:hAnsi="Times New Roman Bold"/>
          <w:color w:val="auto"/>
          <w:sz w:val="28"/>
          <w:szCs w:val="28"/>
          <w:u w:val="none"/>
          <w:lang w:val="fr-FR"/>
        </w:rPr>
        <w:t xml:space="preserve">MC-3/8 : Article 14 : </w:t>
      </w:r>
      <w:r w:rsidR="0013561F" w:rsidRPr="002534DA">
        <w:rPr>
          <w:rFonts w:ascii="Times New Roman Bold" w:hAnsi="Times New Roman Bold"/>
          <w:bCs/>
          <w:sz w:val="28"/>
          <w:szCs w:val="28"/>
          <w:lang w:val="fr-FR"/>
        </w:rPr>
        <w:t>r</w:t>
      </w:r>
      <w:r w:rsidRPr="002534DA">
        <w:rPr>
          <w:rFonts w:ascii="Times New Roman Bold" w:hAnsi="Times New Roman Bold"/>
          <w:bCs/>
          <w:sz w:val="28"/>
          <w:szCs w:val="28"/>
          <w:lang w:val="fr-FR"/>
        </w:rPr>
        <w:t>enforcement des capacités, assistance technique et transfert de technologies</w:t>
      </w:r>
      <w:bookmarkEnd w:id="114"/>
    </w:p>
    <w:p w14:paraId="7982CECD" w14:textId="77777777" w:rsidR="002A2EA6" w:rsidRPr="002A2EA6" w:rsidRDefault="002A2EA6" w:rsidP="002A2EA6">
      <w:pPr>
        <w:pStyle w:val="NormalNonumber"/>
        <w:rPr>
          <w:rFonts w:eastAsia="MS PGothic"/>
          <w:i/>
          <w:iCs/>
          <w:lang w:val="fr-FR"/>
        </w:rPr>
      </w:pPr>
      <w:bookmarkStart w:id="115" w:name="_DV_C968"/>
      <w:r w:rsidRPr="002A2EA6">
        <w:rPr>
          <w:lang w:val="fr-FR"/>
        </w:rPr>
        <w:tab/>
      </w:r>
      <w:r w:rsidRPr="002A2EA6">
        <w:rPr>
          <w:i/>
          <w:iCs/>
          <w:lang w:val="fr-FR"/>
        </w:rPr>
        <w:t>La Conférence des Parties,</w:t>
      </w:r>
      <w:bookmarkEnd w:id="115"/>
    </w:p>
    <w:p w14:paraId="2A447B6C" w14:textId="5D6F12A6" w:rsidR="002A2EA6" w:rsidRPr="002A2EA6" w:rsidRDefault="002A2EA6" w:rsidP="002A2EA6">
      <w:pPr>
        <w:pStyle w:val="NormalNonumber"/>
        <w:rPr>
          <w:rFonts w:eastAsia="MS PGothic"/>
          <w:lang w:val="fr-FR"/>
        </w:rPr>
      </w:pPr>
      <w:bookmarkStart w:id="116" w:name="_DV_C969"/>
      <w:bookmarkStart w:id="117" w:name="_Hlk530301547"/>
      <w:r w:rsidRPr="002A2EA6">
        <w:rPr>
          <w:i/>
          <w:iCs/>
          <w:lang w:val="fr-FR"/>
        </w:rPr>
        <w:tab/>
        <w:t xml:space="preserve">Rappelant </w:t>
      </w:r>
      <w:r w:rsidRPr="002A2EA6">
        <w:rPr>
          <w:lang w:val="fr-FR"/>
        </w:rPr>
        <w:t>les décisions MC-1/21 et MC-2/11 sur le renforcement des capacités, l</w:t>
      </w:r>
      <w:r w:rsidR="00CA4DAC">
        <w:rPr>
          <w:lang w:val="fr-FR"/>
        </w:rPr>
        <w:t>’</w:t>
      </w:r>
      <w:r w:rsidRPr="002A2EA6">
        <w:rPr>
          <w:lang w:val="fr-FR"/>
        </w:rPr>
        <w:t xml:space="preserve">assistance technique et le transfert de technologies aux fins de la Convention de Minamata sur le mercure, dans lesquelles elle a constaté que certains des centres régionaux et sous-régionaux existants élaboraient déjà des projets et des activités concernant les questions relatives au mercure, </w:t>
      </w:r>
      <w:bookmarkStart w:id="118" w:name="_DV_C970"/>
      <w:bookmarkStart w:id="119" w:name="_Toc495572439"/>
      <w:bookmarkStart w:id="120" w:name="_DV_C971"/>
      <w:bookmarkStart w:id="121" w:name="_DV_C972"/>
      <w:bookmarkEnd w:id="116"/>
      <w:bookmarkEnd w:id="117"/>
      <w:bookmarkEnd w:id="118"/>
      <w:bookmarkEnd w:id="119"/>
      <w:bookmarkEnd w:id="120"/>
      <w:bookmarkEnd w:id="121"/>
    </w:p>
    <w:p w14:paraId="203F95E9" w14:textId="33E553C2" w:rsidR="002A2EA6" w:rsidRPr="002A2EA6" w:rsidRDefault="002A2EA6" w:rsidP="002A2EA6">
      <w:pPr>
        <w:pStyle w:val="NormalNonumber"/>
        <w:rPr>
          <w:rFonts w:eastAsia="MS PGothic"/>
          <w:lang w:val="fr-FR"/>
        </w:rPr>
      </w:pPr>
      <w:bookmarkStart w:id="122" w:name="_DV_C973"/>
      <w:r w:rsidRPr="002A2EA6">
        <w:rPr>
          <w:i/>
          <w:iCs/>
          <w:lang w:val="fr-FR"/>
        </w:rPr>
        <w:tab/>
        <w:t>Accueillant avec intérêt</w:t>
      </w:r>
      <w:r w:rsidRPr="002A2EA6">
        <w:rPr>
          <w:lang w:val="fr-FR"/>
        </w:rPr>
        <w:t xml:space="preserve"> les communications du Réseau intergouvernemental sur les produits chimiques et les déchets pour l</w:t>
      </w:r>
      <w:r w:rsidR="00CA4DAC">
        <w:rPr>
          <w:lang w:val="fr-FR"/>
        </w:rPr>
        <w:t>’</w:t>
      </w:r>
      <w:r w:rsidRPr="002A2EA6">
        <w:rPr>
          <w:lang w:val="fr-FR"/>
        </w:rPr>
        <w:t>Amérique latine et les Caraïbes et du Gouvernement japonais, qui sont consignées dans la compilation des informations reçues de mécanismes régionaux, sous-régionaux et nationaux existants sur les activités de renforcement des capacités et d</w:t>
      </w:r>
      <w:r w:rsidR="00CA4DAC">
        <w:rPr>
          <w:lang w:val="fr-FR"/>
        </w:rPr>
        <w:t>’</w:t>
      </w:r>
      <w:r w:rsidRPr="002A2EA6">
        <w:rPr>
          <w:lang w:val="fr-FR"/>
        </w:rPr>
        <w:t>assistance technique qu</w:t>
      </w:r>
      <w:r w:rsidR="00CA4DAC">
        <w:rPr>
          <w:lang w:val="fr-FR"/>
        </w:rPr>
        <w:t>’</w:t>
      </w:r>
      <w:r w:rsidRPr="002A2EA6">
        <w:rPr>
          <w:lang w:val="fr-FR"/>
        </w:rPr>
        <w:t>ils mènent pour aider les Parties à s</w:t>
      </w:r>
      <w:r w:rsidR="00CA4DAC">
        <w:rPr>
          <w:lang w:val="fr-FR"/>
        </w:rPr>
        <w:t>’</w:t>
      </w:r>
      <w:r w:rsidRPr="002A2EA6">
        <w:rPr>
          <w:lang w:val="fr-FR"/>
        </w:rPr>
        <w:t>acquitter des obligations que leur fait la Convention</w:t>
      </w:r>
      <w:r w:rsidRPr="002A2EA6">
        <w:rPr>
          <w:rStyle w:val="FootnoteReference"/>
          <w:lang w:val="fr-FR"/>
        </w:rPr>
        <w:footnoteReference w:id="7"/>
      </w:r>
      <w:bookmarkStart w:id="123" w:name="_DV_C974"/>
      <w:bookmarkStart w:id="124" w:name="_DV_C976"/>
      <w:bookmarkEnd w:id="122"/>
      <w:bookmarkEnd w:id="123"/>
      <w:r w:rsidRPr="002A2EA6">
        <w:rPr>
          <w:lang w:val="fr-FR"/>
        </w:rPr>
        <w:t>,</w:t>
      </w:r>
    </w:p>
    <w:p w14:paraId="4266BD8C" w14:textId="510ECF3D" w:rsidR="002A2EA6" w:rsidRPr="002A2EA6" w:rsidRDefault="002A2EA6" w:rsidP="002A2EA6">
      <w:pPr>
        <w:pStyle w:val="NormalNonumber"/>
        <w:rPr>
          <w:rFonts w:eastAsia="MS PGothic"/>
          <w:lang w:val="fr-FR"/>
        </w:rPr>
      </w:pPr>
      <w:bookmarkStart w:id="125" w:name="_DV_C977"/>
      <w:bookmarkEnd w:id="124"/>
      <w:r w:rsidRPr="002A2EA6">
        <w:rPr>
          <w:lang w:val="fr-FR"/>
        </w:rPr>
        <w:tab/>
        <w:t>1.</w:t>
      </w:r>
      <w:r w:rsidRPr="002A2EA6">
        <w:rPr>
          <w:lang w:val="fr-FR"/>
        </w:rPr>
        <w:tab/>
      </w:r>
      <w:r w:rsidRPr="002A2EA6">
        <w:rPr>
          <w:i/>
          <w:iCs/>
          <w:lang w:val="fr-FR"/>
        </w:rPr>
        <w:t xml:space="preserve">Souligne </w:t>
      </w:r>
      <w:r w:rsidRPr="002A2EA6">
        <w:rPr>
          <w:lang w:val="fr-FR"/>
        </w:rPr>
        <w:t>qu</w:t>
      </w:r>
      <w:r w:rsidR="00CA4DAC">
        <w:rPr>
          <w:lang w:val="fr-FR"/>
        </w:rPr>
        <w:t>’</w:t>
      </w:r>
      <w:r w:rsidRPr="002A2EA6">
        <w:rPr>
          <w:lang w:val="fr-FR"/>
        </w:rPr>
        <w:t>il convient de recourir, s</w:t>
      </w:r>
      <w:r w:rsidR="00CA4DAC">
        <w:rPr>
          <w:lang w:val="fr-FR"/>
        </w:rPr>
        <w:t>’</w:t>
      </w:r>
      <w:r w:rsidRPr="002A2EA6">
        <w:rPr>
          <w:lang w:val="fr-FR"/>
        </w:rPr>
        <w:t>il y a lieu, aux mécanismes régionaux, sous</w:t>
      </w:r>
      <w:r w:rsidRPr="002A2EA6">
        <w:rPr>
          <w:lang w:val="fr-FR"/>
        </w:rPr>
        <w:noBreakHyphen/>
        <w:t>régionaux et nationaux, y compris les centres régionaux et sous-régionaux existants de la Convention de Bâle sur le contrôle des mouvements transfrontières de déchets dangereux et de leur élimination et de la Convention de Stockholm sur les polluants organiques persistants, pour assurer le renforcement des capacités et l</w:t>
      </w:r>
      <w:r w:rsidR="00CA4DAC">
        <w:rPr>
          <w:lang w:val="fr-FR"/>
        </w:rPr>
        <w:t>’</w:t>
      </w:r>
      <w:r w:rsidRPr="002A2EA6">
        <w:rPr>
          <w:lang w:val="fr-FR"/>
        </w:rPr>
        <w:t>assistance technique, conformément à l</w:t>
      </w:r>
      <w:r w:rsidR="00CA4DAC">
        <w:rPr>
          <w:lang w:val="fr-FR"/>
        </w:rPr>
        <w:t>’</w:t>
      </w:r>
      <w:r w:rsidRPr="002A2EA6">
        <w:rPr>
          <w:lang w:val="fr-FR"/>
        </w:rPr>
        <w:t>article 14 de la Convention ;</w:t>
      </w:r>
      <w:bookmarkStart w:id="126" w:name="_DV_C978"/>
      <w:bookmarkEnd w:id="125"/>
    </w:p>
    <w:p w14:paraId="7A827CA5" w14:textId="3F710ECA" w:rsidR="002A2EA6" w:rsidRPr="002A2EA6" w:rsidRDefault="002A2EA6" w:rsidP="002A2EA6">
      <w:pPr>
        <w:pStyle w:val="NormalNonumber"/>
        <w:rPr>
          <w:rFonts w:eastAsia="MS PGothic"/>
          <w:lang w:val="fr-FR"/>
        </w:rPr>
      </w:pPr>
      <w:bookmarkStart w:id="127" w:name="_DV_C979"/>
      <w:bookmarkEnd w:id="126"/>
      <w:r w:rsidRPr="002A2EA6">
        <w:rPr>
          <w:lang w:val="fr-FR"/>
        </w:rPr>
        <w:tab/>
        <w:t>2.</w:t>
      </w:r>
      <w:r w:rsidRPr="002A2EA6">
        <w:rPr>
          <w:lang w:val="fr-FR"/>
        </w:rPr>
        <w:tab/>
      </w:r>
      <w:r w:rsidRPr="002A2EA6">
        <w:rPr>
          <w:i/>
          <w:iCs/>
          <w:lang w:val="fr-FR"/>
        </w:rPr>
        <w:t xml:space="preserve">Tient compte </w:t>
      </w:r>
      <w:r w:rsidRPr="002A2EA6">
        <w:rPr>
          <w:lang w:val="fr-FR"/>
        </w:rPr>
        <w:t>des informations recueillies par application de la décision MC-2/11, attend avec intérêt toute information qu</w:t>
      </w:r>
      <w:r w:rsidR="00CA4DAC">
        <w:rPr>
          <w:lang w:val="fr-FR"/>
        </w:rPr>
        <w:t>’</w:t>
      </w:r>
      <w:r w:rsidRPr="002A2EA6">
        <w:rPr>
          <w:lang w:val="fr-FR"/>
        </w:rPr>
        <w:t>elle recevra comme suite au paragraphe 3 de la présente décision et engage les Parties, dans la limite de leurs capacités, à prendre ces informations en considération dans l</w:t>
      </w:r>
      <w:r w:rsidR="00CA4DAC">
        <w:rPr>
          <w:lang w:val="fr-FR"/>
        </w:rPr>
        <w:t>’</w:t>
      </w:r>
      <w:r w:rsidRPr="002A2EA6">
        <w:rPr>
          <w:lang w:val="fr-FR"/>
        </w:rPr>
        <w:t>exécution des activités de renforcement des capacités et d</w:t>
      </w:r>
      <w:r w:rsidR="00CA4DAC">
        <w:rPr>
          <w:lang w:val="fr-FR"/>
        </w:rPr>
        <w:t>’</w:t>
      </w:r>
      <w:r w:rsidRPr="002A2EA6">
        <w:rPr>
          <w:lang w:val="fr-FR"/>
        </w:rPr>
        <w:t>assistance technique prévues à l</w:t>
      </w:r>
      <w:r w:rsidR="00CA4DAC">
        <w:rPr>
          <w:lang w:val="fr-FR"/>
        </w:rPr>
        <w:t>’</w:t>
      </w:r>
      <w:r w:rsidRPr="002A2EA6">
        <w:rPr>
          <w:lang w:val="fr-FR"/>
        </w:rPr>
        <w:t>article 14 ;</w:t>
      </w:r>
      <w:bookmarkStart w:id="128" w:name="_DV_C980"/>
      <w:bookmarkEnd w:id="127"/>
    </w:p>
    <w:p w14:paraId="7AF4CF82" w14:textId="71274CA4" w:rsidR="002A2EA6" w:rsidRPr="002A2EA6" w:rsidRDefault="002A2EA6" w:rsidP="002A2EA6">
      <w:pPr>
        <w:pStyle w:val="NormalNonumber"/>
        <w:rPr>
          <w:rStyle w:val="DeltaViewInsertion"/>
          <w:rFonts w:eastAsia="MS PGothic"/>
          <w:b/>
          <w:color w:val="auto"/>
          <w:sz w:val="24"/>
          <w:szCs w:val="24"/>
          <w:lang w:val="fr-FR"/>
        </w:rPr>
      </w:pPr>
      <w:bookmarkStart w:id="129" w:name="_DV_C981"/>
      <w:bookmarkEnd w:id="128"/>
      <w:r w:rsidRPr="002A2EA6">
        <w:rPr>
          <w:lang w:val="fr-FR"/>
        </w:rPr>
        <w:tab/>
        <w:t>3.</w:t>
      </w:r>
      <w:r w:rsidRPr="002A2EA6">
        <w:rPr>
          <w:lang w:val="fr-FR"/>
        </w:rPr>
        <w:tab/>
      </w:r>
      <w:r w:rsidRPr="002A2EA6">
        <w:rPr>
          <w:i/>
          <w:iCs/>
          <w:lang w:val="fr-FR"/>
        </w:rPr>
        <w:t xml:space="preserve">Prie </w:t>
      </w:r>
      <w:r w:rsidRPr="002A2EA6">
        <w:rPr>
          <w:lang w:val="fr-FR"/>
        </w:rPr>
        <w:t>le secrétariat de la Convention de Minamata de compiler les informations reçues des Parties, des mécanismes régionaux, sous-régionaux et nationaux existants, y compris les centres régionaux et sous-régionaux en place des conventions de Bâle et de Stockholm, sur les activités de renforcement des capacités et d</w:t>
      </w:r>
      <w:r w:rsidR="00CA4DAC">
        <w:rPr>
          <w:lang w:val="fr-FR"/>
        </w:rPr>
        <w:t>’</w:t>
      </w:r>
      <w:r w:rsidRPr="002A2EA6">
        <w:rPr>
          <w:lang w:val="fr-FR"/>
        </w:rPr>
        <w:t>assistance technique mises en œuvre pour aider les Parties à s</w:t>
      </w:r>
      <w:r w:rsidR="00CA4DAC">
        <w:rPr>
          <w:lang w:val="fr-FR"/>
        </w:rPr>
        <w:t>’</w:t>
      </w:r>
      <w:r w:rsidRPr="002A2EA6">
        <w:rPr>
          <w:lang w:val="fr-FR"/>
        </w:rPr>
        <w:t>acquitter des obligations que leur fait la Convention, et de lui faire rapport à ce sujet à sa quatrième réunion</w:t>
      </w:r>
      <w:bookmarkEnd w:id="129"/>
      <w:r w:rsidRPr="002A2EA6">
        <w:rPr>
          <w:lang w:val="fr-FR"/>
        </w:rPr>
        <w:t>.</w:t>
      </w:r>
      <w:r w:rsidRPr="002A2EA6">
        <w:rPr>
          <w:rStyle w:val="DeltaViewInsertion"/>
          <w:rFonts w:eastAsia="MS PGothic"/>
          <w:color w:val="auto"/>
          <w:lang w:val="fr-FR"/>
        </w:rPr>
        <w:br w:type="page"/>
      </w:r>
    </w:p>
    <w:p w14:paraId="1CC99AF3" w14:textId="77777777" w:rsidR="002A2EA6" w:rsidRPr="00061DE1" w:rsidRDefault="002A2EA6" w:rsidP="002A2EA6">
      <w:pPr>
        <w:pStyle w:val="CH2"/>
        <w:rPr>
          <w:rFonts w:eastAsia="MS PGothic"/>
          <w:sz w:val="28"/>
          <w:szCs w:val="28"/>
          <w:lang w:val="fr-FR"/>
        </w:rPr>
      </w:pPr>
      <w:r w:rsidRPr="002A2EA6">
        <w:rPr>
          <w:lang w:val="fr-FR"/>
        </w:rPr>
        <w:lastRenderedPageBreak/>
        <w:tab/>
      </w:r>
      <w:r w:rsidRPr="00061DE1">
        <w:rPr>
          <w:sz w:val="28"/>
          <w:szCs w:val="28"/>
          <w:lang w:val="fr-FR"/>
        </w:rPr>
        <w:tab/>
      </w:r>
      <w:bookmarkStart w:id="130" w:name="_Toc39063357"/>
      <w:r w:rsidRPr="00061DE1">
        <w:rPr>
          <w:sz w:val="28"/>
          <w:szCs w:val="28"/>
          <w:lang w:val="fr-FR"/>
        </w:rPr>
        <w:t>MC-3/9 : Comité de mise en œuvre et du respect des obligations : mandat et modèle pour les communications écrites transmises par les Parties concernant leur respect des dispositions</w:t>
      </w:r>
      <w:bookmarkEnd w:id="130"/>
    </w:p>
    <w:p w14:paraId="7D4A2554" w14:textId="77777777" w:rsidR="002A2EA6" w:rsidRPr="002A2EA6" w:rsidRDefault="002A2EA6" w:rsidP="002A2EA6">
      <w:pPr>
        <w:pStyle w:val="NormalNonumber"/>
        <w:rPr>
          <w:rFonts w:eastAsia="SimSun"/>
          <w:i/>
          <w:lang w:val="fr-FR"/>
        </w:rPr>
      </w:pPr>
      <w:bookmarkStart w:id="131" w:name="_DV_C984"/>
      <w:r w:rsidRPr="002A2EA6">
        <w:rPr>
          <w:i/>
          <w:iCs/>
          <w:lang w:val="fr-FR"/>
        </w:rPr>
        <w:tab/>
        <w:t>La Conférence des Parties</w:t>
      </w:r>
      <w:r w:rsidRPr="002A2EA6">
        <w:rPr>
          <w:lang w:val="fr-FR"/>
        </w:rPr>
        <w:t>,</w:t>
      </w:r>
      <w:bookmarkEnd w:id="131"/>
    </w:p>
    <w:p w14:paraId="20870B8B" w14:textId="0F1BBD13" w:rsidR="002A2EA6" w:rsidRPr="002A2EA6" w:rsidRDefault="002A2EA6" w:rsidP="002A2EA6">
      <w:pPr>
        <w:pStyle w:val="NormalNonumber"/>
        <w:rPr>
          <w:rFonts w:eastAsia="SimSun"/>
          <w:lang w:val="fr-FR"/>
        </w:rPr>
      </w:pPr>
      <w:bookmarkStart w:id="132" w:name="_DV_C985"/>
      <w:r w:rsidRPr="002A2EA6">
        <w:rPr>
          <w:i/>
          <w:iCs/>
          <w:lang w:val="fr-FR"/>
        </w:rPr>
        <w:tab/>
        <w:t xml:space="preserve">Rappelant </w:t>
      </w:r>
      <w:r w:rsidRPr="002A2EA6">
        <w:rPr>
          <w:lang w:val="fr-FR"/>
        </w:rPr>
        <w:t>le paragraphe 5 de l</w:t>
      </w:r>
      <w:r w:rsidR="00CA4DAC">
        <w:rPr>
          <w:lang w:val="fr-FR"/>
        </w:rPr>
        <w:t>’</w:t>
      </w:r>
      <w:r w:rsidRPr="002A2EA6">
        <w:rPr>
          <w:lang w:val="fr-FR"/>
        </w:rPr>
        <w:t>article 15 de la Convention de Minamata sur le mercure,</w:t>
      </w:r>
      <w:bookmarkEnd w:id="132"/>
    </w:p>
    <w:p w14:paraId="77D28911" w14:textId="77777777" w:rsidR="002A2EA6" w:rsidRPr="002A2EA6" w:rsidRDefault="002A2EA6" w:rsidP="002A2EA6">
      <w:pPr>
        <w:pStyle w:val="NormalNonumber"/>
        <w:rPr>
          <w:rFonts w:eastAsia="SimSun"/>
          <w:lang w:val="fr-FR"/>
        </w:rPr>
      </w:pPr>
      <w:bookmarkStart w:id="133" w:name="_DV_C986"/>
      <w:r w:rsidRPr="002A2EA6">
        <w:rPr>
          <w:i/>
          <w:iCs/>
          <w:lang w:val="fr-FR"/>
        </w:rPr>
        <w:tab/>
        <w:t xml:space="preserve">Ayant examiné </w:t>
      </w:r>
      <w:r w:rsidRPr="002A2EA6">
        <w:rPr>
          <w:lang w:val="fr-FR"/>
        </w:rPr>
        <w:t>le rapport sur les travaux du Comité de mise en œuvre et du respect des obligations de la Convention</w:t>
      </w:r>
      <w:r w:rsidRPr="002A2EA6">
        <w:rPr>
          <w:rStyle w:val="FootnoteReference"/>
          <w:lang w:val="fr-FR"/>
        </w:rPr>
        <w:footnoteReference w:id="8"/>
      </w:r>
      <w:bookmarkEnd w:id="133"/>
      <w:r w:rsidRPr="002A2EA6">
        <w:rPr>
          <w:lang w:val="fr-FR"/>
        </w:rPr>
        <w:t>,</w:t>
      </w:r>
    </w:p>
    <w:p w14:paraId="62E14C82" w14:textId="77777777" w:rsidR="002A2EA6" w:rsidRPr="002A2EA6" w:rsidRDefault="002A2EA6" w:rsidP="002A2EA6">
      <w:pPr>
        <w:pStyle w:val="NormalNonumber"/>
        <w:rPr>
          <w:rFonts w:eastAsia="SimSun"/>
          <w:lang w:val="fr-FR"/>
        </w:rPr>
      </w:pPr>
      <w:bookmarkStart w:id="135" w:name="_DV_C989"/>
      <w:r w:rsidRPr="002A2EA6">
        <w:rPr>
          <w:i/>
          <w:iCs/>
          <w:lang w:val="fr-FR"/>
        </w:rPr>
        <w:tab/>
        <w:t xml:space="preserve">Notant avec satisfaction </w:t>
      </w:r>
      <w:r w:rsidRPr="002A2EA6">
        <w:rPr>
          <w:lang w:val="fr-FR"/>
        </w:rPr>
        <w:t>les travaux entrepris par le Comité de mise en œuvre et du respect des obligations,</w:t>
      </w:r>
      <w:bookmarkEnd w:id="135"/>
    </w:p>
    <w:p w14:paraId="7840F077" w14:textId="242F5ADC" w:rsidR="002A2EA6" w:rsidRPr="002A2EA6" w:rsidRDefault="002A2EA6" w:rsidP="002A2EA6">
      <w:pPr>
        <w:pStyle w:val="NormalNonumber"/>
        <w:rPr>
          <w:rFonts w:eastAsia="SimSun"/>
          <w:lang w:val="fr-FR"/>
        </w:rPr>
      </w:pPr>
      <w:bookmarkStart w:id="136" w:name="_DV_C990"/>
      <w:r w:rsidRPr="002A2EA6">
        <w:rPr>
          <w:i/>
          <w:iCs/>
          <w:lang w:val="fr-FR"/>
        </w:rPr>
        <w:tab/>
        <w:t>Décide</w:t>
      </w:r>
      <w:r w:rsidRPr="002A2EA6">
        <w:rPr>
          <w:lang w:val="fr-FR"/>
        </w:rPr>
        <w:t xml:space="preserve"> d</w:t>
      </w:r>
      <w:r w:rsidR="00CA4DAC">
        <w:rPr>
          <w:lang w:val="fr-FR"/>
        </w:rPr>
        <w:t>’</w:t>
      </w:r>
      <w:r w:rsidRPr="002A2EA6">
        <w:rPr>
          <w:lang w:val="fr-FR"/>
        </w:rPr>
        <w:t>adopter le mandat du Comité de mise en œuvre et du respect des obligations, qui figure dans l</w:t>
      </w:r>
      <w:r w:rsidR="00CA4DAC">
        <w:rPr>
          <w:lang w:val="fr-FR"/>
        </w:rPr>
        <w:t>’</w:t>
      </w:r>
      <w:r w:rsidRPr="002A2EA6">
        <w:rPr>
          <w:lang w:val="fr-FR"/>
        </w:rPr>
        <w:t>annexe I de la présente décision, et d</w:t>
      </w:r>
      <w:r w:rsidR="00CA4DAC">
        <w:rPr>
          <w:lang w:val="fr-FR"/>
        </w:rPr>
        <w:t>’</w:t>
      </w:r>
      <w:r w:rsidRPr="002A2EA6">
        <w:rPr>
          <w:lang w:val="fr-FR"/>
        </w:rPr>
        <w:t>approuver le modèle pour les communications écrites transmises par les Parties concernant leur respect des dispositions, qui fait l</w:t>
      </w:r>
      <w:r w:rsidR="00CA4DAC">
        <w:rPr>
          <w:lang w:val="fr-FR"/>
        </w:rPr>
        <w:t>’</w:t>
      </w:r>
      <w:r w:rsidRPr="002A2EA6">
        <w:rPr>
          <w:lang w:val="fr-FR"/>
        </w:rPr>
        <w:t>objet de l</w:t>
      </w:r>
      <w:r w:rsidR="00CA4DAC">
        <w:rPr>
          <w:lang w:val="fr-FR"/>
        </w:rPr>
        <w:t>’</w:t>
      </w:r>
      <w:r w:rsidRPr="002A2EA6">
        <w:rPr>
          <w:lang w:val="fr-FR"/>
        </w:rPr>
        <w:t>annexe II de la présente décision.</w:t>
      </w:r>
      <w:bookmarkEnd w:id="136"/>
    </w:p>
    <w:p w14:paraId="6E55EBE1" w14:textId="77777777" w:rsidR="002A2EA6" w:rsidRPr="0090074E" w:rsidRDefault="002A2EA6" w:rsidP="002A2EA6">
      <w:pPr>
        <w:pStyle w:val="CH1"/>
        <w:rPr>
          <w:rFonts w:eastAsia="SimSun"/>
          <w:lang w:val="fr-FR"/>
        </w:rPr>
      </w:pPr>
      <w:bookmarkStart w:id="137" w:name="_DV_C991"/>
      <w:r w:rsidRPr="002A2EA6">
        <w:rPr>
          <w:lang w:val="fr-FR"/>
        </w:rPr>
        <w:tab/>
      </w:r>
      <w:r w:rsidRPr="002A2EA6">
        <w:rPr>
          <w:lang w:val="fr-FR"/>
        </w:rPr>
        <w:tab/>
      </w:r>
      <w:r w:rsidRPr="0090074E">
        <w:rPr>
          <w:lang w:val="fr-FR"/>
        </w:rPr>
        <w:t>Annexe I de la décision MC-3/9</w:t>
      </w:r>
      <w:bookmarkEnd w:id="137"/>
    </w:p>
    <w:p w14:paraId="7147113E" w14:textId="77777777" w:rsidR="002A2EA6" w:rsidRPr="002A2EA6" w:rsidRDefault="002A2EA6" w:rsidP="002A2EA6">
      <w:pPr>
        <w:pStyle w:val="NormalNonumber"/>
        <w:rPr>
          <w:b/>
          <w:bCs/>
          <w:sz w:val="24"/>
          <w:szCs w:val="24"/>
          <w:lang w:val="fr-FR"/>
        </w:rPr>
      </w:pPr>
      <w:bookmarkStart w:id="138" w:name="_Toc38526642"/>
      <w:r w:rsidRPr="002A2EA6">
        <w:rPr>
          <w:b/>
          <w:bCs/>
          <w:sz w:val="24"/>
          <w:szCs w:val="24"/>
          <w:lang w:val="fr-FR"/>
        </w:rPr>
        <w:t xml:space="preserve">Mandat du Comité de mise en œuvre et du respect des obligations </w:t>
      </w:r>
      <w:r w:rsidRPr="002A2EA6">
        <w:rPr>
          <w:b/>
          <w:bCs/>
          <w:sz w:val="24"/>
          <w:szCs w:val="24"/>
          <w:lang w:val="fr-FR"/>
        </w:rPr>
        <w:br/>
        <w:t>de la Convention de Minamata sur le mercure</w:t>
      </w:r>
      <w:bookmarkEnd w:id="138"/>
    </w:p>
    <w:p w14:paraId="4E6D7720" w14:textId="77777777" w:rsidR="002A2EA6" w:rsidRPr="002A2EA6" w:rsidRDefault="002A2EA6" w:rsidP="002A2EA6">
      <w:pPr>
        <w:pStyle w:val="CH1"/>
        <w:rPr>
          <w:lang w:val="fr-FR"/>
        </w:rPr>
      </w:pPr>
      <w:r w:rsidRPr="002A2EA6">
        <w:rPr>
          <w:lang w:val="fr-FR"/>
        </w:rPr>
        <w:tab/>
        <w:t>I.</w:t>
      </w:r>
      <w:r w:rsidRPr="002A2EA6">
        <w:rPr>
          <w:lang w:val="fr-FR"/>
        </w:rPr>
        <w:tab/>
        <w:t>Préambule</w:t>
      </w:r>
    </w:p>
    <w:p w14:paraId="587FED5A" w14:textId="77777777" w:rsidR="002A2EA6" w:rsidRPr="002A2EA6" w:rsidRDefault="002A2EA6" w:rsidP="002A2EA6">
      <w:pPr>
        <w:pStyle w:val="Normalnumber"/>
        <w:numPr>
          <w:ilvl w:val="0"/>
          <w:numId w:val="19"/>
        </w:numPr>
        <w:rPr>
          <w:lang w:val="fr-FR"/>
        </w:rPr>
      </w:pPr>
      <w:r w:rsidRPr="002A2EA6">
        <w:rPr>
          <w:lang w:val="fr-FR"/>
        </w:rPr>
        <w:t>Le mandat du Comité de mise en œuvre et du respect des obligations de la Convention de Minamata sur le mercure doit être lu en parallèle avec les dispositions de la Convention et le Règlement intérieur du Comité. En cas de conflit entre une disposition du présent mandat et les dispositions de la Convention, ces dernières prévalent.</w:t>
      </w:r>
    </w:p>
    <w:p w14:paraId="3EC170A9" w14:textId="16CBFA68" w:rsidR="002A2EA6" w:rsidRPr="002A2EA6" w:rsidRDefault="002A2EA6" w:rsidP="002A2EA6">
      <w:pPr>
        <w:pStyle w:val="Normalnumber"/>
        <w:numPr>
          <w:ilvl w:val="0"/>
          <w:numId w:val="19"/>
        </w:numPr>
        <w:rPr>
          <w:lang w:val="fr-FR"/>
        </w:rPr>
      </w:pPr>
      <w:r w:rsidRPr="002A2EA6">
        <w:rPr>
          <w:lang w:val="fr-FR"/>
        </w:rPr>
        <w:t>Toute recommandation du Comité est examinée par la Partie concernée ou la Conférence des Parties, selon qu</w:t>
      </w:r>
      <w:r w:rsidR="00CA4DAC">
        <w:rPr>
          <w:lang w:val="fr-FR"/>
        </w:rPr>
        <w:t>’</w:t>
      </w:r>
      <w:r w:rsidRPr="002A2EA6">
        <w:rPr>
          <w:lang w:val="fr-FR"/>
        </w:rPr>
        <w:t>il convient.</w:t>
      </w:r>
    </w:p>
    <w:p w14:paraId="1E0BCA81" w14:textId="2ADB456D" w:rsidR="002A2EA6" w:rsidRPr="002A2EA6" w:rsidRDefault="002A2EA6" w:rsidP="002A2EA6">
      <w:pPr>
        <w:pStyle w:val="Normalnumber"/>
        <w:numPr>
          <w:ilvl w:val="0"/>
          <w:numId w:val="19"/>
        </w:numPr>
        <w:rPr>
          <w:lang w:val="fr-FR"/>
        </w:rPr>
      </w:pPr>
      <w:r w:rsidRPr="002A2EA6">
        <w:rPr>
          <w:lang w:val="fr-FR"/>
        </w:rPr>
        <w:t>Les membres du Comité siègent en toute objectivité dans l</w:t>
      </w:r>
      <w:r w:rsidR="00CA4DAC">
        <w:rPr>
          <w:lang w:val="fr-FR"/>
        </w:rPr>
        <w:t>’</w:t>
      </w:r>
      <w:r w:rsidRPr="002A2EA6">
        <w:rPr>
          <w:lang w:val="fr-FR"/>
        </w:rPr>
        <w:t>intérêt supérieur de la Convention.</w:t>
      </w:r>
    </w:p>
    <w:p w14:paraId="456478CD" w14:textId="4AAF72AC" w:rsidR="002A2EA6" w:rsidRPr="002A2EA6" w:rsidRDefault="002A2EA6" w:rsidP="002A2EA6">
      <w:pPr>
        <w:pStyle w:val="CH1"/>
        <w:rPr>
          <w:lang w:val="fr-FR"/>
        </w:rPr>
      </w:pPr>
      <w:r w:rsidRPr="002A2EA6">
        <w:rPr>
          <w:lang w:val="fr-FR"/>
        </w:rPr>
        <w:tab/>
        <w:t>II.</w:t>
      </w:r>
      <w:r w:rsidRPr="002A2EA6">
        <w:rPr>
          <w:lang w:val="fr-FR"/>
        </w:rPr>
        <w:tab/>
        <w:t>Champ d</w:t>
      </w:r>
      <w:r w:rsidR="00CA4DAC">
        <w:rPr>
          <w:lang w:val="fr-FR"/>
        </w:rPr>
        <w:t>’</w:t>
      </w:r>
      <w:r w:rsidRPr="002A2EA6">
        <w:rPr>
          <w:lang w:val="fr-FR"/>
        </w:rPr>
        <w:t>intervention et objectif</w:t>
      </w:r>
    </w:p>
    <w:p w14:paraId="3A7B2451" w14:textId="19B7BA5C" w:rsidR="002A2EA6" w:rsidRPr="002A2EA6" w:rsidRDefault="002A2EA6" w:rsidP="002A2EA6">
      <w:pPr>
        <w:pStyle w:val="Normalnumber"/>
        <w:numPr>
          <w:ilvl w:val="0"/>
          <w:numId w:val="19"/>
        </w:numPr>
        <w:rPr>
          <w:lang w:val="fr-FR"/>
        </w:rPr>
      </w:pPr>
      <w:r w:rsidRPr="002A2EA6">
        <w:rPr>
          <w:lang w:val="fr-FR"/>
        </w:rPr>
        <w:t>L</w:t>
      </w:r>
      <w:r w:rsidR="00CA4DAC">
        <w:rPr>
          <w:lang w:val="fr-FR"/>
        </w:rPr>
        <w:t>’</w:t>
      </w:r>
      <w:r w:rsidRPr="002A2EA6">
        <w:rPr>
          <w:lang w:val="fr-FR"/>
        </w:rPr>
        <w:t>objectif du Comité est de promouvoir la mise en œuvre de toutes les dispositions de la Convention et d</w:t>
      </w:r>
      <w:r w:rsidR="00CA4DAC">
        <w:rPr>
          <w:lang w:val="fr-FR"/>
        </w:rPr>
        <w:t>’</w:t>
      </w:r>
      <w:r w:rsidRPr="002A2EA6">
        <w:rPr>
          <w:lang w:val="fr-FR"/>
        </w:rPr>
        <w:t>en examiner le respect.</w:t>
      </w:r>
    </w:p>
    <w:p w14:paraId="212D1B15" w14:textId="77777777" w:rsidR="002A2EA6" w:rsidRPr="002A2EA6" w:rsidRDefault="002A2EA6" w:rsidP="002A2EA6">
      <w:pPr>
        <w:pStyle w:val="Normalnumber"/>
        <w:numPr>
          <w:ilvl w:val="0"/>
          <w:numId w:val="19"/>
        </w:numPr>
        <w:rPr>
          <w:lang w:val="fr-FR"/>
        </w:rPr>
      </w:pPr>
      <w:r w:rsidRPr="002A2EA6">
        <w:rPr>
          <w:lang w:val="fr-FR"/>
        </w:rPr>
        <w:t>Le Comité est de nature facilitatrice et accorde une attention particulière à la situation et aux capacités nationales propres aux Parties.</w:t>
      </w:r>
    </w:p>
    <w:p w14:paraId="5A74BE6F" w14:textId="7EDA72F0" w:rsidR="002A2EA6" w:rsidRPr="002A2EA6" w:rsidRDefault="002A2EA6" w:rsidP="002A2EA6">
      <w:pPr>
        <w:pStyle w:val="Normalnumber"/>
        <w:numPr>
          <w:ilvl w:val="0"/>
          <w:numId w:val="19"/>
        </w:numPr>
        <w:rPr>
          <w:lang w:val="fr-FR"/>
        </w:rPr>
      </w:pPr>
      <w:r w:rsidRPr="002A2EA6">
        <w:rPr>
          <w:lang w:val="fr-FR"/>
        </w:rPr>
        <w:t>Le Comité examine les questions tant individuelles que systémiques ayant trait à la mise en œuvre et au respect des dispositions et fait des recommandations à la Conférence des Parties, selon qu</w:t>
      </w:r>
      <w:r w:rsidR="00CA4DAC">
        <w:rPr>
          <w:lang w:val="fr-FR"/>
        </w:rPr>
        <w:t>’</w:t>
      </w:r>
      <w:r w:rsidRPr="002A2EA6">
        <w:rPr>
          <w:lang w:val="fr-FR"/>
        </w:rPr>
        <w:t>il convient.</w:t>
      </w:r>
      <w:bookmarkStart w:id="139" w:name="_Hlk6956259"/>
    </w:p>
    <w:p w14:paraId="4BBA7EF1" w14:textId="77777777" w:rsidR="002A2EA6" w:rsidRPr="002A2EA6" w:rsidRDefault="002A2EA6" w:rsidP="002A2EA6">
      <w:pPr>
        <w:pStyle w:val="CH1"/>
        <w:rPr>
          <w:lang w:val="fr-FR"/>
        </w:rPr>
      </w:pPr>
      <w:r w:rsidRPr="002A2EA6">
        <w:rPr>
          <w:lang w:val="fr-FR"/>
        </w:rPr>
        <w:tab/>
        <w:t>III.</w:t>
      </w:r>
      <w:r w:rsidRPr="002A2EA6">
        <w:rPr>
          <w:lang w:val="fr-FR"/>
        </w:rPr>
        <w:tab/>
        <w:t>Fonctions du Comité</w:t>
      </w:r>
    </w:p>
    <w:bookmarkEnd w:id="139"/>
    <w:p w14:paraId="4CA4BC7D" w14:textId="7CF27C0B" w:rsidR="002A2EA6" w:rsidRPr="002A2EA6" w:rsidRDefault="002A2EA6" w:rsidP="002A2EA6">
      <w:pPr>
        <w:pStyle w:val="CH2"/>
        <w:rPr>
          <w:lang w:val="fr-FR"/>
        </w:rPr>
      </w:pPr>
      <w:r w:rsidRPr="002A2EA6">
        <w:rPr>
          <w:lang w:val="fr-FR"/>
        </w:rPr>
        <w:tab/>
      </w:r>
      <w:bookmarkStart w:id="140" w:name="_Toc38526643"/>
      <w:bookmarkStart w:id="141" w:name="_Toc38526779"/>
      <w:bookmarkStart w:id="142" w:name="_Toc39063358"/>
      <w:r w:rsidRPr="002A2EA6">
        <w:rPr>
          <w:lang w:val="fr-FR"/>
        </w:rPr>
        <w:t>A.</w:t>
      </w:r>
      <w:r w:rsidRPr="002A2EA6">
        <w:rPr>
          <w:lang w:val="fr-FR"/>
        </w:rPr>
        <w:tab/>
        <w:t>Examiner toute communication écrite transmise par une Partie concernant son respect des dispositions conformément à l</w:t>
      </w:r>
      <w:r w:rsidR="00CA4DAC">
        <w:rPr>
          <w:lang w:val="fr-FR"/>
        </w:rPr>
        <w:t>’</w:t>
      </w:r>
      <w:r w:rsidRPr="002A2EA6">
        <w:rPr>
          <w:lang w:val="fr-FR"/>
        </w:rPr>
        <w:t>alinéa a) du paragraphe 4 de l</w:t>
      </w:r>
      <w:r w:rsidR="00CA4DAC">
        <w:rPr>
          <w:lang w:val="fr-FR"/>
        </w:rPr>
        <w:t>’</w:t>
      </w:r>
      <w:r w:rsidRPr="002A2EA6">
        <w:rPr>
          <w:lang w:val="fr-FR"/>
        </w:rPr>
        <w:t>article 15</w:t>
      </w:r>
      <w:bookmarkEnd w:id="140"/>
      <w:bookmarkEnd w:id="141"/>
      <w:bookmarkEnd w:id="142"/>
    </w:p>
    <w:p w14:paraId="66DFF88D" w14:textId="7C650E92" w:rsidR="002A2EA6" w:rsidRPr="002A2EA6" w:rsidRDefault="002A2EA6" w:rsidP="002A2EA6">
      <w:pPr>
        <w:pStyle w:val="Normalnumber"/>
        <w:numPr>
          <w:ilvl w:val="0"/>
          <w:numId w:val="19"/>
        </w:numPr>
        <w:rPr>
          <w:lang w:val="fr-FR"/>
        </w:rPr>
      </w:pPr>
      <w:r w:rsidRPr="002A2EA6">
        <w:rPr>
          <w:lang w:val="fr-FR"/>
        </w:rPr>
        <w:t>Le Comité examine toute communication écrite transmise par une Partie concernant son respect des dispositions conformément à l</w:t>
      </w:r>
      <w:r w:rsidR="00CA4DAC">
        <w:rPr>
          <w:lang w:val="fr-FR"/>
        </w:rPr>
        <w:t>’</w:t>
      </w:r>
      <w:r w:rsidRPr="002A2EA6">
        <w:rPr>
          <w:lang w:val="fr-FR"/>
        </w:rPr>
        <w:t>alinéa a) du paragraphe 4 de l</w:t>
      </w:r>
      <w:r w:rsidR="00CA4DAC">
        <w:rPr>
          <w:lang w:val="fr-FR"/>
        </w:rPr>
        <w:t>’</w:t>
      </w:r>
      <w:r w:rsidRPr="002A2EA6">
        <w:rPr>
          <w:lang w:val="fr-FR"/>
        </w:rPr>
        <w:t>article 15 en vue d</w:t>
      </w:r>
      <w:r w:rsidR="00CA4DAC">
        <w:rPr>
          <w:lang w:val="fr-FR"/>
        </w:rPr>
        <w:t>’</w:t>
      </w:r>
      <w:r w:rsidRPr="002A2EA6">
        <w:rPr>
          <w:lang w:val="fr-FR"/>
        </w:rPr>
        <w:t>établir les faits, de déterminer les causes profondes du problème et d</w:t>
      </w:r>
      <w:r w:rsidR="00CA4DAC">
        <w:rPr>
          <w:lang w:val="fr-FR"/>
        </w:rPr>
        <w:t>’</w:t>
      </w:r>
      <w:r w:rsidRPr="002A2EA6">
        <w:rPr>
          <w:lang w:val="fr-FR"/>
        </w:rPr>
        <w:t>aider à le résoudre dans un souci de facilitation et en accordant une attention particulière à la situation et aux capacités nationales de ladite Partie. Les communications écrites transmises par les Parties concernant leur respect des dispositions sont adressées au Comité, par l</w:t>
      </w:r>
      <w:r w:rsidR="00CA4DAC">
        <w:rPr>
          <w:lang w:val="fr-FR"/>
        </w:rPr>
        <w:t>’</w:t>
      </w:r>
      <w:r w:rsidRPr="002A2EA6">
        <w:rPr>
          <w:lang w:val="fr-FR"/>
        </w:rPr>
        <w:t>intermédiaire du secrétariat, dans l</w:t>
      </w:r>
      <w:r w:rsidR="00CA4DAC">
        <w:rPr>
          <w:lang w:val="fr-FR"/>
        </w:rPr>
        <w:t>’</w:t>
      </w:r>
      <w:r w:rsidRPr="002A2EA6">
        <w:rPr>
          <w:lang w:val="fr-FR"/>
        </w:rPr>
        <w:t>une des six langues officielles de l</w:t>
      </w:r>
      <w:r w:rsidR="00CA4DAC">
        <w:rPr>
          <w:lang w:val="fr-FR"/>
        </w:rPr>
        <w:t>’</w:t>
      </w:r>
      <w:r w:rsidRPr="002A2EA6">
        <w:rPr>
          <w:lang w:val="fr-FR"/>
        </w:rPr>
        <w:t>Organisation des Nations Unies, de préférence par voie électronique, et contiennent :</w:t>
      </w:r>
    </w:p>
    <w:p w14:paraId="394F1DB4" w14:textId="5C4EBD46" w:rsidR="002A2EA6" w:rsidRPr="002A2EA6" w:rsidRDefault="002A2EA6" w:rsidP="002A2EA6">
      <w:pPr>
        <w:pStyle w:val="Normalnumber"/>
        <w:numPr>
          <w:ilvl w:val="1"/>
          <w:numId w:val="19"/>
        </w:numPr>
        <w:rPr>
          <w:lang w:val="fr-FR"/>
        </w:rPr>
      </w:pPr>
      <w:bookmarkStart w:id="143" w:name="_Hlk7762842"/>
      <w:r w:rsidRPr="002A2EA6">
        <w:rPr>
          <w:lang w:val="fr-FR"/>
        </w:rPr>
        <w:lastRenderedPageBreak/>
        <w:t xml:space="preserve">Le nom et les coordonnées du correspondant national </w:t>
      </w:r>
      <w:bookmarkStart w:id="144" w:name="_Hlk19618400"/>
      <w:r w:rsidRPr="002A2EA6">
        <w:rPr>
          <w:lang w:val="fr-FR"/>
        </w:rPr>
        <w:t>ou d</w:t>
      </w:r>
      <w:r w:rsidR="00CA4DAC">
        <w:rPr>
          <w:lang w:val="fr-FR"/>
        </w:rPr>
        <w:t>’</w:t>
      </w:r>
      <w:r w:rsidRPr="002A2EA6">
        <w:rPr>
          <w:lang w:val="fr-FR"/>
        </w:rPr>
        <w:t>une autre autorité compétente de la Partie transmettant la communication concernant le respect des dispositions</w:t>
      </w:r>
      <w:bookmarkEnd w:id="144"/>
      <w:r w:rsidRPr="002A2EA6">
        <w:rPr>
          <w:lang w:val="fr-FR"/>
        </w:rPr>
        <w:t xml:space="preserve"> par la Partie ;</w:t>
      </w:r>
    </w:p>
    <w:p w14:paraId="2B334C1F" w14:textId="77777777" w:rsidR="002A2EA6" w:rsidRPr="002A2EA6" w:rsidRDefault="002A2EA6" w:rsidP="002A2EA6">
      <w:pPr>
        <w:pStyle w:val="Normalnumber"/>
        <w:numPr>
          <w:ilvl w:val="1"/>
          <w:numId w:val="19"/>
        </w:numPr>
        <w:rPr>
          <w:lang w:val="fr-FR"/>
        </w:rPr>
      </w:pPr>
      <w:r w:rsidRPr="002A2EA6">
        <w:rPr>
          <w:lang w:val="fr-FR"/>
        </w:rPr>
        <w:t>Des informations de base concernant le problème, la description de ce dernier ainsi que la situation et les capacités nationales de la Partie ;</w:t>
      </w:r>
    </w:p>
    <w:p w14:paraId="69FC10E9" w14:textId="77777777" w:rsidR="002A2EA6" w:rsidRPr="002A2EA6" w:rsidRDefault="002A2EA6" w:rsidP="002A2EA6">
      <w:pPr>
        <w:pStyle w:val="Normalnumber"/>
        <w:numPr>
          <w:ilvl w:val="1"/>
          <w:numId w:val="19"/>
        </w:numPr>
        <w:rPr>
          <w:lang w:val="fr-FR"/>
        </w:rPr>
      </w:pPr>
      <w:r w:rsidRPr="002A2EA6">
        <w:rPr>
          <w:lang w:val="fr-FR"/>
        </w:rPr>
        <w:t>La ou les disposition(s) pertinente(s) de la Convention ;</w:t>
      </w:r>
    </w:p>
    <w:p w14:paraId="062197B6" w14:textId="77777777" w:rsidR="002A2EA6" w:rsidRPr="002A2EA6" w:rsidRDefault="002A2EA6" w:rsidP="002A2EA6">
      <w:pPr>
        <w:pStyle w:val="Normalnumber"/>
        <w:numPr>
          <w:ilvl w:val="1"/>
          <w:numId w:val="19"/>
        </w:numPr>
        <w:rPr>
          <w:lang w:val="fr-FR"/>
        </w:rPr>
      </w:pPr>
      <w:r w:rsidRPr="002A2EA6">
        <w:rPr>
          <w:lang w:val="fr-FR"/>
        </w:rPr>
        <w:t>Des informations concernant les efforts déjà faits ou en cours pour résoudre le problème ;</w:t>
      </w:r>
    </w:p>
    <w:p w14:paraId="51C5C528" w14:textId="77777777" w:rsidR="002A2EA6" w:rsidRPr="002A2EA6" w:rsidRDefault="002A2EA6" w:rsidP="002A2EA6">
      <w:pPr>
        <w:pStyle w:val="Normalnumber"/>
        <w:numPr>
          <w:ilvl w:val="1"/>
          <w:numId w:val="19"/>
        </w:numPr>
        <w:rPr>
          <w:lang w:val="fr-FR"/>
        </w:rPr>
      </w:pPr>
      <w:r w:rsidRPr="002A2EA6">
        <w:rPr>
          <w:lang w:val="fr-FR"/>
        </w:rPr>
        <w:t>Toute demande particulière relative à des informations confidentielles ou protégées.</w:t>
      </w:r>
      <w:bookmarkEnd w:id="143"/>
    </w:p>
    <w:p w14:paraId="2B297789" w14:textId="40B21BA4" w:rsidR="002A2EA6" w:rsidRPr="002A2EA6" w:rsidRDefault="002A2EA6" w:rsidP="002A2EA6">
      <w:pPr>
        <w:pStyle w:val="Normalnumber"/>
        <w:numPr>
          <w:ilvl w:val="0"/>
          <w:numId w:val="19"/>
        </w:numPr>
        <w:rPr>
          <w:lang w:val="fr-FR"/>
        </w:rPr>
      </w:pPr>
      <w:r w:rsidRPr="002A2EA6">
        <w:rPr>
          <w:lang w:val="fr-FR"/>
        </w:rPr>
        <w:t>Les communications écrites ne dépassent pas cinq pages. Des informations supplémentaires peuvent être demandées par le Comité, si nécessaire. La Partie concernée peut soumettre de telles informations supplémentaires à l</w:t>
      </w:r>
      <w:r w:rsidR="00CA4DAC">
        <w:rPr>
          <w:lang w:val="fr-FR"/>
        </w:rPr>
        <w:t>’</w:t>
      </w:r>
      <w:r w:rsidRPr="002A2EA6">
        <w:rPr>
          <w:lang w:val="fr-FR"/>
        </w:rPr>
        <w:t>attention du Comité, par l</w:t>
      </w:r>
      <w:r w:rsidR="00CA4DAC">
        <w:rPr>
          <w:lang w:val="fr-FR"/>
        </w:rPr>
        <w:t>’</w:t>
      </w:r>
      <w:r w:rsidRPr="002A2EA6">
        <w:rPr>
          <w:lang w:val="fr-FR"/>
        </w:rPr>
        <w:t>intermédiaire du secrétariat, dans les deux semaines suivant la réception de la demande du Comité. Dans le cas où des informations supplémentaires sont soumises dans une langue officielle de l</w:t>
      </w:r>
      <w:r w:rsidR="00CA4DAC">
        <w:rPr>
          <w:lang w:val="fr-FR"/>
        </w:rPr>
        <w:t>’</w:t>
      </w:r>
      <w:r w:rsidRPr="002A2EA6">
        <w:rPr>
          <w:lang w:val="fr-FR"/>
        </w:rPr>
        <w:t>Organisation des Nations Unies autre que l</w:t>
      </w:r>
      <w:r w:rsidR="00CA4DAC">
        <w:rPr>
          <w:lang w:val="fr-FR"/>
        </w:rPr>
        <w:t>’</w:t>
      </w:r>
      <w:r w:rsidRPr="002A2EA6">
        <w:rPr>
          <w:lang w:val="fr-FR"/>
        </w:rPr>
        <w:t>anglais et ne peuvent pas être traduites avant la réunion durant laquelle elles doivent être examinées, les informations peuvent être présentées à cette réunion en étant interprétées vers l</w:t>
      </w:r>
      <w:r w:rsidR="00CA4DAC">
        <w:rPr>
          <w:lang w:val="fr-FR"/>
        </w:rPr>
        <w:t>’</w:t>
      </w:r>
      <w:r w:rsidRPr="002A2EA6">
        <w:rPr>
          <w:lang w:val="fr-FR"/>
        </w:rPr>
        <w:t>anglais conformément à l</w:t>
      </w:r>
      <w:r w:rsidR="00CA4DAC">
        <w:rPr>
          <w:lang w:val="fr-FR"/>
        </w:rPr>
        <w:t>’</w:t>
      </w:r>
      <w:r w:rsidRPr="002A2EA6">
        <w:rPr>
          <w:lang w:val="fr-FR"/>
        </w:rPr>
        <w:t>article 39 du Règlement intérieur du Comité.</w:t>
      </w:r>
    </w:p>
    <w:p w14:paraId="70DB7ABD" w14:textId="7333F75A" w:rsidR="002A2EA6" w:rsidRPr="002A2EA6" w:rsidRDefault="002A2EA6" w:rsidP="002A2EA6">
      <w:pPr>
        <w:pStyle w:val="Normalnumber"/>
        <w:numPr>
          <w:ilvl w:val="0"/>
          <w:numId w:val="19"/>
        </w:numPr>
        <w:rPr>
          <w:lang w:val="fr-FR"/>
        </w:rPr>
      </w:pPr>
      <w:r w:rsidRPr="002A2EA6">
        <w:rPr>
          <w:lang w:val="fr-FR"/>
        </w:rPr>
        <w:t>La Partie concernée peut également soumettre des informations pertinentes additionnelles de sa propre initiative au moins cinq semaines avant l</w:t>
      </w:r>
      <w:r w:rsidR="00CA4DAC">
        <w:rPr>
          <w:lang w:val="fr-FR"/>
        </w:rPr>
        <w:t>’</w:t>
      </w:r>
      <w:r w:rsidRPr="002A2EA6">
        <w:rPr>
          <w:lang w:val="fr-FR"/>
        </w:rPr>
        <w:t>ouverture de la réunion durant laquelle sa communication doit être examinée. De telles informations additionnelles devraient comprendre un résumé en anglais de deux pages au plus.</w:t>
      </w:r>
    </w:p>
    <w:p w14:paraId="2F0098CD" w14:textId="7C194767" w:rsidR="002A2EA6" w:rsidRPr="002A2EA6" w:rsidRDefault="002A2EA6" w:rsidP="002A2EA6">
      <w:pPr>
        <w:pStyle w:val="Normalnumber"/>
        <w:numPr>
          <w:ilvl w:val="0"/>
          <w:numId w:val="19"/>
        </w:numPr>
        <w:rPr>
          <w:lang w:val="fr-FR"/>
        </w:rPr>
      </w:pPr>
      <w:r w:rsidRPr="002A2EA6">
        <w:rPr>
          <w:lang w:val="fr-FR"/>
        </w:rPr>
        <w:t>Le Comité peut décider de ne pas donner suite à une communication qu</w:t>
      </w:r>
      <w:r w:rsidR="00CA4DAC">
        <w:rPr>
          <w:lang w:val="fr-FR"/>
        </w:rPr>
        <w:t>’</w:t>
      </w:r>
      <w:r w:rsidRPr="002A2EA6">
        <w:rPr>
          <w:lang w:val="fr-FR"/>
        </w:rPr>
        <w:t>il juge de faible portée ou manifestement infondée.</w:t>
      </w:r>
    </w:p>
    <w:p w14:paraId="44F2B8EE" w14:textId="77777777" w:rsidR="002A2EA6" w:rsidRPr="002A2EA6" w:rsidRDefault="002A2EA6" w:rsidP="002A2EA6">
      <w:pPr>
        <w:pStyle w:val="Normalnumber"/>
        <w:numPr>
          <w:ilvl w:val="0"/>
          <w:numId w:val="19"/>
        </w:numPr>
        <w:rPr>
          <w:lang w:val="fr-FR"/>
        </w:rPr>
      </w:pPr>
      <w:r w:rsidRPr="002A2EA6">
        <w:rPr>
          <w:lang w:val="fr-FR"/>
        </w:rPr>
        <w:t>Le Comité peut transmettre à la Partie concernée, après consultation de cette dernière, les résultats de son examen, des recommandations et des informations pertinentes additionnelles concernant la question examinée en vue :</w:t>
      </w:r>
    </w:p>
    <w:p w14:paraId="2EAD4EBD" w14:textId="3DC3E844" w:rsidR="002A2EA6" w:rsidRPr="002A2EA6" w:rsidRDefault="002A2EA6" w:rsidP="002A2EA6">
      <w:pPr>
        <w:pStyle w:val="Normalnumber"/>
        <w:numPr>
          <w:ilvl w:val="1"/>
          <w:numId w:val="19"/>
        </w:numPr>
        <w:rPr>
          <w:lang w:val="fr-FR"/>
        </w:rPr>
      </w:pPr>
      <w:r w:rsidRPr="002A2EA6">
        <w:rPr>
          <w:lang w:val="fr-FR"/>
        </w:rPr>
        <w:t>D</w:t>
      </w:r>
      <w:r w:rsidR="00CA4DAC">
        <w:rPr>
          <w:lang w:val="fr-FR"/>
        </w:rPr>
        <w:t>’</w:t>
      </w:r>
      <w:r w:rsidRPr="002A2EA6">
        <w:rPr>
          <w:lang w:val="fr-FR"/>
        </w:rPr>
        <w:t>établir et/ou de renforcer les régimes réglementaires nationaux ou régionaux de ladite</w:t>
      </w:r>
      <w:r w:rsidR="000C5FB3">
        <w:rPr>
          <w:lang w:val="fr-FR"/>
        </w:rPr>
        <w:t> </w:t>
      </w:r>
      <w:r w:rsidRPr="002A2EA6">
        <w:rPr>
          <w:lang w:val="fr-FR"/>
        </w:rPr>
        <w:t>Partie ;</w:t>
      </w:r>
    </w:p>
    <w:p w14:paraId="49B27F0D" w14:textId="35E84637" w:rsidR="002A2EA6" w:rsidRPr="002A2EA6" w:rsidRDefault="002A2EA6" w:rsidP="002A2EA6">
      <w:pPr>
        <w:pStyle w:val="Normalnumber"/>
        <w:numPr>
          <w:ilvl w:val="1"/>
          <w:numId w:val="19"/>
        </w:numPr>
        <w:rPr>
          <w:lang w:val="fr-FR"/>
        </w:rPr>
      </w:pPr>
      <w:r w:rsidRPr="002A2EA6">
        <w:rPr>
          <w:lang w:val="fr-FR"/>
        </w:rPr>
        <w:t>De fournir une assistance, en particulier aux Parties qui sont des pays en développement ou en transition, concernant les modalités d</w:t>
      </w:r>
      <w:r w:rsidR="00CA4DAC">
        <w:rPr>
          <w:lang w:val="fr-FR"/>
        </w:rPr>
        <w:t>’</w:t>
      </w:r>
      <w:r w:rsidRPr="002A2EA6">
        <w:rPr>
          <w:lang w:val="fr-FR"/>
        </w:rPr>
        <w:t>accès à un appui financier et technique ainsi qu</w:t>
      </w:r>
      <w:r w:rsidR="00CA4DAC">
        <w:rPr>
          <w:lang w:val="fr-FR"/>
        </w:rPr>
        <w:t>’</w:t>
      </w:r>
      <w:r w:rsidRPr="002A2EA6">
        <w:rPr>
          <w:lang w:val="fr-FR"/>
        </w:rPr>
        <w:t>au</w:t>
      </w:r>
      <w:r w:rsidR="000C5FB3">
        <w:rPr>
          <w:lang w:val="fr-FR"/>
        </w:rPr>
        <w:t> </w:t>
      </w:r>
      <w:r w:rsidRPr="002A2EA6">
        <w:rPr>
          <w:lang w:val="fr-FR"/>
        </w:rPr>
        <w:t>transfert de technologies et au renforcement des capacités ;</w:t>
      </w:r>
    </w:p>
    <w:p w14:paraId="5FC1001F" w14:textId="11266DE5" w:rsidR="002A2EA6" w:rsidRPr="002A2EA6" w:rsidRDefault="002A2EA6" w:rsidP="002A2EA6">
      <w:pPr>
        <w:pStyle w:val="Normalnumber"/>
        <w:numPr>
          <w:ilvl w:val="1"/>
          <w:numId w:val="19"/>
        </w:numPr>
        <w:rPr>
          <w:lang w:val="fr-FR"/>
        </w:rPr>
      </w:pPr>
      <w:r w:rsidRPr="002A2EA6">
        <w:rPr>
          <w:lang w:val="fr-FR"/>
        </w:rPr>
        <w:t>D</w:t>
      </w:r>
      <w:r w:rsidR="00CA4DAC">
        <w:rPr>
          <w:lang w:val="fr-FR"/>
        </w:rPr>
        <w:t>’</w:t>
      </w:r>
      <w:r w:rsidRPr="002A2EA6">
        <w:rPr>
          <w:lang w:val="fr-FR"/>
        </w:rPr>
        <w:t>élaborer, selon qu</w:t>
      </w:r>
      <w:r w:rsidR="00CA4DAC">
        <w:rPr>
          <w:lang w:val="fr-FR"/>
        </w:rPr>
        <w:t>’</w:t>
      </w:r>
      <w:r w:rsidRPr="002A2EA6">
        <w:rPr>
          <w:lang w:val="fr-FR"/>
        </w:rPr>
        <w:t>il convient et en consultation avec la Partie concernée, une stratégie pour parvenir à une situation de respect, accompagnée d</w:t>
      </w:r>
      <w:r w:rsidR="00CA4DAC">
        <w:rPr>
          <w:lang w:val="fr-FR"/>
        </w:rPr>
        <w:t>’</w:t>
      </w:r>
      <w:r w:rsidRPr="002A2EA6">
        <w:rPr>
          <w:lang w:val="fr-FR"/>
        </w:rPr>
        <w:t>une proposition de calendrier, et de lui faire rapport sur la mise en œuvre de cette stratégie ;</w:t>
      </w:r>
    </w:p>
    <w:p w14:paraId="0A2E7C68" w14:textId="0729EE09" w:rsidR="002A2EA6" w:rsidRPr="002A2EA6" w:rsidRDefault="002A2EA6" w:rsidP="002A2EA6">
      <w:pPr>
        <w:pStyle w:val="Normalnumber"/>
        <w:numPr>
          <w:ilvl w:val="1"/>
          <w:numId w:val="19"/>
        </w:numPr>
        <w:rPr>
          <w:iCs/>
          <w:lang w:val="fr-FR"/>
        </w:rPr>
      </w:pPr>
      <w:r w:rsidRPr="002A2EA6">
        <w:rPr>
          <w:lang w:val="fr-FR"/>
        </w:rPr>
        <w:t>De mettre en place des dispositions en matière de suivi afin de lui faire rapport sur les</w:t>
      </w:r>
      <w:r w:rsidR="000C5FB3">
        <w:rPr>
          <w:lang w:val="fr-FR"/>
        </w:rPr>
        <w:t> </w:t>
      </w:r>
      <w:r w:rsidRPr="002A2EA6">
        <w:rPr>
          <w:lang w:val="fr-FR"/>
        </w:rPr>
        <w:t>progrès accomplis</w:t>
      </w:r>
      <w:r w:rsidRPr="002A2EA6">
        <w:rPr>
          <w:iCs/>
          <w:lang w:val="fr-FR"/>
        </w:rPr>
        <w:t>.</w:t>
      </w:r>
    </w:p>
    <w:p w14:paraId="34675EC6" w14:textId="0E2957C2" w:rsidR="002A2EA6" w:rsidRPr="002A2EA6" w:rsidRDefault="002A2EA6" w:rsidP="002A2EA6">
      <w:pPr>
        <w:pStyle w:val="Normalnumber"/>
        <w:numPr>
          <w:ilvl w:val="0"/>
          <w:numId w:val="19"/>
        </w:numPr>
        <w:rPr>
          <w:lang w:val="fr-FR"/>
        </w:rPr>
      </w:pPr>
      <w:r w:rsidRPr="002A2EA6">
        <w:rPr>
          <w:lang w:val="fr-FR"/>
        </w:rPr>
        <w:t>Si, après avoir engagé la procédure ci-dessus et pris en compte la cause, le type, le degré et la fréquence des difficultés en matière de respect des obligations, y compris les capacités de la Partie, le Comité le juge nécessaire, il formule des recommandations, selon qu</w:t>
      </w:r>
      <w:r w:rsidR="00CA4DAC">
        <w:rPr>
          <w:lang w:val="fr-FR"/>
        </w:rPr>
        <w:t>’</w:t>
      </w:r>
      <w:r w:rsidRPr="002A2EA6">
        <w:rPr>
          <w:lang w:val="fr-FR"/>
        </w:rPr>
        <w:t>il convient, à l</w:t>
      </w:r>
      <w:r w:rsidR="00CA4DAC">
        <w:rPr>
          <w:lang w:val="fr-FR"/>
        </w:rPr>
        <w:t>’</w:t>
      </w:r>
      <w:r w:rsidRPr="002A2EA6">
        <w:rPr>
          <w:lang w:val="fr-FR"/>
        </w:rPr>
        <w:t>intention de la Conférence des Parties conformément à la section V du présent mandat.</w:t>
      </w:r>
    </w:p>
    <w:p w14:paraId="7CABA638" w14:textId="25A7ADB5" w:rsidR="002A2EA6" w:rsidRPr="002A2EA6" w:rsidRDefault="002A2EA6" w:rsidP="002A2EA6">
      <w:pPr>
        <w:pStyle w:val="CH2"/>
        <w:rPr>
          <w:lang w:val="fr-FR"/>
        </w:rPr>
      </w:pPr>
      <w:r w:rsidRPr="002A2EA6">
        <w:rPr>
          <w:lang w:val="fr-FR"/>
        </w:rPr>
        <w:tab/>
      </w:r>
      <w:bookmarkStart w:id="145" w:name="_Toc38526644"/>
      <w:bookmarkStart w:id="146" w:name="_Toc38526780"/>
      <w:bookmarkStart w:id="147" w:name="_Toc39063359"/>
      <w:r w:rsidRPr="002A2EA6">
        <w:rPr>
          <w:lang w:val="fr-FR"/>
        </w:rPr>
        <w:t>B.</w:t>
      </w:r>
      <w:r w:rsidRPr="002A2EA6">
        <w:rPr>
          <w:lang w:val="fr-FR"/>
        </w:rPr>
        <w:tab/>
        <w:t xml:space="preserve">Examiner des questions sur la base de rapports nationaux </w:t>
      </w:r>
      <w:bookmarkStart w:id="148" w:name="_Hlk19523814"/>
      <w:r w:rsidRPr="002A2EA6">
        <w:rPr>
          <w:lang w:val="fr-FR"/>
        </w:rPr>
        <w:t>soumis conformément à l</w:t>
      </w:r>
      <w:r w:rsidR="00CA4DAC">
        <w:rPr>
          <w:lang w:val="fr-FR"/>
        </w:rPr>
        <w:t>’</w:t>
      </w:r>
      <w:r w:rsidRPr="002A2EA6">
        <w:rPr>
          <w:lang w:val="fr-FR"/>
        </w:rPr>
        <w:t>article 21 et à l</w:t>
      </w:r>
      <w:r w:rsidR="00CA4DAC">
        <w:rPr>
          <w:lang w:val="fr-FR"/>
        </w:rPr>
        <w:t>’</w:t>
      </w:r>
      <w:r w:rsidRPr="002A2EA6">
        <w:rPr>
          <w:lang w:val="fr-FR"/>
        </w:rPr>
        <w:t>alinéa b) du paragraphe 4 de l</w:t>
      </w:r>
      <w:r w:rsidR="00CA4DAC">
        <w:rPr>
          <w:lang w:val="fr-FR"/>
        </w:rPr>
        <w:t>’</w:t>
      </w:r>
      <w:r w:rsidRPr="002A2EA6">
        <w:rPr>
          <w:lang w:val="fr-FR"/>
        </w:rPr>
        <w:t>article 15 et de demandes formulées par la Conférence des Parties en application de l</w:t>
      </w:r>
      <w:r w:rsidR="00CA4DAC">
        <w:rPr>
          <w:lang w:val="fr-FR"/>
        </w:rPr>
        <w:t>’</w:t>
      </w:r>
      <w:r w:rsidRPr="002A2EA6">
        <w:rPr>
          <w:lang w:val="fr-FR"/>
        </w:rPr>
        <w:t>alinéa c) du paragraphe 4 de l</w:t>
      </w:r>
      <w:r w:rsidR="00CA4DAC">
        <w:rPr>
          <w:lang w:val="fr-FR"/>
        </w:rPr>
        <w:t>’</w:t>
      </w:r>
      <w:r w:rsidRPr="002A2EA6">
        <w:rPr>
          <w:lang w:val="fr-FR"/>
        </w:rPr>
        <w:t>article 15</w:t>
      </w:r>
      <w:bookmarkEnd w:id="145"/>
      <w:bookmarkEnd w:id="146"/>
      <w:bookmarkEnd w:id="147"/>
      <w:bookmarkEnd w:id="148"/>
    </w:p>
    <w:p w14:paraId="6014BFCF" w14:textId="562818B6" w:rsidR="002A2EA6" w:rsidRPr="002A2EA6" w:rsidRDefault="002A2EA6" w:rsidP="002A2EA6">
      <w:pPr>
        <w:pStyle w:val="Normalnumber"/>
        <w:numPr>
          <w:ilvl w:val="0"/>
          <w:numId w:val="19"/>
        </w:numPr>
        <w:rPr>
          <w:lang w:val="fr-FR"/>
        </w:rPr>
      </w:pPr>
      <w:r w:rsidRPr="002A2EA6">
        <w:rPr>
          <w:lang w:val="fr-FR"/>
        </w:rPr>
        <w:t>Lors de l</w:t>
      </w:r>
      <w:r w:rsidR="00CA4DAC">
        <w:rPr>
          <w:lang w:val="fr-FR"/>
        </w:rPr>
        <w:t>’</w:t>
      </w:r>
      <w:r w:rsidRPr="002A2EA6">
        <w:rPr>
          <w:lang w:val="fr-FR"/>
        </w:rPr>
        <w:t>examen des questions individuelles et systémiques ayant trait à la mise en œuvre et au respect des dispositions sur la base de rapports nationaux soumis conformément à l</w:t>
      </w:r>
      <w:r w:rsidR="00CA4DAC">
        <w:rPr>
          <w:lang w:val="fr-FR"/>
        </w:rPr>
        <w:t>’</w:t>
      </w:r>
      <w:r w:rsidRPr="002A2EA6">
        <w:rPr>
          <w:lang w:val="fr-FR"/>
        </w:rPr>
        <w:t>article 21 et à l</w:t>
      </w:r>
      <w:r w:rsidR="00CA4DAC">
        <w:rPr>
          <w:lang w:val="fr-FR"/>
        </w:rPr>
        <w:t>’</w:t>
      </w:r>
      <w:r w:rsidRPr="002A2EA6">
        <w:rPr>
          <w:lang w:val="fr-FR"/>
        </w:rPr>
        <w:t>alinéa b) du paragraphe 4 de l</w:t>
      </w:r>
      <w:r w:rsidR="00CA4DAC">
        <w:rPr>
          <w:lang w:val="fr-FR"/>
        </w:rPr>
        <w:t>’</w:t>
      </w:r>
      <w:r w:rsidRPr="002A2EA6">
        <w:rPr>
          <w:lang w:val="fr-FR"/>
        </w:rPr>
        <w:t>article 15 et de demandes formulées par la Conférence des Parties en application de l</w:t>
      </w:r>
      <w:r w:rsidR="00CA4DAC">
        <w:rPr>
          <w:lang w:val="fr-FR"/>
        </w:rPr>
        <w:t>’</w:t>
      </w:r>
      <w:r w:rsidRPr="002A2EA6">
        <w:rPr>
          <w:lang w:val="fr-FR"/>
        </w:rPr>
        <w:t>alinéa c) du paragraphe 4 de l</w:t>
      </w:r>
      <w:r w:rsidR="00CA4DAC">
        <w:rPr>
          <w:lang w:val="fr-FR"/>
        </w:rPr>
        <w:t>’</w:t>
      </w:r>
      <w:r w:rsidRPr="002A2EA6">
        <w:rPr>
          <w:lang w:val="fr-FR"/>
        </w:rPr>
        <w:t>article 15, le Comité vise à promouvoir la mise en œuvre et examiner le respect de toutes les dispositions de la Convention, dans un souci de facilitation et en accordant une attention particulière à la situation et aux capacités nationales respectives des Parties.</w:t>
      </w:r>
    </w:p>
    <w:p w14:paraId="170F3FA5" w14:textId="78518EA9" w:rsidR="002A2EA6" w:rsidRPr="002A2EA6" w:rsidRDefault="002A2EA6" w:rsidP="002A2EA6">
      <w:pPr>
        <w:pStyle w:val="Normalnumber"/>
        <w:numPr>
          <w:ilvl w:val="0"/>
          <w:numId w:val="19"/>
        </w:numPr>
        <w:rPr>
          <w:lang w:val="fr-FR"/>
        </w:rPr>
      </w:pPr>
      <w:r w:rsidRPr="002A2EA6">
        <w:rPr>
          <w:lang w:val="fr-FR"/>
        </w:rPr>
        <w:t>Le secrétariat transmet au Comité, afin que celui-ci les examine, les rapports nationaux soumis conformément à l</w:t>
      </w:r>
      <w:r w:rsidR="00CA4DAC">
        <w:rPr>
          <w:lang w:val="fr-FR"/>
        </w:rPr>
        <w:t>’</w:t>
      </w:r>
      <w:r w:rsidRPr="002A2EA6">
        <w:rPr>
          <w:lang w:val="fr-FR"/>
        </w:rPr>
        <w:t>article 21, en application de l</w:t>
      </w:r>
      <w:r w:rsidR="00CA4DAC">
        <w:rPr>
          <w:lang w:val="fr-FR"/>
        </w:rPr>
        <w:t>’</w:t>
      </w:r>
      <w:r w:rsidRPr="002A2EA6">
        <w:rPr>
          <w:lang w:val="fr-FR"/>
        </w:rPr>
        <w:t xml:space="preserve">article 40 du Règlement intérieur, ainsi que </w:t>
      </w:r>
      <w:r w:rsidRPr="002A2EA6">
        <w:rPr>
          <w:lang w:val="fr-FR"/>
        </w:rPr>
        <w:lastRenderedPageBreak/>
        <w:t>les rapports qu</w:t>
      </w:r>
      <w:r w:rsidR="00CA4DAC">
        <w:rPr>
          <w:lang w:val="fr-FR"/>
        </w:rPr>
        <w:t>’</w:t>
      </w:r>
      <w:r w:rsidRPr="002A2EA6">
        <w:rPr>
          <w:lang w:val="fr-FR"/>
        </w:rPr>
        <w:t>il aura établis comme suite aux alinéas b) et c) du paragraphe 2</w:t>
      </w:r>
      <w:r w:rsidR="00A005E6">
        <w:rPr>
          <w:lang w:val="fr-FR"/>
        </w:rPr>
        <w:t>5</w:t>
      </w:r>
      <w:r w:rsidRPr="002A2EA6">
        <w:rPr>
          <w:lang w:val="fr-FR"/>
        </w:rPr>
        <w:t xml:space="preserve"> de la section VI du présent mandat.</w:t>
      </w:r>
    </w:p>
    <w:p w14:paraId="3F094F72" w14:textId="2465FBBF" w:rsidR="002A2EA6" w:rsidRPr="002A2EA6" w:rsidRDefault="002A2EA6" w:rsidP="002A2EA6">
      <w:pPr>
        <w:pStyle w:val="Normalnumber"/>
        <w:numPr>
          <w:ilvl w:val="0"/>
          <w:numId w:val="19"/>
        </w:numPr>
        <w:rPr>
          <w:lang w:val="fr-FR"/>
        </w:rPr>
      </w:pPr>
      <w:r w:rsidRPr="002A2EA6">
        <w:rPr>
          <w:lang w:val="fr-FR"/>
        </w:rPr>
        <w:t>Le secrétariat transmet au Comité toute demande formulée par la Conférence des Parties en application de l</w:t>
      </w:r>
      <w:r w:rsidR="00CA4DAC">
        <w:rPr>
          <w:lang w:val="fr-FR"/>
        </w:rPr>
        <w:t>’</w:t>
      </w:r>
      <w:r w:rsidRPr="002A2EA6">
        <w:rPr>
          <w:lang w:val="fr-FR"/>
        </w:rPr>
        <w:t>alinéa c) du paragraphe 4 de l</w:t>
      </w:r>
      <w:r w:rsidR="00CA4DAC">
        <w:rPr>
          <w:lang w:val="fr-FR"/>
        </w:rPr>
        <w:t>’</w:t>
      </w:r>
      <w:r w:rsidRPr="002A2EA6">
        <w:rPr>
          <w:lang w:val="fr-FR"/>
        </w:rPr>
        <w:t>article 15 dans les deux mois suivant la clôture de la réunion de la Conférence des Parties au cours de laquelle la demande a été formulée. Une telle demande est examinée par le Comité à la première réunion qu</w:t>
      </w:r>
      <w:r w:rsidR="00CA4DAC">
        <w:rPr>
          <w:lang w:val="fr-FR"/>
        </w:rPr>
        <w:t>’</w:t>
      </w:r>
      <w:r w:rsidRPr="002A2EA6">
        <w:rPr>
          <w:lang w:val="fr-FR"/>
        </w:rPr>
        <w:t>il tient après réception de la demande.</w:t>
      </w:r>
    </w:p>
    <w:p w14:paraId="63398C39" w14:textId="4E13091E" w:rsidR="002A2EA6" w:rsidRPr="002A2EA6" w:rsidRDefault="002A2EA6" w:rsidP="002A2EA6">
      <w:pPr>
        <w:pStyle w:val="Normalnumber"/>
        <w:numPr>
          <w:ilvl w:val="0"/>
          <w:numId w:val="19"/>
        </w:numPr>
        <w:rPr>
          <w:lang w:val="fr-FR"/>
        </w:rPr>
      </w:pPr>
      <w:r w:rsidRPr="002A2EA6">
        <w:rPr>
          <w:lang w:val="fr-FR"/>
        </w:rPr>
        <w:t>Le Comité peut transmettre à une Partie ou à plusieurs Parties, après consultation de la Partie ou des Parties concernées, les résultats de son examen, des recommandations et des informations pertinentes additionnelles concernant la question examinée et formule des recommandations, selon qu</w:t>
      </w:r>
      <w:r w:rsidR="00CA4DAC">
        <w:rPr>
          <w:lang w:val="fr-FR"/>
        </w:rPr>
        <w:t>’</w:t>
      </w:r>
      <w:r w:rsidRPr="002A2EA6">
        <w:rPr>
          <w:lang w:val="fr-FR"/>
        </w:rPr>
        <w:t>il convient, à l</w:t>
      </w:r>
      <w:r w:rsidR="00CA4DAC">
        <w:rPr>
          <w:lang w:val="fr-FR"/>
        </w:rPr>
        <w:t>’</w:t>
      </w:r>
      <w:r w:rsidRPr="002A2EA6">
        <w:rPr>
          <w:lang w:val="fr-FR"/>
        </w:rPr>
        <w:t>intention de la Conférence des Parties conformément à la section V du présent mandat.</w:t>
      </w:r>
    </w:p>
    <w:p w14:paraId="31C54F4F" w14:textId="77777777" w:rsidR="002A2EA6" w:rsidRPr="002A2EA6" w:rsidRDefault="002A2EA6" w:rsidP="002A2EA6">
      <w:pPr>
        <w:pStyle w:val="CH2"/>
        <w:tabs>
          <w:tab w:val="left" w:pos="1843"/>
          <w:tab w:val="left" w:pos="1985"/>
        </w:tabs>
        <w:rPr>
          <w:lang w:val="fr-FR"/>
        </w:rPr>
      </w:pPr>
      <w:r w:rsidRPr="002A2EA6">
        <w:rPr>
          <w:lang w:val="fr-FR"/>
        </w:rPr>
        <w:tab/>
      </w:r>
      <w:bookmarkStart w:id="149" w:name="_Toc38526645"/>
      <w:bookmarkStart w:id="150" w:name="_Toc38526781"/>
      <w:bookmarkStart w:id="151" w:name="_Toc39063360"/>
      <w:r w:rsidRPr="002A2EA6">
        <w:rPr>
          <w:lang w:val="fr-FR"/>
        </w:rPr>
        <w:t>C.</w:t>
      </w:r>
      <w:r w:rsidRPr="002A2EA6">
        <w:rPr>
          <w:lang w:val="fr-FR"/>
        </w:rPr>
        <w:tab/>
        <w:t>Examiner des questions systémiques ayant trait à la mise en œuvre et au respect des dispositions</w:t>
      </w:r>
      <w:bookmarkEnd w:id="149"/>
      <w:bookmarkEnd w:id="150"/>
      <w:bookmarkEnd w:id="151"/>
    </w:p>
    <w:p w14:paraId="7980530D" w14:textId="18590817" w:rsidR="002A2EA6" w:rsidRPr="002A2EA6" w:rsidRDefault="002A2EA6" w:rsidP="002A2EA6">
      <w:pPr>
        <w:pStyle w:val="Normalnumber"/>
        <w:numPr>
          <w:ilvl w:val="0"/>
          <w:numId w:val="19"/>
        </w:numPr>
        <w:rPr>
          <w:lang w:val="fr-FR"/>
        </w:rPr>
      </w:pPr>
      <w:r w:rsidRPr="002A2EA6">
        <w:rPr>
          <w:lang w:val="fr-FR"/>
        </w:rPr>
        <w:t>Le Comité peut mettre en évidence et examiner des questions systémiques ayant trait à la mise en œuvre et au respect des dispositions, soit après avoir examiné des communications écrites transmises par les Parties concernant leur respect des dispositions ou des rapports nationaux soumis conformément à l</w:t>
      </w:r>
      <w:r w:rsidR="00CA4DAC">
        <w:rPr>
          <w:lang w:val="fr-FR"/>
        </w:rPr>
        <w:t>’</w:t>
      </w:r>
      <w:r w:rsidRPr="002A2EA6">
        <w:rPr>
          <w:lang w:val="fr-FR"/>
        </w:rPr>
        <w:t>article 21, soit en réponse à une demande de la Conférence des Parties.</w:t>
      </w:r>
    </w:p>
    <w:p w14:paraId="4AFF1342" w14:textId="26A232B1" w:rsidR="002A2EA6" w:rsidRPr="002A2EA6" w:rsidRDefault="002A2EA6" w:rsidP="002A2EA6">
      <w:pPr>
        <w:pStyle w:val="Normalnumber"/>
        <w:numPr>
          <w:ilvl w:val="0"/>
          <w:numId w:val="19"/>
        </w:numPr>
        <w:rPr>
          <w:lang w:val="fr-FR"/>
        </w:rPr>
      </w:pPr>
      <w:r w:rsidRPr="002A2EA6">
        <w:rPr>
          <w:lang w:val="fr-FR"/>
        </w:rPr>
        <w:t>Afin de traiter ces questions systémiques, le Comité peut formuler des recommandations à l</w:t>
      </w:r>
      <w:r w:rsidR="00CA4DAC">
        <w:rPr>
          <w:lang w:val="fr-FR"/>
        </w:rPr>
        <w:t>’</w:t>
      </w:r>
      <w:r w:rsidRPr="002A2EA6">
        <w:rPr>
          <w:lang w:val="fr-FR"/>
        </w:rPr>
        <w:t>intention de la Conférence des Parties.</w:t>
      </w:r>
    </w:p>
    <w:p w14:paraId="3692966E" w14:textId="77777777" w:rsidR="002A2EA6" w:rsidRPr="002A2EA6" w:rsidRDefault="002A2EA6" w:rsidP="002A2EA6">
      <w:pPr>
        <w:pStyle w:val="CH2"/>
        <w:tabs>
          <w:tab w:val="left" w:pos="1843"/>
        </w:tabs>
        <w:rPr>
          <w:lang w:val="fr-FR"/>
        </w:rPr>
      </w:pPr>
      <w:r w:rsidRPr="002A2EA6">
        <w:rPr>
          <w:lang w:val="fr-FR"/>
        </w:rPr>
        <w:tab/>
      </w:r>
      <w:bookmarkStart w:id="152" w:name="_Toc38526646"/>
      <w:bookmarkStart w:id="153" w:name="_Toc38526782"/>
      <w:bookmarkStart w:id="154" w:name="_Toc39063361"/>
      <w:r w:rsidRPr="002A2EA6">
        <w:rPr>
          <w:lang w:val="fr-FR"/>
        </w:rPr>
        <w:t>D.</w:t>
      </w:r>
      <w:r w:rsidRPr="002A2EA6">
        <w:rPr>
          <w:lang w:val="fr-FR"/>
        </w:rPr>
        <w:tab/>
        <w:t>Faire rapport à la Conférence des Parties</w:t>
      </w:r>
      <w:bookmarkEnd w:id="152"/>
      <w:bookmarkEnd w:id="153"/>
      <w:bookmarkEnd w:id="154"/>
    </w:p>
    <w:p w14:paraId="30A1D06E" w14:textId="4C71FAC3" w:rsidR="002A2EA6" w:rsidRPr="002A2EA6" w:rsidRDefault="002A2EA6" w:rsidP="002A2EA6">
      <w:pPr>
        <w:pStyle w:val="Normalnumber"/>
        <w:numPr>
          <w:ilvl w:val="0"/>
          <w:numId w:val="19"/>
        </w:numPr>
        <w:rPr>
          <w:lang w:val="fr-FR"/>
        </w:rPr>
      </w:pPr>
      <w:r w:rsidRPr="002A2EA6">
        <w:rPr>
          <w:lang w:val="fr-FR"/>
        </w:rPr>
        <w:t>Le Comité fait rapport à chaque réunion ordinaire de la Conférence des Parties de la Convention de Minamata sur les travaux qu</w:t>
      </w:r>
      <w:r w:rsidR="00CA4DAC">
        <w:rPr>
          <w:lang w:val="fr-FR"/>
        </w:rPr>
        <w:t>’</w:t>
      </w:r>
      <w:r w:rsidRPr="002A2EA6">
        <w:rPr>
          <w:lang w:val="fr-FR"/>
        </w:rPr>
        <w:t>il a menés pour s</w:t>
      </w:r>
      <w:r w:rsidR="00CA4DAC">
        <w:rPr>
          <w:lang w:val="fr-FR"/>
        </w:rPr>
        <w:t>’</w:t>
      </w:r>
      <w:r w:rsidRPr="002A2EA6">
        <w:rPr>
          <w:lang w:val="fr-FR"/>
        </w:rPr>
        <w:t>acquitter des fonctions qui lui sont assignées dans la Convention, dans son Règlement intérieur et dans le présent mandat. Ce rapport peut comprendre des recommandations pour examen par la Conférence des Parties.</w:t>
      </w:r>
    </w:p>
    <w:p w14:paraId="4AC5D6F7" w14:textId="6BC59AE0" w:rsidR="002A2EA6" w:rsidRPr="002A2EA6" w:rsidRDefault="002A2EA6" w:rsidP="002A2EA6">
      <w:pPr>
        <w:pStyle w:val="Normalnumber"/>
        <w:numPr>
          <w:ilvl w:val="0"/>
          <w:numId w:val="19"/>
        </w:numPr>
        <w:rPr>
          <w:lang w:val="fr-FR"/>
        </w:rPr>
      </w:pPr>
      <w:r w:rsidRPr="002A2EA6">
        <w:rPr>
          <w:lang w:val="fr-FR"/>
        </w:rPr>
        <w:t>Le Comité soumet son rapport au secrétariat au plus tard 12 semaines avant l</w:t>
      </w:r>
      <w:r w:rsidR="00CA4DAC">
        <w:rPr>
          <w:lang w:val="fr-FR"/>
        </w:rPr>
        <w:t>’</w:t>
      </w:r>
      <w:r w:rsidRPr="002A2EA6">
        <w:rPr>
          <w:lang w:val="fr-FR"/>
        </w:rPr>
        <w:t>ouverture de la réunion de la Conférence des Parties au cours de laquelle celui</w:t>
      </w:r>
      <w:r w:rsidRPr="002A2EA6">
        <w:rPr>
          <w:lang w:val="fr-FR"/>
        </w:rPr>
        <w:noBreakHyphen/>
        <w:t>ci doit être examiné.</w:t>
      </w:r>
    </w:p>
    <w:p w14:paraId="22D494C1" w14:textId="4BCD521D" w:rsidR="002A2EA6" w:rsidRPr="002A2EA6" w:rsidRDefault="002A2EA6" w:rsidP="002A2EA6">
      <w:pPr>
        <w:pStyle w:val="CH1"/>
        <w:rPr>
          <w:lang w:val="fr-FR"/>
        </w:rPr>
      </w:pPr>
      <w:bookmarkStart w:id="155" w:name="_Hlk7685054"/>
      <w:r w:rsidRPr="002A2EA6">
        <w:rPr>
          <w:lang w:val="fr-FR"/>
        </w:rPr>
        <w:tab/>
        <w:t>IV.</w:t>
      </w:r>
      <w:r w:rsidRPr="002A2EA6">
        <w:rPr>
          <w:lang w:val="fr-FR"/>
        </w:rPr>
        <w:tab/>
        <w:t>Informations supplémentaires, compétences ou consultations sur lesquelles le Comité pourrait s</w:t>
      </w:r>
      <w:r w:rsidR="00CA4DAC">
        <w:rPr>
          <w:lang w:val="fr-FR"/>
        </w:rPr>
        <w:t>’</w:t>
      </w:r>
      <w:r w:rsidRPr="002A2EA6">
        <w:rPr>
          <w:lang w:val="fr-FR"/>
        </w:rPr>
        <w:t>appuyer</w:t>
      </w:r>
      <w:bookmarkEnd w:id="155"/>
    </w:p>
    <w:p w14:paraId="505B6D7B" w14:textId="48CD88F8" w:rsidR="002A2EA6" w:rsidRPr="002A2EA6" w:rsidRDefault="002A2EA6" w:rsidP="002A2EA6">
      <w:pPr>
        <w:pStyle w:val="Normalnumber"/>
        <w:numPr>
          <w:ilvl w:val="0"/>
          <w:numId w:val="19"/>
        </w:numPr>
        <w:rPr>
          <w:lang w:val="fr-FR"/>
        </w:rPr>
      </w:pPr>
      <w:r w:rsidRPr="002A2EA6">
        <w:rPr>
          <w:lang w:val="fr-FR"/>
        </w:rPr>
        <w:t>Dans l</w:t>
      </w:r>
      <w:r w:rsidR="00CA4DAC">
        <w:rPr>
          <w:lang w:val="fr-FR"/>
        </w:rPr>
        <w:t>’</w:t>
      </w:r>
      <w:r w:rsidRPr="002A2EA6">
        <w:rPr>
          <w:lang w:val="fr-FR"/>
        </w:rPr>
        <w:t>exercice de ses fonctions, le Comité peut, conformément à son programme de travail et son budget, entre autres :</w:t>
      </w:r>
    </w:p>
    <w:p w14:paraId="5E83D874" w14:textId="3F8A5FC8" w:rsidR="002A2EA6" w:rsidRPr="002A2EA6" w:rsidRDefault="002A2EA6" w:rsidP="002A2EA6">
      <w:pPr>
        <w:pStyle w:val="Normalnumber"/>
        <w:numPr>
          <w:ilvl w:val="1"/>
          <w:numId w:val="19"/>
        </w:numPr>
        <w:rPr>
          <w:lang w:val="fr-FR"/>
        </w:rPr>
      </w:pPr>
      <w:r w:rsidRPr="002A2EA6">
        <w:rPr>
          <w:lang w:val="fr-FR"/>
        </w:rPr>
        <w:t>S</w:t>
      </w:r>
      <w:r w:rsidR="00CA4DAC">
        <w:rPr>
          <w:lang w:val="fr-FR"/>
        </w:rPr>
        <w:t>’</w:t>
      </w:r>
      <w:r w:rsidRPr="002A2EA6">
        <w:rPr>
          <w:lang w:val="fr-FR"/>
        </w:rPr>
        <w:t>appuyer sur les rapports, décisions et recommandations de la Conférence des Parties ainsi que sur les rapports et recommandations des organes subsidiaires de la Convention, notamment concernant l</w:t>
      </w:r>
      <w:r w:rsidR="00CA4DAC">
        <w:rPr>
          <w:lang w:val="fr-FR"/>
        </w:rPr>
        <w:t>’</w:t>
      </w:r>
      <w:r w:rsidRPr="002A2EA6">
        <w:rPr>
          <w:lang w:val="fr-FR"/>
        </w:rPr>
        <w:t>évaluation de l</w:t>
      </w:r>
      <w:r w:rsidR="00CA4DAC">
        <w:rPr>
          <w:lang w:val="fr-FR"/>
        </w:rPr>
        <w:t>’</w:t>
      </w:r>
      <w:r w:rsidRPr="002A2EA6">
        <w:rPr>
          <w:lang w:val="fr-FR"/>
        </w:rPr>
        <w:t>efficacité prévue à l</w:t>
      </w:r>
      <w:r w:rsidR="00CA4DAC">
        <w:rPr>
          <w:lang w:val="fr-FR"/>
        </w:rPr>
        <w:t>’</w:t>
      </w:r>
      <w:r w:rsidRPr="002A2EA6">
        <w:rPr>
          <w:lang w:val="fr-FR"/>
        </w:rPr>
        <w:t>article 22 ;</w:t>
      </w:r>
    </w:p>
    <w:p w14:paraId="0313D301" w14:textId="41D1B018" w:rsidR="002A2EA6" w:rsidRPr="002A2EA6" w:rsidRDefault="002A2EA6" w:rsidP="002A2EA6">
      <w:pPr>
        <w:pStyle w:val="Normalnumber"/>
        <w:numPr>
          <w:ilvl w:val="1"/>
          <w:numId w:val="19"/>
        </w:numPr>
        <w:rPr>
          <w:lang w:val="fr-FR"/>
        </w:rPr>
      </w:pPr>
      <w:r w:rsidRPr="002A2EA6">
        <w:rPr>
          <w:lang w:val="fr-FR"/>
        </w:rPr>
        <w:t>Demander des informations supplémentaires, par l</w:t>
      </w:r>
      <w:r w:rsidR="00CA4DAC">
        <w:rPr>
          <w:lang w:val="fr-FR"/>
        </w:rPr>
        <w:t>’</w:t>
      </w:r>
      <w:r w:rsidRPr="002A2EA6">
        <w:rPr>
          <w:lang w:val="fr-FR"/>
        </w:rPr>
        <w:t>intermédiaire du secrétariat, auprès d</w:t>
      </w:r>
      <w:r w:rsidR="00CA4DAC">
        <w:rPr>
          <w:lang w:val="fr-FR"/>
        </w:rPr>
        <w:t>’</w:t>
      </w:r>
      <w:r w:rsidRPr="002A2EA6">
        <w:rPr>
          <w:lang w:val="fr-FR"/>
        </w:rPr>
        <w:t>une Partie qui a transmis une communication écrite concernant son respect des dispositions et auprès de toutes les Parties au sujet des questions systémiques ayant trait à la mise en œuvre et au respect des dispositions dont il est saisi ;</w:t>
      </w:r>
    </w:p>
    <w:p w14:paraId="2A928051" w14:textId="2E9AAE1D" w:rsidR="002A2EA6" w:rsidRPr="002A2EA6" w:rsidRDefault="002A2EA6" w:rsidP="002A2EA6">
      <w:pPr>
        <w:pStyle w:val="Normalnumber"/>
        <w:numPr>
          <w:ilvl w:val="1"/>
          <w:numId w:val="19"/>
        </w:numPr>
        <w:rPr>
          <w:lang w:val="fr-FR"/>
        </w:rPr>
      </w:pPr>
      <w:r w:rsidRPr="002A2EA6">
        <w:rPr>
          <w:lang w:val="fr-FR"/>
        </w:rPr>
        <w:t>Consulter d</w:t>
      </w:r>
      <w:r w:rsidR="00CA4DAC">
        <w:rPr>
          <w:lang w:val="fr-FR"/>
        </w:rPr>
        <w:t>’</w:t>
      </w:r>
      <w:r w:rsidRPr="002A2EA6">
        <w:rPr>
          <w:lang w:val="fr-FR"/>
        </w:rPr>
        <w:t>autres organes subsidiaires de la Convention ;</w:t>
      </w:r>
    </w:p>
    <w:p w14:paraId="51516AAF" w14:textId="7142D27E" w:rsidR="002A2EA6" w:rsidRPr="002A2EA6" w:rsidRDefault="002A2EA6" w:rsidP="002A2EA6">
      <w:pPr>
        <w:pStyle w:val="Normalnumber"/>
        <w:numPr>
          <w:ilvl w:val="1"/>
          <w:numId w:val="19"/>
        </w:numPr>
        <w:rPr>
          <w:lang w:val="fr-FR"/>
        </w:rPr>
      </w:pPr>
      <w:r w:rsidRPr="002A2EA6">
        <w:rPr>
          <w:lang w:val="fr-FR"/>
        </w:rPr>
        <w:t>S</w:t>
      </w:r>
      <w:r w:rsidR="00CA4DAC">
        <w:rPr>
          <w:lang w:val="fr-FR"/>
        </w:rPr>
        <w:t>’</w:t>
      </w:r>
      <w:r w:rsidRPr="002A2EA6">
        <w:rPr>
          <w:lang w:val="fr-FR"/>
        </w:rPr>
        <w:t>agissant des questions systémiques ayant trait à la mise en œuvre et au respect des dispositions, demander, par l</w:t>
      </w:r>
      <w:r w:rsidR="00CA4DAC">
        <w:rPr>
          <w:lang w:val="fr-FR"/>
        </w:rPr>
        <w:t>’</w:t>
      </w:r>
      <w:r w:rsidRPr="002A2EA6">
        <w:rPr>
          <w:lang w:val="fr-FR"/>
        </w:rPr>
        <w:t>intermédiaire du secrétariat, des informations supplémentaires autres que celles fournies comme suite aux alinéas a) à c) et faire fond sur des compétences externes, s</w:t>
      </w:r>
      <w:r w:rsidR="00CA4DAC">
        <w:rPr>
          <w:lang w:val="fr-FR"/>
        </w:rPr>
        <w:t>’</w:t>
      </w:r>
      <w:r w:rsidRPr="002A2EA6">
        <w:rPr>
          <w:lang w:val="fr-FR"/>
        </w:rPr>
        <w:t>il le juge nécessaire et utile ;</w:t>
      </w:r>
    </w:p>
    <w:p w14:paraId="3B76A274" w14:textId="6562E0EC" w:rsidR="002A2EA6" w:rsidRPr="002A2EA6" w:rsidRDefault="002A2EA6" w:rsidP="002A2EA6">
      <w:pPr>
        <w:pStyle w:val="Normalnumber"/>
        <w:numPr>
          <w:ilvl w:val="1"/>
          <w:numId w:val="19"/>
        </w:numPr>
        <w:rPr>
          <w:lang w:val="fr-FR"/>
        </w:rPr>
      </w:pPr>
      <w:r w:rsidRPr="002A2EA6">
        <w:rPr>
          <w:lang w:val="fr-FR"/>
        </w:rPr>
        <w:t>S</w:t>
      </w:r>
      <w:r w:rsidR="00CA4DAC">
        <w:rPr>
          <w:lang w:val="fr-FR"/>
        </w:rPr>
        <w:t>’</w:t>
      </w:r>
      <w:r w:rsidRPr="002A2EA6">
        <w:rPr>
          <w:lang w:val="fr-FR"/>
        </w:rPr>
        <w:t>agissant des questions individuelles ayant trait à la mise en œuvre et au respect des dispositions examinées sur la base de communications écrites transmises par les Parties concernant leur respect des dispositions, demander, par l</w:t>
      </w:r>
      <w:r w:rsidR="00CA4DAC">
        <w:rPr>
          <w:lang w:val="fr-FR"/>
        </w:rPr>
        <w:t>’</w:t>
      </w:r>
      <w:r w:rsidRPr="002A2EA6">
        <w:rPr>
          <w:lang w:val="fr-FR"/>
        </w:rPr>
        <w:t>intermédiaire du secrétariat, avec le consentement préalable de la Partie concernée, des informations supplémentaires autres que celles fournies comme suite aux alinéas a) à c) et faire fond sur des compétences externes, s</w:t>
      </w:r>
      <w:r w:rsidR="00CA4DAC">
        <w:rPr>
          <w:lang w:val="fr-FR"/>
        </w:rPr>
        <w:t>’</w:t>
      </w:r>
      <w:r w:rsidRPr="002A2EA6">
        <w:rPr>
          <w:lang w:val="fr-FR"/>
        </w:rPr>
        <w:t>il le juge nécessaire et utile ;</w:t>
      </w:r>
    </w:p>
    <w:p w14:paraId="5142FEAD" w14:textId="2BAD273A" w:rsidR="002A2EA6" w:rsidRPr="002A2EA6" w:rsidRDefault="002A2EA6" w:rsidP="002A2EA6">
      <w:pPr>
        <w:pStyle w:val="Normalnumber"/>
        <w:numPr>
          <w:ilvl w:val="1"/>
          <w:numId w:val="19"/>
        </w:numPr>
        <w:rPr>
          <w:lang w:val="fr-FR"/>
        </w:rPr>
      </w:pPr>
      <w:r w:rsidRPr="002A2EA6">
        <w:rPr>
          <w:lang w:val="fr-FR"/>
        </w:rPr>
        <w:t>S</w:t>
      </w:r>
      <w:r w:rsidR="00CA4DAC">
        <w:rPr>
          <w:lang w:val="fr-FR"/>
        </w:rPr>
        <w:t>’</w:t>
      </w:r>
      <w:r w:rsidRPr="002A2EA6">
        <w:rPr>
          <w:lang w:val="fr-FR"/>
        </w:rPr>
        <w:t>agissant des questions individuelles ayant trait à la mise en œuvre et au respect des dispositions examinées à la demande de la Conférence des Parties, demander, par l</w:t>
      </w:r>
      <w:r w:rsidR="00CA4DAC">
        <w:rPr>
          <w:lang w:val="fr-FR"/>
        </w:rPr>
        <w:t>’</w:t>
      </w:r>
      <w:r w:rsidRPr="002A2EA6">
        <w:rPr>
          <w:lang w:val="fr-FR"/>
        </w:rPr>
        <w:t>intermédiaire du secrétariat, avec le consentement préalable de la Partie concernée ou sur instruction de la Conférence des Parties, des informations supplémentaires autres que celles fournies comme suite aux alinéas a) à c) et faire fond sur des compétences externes, s</w:t>
      </w:r>
      <w:r w:rsidR="00CA4DAC">
        <w:rPr>
          <w:lang w:val="fr-FR"/>
        </w:rPr>
        <w:t>’</w:t>
      </w:r>
      <w:r w:rsidRPr="002A2EA6">
        <w:rPr>
          <w:lang w:val="fr-FR"/>
        </w:rPr>
        <w:t>il le juge nécessaire et utile ;</w:t>
      </w:r>
    </w:p>
    <w:p w14:paraId="12311814" w14:textId="1003E033" w:rsidR="002A2EA6" w:rsidRPr="002A2EA6" w:rsidRDefault="002A2EA6" w:rsidP="002A2EA6">
      <w:pPr>
        <w:pStyle w:val="Normalnumber"/>
        <w:numPr>
          <w:ilvl w:val="1"/>
          <w:numId w:val="19"/>
        </w:numPr>
        <w:rPr>
          <w:lang w:val="fr-FR"/>
        </w:rPr>
      </w:pPr>
      <w:r w:rsidRPr="002A2EA6">
        <w:rPr>
          <w:lang w:val="fr-FR"/>
        </w:rPr>
        <w:lastRenderedPageBreak/>
        <w:t>Faciliter, à l</w:t>
      </w:r>
      <w:r w:rsidR="00CA4DAC">
        <w:rPr>
          <w:lang w:val="fr-FR"/>
        </w:rPr>
        <w:t>’</w:t>
      </w:r>
      <w:r w:rsidRPr="002A2EA6">
        <w:rPr>
          <w:lang w:val="fr-FR"/>
        </w:rPr>
        <w:t>invitation de la Partie concernée, la collecte d</w:t>
      </w:r>
      <w:r w:rsidR="00CA4DAC">
        <w:rPr>
          <w:lang w:val="fr-FR"/>
        </w:rPr>
        <w:t>’</w:t>
      </w:r>
      <w:r w:rsidRPr="002A2EA6">
        <w:rPr>
          <w:lang w:val="fr-FR"/>
        </w:rPr>
        <w:t>informations sur le territoire de celle-ci afin de s</w:t>
      </w:r>
      <w:r w:rsidR="00CA4DAC">
        <w:rPr>
          <w:lang w:val="fr-FR"/>
        </w:rPr>
        <w:t>’</w:t>
      </w:r>
      <w:r w:rsidRPr="002A2EA6">
        <w:rPr>
          <w:lang w:val="fr-FR"/>
        </w:rPr>
        <w:t>acquitter de ses fonctions ;</w:t>
      </w:r>
    </w:p>
    <w:p w14:paraId="007579F5" w14:textId="5F3BBBDD" w:rsidR="002A2EA6" w:rsidRPr="002A2EA6" w:rsidRDefault="002A2EA6" w:rsidP="002A2EA6">
      <w:pPr>
        <w:pStyle w:val="Normalnumber"/>
        <w:numPr>
          <w:ilvl w:val="1"/>
          <w:numId w:val="19"/>
        </w:numPr>
        <w:rPr>
          <w:lang w:val="fr-FR"/>
        </w:rPr>
      </w:pPr>
      <w:r w:rsidRPr="002A2EA6">
        <w:rPr>
          <w:lang w:val="fr-FR"/>
        </w:rPr>
        <w:t>Consulter le secrétariat et s</w:t>
      </w:r>
      <w:r w:rsidR="00CA4DAC">
        <w:rPr>
          <w:lang w:val="fr-FR"/>
        </w:rPr>
        <w:t>’</w:t>
      </w:r>
      <w:r w:rsidRPr="002A2EA6">
        <w:rPr>
          <w:lang w:val="fr-FR"/>
        </w:rPr>
        <w:t>appuyer sur l</w:t>
      </w:r>
      <w:r w:rsidR="00CA4DAC">
        <w:rPr>
          <w:lang w:val="fr-FR"/>
        </w:rPr>
        <w:t>’</w:t>
      </w:r>
      <w:r w:rsidRPr="002A2EA6">
        <w:rPr>
          <w:lang w:val="fr-FR"/>
        </w:rPr>
        <w:t>expérience et les connaissances que ce dernier a acquises dans le cadre de l</w:t>
      </w:r>
      <w:r w:rsidR="00CA4DAC">
        <w:rPr>
          <w:lang w:val="fr-FR"/>
        </w:rPr>
        <w:t>’</w:t>
      </w:r>
      <w:r w:rsidRPr="002A2EA6">
        <w:rPr>
          <w:lang w:val="fr-FR"/>
        </w:rPr>
        <w:t>article 24 de la Convention et demander au secrétariat des informations, s</w:t>
      </w:r>
      <w:r w:rsidR="00CA4DAC">
        <w:rPr>
          <w:lang w:val="fr-FR"/>
        </w:rPr>
        <w:t>’</w:t>
      </w:r>
      <w:r w:rsidRPr="002A2EA6">
        <w:rPr>
          <w:lang w:val="fr-FR"/>
        </w:rPr>
        <w:t>il y a lieu, sous la forme d</w:t>
      </w:r>
      <w:r w:rsidR="00CA4DAC">
        <w:rPr>
          <w:lang w:val="fr-FR"/>
        </w:rPr>
        <w:t>’</w:t>
      </w:r>
      <w:r w:rsidRPr="002A2EA6">
        <w:rPr>
          <w:lang w:val="fr-FR"/>
        </w:rPr>
        <w:t>un rapport, sur les questions soumises au Comité pour examen.</w:t>
      </w:r>
      <w:bookmarkStart w:id="156" w:name="_Hlk7038431"/>
      <w:bookmarkStart w:id="157" w:name="_Hlk7598289"/>
    </w:p>
    <w:bookmarkEnd w:id="156"/>
    <w:bookmarkEnd w:id="157"/>
    <w:p w14:paraId="35D45271" w14:textId="051FF736" w:rsidR="002A2EA6" w:rsidRPr="002A2EA6" w:rsidRDefault="002A2EA6" w:rsidP="002A2EA6">
      <w:pPr>
        <w:pStyle w:val="CH1"/>
        <w:rPr>
          <w:lang w:val="fr-FR"/>
        </w:rPr>
      </w:pPr>
      <w:r w:rsidRPr="002A2EA6">
        <w:rPr>
          <w:lang w:val="fr-FR"/>
        </w:rPr>
        <w:tab/>
        <w:t>V.</w:t>
      </w:r>
      <w:r w:rsidRPr="002A2EA6">
        <w:rPr>
          <w:lang w:val="fr-FR"/>
        </w:rPr>
        <w:tab/>
        <w:t>Types de recommandations à l</w:t>
      </w:r>
      <w:r w:rsidR="00CA4DAC">
        <w:rPr>
          <w:lang w:val="fr-FR"/>
        </w:rPr>
        <w:t>’</w:t>
      </w:r>
      <w:r w:rsidRPr="002A2EA6">
        <w:rPr>
          <w:lang w:val="fr-FR"/>
        </w:rPr>
        <w:t>intention de la Conférence des Parties que le Comité pourrait envisager afin de promouvoir la mise en œuvre et d</w:t>
      </w:r>
      <w:r w:rsidR="00CA4DAC">
        <w:rPr>
          <w:lang w:val="fr-FR"/>
        </w:rPr>
        <w:t>’</w:t>
      </w:r>
      <w:r w:rsidRPr="002A2EA6">
        <w:rPr>
          <w:lang w:val="fr-FR"/>
        </w:rPr>
        <w:t>examiner le respect de toutes les dispositions de la Convention</w:t>
      </w:r>
    </w:p>
    <w:p w14:paraId="2D6B99DC" w14:textId="70791549" w:rsidR="002A2EA6" w:rsidRPr="002A2EA6" w:rsidRDefault="002A2EA6" w:rsidP="002A2EA6">
      <w:pPr>
        <w:pStyle w:val="Normalnumber"/>
        <w:numPr>
          <w:ilvl w:val="0"/>
          <w:numId w:val="19"/>
        </w:numPr>
        <w:rPr>
          <w:lang w:val="fr-FR"/>
        </w:rPr>
      </w:pPr>
      <w:r w:rsidRPr="002A2EA6">
        <w:rPr>
          <w:lang w:val="fr-FR"/>
        </w:rPr>
        <w:t>Les recommandations que le Comité fait à l</w:t>
      </w:r>
      <w:r w:rsidR="00CA4DAC">
        <w:rPr>
          <w:lang w:val="fr-FR"/>
        </w:rPr>
        <w:t>’</w:t>
      </w:r>
      <w:r w:rsidRPr="002A2EA6">
        <w:rPr>
          <w:lang w:val="fr-FR"/>
        </w:rPr>
        <w:t>intention de la Conférence des Parties visent à promouvoir la mise en œuvre et vérifier le respect des dispositions de la Convention. Elles sont de nature facilitatrice et accordent une attention particulière à la situation et aux capacités nationales respectives des Parties.</w:t>
      </w:r>
    </w:p>
    <w:p w14:paraId="13FA65F1" w14:textId="77777777" w:rsidR="002A2EA6" w:rsidRPr="002A2EA6" w:rsidRDefault="002A2EA6" w:rsidP="002A2EA6">
      <w:pPr>
        <w:pStyle w:val="Normalnumber"/>
        <w:numPr>
          <w:ilvl w:val="0"/>
          <w:numId w:val="19"/>
        </w:numPr>
        <w:rPr>
          <w:lang w:val="fr-FR"/>
        </w:rPr>
      </w:pPr>
      <w:r w:rsidRPr="002A2EA6">
        <w:rPr>
          <w:lang w:val="fr-FR"/>
        </w:rPr>
        <w:t>Les recommandations relatives aux questions individuelles et systémiques ayant trait à la mise en œuvre et au respect des dispositions peuvent notamment comprendre :</w:t>
      </w:r>
    </w:p>
    <w:p w14:paraId="082579F0" w14:textId="77777777" w:rsidR="002A2EA6" w:rsidRPr="002A2EA6" w:rsidRDefault="002A2EA6" w:rsidP="002A2EA6">
      <w:pPr>
        <w:pStyle w:val="Normalnumber"/>
        <w:numPr>
          <w:ilvl w:val="1"/>
          <w:numId w:val="19"/>
        </w:numPr>
        <w:rPr>
          <w:lang w:val="fr-FR"/>
        </w:rPr>
      </w:pPr>
      <w:r w:rsidRPr="002A2EA6">
        <w:rPr>
          <w:lang w:val="fr-FR"/>
        </w:rPr>
        <w:t>Des mesures visant à aider la Partie ou les Parties dans la mise en œuvre des dispositions de la Convention, notamment concernant des dispositifs législatifs, procéduraux ou institutionnels qui pourraient être nécessaires ;</w:t>
      </w:r>
    </w:p>
    <w:p w14:paraId="20C3A62F" w14:textId="5AC048BD" w:rsidR="002A2EA6" w:rsidRPr="002A2EA6" w:rsidRDefault="002A2EA6" w:rsidP="002A2EA6">
      <w:pPr>
        <w:pStyle w:val="Normalnumber"/>
        <w:numPr>
          <w:ilvl w:val="1"/>
          <w:numId w:val="19"/>
        </w:numPr>
        <w:rPr>
          <w:lang w:val="fr-FR"/>
        </w:rPr>
      </w:pPr>
      <w:r w:rsidRPr="002A2EA6">
        <w:rPr>
          <w:lang w:val="fr-FR"/>
        </w:rPr>
        <w:t>La nécessité pour la Partie ou les Parties concernées d</w:t>
      </w:r>
      <w:r w:rsidR="00CA4DAC">
        <w:rPr>
          <w:lang w:val="fr-FR"/>
        </w:rPr>
        <w:t>’</w:t>
      </w:r>
      <w:r w:rsidRPr="002A2EA6">
        <w:rPr>
          <w:lang w:val="fr-FR"/>
        </w:rPr>
        <w:t>élaborer et de soumettre au Comité une stratégie de mise en œuvre et de respect des dispositions, accompagnée d</w:t>
      </w:r>
      <w:r w:rsidR="00CA4DAC">
        <w:rPr>
          <w:lang w:val="fr-FR"/>
        </w:rPr>
        <w:t>’</w:t>
      </w:r>
      <w:r w:rsidRPr="002A2EA6">
        <w:rPr>
          <w:lang w:val="fr-FR"/>
        </w:rPr>
        <w:t>une proposition de calendrier, et de faire rapport sur la mise en œuvre de ladite stratégie ;</w:t>
      </w:r>
    </w:p>
    <w:p w14:paraId="0CCB232F" w14:textId="1BFC394D" w:rsidR="002A2EA6" w:rsidRPr="002A2EA6" w:rsidRDefault="002A2EA6" w:rsidP="002A2EA6">
      <w:pPr>
        <w:pStyle w:val="Normalnumber"/>
        <w:numPr>
          <w:ilvl w:val="1"/>
          <w:numId w:val="19"/>
        </w:numPr>
        <w:rPr>
          <w:lang w:val="fr-FR"/>
        </w:rPr>
      </w:pPr>
      <w:r w:rsidRPr="002A2EA6">
        <w:rPr>
          <w:lang w:val="fr-FR"/>
        </w:rPr>
        <w:t>L</w:t>
      </w:r>
      <w:r w:rsidR="00CA4DAC">
        <w:rPr>
          <w:lang w:val="fr-FR"/>
        </w:rPr>
        <w:t>’</w:t>
      </w:r>
      <w:r w:rsidRPr="002A2EA6">
        <w:rPr>
          <w:lang w:val="fr-FR"/>
        </w:rPr>
        <w:t>assistance d</w:t>
      </w:r>
      <w:r w:rsidR="00CA4DAC">
        <w:rPr>
          <w:lang w:val="fr-FR"/>
        </w:rPr>
        <w:t>’</w:t>
      </w:r>
      <w:r w:rsidRPr="002A2EA6">
        <w:rPr>
          <w:lang w:val="fr-FR"/>
        </w:rPr>
        <w:t>experts, notamment concernant des questions juridiques, institutionnelles ou techniques ;</w:t>
      </w:r>
    </w:p>
    <w:p w14:paraId="681167D6" w14:textId="450ED54F" w:rsidR="002A2EA6" w:rsidRPr="002A2EA6" w:rsidRDefault="002A2EA6" w:rsidP="002A2EA6">
      <w:pPr>
        <w:pStyle w:val="Normalnumber"/>
        <w:numPr>
          <w:ilvl w:val="1"/>
          <w:numId w:val="19"/>
        </w:numPr>
        <w:rPr>
          <w:lang w:val="fr-FR"/>
        </w:rPr>
      </w:pPr>
      <w:r w:rsidRPr="002A2EA6">
        <w:rPr>
          <w:lang w:val="fr-FR"/>
        </w:rPr>
        <w:t>Un renforcement ciblé des capacités, une assistance financière et technique ainsi qu</w:t>
      </w:r>
      <w:r w:rsidR="00CA4DAC">
        <w:rPr>
          <w:lang w:val="fr-FR"/>
        </w:rPr>
        <w:t>’</w:t>
      </w:r>
      <w:r w:rsidRPr="002A2EA6">
        <w:rPr>
          <w:lang w:val="fr-FR"/>
        </w:rPr>
        <w:t>un transfert de technologies.</w:t>
      </w:r>
    </w:p>
    <w:p w14:paraId="7EC96B8F" w14:textId="277DDCC6" w:rsidR="002A2EA6" w:rsidRPr="002A2EA6" w:rsidRDefault="002A2EA6" w:rsidP="002A2EA6">
      <w:pPr>
        <w:pStyle w:val="Normalnumber"/>
        <w:numPr>
          <w:ilvl w:val="0"/>
          <w:numId w:val="19"/>
        </w:numPr>
        <w:rPr>
          <w:lang w:val="fr-FR"/>
        </w:rPr>
      </w:pPr>
      <w:r w:rsidRPr="002A2EA6">
        <w:rPr>
          <w:lang w:val="fr-FR"/>
        </w:rPr>
        <w:t>Au besoin et en dernier recours, le Comité peut recommander à la Conférence des Parties d</w:t>
      </w:r>
      <w:r w:rsidR="00CA4DAC">
        <w:rPr>
          <w:lang w:val="fr-FR"/>
        </w:rPr>
        <w:t>’</w:t>
      </w:r>
      <w:r w:rsidRPr="002A2EA6">
        <w:rPr>
          <w:lang w:val="fr-FR"/>
        </w:rPr>
        <w:t>adopter une déclaration concernant le respect des dispositions et de donner des orientations afin d</w:t>
      </w:r>
      <w:r w:rsidR="00CA4DAC">
        <w:rPr>
          <w:lang w:val="fr-FR"/>
        </w:rPr>
        <w:t>’</w:t>
      </w:r>
      <w:r w:rsidRPr="002A2EA6">
        <w:rPr>
          <w:lang w:val="fr-FR"/>
        </w:rPr>
        <w:t>aider la Partie ou les Parties concernées à mettre en œuvre les dispositions de la Convention et de promouvoir la coopération entre toutes les Parties.</w:t>
      </w:r>
    </w:p>
    <w:p w14:paraId="10303F98" w14:textId="77777777" w:rsidR="002A2EA6" w:rsidRPr="002A2EA6" w:rsidRDefault="002A2EA6" w:rsidP="002A2EA6">
      <w:pPr>
        <w:keepNext/>
        <w:keepLines/>
        <w:tabs>
          <w:tab w:val="right" w:pos="851"/>
          <w:tab w:val="left" w:pos="4082"/>
        </w:tabs>
        <w:suppressAutoHyphens/>
        <w:spacing w:before="240" w:after="120"/>
        <w:ind w:left="1247" w:right="284" w:hanging="1247"/>
        <w:rPr>
          <w:b/>
          <w:sz w:val="28"/>
          <w:szCs w:val="28"/>
        </w:rPr>
      </w:pPr>
      <w:r w:rsidRPr="002A2EA6">
        <w:rPr>
          <w:b/>
          <w:sz w:val="28"/>
          <w:szCs w:val="28"/>
        </w:rPr>
        <w:tab/>
        <w:t>VI.</w:t>
      </w:r>
      <w:r w:rsidRPr="002A2EA6">
        <w:rPr>
          <w:b/>
          <w:sz w:val="28"/>
          <w:szCs w:val="28"/>
        </w:rPr>
        <w:tab/>
        <w:t>Fonctions du secrétariat</w:t>
      </w:r>
    </w:p>
    <w:p w14:paraId="26045A66" w14:textId="5545E18A" w:rsidR="002A2EA6" w:rsidRPr="002A2EA6" w:rsidRDefault="002A2EA6" w:rsidP="002A2EA6">
      <w:pPr>
        <w:pStyle w:val="Normalnumber"/>
        <w:numPr>
          <w:ilvl w:val="0"/>
          <w:numId w:val="19"/>
        </w:numPr>
        <w:rPr>
          <w:lang w:val="fr-FR"/>
        </w:rPr>
      </w:pPr>
      <w:r w:rsidRPr="002A2EA6">
        <w:rPr>
          <w:lang w:val="fr-FR"/>
        </w:rPr>
        <w:t>Conformément aux fonctions définies à l</w:t>
      </w:r>
      <w:r w:rsidR="00CA4DAC">
        <w:rPr>
          <w:lang w:val="fr-FR"/>
        </w:rPr>
        <w:t>’</w:t>
      </w:r>
      <w:r w:rsidRPr="002A2EA6">
        <w:rPr>
          <w:lang w:val="fr-FR"/>
        </w:rPr>
        <w:t>article 24 de la Convention et dans le Règlement intérieur du Comité, et conformément à son programme de travail et à son budget, le secrétariat, outre les fonctions énoncées ailleurs dans le présent mandat :</w:t>
      </w:r>
    </w:p>
    <w:p w14:paraId="100CCD08" w14:textId="2D741010" w:rsidR="002A2EA6" w:rsidRPr="002A2EA6" w:rsidRDefault="002A2EA6" w:rsidP="002A2EA6">
      <w:pPr>
        <w:pStyle w:val="Normalnumber"/>
        <w:numPr>
          <w:ilvl w:val="1"/>
          <w:numId w:val="19"/>
        </w:numPr>
        <w:rPr>
          <w:lang w:val="fr-FR"/>
        </w:rPr>
      </w:pPr>
      <w:r w:rsidRPr="002A2EA6">
        <w:rPr>
          <w:lang w:val="fr-FR"/>
        </w:rPr>
        <w:t>Recueille les communications écrites transmises par les Parties concernant leur respect des dispositions conformément à l</w:t>
      </w:r>
      <w:r w:rsidR="00CA4DAC">
        <w:rPr>
          <w:lang w:val="fr-FR"/>
        </w:rPr>
        <w:t>’</w:t>
      </w:r>
      <w:r w:rsidRPr="002A2EA6">
        <w:rPr>
          <w:lang w:val="fr-FR"/>
        </w:rPr>
        <w:t>alinéa a) du paragraphe 4 de l</w:t>
      </w:r>
      <w:r w:rsidR="00CA4DAC">
        <w:rPr>
          <w:lang w:val="fr-FR"/>
        </w:rPr>
        <w:t>’</w:t>
      </w:r>
      <w:r w:rsidRPr="002A2EA6">
        <w:rPr>
          <w:lang w:val="fr-FR"/>
        </w:rPr>
        <w:t>article 15, prend des dispositions nécessaires pour assurer leur traduction en anglais et les distribue au Comité en application de l</w:t>
      </w:r>
      <w:r w:rsidR="00CA4DAC">
        <w:rPr>
          <w:lang w:val="fr-FR"/>
        </w:rPr>
        <w:t>’</w:t>
      </w:r>
      <w:r w:rsidRPr="002A2EA6">
        <w:rPr>
          <w:lang w:val="fr-FR"/>
        </w:rPr>
        <w:t>article 23 du Règlement intérieur, ainsi que tout complément d</w:t>
      </w:r>
      <w:r w:rsidR="00CA4DAC">
        <w:rPr>
          <w:lang w:val="fr-FR"/>
        </w:rPr>
        <w:t>’</w:t>
      </w:r>
      <w:r w:rsidRPr="002A2EA6">
        <w:rPr>
          <w:lang w:val="fr-FR"/>
        </w:rPr>
        <w:t>information fourni par les Parties. Les communications rédigées en anglais sont distribuées au Comité dans les deux semaines suivant leur réception et les communications rédigées dans une langue officielle de l</w:t>
      </w:r>
      <w:r w:rsidR="00CA4DAC">
        <w:rPr>
          <w:lang w:val="fr-FR"/>
        </w:rPr>
        <w:t>’</w:t>
      </w:r>
      <w:r w:rsidRPr="002A2EA6">
        <w:rPr>
          <w:lang w:val="fr-FR"/>
        </w:rPr>
        <w:t>Organisation des Nations Unies autre que l</w:t>
      </w:r>
      <w:r w:rsidR="00CA4DAC">
        <w:rPr>
          <w:lang w:val="fr-FR"/>
        </w:rPr>
        <w:t>’</w:t>
      </w:r>
      <w:r w:rsidRPr="002A2EA6">
        <w:rPr>
          <w:lang w:val="fr-FR"/>
        </w:rPr>
        <w:t>anglais sont traduites et distribuées au Comité dans les quatre semaines suivant leur réception ;</w:t>
      </w:r>
    </w:p>
    <w:p w14:paraId="56225471" w14:textId="03B1864A" w:rsidR="002A2EA6" w:rsidRPr="002A2EA6" w:rsidRDefault="002A2EA6" w:rsidP="002A2EA6">
      <w:pPr>
        <w:pStyle w:val="Normalnumber"/>
        <w:numPr>
          <w:ilvl w:val="1"/>
          <w:numId w:val="19"/>
        </w:numPr>
        <w:rPr>
          <w:lang w:val="fr-FR"/>
        </w:rPr>
      </w:pPr>
      <w:r w:rsidRPr="002A2EA6">
        <w:rPr>
          <w:lang w:val="fr-FR"/>
        </w:rPr>
        <w:t>Recueille les rapports nationaux soumis conformément à l</w:t>
      </w:r>
      <w:r w:rsidR="00CA4DAC">
        <w:rPr>
          <w:lang w:val="fr-FR"/>
        </w:rPr>
        <w:t>’</w:t>
      </w:r>
      <w:r w:rsidRPr="002A2EA6">
        <w:rPr>
          <w:lang w:val="fr-FR"/>
        </w:rPr>
        <w:t>article 21 et, lorsque des questions doivent être examinées par le Comité sur la base de ceux-ci en application de l</w:t>
      </w:r>
      <w:r w:rsidR="00CA4DAC">
        <w:rPr>
          <w:lang w:val="fr-FR"/>
        </w:rPr>
        <w:t>’</w:t>
      </w:r>
      <w:r w:rsidRPr="002A2EA6">
        <w:rPr>
          <w:lang w:val="fr-FR"/>
        </w:rPr>
        <w:t>alinéa b) du paragraphe 4 de l</w:t>
      </w:r>
      <w:r w:rsidR="00CA4DAC">
        <w:rPr>
          <w:lang w:val="fr-FR"/>
        </w:rPr>
        <w:t>’</w:t>
      </w:r>
      <w:r w:rsidRPr="002A2EA6">
        <w:rPr>
          <w:lang w:val="fr-FR"/>
        </w:rPr>
        <w:t>article 15, élabore les rapports pertinents afin que le Comité les examine. Ces rapports indiquent dans quelle mesure les Parties satisfont à leur obligation de communication et mettent en évidence des questions particulières qui peuvent se dégager des rapports et présenter un intérêt pour le Comité, entre autres ;</w:t>
      </w:r>
    </w:p>
    <w:p w14:paraId="7E0E5727" w14:textId="68B26E1F" w:rsidR="002A2EA6" w:rsidRPr="002A2EA6" w:rsidRDefault="002A2EA6" w:rsidP="002A2EA6">
      <w:pPr>
        <w:pStyle w:val="Normalnumber"/>
        <w:numPr>
          <w:ilvl w:val="1"/>
          <w:numId w:val="19"/>
        </w:numPr>
        <w:rPr>
          <w:lang w:val="fr-FR"/>
        </w:rPr>
      </w:pPr>
      <w:r w:rsidRPr="002A2EA6">
        <w:rPr>
          <w:lang w:val="fr-FR"/>
        </w:rPr>
        <w:t>Prend des dispositions nécessaires pour assurer la traduction en anglais et la distribution des rapports nationaux ou de parties de ceux-ci conformément à l</w:t>
      </w:r>
      <w:r w:rsidR="00CA4DAC">
        <w:rPr>
          <w:lang w:val="fr-FR"/>
        </w:rPr>
        <w:t>’</w:t>
      </w:r>
      <w:r w:rsidRPr="002A2EA6">
        <w:rPr>
          <w:lang w:val="fr-FR"/>
        </w:rPr>
        <w:t>article 40 du Règlement intérieur ;</w:t>
      </w:r>
    </w:p>
    <w:p w14:paraId="073266C9" w14:textId="77777777" w:rsidR="002A2EA6" w:rsidRPr="002A2EA6" w:rsidRDefault="002A2EA6" w:rsidP="002A2EA6">
      <w:pPr>
        <w:pStyle w:val="Normalnumber"/>
        <w:numPr>
          <w:ilvl w:val="1"/>
          <w:numId w:val="19"/>
        </w:numPr>
        <w:rPr>
          <w:lang w:val="fr-FR"/>
        </w:rPr>
      </w:pPr>
      <w:r w:rsidRPr="002A2EA6">
        <w:rPr>
          <w:lang w:val="fr-FR"/>
        </w:rPr>
        <w:t>Transmet au Comité toute demande formulée par la Conférence des Parties dans les deux mois suivant la clôture de la réunion de la Conférence des Parties au cours de laquelle ladite demande a été formulée ;</w:t>
      </w:r>
    </w:p>
    <w:p w14:paraId="339DEAFC" w14:textId="0D1AFB06" w:rsidR="002A2EA6" w:rsidRPr="002A2EA6" w:rsidRDefault="002A2EA6" w:rsidP="002A2EA6">
      <w:pPr>
        <w:pStyle w:val="Normalnumber"/>
        <w:numPr>
          <w:ilvl w:val="1"/>
          <w:numId w:val="19"/>
        </w:numPr>
        <w:rPr>
          <w:lang w:val="fr-FR"/>
        </w:rPr>
      </w:pPr>
      <w:r w:rsidRPr="002A2EA6">
        <w:rPr>
          <w:lang w:val="fr-FR"/>
        </w:rPr>
        <w:lastRenderedPageBreak/>
        <w:t>Sollicite et recueille des informations supplémentaires auprès des Parties et d</w:t>
      </w:r>
      <w:r w:rsidR="00CA4DAC">
        <w:rPr>
          <w:lang w:val="fr-FR"/>
        </w:rPr>
        <w:t>’</w:t>
      </w:r>
      <w:r w:rsidRPr="002A2EA6">
        <w:rPr>
          <w:lang w:val="fr-FR"/>
        </w:rPr>
        <w:t>autres sources et élabore des rapports ou des documents de travail lorsque le Comité en fait la demande afin de faciliter la conduite de ses travaux ;</w:t>
      </w:r>
    </w:p>
    <w:p w14:paraId="4C4CA7B4" w14:textId="6D3F52BA" w:rsidR="002A2EA6" w:rsidRPr="002A2EA6" w:rsidRDefault="002A2EA6" w:rsidP="002A2EA6">
      <w:pPr>
        <w:pStyle w:val="Normalnumber"/>
        <w:numPr>
          <w:ilvl w:val="1"/>
          <w:numId w:val="19"/>
        </w:numPr>
        <w:rPr>
          <w:lang w:val="fr-FR"/>
        </w:rPr>
      </w:pPr>
      <w:r w:rsidRPr="002A2EA6">
        <w:rPr>
          <w:lang w:val="fr-FR"/>
        </w:rPr>
        <w:t>S</w:t>
      </w:r>
      <w:r w:rsidR="00CA4DAC">
        <w:rPr>
          <w:lang w:val="fr-FR"/>
        </w:rPr>
        <w:t>’</w:t>
      </w:r>
      <w:r w:rsidRPr="002A2EA6">
        <w:rPr>
          <w:lang w:val="fr-FR"/>
        </w:rPr>
        <w:t xml:space="preserve">acquitte des autres fonctions </w:t>
      </w:r>
      <w:bookmarkStart w:id="158" w:name="_Hlk7602917"/>
      <w:r w:rsidRPr="002A2EA6">
        <w:rPr>
          <w:lang w:val="fr-FR"/>
        </w:rPr>
        <w:t>qui lui sont confiées par la Comité ou la Conférence des Parties concernant les travaux du Comité</w:t>
      </w:r>
      <w:bookmarkEnd w:id="158"/>
      <w:r w:rsidRPr="002A2EA6">
        <w:rPr>
          <w:lang w:val="fr-FR"/>
        </w:rPr>
        <w:t>.</w:t>
      </w:r>
    </w:p>
    <w:p w14:paraId="33CA7C48" w14:textId="3E3F4406" w:rsidR="002A2EA6" w:rsidRPr="002A2EA6" w:rsidRDefault="002A2EA6" w:rsidP="002A2EA6">
      <w:pPr>
        <w:keepNext/>
        <w:keepLines/>
        <w:tabs>
          <w:tab w:val="right" w:pos="851"/>
          <w:tab w:val="left" w:pos="4082"/>
        </w:tabs>
        <w:suppressAutoHyphens/>
        <w:spacing w:before="240" w:after="120"/>
        <w:ind w:left="1247" w:right="284" w:hanging="1247"/>
        <w:rPr>
          <w:b/>
          <w:sz w:val="28"/>
          <w:szCs w:val="28"/>
        </w:rPr>
      </w:pPr>
      <w:r w:rsidRPr="002A2EA6">
        <w:rPr>
          <w:b/>
          <w:sz w:val="28"/>
          <w:szCs w:val="28"/>
        </w:rPr>
        <w:tab/>
        <w:t>VII.</w:t>
      </w:r>
      <w:r w:rsidRPr="002A2EA6">
        <w:rPr>
          <w:b/>
          <w:sz w:val="28"/>
          <w:szCs w:val="28"/>
        </w:rPr>
        <w:tab/>
        <w:t>Liens avec le règlement des différends visé à l</w:t>
      </w:r>
      <w:r w:rsidR="00CA4DAC">
        <w:rPr>
          <w:b/>
          <w:sz w:val="28"/>
          <w:szCs w:val="28"/>
        </w:rPr>
        <w:t>’</w:t>
      </w:r>
      <w:r w:rsidRPr="002A2EA6">
        <w:rPr>
          <w:b/>
          <w:sz w:val="28"/>
          <w:szCs w:val="28"/>
        </w:rPr>
        <w:t>article 25 de la Convention</w:t>
      </w:r>
    </w:p>
    <w:p w14:paraId="7A0EB277" w14:textId="4B66CA3D" w:rsidR="002A2EA6" w:rsidRPr="002A2EA6" w:rsidRDefault="002A2EA6" w:rsidP="002A2EA6">
      <w:pPr>
        <w:pStyle w:val="Normalnumber"/>
        <w:numPr>
          <w:ilvl w:val="0"/>
          <w:numId w:val="19"/>
        </w:numPr>
        <w:rPr>
          <w:lang w:val="fr-FR"/>
        </w:rPr>
      </w:pPr>
      <w:r w:rsidRPr="002A2EA6">
        <w:rPr>
          <w:lang w:val="fr-FR"/>
        </w:rPr>
        <w:t>Le fonctionnement du mécanisme de mise en œuvre et du respect des obligations et les travaux du Comité sont distincts et sans préjudice des dispositions de l</w:t>
      </w:r>
      <w:r w:rsidR="00CA4DAC">
        <w:rPr>
          <w:lang w:val="fr-FR"/>
        </w:rPr>
        <w:t>’</w:t>
      </w:r>
      <w:r w:rsidRPr="002A2EA6">
        <w:rPr>
          <w:lang w:val="fr-FR"/>
        </w:rPr>
        <w:t>article 25 de la Convention portant sur le règlement des différends.</w:t>
      </w:r>
    </w:p>
    <w:p w14:paraId="20E1770B" w14:textId="77777777" w:rsidR="002A2EA6" w:rsidRPr="002A2EA6" w:rsidRDefault="002A2EA6" w:rsidP="002A2EA6">
      <w:pPr>
        <w:keepNext/>
        <w:keepLines/>
        <w:tabs>
          <w:tab w:val="right" w:pos="851"/>
          <w:tab w:val="left" w:pos="1843"/>
          <w:tab w:val="left" w:pos="4082"/>
        </w:tabs>
        <w:suppressAutoHyphens/>
        <w:spacing w:before="240" w:after="120"/>
        <w:ind w:left="1247" w:right="284" w:hanging="1247"/>
        <w:rPr>
          <w:b/>
          <w:sz w:val="28"/>
          <w:szCs w:val="28"/>
        </w:rPr>
      </w:pPr>
      <w:r w:rsidRPr="002A2EA6">
        <w:rPr>
          <w:b/>
          <w:sz w:val="28"/>
          <w:szCs w:val="28"/>
        </w:rPr>
        <w:tab/>
        <w:t>VIII.</w:t>
      </w:r>
      <w:r w:rsidRPr="002A2EA6">
        <w:rPr>
          <w:b/>
          <w:sz w:val="28"/>
          <w:szCs w:val="28"/>
        </w:rPr>
        <w:tab/>
        <w:t>Protection de la confidentialité</w:t>
      </w:r>
    </w:p>
    <w:p w14:paraId="04A0A58F" w14:textId="77777777" w:rsidR="002A2EA6" w:rsidRPr="002A2EA6" w:rsidRDefault="002A2EA6" w:rsidP="002A2EA6">
      <w:pPr>
        <w:pStyle w:val="Normalnumber"/>
        <w:numPr>
          <w:ilvl w:val="0"/>
          <w:numId w:val="19"/>
        </w:numPr>
        <w:rPr>
          <w:lang w:val="fr-FR"/>
        </w:rPr>
      </w:pPr>
      <w:r w:rsidRPr="002A2EA6">
        <w:rPr>
          <w:lang w:val="fr-FR"/>
        </w:rPr>
        <w:t>En règle générale, les rapports et les recommandations du Comité ne sont pas traités de manière confidentielle. Toutefois, les informations communiquées au Comité à titre confidentiel, notamment par une Partie concernant son respect des dispositions, sont traitées de manière confidentielle.</w:t>
      </w:r>
    </w:p>
    <w:p w14:paraId="21FC1A25" w14:textId="77777777" w:rsidR="002A2EA6" w:rsidRPr="002A2EA6" w:rsidRDefault="002A2EA6" w:rsidP="002A2EA6">
      <w:pPr>
        <w:tabs>
          <w:tab w:val="clear" w:pos="1247"/>
          <w:tab w:val="clear" w:pos="1814"/>
          <w:tab w:val="clear" w:pos="2381"/>
          <w:tab w:val="clear" w:pos="2948"/>
          <w:tab w:val="clear" w:pos="3515"/>
        </w:tabs>
      </w:pPr>
      <w:r w:rsidRPr="002A2EA6">
        <w:br w:type="page"/>
      </w:r>
    </w:p>
    <w:p w14:paraId="5F83C3F3" w14:textId="77777777" w:rsidR="002A2EA6" w:rsidRPr="002A2EA6" w:rsidRDefault="002A2EA6" w:rsidP="002A2EA6">
      <w:pPr>
        <w:pStyle w:val="ZZAnxheader"/>
        <w:rPr>
          <w:lang w:val="fr-FR"/>
        </w:rPr>
      </w:pPr>
      <w:r w:rsidRPr="002A2EA6">
        <w:rPr>
          <w:lang w:val="fr-FR"/>
        </w:rPr>
        <w:lastRenderedPageBreak/>
        <w:tab/>
        <w:t>Annexe II de la décision MC-3/9</w:t>
      </w:r>
    </w:p>
    <w:p w14:paraId="5D011831" w14:textId="0086A958" w:rsidR="002A2EA6" w:rsidRPr="002A2EA6" w:rsidRDefault="002A2EA6" w:rsidP="00774149">
      <w:pPr>
        <w:pStyle w:val="ZZAnxtitle"/>
        <w:spacing w:before="240"/>
        <w:rPr>
          <w:rFonts w:eastAsia="SimSun"/>
          <w:sz w:val="24"/>
          <w:szCs w:val="24"/>
          <w:lang w:val="fr-FR"/>
        </w:rPr>
      </w:pPr>
      <w:r w:rsidRPr="002A2EA6">
        <w:rPr>
          <w:rFonts w:eastAsia="SimSun"/>
          <w:sz w:val="24"/>
          <w:szCs w:val="24"/>
          <w:lang w:val="fr-FR"/>
        </w:rPr>
        <w:t>Modèle pour les communications écrites transmises par les Parties concernant leur respect des dispositions (alinéa a) du paragraphe 4 de l</w:t>
      </w:r>
      <w:r w:rsidR="00CA4DAC">
        <w:rPr>
          <w:rFonts w:eastAsia="SimSun"/>
          <w:sz w:val="24"/>
          <w:szCs w:val="24"/>
          <w:lang w:val="fr-FR"/>
        </w:rPr>
        <w:t>’</w:t>
      </w:r>
      <w:r w:rsidRPr="002A2EA6">
        <w:rPr>
          <w:rFonts w:eastAsia="SimSun"/>
          <w:sz w:val="24"/>
          <w:szCs w:val="24"/>
          <w:lang w:val="fr-FR"/>
        </w:rPr>
        <w:t>article 15)</w:t>
      </w:r>
    </w:p>
    <w:p w14:paraId="0E0A049E" w14:textId="77777777" w:rsidR="002A2EA6" w:rsidRPr="002A2EA6" w:rsidRDefault="002A2EA6" w:rsidP="002A2EA6">
      <w:pPr>
        <w:tabs>
          <w:tab w:val="clear" w:pos="1247"/>
          <w:tab w:val="clear" w:pos="1814"/>
          <w:tab w:val="clear" w:pos="2381"/>
          <w:tab w:val="clear" w:pos="2948"/>
          <w:tab w:val="clear" w:pos="3515"/>
        </w:tabs>
        <w:spacing w:after="160" w:line="259" w:lineRule="auto"/>
        <w:jc w:val="right"/>
        <w:rPr>
          <w:rFonts w:ascii="Arial" w:hAnsi="Arial" w:cs="Arial"/>
          <w:b/>
        </w:rPr>
      </w:pPr>
      <w:r w:rsidRPr="002A2EA6">
        <w:rPr>
          <w:rFonts w:ascii="Calibri" w:hAnsi="Calibri" w:cs="Arial"/>
          <w:noProof/>
          <w:sz w:val="24"/>
          <w:szCs w:val="24"/>
          <w:lang w:eastAsia="fr-FR"/>
        </w:rPr>
        <mc:AlternateContent>
          <mc:Choice Requires="wps">
            <w:drawing>
              <wp:inline distT="0" distB="0" distL="0" distR="0" wp14:anchorId="0ABDEFF7" wp14:editId="33AB857D">
                <wp:extent cx="5217795" cy="6448425"/>
                <wp:effectExtent l="0" t="0" r="1905" b="952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6448425"/>
                        </a:xfrm>
                        <a:prstGeom prst="rect">
                          <a:avLst/>
                        </a:prstGeom>
                        <a:solidFill>
                          <a:sysClr val="window" lastClr="FFFFFF">
                            <a:lumMod val="85000"/>
                          </a:sysClr>
                        </a:solidFill>
                        <a:ln w="9525">
                          <a:noFill/>
                          <a:miter lim="800000"/>
                          <a:headEnd/>
                          <a:tailEnd/>
                        </a:ln>
                      </wps:spPr>
                      <wps:txbx>
                        <w:txbxContent>
                          <w:p w14:paraId="081AA138" w14:textId="77777777" w:rsidR="00CA4DAC" w:rsidRPr="00483E01" w:rsidRDefault="00CA4DAC" w:rsidP="002A2EA6">
                            <w:pPr>
                              <w:spacing w:after="120"/>
                              <w:rPr>
                                <w:b/>
                                <w:bCs/>
                                <w:color w:val="000000"/>
                              </w:rPr>
                            </w:pPr>
                            <w:r w:rsidRPr="00483E01">
                              <w:rPr>
                                <w:rFonts w:ascii="Times New Roman Bold" w:hAnsi="Times New Roman Bold"/>
                                <w:b/>
                                <w:bCs/>
                              </w:rPr>
                              <w:t>Notes</w:t>
                            </w:r>
                            <w:r w:rsidRPr="00483E01">
                              <w:rPr>
                                <w:b/>
                                <w:bCs/>
                                <w:color w:val="000000"/>
                              </w:rPr>
                              <w:t> :</w:t>
                            </w:r>
                          </w:p>
                          <w:p w14:paraId="00A7A0D0" w14:textId="77F9657D" w:rsidR="00CA4DAC" w:rsidRPr="00483E01" w:rsidRDefault="00CA4DAC" w:rsidP="002A2EA6">
                            <w:pPr>
                              <w:spacing w:after="120"/>
                              <w:rPr>
                                <w:color w:val="000000"/>
                              </w:rPr>
                            </w:pPr>
                            <w:r w:rsidRPr="00483E01">
                              <w:rPr>
                                <w:color w:val="000000"/>
                              </w:rPr>
                              <w:t>Les communications écrites transmises par une Partie concernant son respect des dispositions conformément à l</w:t>
                            </w:r>
                            <w:r>
                              <w:rPr>
                                <w:color w:val="000000"/>
                              </w:rPr>
                              <w:t>’</w:t>
                            </w:r>
                            <w:r w:rsidRPr="00483E01">
                              <w:rPr>
                                <w:color w:val="000000"/>
                              </w:rPr>
                              <w:t>alinéa a) du paragraphe 4 de l</w:t>
                            </w:r>
                            <w:r>
                              <w:rPr>
                                <w:color w:val="000000"/>
                              </w:rPr>
                              <w:t>’</w:t>
                            </w:r>
                            <w:r w:rsidRPr="00483E01">
                              <w:rPr>
                                <w:color w:val="000000"/>
                              </w:rPr>
                              <w:t>article 15 de la Convention de Minamata sont adressées au Comité de mise en œuvre et du respect des obligations, par l</w:t>
                            </w:r>
                            <w:r>
                              <w:rPr>
                                <w:color w:val="000000"/>
                              </w:rPr>
                              <w:t>’</w:t>
                            </w:r>
                            <w:r w:rsidRPr="00483E01">
                              <w:rPr>
                                <w:color w:val="000000"/>
                              </w:rPr>
                              <w:t>intermédiaire du secrétariat, à l</w:t>
                            </w:r>
                            <w:r>
                              <w:rPr>
                                <w:color w:val="000000"/>
                              </w:rPr>
                              <w:t>’</w:t>
                            </w:r>
                            <w:r w:rsidRPr="00483E01">
                              <w:rPr>
                                <w:color w:val="000000"/>
                              </w:rPr>
                              <w:t>adresse suivante :</w:t>
                            </w:r>
                          </w:p>
                          <w:p w14:paraId="39D0F945" w14:textId="77777777" w:rsidR="00CA4DAC" w:rsidRPr="004846CE" w:rsidRDefault="00CA4DAC" w:rsidP="002A2EA6">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 xml:space="preserve">Secrétariat de la Convention de Minamata sur le mercure </w:t>
                            </w:r>
                          </w:p>
                          <w:p w14:paraId="20F79E44" w14:textId="5895175E" w:rsidR="00CA4DAC" w:rsidRPr="004846CE" w:rsidRDefault="00CA4DAC" w:rsidP="002A2EA6">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Programme des Nations Unies pour l</w:t>
                            </w:r>
                            <w:r>
                              <w:rPr>
                                <w:rFonts w:ascii="Times New Roman" w:eastAsia="Roboto" w:hAnsi="Times New Roman" w:cs="Times New Roman"/>
                                <w:spacing w:val="-7"/>
                                <w:sz w:val="20"/>
                                <w:szCs w:val="20"/>
                                <w:lang w:val="fr-FR"/>
                              </w:rPr>
                              <w:t>’</w:t>
                            </w:r>
                            <w:r w:rsidRPr="004846CE">
                              <w:rPr>
                                <w:rFonts w:ascii="Times New Roman" w:eastAsia="Roboto" w:hAnsi="Times New Roman" w:cs="Times New Roman"/>
                                <w:spacing w:val="-7"/>
                                <w:sz w:val="20"/>
                                <w:szCs w:val="20"/>
                                <w:lang w:val="fr-FR"/>
                              </w:rPr>
                              <w:t>environnement</w:t>
                            </w:r>
                          </w:p>
                          <w:p w14:paraId="567F5F9B" w14:textId="77777777" w:rsidR="00CA4DAC" w:rsidRPr="004846CE" w:rsidRDefault="00CA4DAC" w:rsidP="002A2EA6">
                            <w:pPr>
                              <w:pStyle w:val="Pardfaut"/>
                              <w:tabs>
                                <w:tab w:val="center" w:pos="4320"/>
                                <w:tab w:val="right" w:pos="8640"/>
                              </w:tabs>
                              <w:rPr>
                                <w:rFonts w:ascii="Times New Roman" w:eastAsia="Roboto" w:hAnsi="Times New Roman" w:cs="Times New Roman"/>
                                <w:sz w:val="20"/>
                                <w:szCs w:val="20"/>
                                <w:lang w:val="fr-FR"/>
                              </w:rPr>
                            </w:pPr>
                            <w:r w:rsidRPr="004846CE">
                              <w:rPr>
                                <w:rFonts w:ascii="Times New Roman" w:eastAsia="Roboto" w:hAnsi="Times New Roman" w:cs="Times New Roman"/>
                                <w:sz w:val="20"/>
                                <w:szCs w:val="20"/>
                                <w:lang w:val="fr-FR"/>
                              </w:rPr>
                              <w:t>Adresse postale : Avenue de la Paix 8</w:t>
                            </w:r>
                            <w:r w:rsidRPr="004846CE">
                              <w:rPr>
                                <w:rFonts w:eastAsia="SimSun"/>
                                <w:sz w:val="20"/>
                                <w:szCs w:val="20"/>
                                <w:lang w:val="fr-FR"/>
                              </w:rPr>
                              <w:t>–</w:t>
                            </w:r>
                            <w:r w:rsidRPr="004846CE">
                              <w:rPr>
                                <w:rFonts w:ascii="Times New Roman" w:eastAsia="Roboto" w:hAnsi="Times New Roman" w:cs="Times New Roman"/>
                                <w:sz w:val="20"/>
                                <w:szCs w:val="20"/>
                                <w:lang w:val="fr-FR"/>
                              </w:rPr>
                              <w:t xml:space="preserve">14, </w:t>
                            </w:r>
                            <w:r w:rsidRPr="004846CE">
                              <w:rPr>
                                <w:rFonts w:ascii="Times New Roman" w:eastAsia="Roboto" w:hAnsi="Times New Roman" w:cs="Times New Roman"/>
                                <w:spacing w:val="-7"/>
                                <w:sz w:val="20"/>
                                <w:szCs w:val="20"/>
                                <w:lang w:val="fr-FR"/>
                              </w:rPr>
                              <w:t>1211</w:t>
                            </w:r>
                            <w:r w:rsidRPr="004846CE">
                              <w:rPr>
                                <w:rFonts w:ascii="Times New Roman" w:eastAsia="Roboto" w:hAnsi="Times New Roman" w:cs="Times New Roman"/>
                                <w:sz w:val="20"/>
                                <w:szCs w:val="20"/>
                                <w:lang w:val="fr-FR"/>
                              </w:rPr>
                              <w:t xml:space="preserve"> Genève 10 (Suisse)</w:t>
                            </w:r>
                          </w:p>
                          <w:p w14:paraId="6F83B365" w14:textId="77777777" w:rsidR="00CA4DAC" w:rsidRPr="004846CE" w:rsidRDefault="00CA4DAC" w:rsidP="002A2EA6">
                            <w:pPr>
                              <w:pStyle w:val="Corps"/>
                              <w:spacing w:after="120"/>
                              <w:rPr>
                                <w:rStyle w:val="Hyperlink"/>
                                <w:rFonts w:eastAsia="Roboto Regular" w:cs="Times New Roman"/>
                                <w:spacing w:val="-7"/>
                              </w:rPr>
                            </w:pPr>
                            <w:r w:rsidRPr="004846CE">
                              <w:rPr>
                                <w:rFonts w:ascii="Times New Roman" w:eastAsia="Roboto" w:hAnsi="Times New Roman" w:cs="Times New Roman"/>
                                <w:spacing w:val="-7"/>
                                <w:sz w:val="20"/>
                                <w:szCs w:val="20"/>
                                <w:lang w:val="fr-FR"/>
                              </w:rPr>
                              <w:t xml:space="preserve">Adresse électronique : </w:t>
                            </w:r>
                            <w:hyperlink r:id="rId20" w:history="1">
                              <w:r w:rsidRPr="004846CE">
                                <w:rPr>
                                  <w:rStyle w:val="Hyperlink"/>
                                  <w:rFonts w:eastAsia="Roboto Regular" w:cs="Times New Roman"/>
                                  <w:spacing w:val="-7"/>
                                </w:rPr>
                                <w:t>mea-minamatasecretariat@un.org</w:t>
                              </w:r>
                            </w:hyperlink>
                          </w:p>
                          <w:p w14:paraId="2A860DB9" w14:textId="5A486B97" w:rsidR="00CA4DAC" w:rsidRPr="00483E01" w:rsidRDefault="00CA4DAC" w:rsidP="002A2EA6">
                            <w:pPr>
                              <w:spacing w:after="120"/>
                              <w:rPr>
                                <w:color w:val="000000"/>
                              </w:rPr>
                            </w:pPr>
                            <w:r w:rsidRPr="00483E01">
                              <w:rPr>
                                <w:color w:val="000000"/>
                              </w:rPr>
                              <w:t>Les communications écrites sont soumises dans l</w:t>
                            </w:r>
                            <w:r>
                              <w:rPr>
                                <w:color w:val="000000"/>
                              </w:rPr>
                              <w:t>’</w:t>
                            </w:r>
                            <w:r w:rsidRPr="00483E01">
                              <w:rPr>
                                <w:color w:val="000000"/>
                              </w:rPr>
                              <w:t>une des six langues officielles de l</w:t>
                            </w:r>
                            <w:r>
                              <w:rPr>
                                <w:color w:val="000000"/>
                              </w:rPr>
                              <w:t>’</w:t>
                            </w:r>
                            <w:r w:rsidRPr="00483E01">
                              <w:rPr>
                                <w:color w:val="000000"/>
                              </w:rPr>
                              <w:t xml:space="preserve">Organisation des Nations Unies, de préférence par voie électronique, et contiennent les éléments figurant dans le modèle joint en annexe. </w:t>
                            </w:r>
                          </w:p>
                          <w:p w14:paraId="73C93890" w14:textId="77777777" w:rsidR="00CA4DAC" w:rsidRPr="00483E01" w:rsidRDefault="00CA4DAC" w:rsidP="002A2EA6">
                            <w:pPr>
                              <w:spacing w:after="120"/>
                              <w:rPr>
                                <w:color w:val="000000"/>
                              </w:rPr>
                            </w:pPr>
                            <w:r w:rsidRPr="00483E01">
                              <w:rPr>
                                <w:color w:val="000000"/>
                              </w:rPr>
                              <w:t xml:space="preserve">Elles ne dépassent pas cinq pages. </w:t>
                            </w:r>
                          </w:p>
                          <w:p w14:paraId="098BDBA9" w14:textId="6DDBC6FA" w:rsidR="00CA4DAC" w:rsidRPr="00483E01" w:rsidRDefault="00CA4DAC" w:rsidP="002A2EA6">
                            <w:pPr>
                              <w:spacing w:after="120"/>
                              <w:rPr>
                                <w:color w:val="000000"/>
                              </w:rPr>
                            </w:pPr>
                            <w:r w:rsidRPr="00483E01">
                              <w:rPr>
                                <w:color w:val="000000"/>
                              </w:rPr>
                              <w:t>Afin d</w:t>
                            </w:r>
                            <w:r>
                              <w:rPr>
                                <w:color w:val="000000"/>
                              </w:rPr>
                              <w:t>’</w:t>
                            </w:r>
                            <w:r w:rsidRPr="00483E01">
                              <w:rPr>
                                <w:color w:val="000000"/>
                              </w:rPr>
                              <w:t>être examinée à la réunion suivante du Comité, la communication devrait parvenir au secrétariat au moins huit semaines avant le premier jour de la réunion en question.</w:t>
                            </w:r>
                            <w:r w:rsidRPr="00483E01">
                              <w:t xml:space="preserve"> </w:t>
                            </w:r>
                          </w:p>
                          <w:p w14:paraId="557692DF" w14:textId="088A27A3" w:rsidR="00CA4DAC" w:rsidRPr="00483E01" w:rsidRDefault="00CA4DAC" w:rsidP="002A2EA6">
                            <w:pPr>
                              <w:spacing w:after="120"/>
                              <w:rPr>
                                <w:color w:val="000000"/>
                              </w:rPr>
                            </w:pPr>
                            <w:r w:rsidRPr="00483E01">
                              <w:rPr>
                                <w:color w:val="000000"/>
                              </w:rPr>
                              <w:t>Lorsque le Comité examine une question sur la base d</w:t>
                            </w:r>
                            <w:r>
                              <w:rPr>
                                <w:color w:val="000000"/>
                              </w:rPr>
                              <w:t>’</w:t>
                            </w:r>
                            <w:r w:rsidRPr="00483E01">
                              <w:rPr>
                                <w:color w:val="000000"/>
                              </w:rPr>
                              <w:t>une communication spécifique au sujet du</w:t>
                            </w:r>
                            <w:r>
                              <w:rPr>
                                <w:color w:val="000000"/>
                              </w:rPr>
                              <w:t> </w:t>
                            </w:r>
                            <w:r w:rsidRPr="00483E01">
                              <w:rPr>
                                <w:color w:val="000000"/>
                              </w:rPr>
                              <w:t>respect des dispositions par une Partie, cette dernière est invitée à participer à l</w:t>
                            </w:r>
                            <w:r>
                              <w:rPr>
                                <w:color w:val="000000"/>
                              </w:rPr>
                              <w:t>’</w:t>
                            </w:r>
                            <w:r w:rsidRPr="00483E01">
                              <w:rPr>
                                <w:color w:val="000000"/>
                              </w:rPr>
                              <w:t>examen de la</w:t>
                            </w:r>
                            <w:r>
                              <w:rPr>
                                <w:color w:val="000000"/>
                              </w:rPr>
                              <w:t> </w:t>
                            </w:r>
                            <w:r w:rsidRPr="00483E01">
                              <w:rPr>
                                <w:color w:val="000000"/>
                              </w:rPr>
                              <w:t>question par le Comité. Ces séances ne sont pas ouvertes aux observateurs, à moins que le</w:t>
                            </w:r>
                            <w:r>
                              <w:rPr>
                                <w:color w:val="000000"/>
                              </w:rPr>
                              <w:t> </w:t>
                            </w:r>
                            <w:r w:rsidRPr="00483E01">
                              <w:rPr>
                                <w:color w:val="000000"/>
                              </w:rPr>
                              <w:t>Comité et la Partie concernée n</w:t>
                            </w:r>
                            <w:r>
                              <w:rPr>
                                <w:color w:val="000000"/>
                              </w:rPr>
                              <w:t>’</w:t>
                            </w:r>
                            <w:r w:rsidRPr="00483E01">
                              <w:rPr>
                                <w:color w:val="000000"/>
                              </w:rPr>
                              <w:t>en conviennent autrement. Les observateurs ne peuvent pas non plus assister aux délibérations destinées à élaborer des recommandations ni aux votes concernant les recommandations.</w:t>
                            </w:r>
                          </w:p>
                          <w:p w14:paraId="40ED62DB" w14:textId="625A93E6" w:rsidR="00CA4DAC" w:rsidRPr="00483E01" w:rsidRDefault="00CA4DAC" w:rsidP="002A2EA6">
                            <w:pPr>
                              <w:spacing w:after="120"/>
                              <w:rPr>
                                <w:color w:val="000000"/>
                              </w:rPr>
                            </w:pPr>
                            <w:r w:rsidRPr="00483E01">
                              <w:rPr>
                                <w:color w:val="000000"/>
                              </w:rPr>
                              <w:t>Des informations supplémentaires peuvent être demandées par le Comité, si nécessaire. La Partie concernée peut soumettre à l</w:t>
                            </w:r>
                            <w:r>
                              <w:rPr>
                                <w:color w:val="000000"/>
                              </w:rPr>
                              <w:t>’</w:t>
                            </w:r>
                            <w:r w:rsidRPr="00483E01">
                              <w:rPr>
                                <w:color w:val="000000"/>
                              </w:rPr>
                              <w:t>attention du Comité, par l</w:t>
                            </w:r>
                            <w:r>
                              <w:rPr>
                                <w:color w:val="000000"/>
                              </w:rPr>
                              <w:t>’</w:t>
                            </w:r>
                            <w:r w:rsidRPr="00483E01">
                              <w:rPr>
                                <w:color w:val="000000"/>
                              </w:rPr>
                              <w:t>intermédiaire du secrétariat, de telles informations supplémentaires pertinentes dans les deux semaines suivant la réception de la</w:t>
                            </w:r>
                            <w:r>
                              <w:rPr>
                                <w:color w:val="000000"/>
                              </w:rPr>
                              <w:t> </w:t>
                            </w:r>
                            <w:r w:rsidRPr="00483E01">
                              <w:rPr>
                                <w:color w:val="000000"/>
                              </w:rPr>
                              <w:t>demande du Comité.</w:t>
                            </w:r>
                          </w:p>
                          <w:p w14:paraId="6DF65056" w14:textId="30527CE1" w:rsidR="00CA4DAC" w:rsidRPr="00483E01" w:rsidRDefault="00CA4DAC" w:rsidP="002A2EA6">
                            <w:pPr>
                              <w:spacing w:after="120"/>
                              <w:rPr>
                                <w:color w:val="000000"/>
                              </w:rPr>
                            </w:pPr>
                            <w:r w:rsidRPr="00483E01">
                              <w:rPr>
                                <w:color w:val="000000"/>
                              </w:rPr>
                              <w:t>Dans le cas où des informations supplémentaires sont soumises dans une langue officielle de</w:t>
                            </w:r>
                            <w:r>
                              <w:rPr>
                                <w:color w:val="000000"/>
                              </w:rPr>
                              <w:t> </w:t>
                            </w:r>
                            <w:r w:rsidRPr="00483E01">
                              <w:rPr>
                                <w:color w:val="000000"/>
                              </w:rPr>
                              <w:t>l</w:t>
                            </w:r>
                            <w:r>
                              <w:rPr>
                                <w:color w:val="000000"/>
                              </w:rPr>
                              <w:t>’</w:t>
                            </w:r>
                            <w:r w:rsidRPr="00483E01">
                              <w:rPr>
                                <w:color w:val="000000"/>
                              </w:rPr>
                              <w:t>Organisation des Nations Unies autre que l</w:t>
                            </w:r>
                            <w:r>
                              <w:rPr>
                                <w:color w:val="000000"/>
                              </w:rPr>
                              <w:t>’</w:t>
                            </w:r>
                            <w:r w:rsidRPr="00483E01">
                              <w:rPr>
                                <w:color w:val="000000"/>
                              </w:rPr>
                              <w:t>anglais et ne peuvent pas être traduites avant la</w:t>
                            </w:r>
                            <w:r>
                              <w:rPr>
                                <w:color w:val="000000"/>
                              </w:rPr>
                              <w:t> </w:t>
                            </w:r>
                            <w:r w:rsidRPr="00483E01">
                              <w:rPr>
                                <w:color w:val="000000"/>
                              </w:rPr>
                              <w:t>réunion durant laquelle elles doivent être examinées, les informations peuvent être présentées à cette réunion en étant interprétées vers l</w:t>
                            </w:r>
                            <w:r>
                              <w:rPr>
                                <w:color w:val="000000"/>
                              </w:rPr>
                              <w:t>’</w:t>
                            </w:r>
                            <w:r w:rsidRPr="00483E01">
                              <w:rPr>
                                <w:color w:val="000000"/>
                              </w:rPr>
                              <w:t>anglais conformément à l</w:t>
                            </w:r>
                            <w:r>
                              <w:rPr>
                                <w:color w:val="000000"/>
                              </w:rPr>
                              <w:t>’</w:t>
                            </w:r>
                            <w:r w:rsidRPr="00483E01">
                              <w:rPr>
                                <w:color w:val="000000"/>
                              </w:rPr>
                              <w:t>article 39 du Règlement intérieur.</w:t>
                            </w:r>
                          </w:p>
                          <w:p w14:paraId="1D74D8D9" w14:textId="3A42BDB8" w:rsidR="00CA4DAC" w:rsidRPr="00483E01" w:rsidRDefault="00CA4DAC" w:rsidP="002A2EA6">
                            <w:pPr>
                              <w:spacing w:after="120"/>
                              <w:rPr>
                                <w:color w:val="000000"/>
                              </w:rPr>
                            </w:pPr>
                            <w:r w:rsidRPr="00483E01">
                              <w:rPr>
                                <w:color w:val="000000"/>
                              </w:rPr>
                              <w:t>La Partie concernée peut également soumettre des informations pertinentes additionnelles de</w:t>
                            </w:r>
                            <w:r>
                              <w:rPr>
                                <w:color w:val="000000"/>
                              </w:rPr>
                              <w:t> </w:t>
                            </w:r>
                            <w:r w:rsidRPr="00483E01">
                              <w:rPr>
                                <w:color w:val="000000"/>
                              </w:rPr>
                              <w:t>sa</w:t>
                            </w:r>
                            <w:r>
                              <w:rPr>
                                <w:color w:val="000000"/>
                              </w:rPr>
                              <w:t> </w:t>
                            </w:r>
                            <w:r w:rsidRPr="00483E01">
                              <w:rPr>
                                <w:color w:val="000000"/>
                              </w:rPr>
                              <w:t>propre initiative, au moins cinq semaines avant l</w:t>
                            </w:r>
                            <w:r>
                              <w:rPr>
                                <w:color w:val="000000"/>
                              </w:rPr>
                              <w:t>’</w:t>
                            </w:r>
                            <w:r w:rsidRPr="00483E01">
                              <w:rPr>
                                <w:color w:val="000000"/>
                              </w:rPr>
                              <w:t>ouverture de la réunion durant laquelle sa</w:t>
                            </w:r>
                            <w:r>
                              <w:rPr>
                                <w:color w:val="000000"/>
                              </w:rPr>
                              <w:t> </w:t>
                            </w:r>
                            <w:r w:rsidRPr="00483E01">
                              <w:rPr>
                                <w:color w:val="000000"/>
                              </w:rPr>
                              <w:t>communication doit être examinée. De telles informations additionnelles devraient comprendre un résumé en anglais de deux pages maximum.</w:t>
                            </w:r>
                          </w:p>
                          <w:p w14:paraId="26AFBC00" w14:textId="6533D991" w:rsidR="00CA4DAC" w:rsidRPr="00483E01" w:rsidRDefault="00CA4DAC" w:rsidP="002A2EA6">
                            <w:pPr>
                              <w:pStyle w:val="Corps"/>
                              <w:spacing w:after="120"/>
                              <w:rPr>
                                <w:rFonts w:ascii="Times New Roman" w:hAnsi="Times New Roman" w:cs="Times New Roman"/>
                                <w:sz w:val="20"/>
                                <w:szCs w:val="20"/>
                                <w:lang w:val="fr-FR"/>
                              </w:rPr>
                            </w:pPr>
                            <w:r w:rsidRPr="00483E01">
                              <w:rPr>
                                <w:rFonts w:ascii="Times New Roman" w:hAnsi="Times New Roman" w:cs="Times New Roman"/>
                                <w:sz w:val="20"/>
                                <w:szCs w:val="20"/>
                                <w:lang w:val="fr-FR"/>
                              </w:rPr>
                              <w:t>Pour de plus amples informations concernant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examen par le Comité des communications écrites transmises par une Partie concernant son respect des dispositions, veuillez vous référer au Règlement intérieur et au mandat du Comité, qui sont disponibles à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 xml:space="preserve">adresse suivante : </w:t>
                            </w:r>
                            <w:hyperlink r:id="rId21" w:history="1">
                              <w:r w:rsidRPr="00483E01">
                                <w:rPr>
                                  <w:rStyle w:val="Hyperlink"/>
                                  <w:rFonts w:cs="Times New Roman"/>
                                </w:rPr>
                                <w:t>http://www.mercuryconvention.org/Accueil/tabid/5576/language/fr-CH/Default.aspx</w:t>
                              </w:r>
                            </w:hyperlink>
                            <w:r w:rsidRPr="00483E01">
                              <w:rPr>
                                <w:rFonts w:ascii="Times New Roman" w:hAnsi="Times New Roman" w:cs="Times New Roman"/>
                                <w:sz w:val="20"/>
                                <w:szCs w:val="20"/>
                                <w:lang w:val="fr-FR"/>
                              </w:rPr>
                              <w:t>.</w:t>
                            </w:r>
                          </w:p>
                        </w:txbxContent>
                      </wps:txbx>
                      <wps:bodyPr rot="0" vert="horz" wrap="square" lIns="91440" tIns="45720" rIns="91440" bIns="45720" anchor="t" anchorCtr="0">
                        <a:noAutofit/>
                      </wps:bodyPr>
                    </wps:wsp>
                  </a:graphicData>
                </a:graphic>
              </wp:inline>
            </w:drawing>
          </mc:Choice>
          <mc:Fallback>
            <w:pict>
              <v:shapetype w14:anchorId="0ABDEFF7" id="_x0000_t202" coordsize="21600,21600" o:spt="202" path="m,l,21600r21600,l21600,xe">
                <v:stroke joinstyle="miter"/>
                <v:path gradientshapeok="t" o:connecttype="rect"/>
              </v:shapetype>
              <v:shape id="Zone de texte 1" o:spid="_x0000_s1026" type="#_x0000_t202" style="width:410.85pt;height:5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" fillcolor="#d9d9d9" stroked="f">
                <v:textbox>
                  <w:txbxContent>
                    <w:p w14:paraId="081AA138" w14:textId="77777777" w:rsidR="00CA4DAC" w:rsidRPr="00483E01" w:rsidRDefault="00CA4DAC" w:rsidP="002A2EA6">
                      <w:pPr>
                        <w:spacing w:after="120"/>
                        <w:rPr>
                          <w:b/>
                          <w:bCs/>
                          <w:color w:val="000000"/>
                        </w:rPr>
                      </w:pPr>
                      <w:r w:rsidRPr="00483E01">
                        <w:rPr>
                          <w:rFonts w:ascii="Times New Roman Bold" w:hAnsi="Times New Roman Bold"/>
                          <w:b/>
                          <w:bCs/>
                        </w:rPr>
                        <w:t>Notes</w:t>
                      </w:r>
                      <w:r w:rsidRPr="00483E01">
                        <w:rPr>
                          <w:b/>
                          <w:bCs/>
                          <w:color w:val="000000"/>
                        </w:rPr>
                        <w:t> :</w:t>
                      </w:r>
                    </w:p>
                    <w:p w14:paraId="00A7A0D0" w14:textId="77F9657D" w:rsidR="00CA4DAC" w:rsidRPr="00483E01" w:rsidRDefault="00CA4DAC" w:rsidP="002A2EA6">
                      <w:pPr>
                        <w:spacing w:after="120"/>
                        <w:rPr>
                          <w:color w:val="000000"/>
                        </w:rPr>
                      </w:pPr>
                      <w:r w:rsidRPr="00483E01">
                        <w:rPr>
                          <w:color w:val="000000"/>
                        </w:rPr>
                        <w:t>Les communications écrites transmises par une Partie concernant son respect des dispositions conformément à l</w:t>
                      </w:r>
                      <w:r>
                        <w:rPr>
                          <w:color w:val="000000"/>
                        </w:rPr>
                        <w:t>’</w:t>
                      </w:r>
                      <w:r w:rsidRPr="00483E01">
                        <w:rPr>
                          <w:color w:val="000000"/>
                        </w:rPr>
                        <w:t>alinéa a) du paragraphe 4 de l</w:t>
                      </w:r>
                      <w:r>
                        <w:rPr>
                          <w:color w:val="000000"/>
                        </w:rPr>
                        <w:t>’</w:t>
                      </w:r>
                      <w:r w:rsidRPr="00483E01">
                        <w:rPr>
                          <w:color w:val="000000"/>
                        </w:rPr>
                        <w:t>article 15 de la Convention de Minamata sont adressées au Comité de mise en œuvre et du respect des obligations, par l</w:t>
                      </w:r>
                      <w:r>
                        <w:rPr>
                          <w:color w:val="000000"/>
                        </w:rPr>
                        <w:t>’</w:t>
                      </w:r>
                      <w:r w:rsidRPr="00483E01">
                        <w:rPr>
                          <w:color w:val="000000"/>
                        </w:rPr>
                        <w:t>intermédiaire du secrétariat, à l</w:t>
                      </w:r>
                      <w:r>
                        <w:rPr>
                          <w:color w:val="000000"/>
                        </w:rPr>
                        <w:t>’</w:t>
                      </w:r>
                      <w:r w:rsidRPr="00483E01">
                        <w:rPr>
                          <w:color w:val="000000"/>
                        </w:rPr>
                        <w:t>adresse suivante :</w:t>
                      </w:r>
                    </w:p>
                    <w:p w14:paraId="39D0F945" w14:textId="77777777" w:rsidR="00CA4DAC" w:rsidRPr="004846CE" w:rsidRDefault="00CA4DAC" w:rsidP="002A2EA6">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 xml:space="preserve">Secrétariat de la Convention de Minamata sur le mercure </w:t>
                      </w:r>
                    </w:p>
                    <w:p w14:paraId="20F79E44" w14:textId="5895175E" w:rsidR="00CA4DAC" w:rsidRPr="004846CE" w:rsidRDefault="00CA4DAC" w:rsidP="002A2EA6">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Programme des Nations Unies pour l</w:t>
                      </w:r>
                      <w:r>
                        <w:rPr>
                          <w:rFonts w:ascii="Times New Roman" w:eastAsia="Roboto" w:hAnsi="Times New Roman" w:cs="Times New Roman"/>
                          <w:spacing w:val="-7"/>
                          <w:sz w:val="20"/>
                          <w:szCs w:val="20"/>
                          <w:lang w:val="fr-FR"/>
                        </w:rPr>
                        <w:t>’</w:t>
                      </w:r>
                      <w:r w:rsidRPr="004846CE">
                        <w:rPr>
                          <w:rFonts w:ascii="Times New Roman" w:eastAsia="Roboto" w:hAnsi="Times New Roman" w:cs="Times New Roman"/>
                          <w:spacing w:val="-7"/>
                          <w:sz w:val="20"/>
                          <w:szCs w:val="20"/>
                          <w:lang w:val="fr-FR"/>
                        </w:rPr>
                        <w:t>environnement</w:t>
                      </w:r>
                    </w:p>
                    <w:p w14:paraId="567F5F9B" w14:textId="77777777" w:rsidR="00CA4DAC" w:rsidRPr="004846CE" w:rsidRDefault="00CA4DAC" w:rsidP="002A2EA6">
                      <w:pPr>
                        <w:pStyle w:val="Pardfaut"/>
                        <w:tabs>
                          <w:tab w:val="center" w:pos="4320"/>
                          <w:tab w:val="right" w:pos="8640"/>
                        </w:tabs>
                        <w:rPr>
                          <w:rFonts w:ascii="Times New Roman" w:eastAsia="Roboto" w:hAnsi="Times New Roman" w:cs="Times New Roman"/>
                          <w:sz w:val="20"/>
                          <w:szCs w:val="20"/>
                          <w:lang w:val="fr-FR"/>
                        </w:rPr>
                      </w:pPr>
                      <w:r w:rsidRPr="004846CE">
                        <w:rPr>
                          <w:rFonts w:ascii="Times New Roman" w:eastAsia="Roboto" w:hAnsi="Times New Roman" w:cs="Times New Roman"/>
                          <w:sz w:val="20"/>
                          <w:szCs w:val="20"/>
                          <w:lang w:val="fr-FR"/>
                        </w:rPr>
                        <w:t>Adresse postale : Avenue de la Paix 8</w:t>
                      </w:r>
                      <w:r w:rsidRPr="004846CE">
                        <w:rPr>
                          <w:rFonts w:eastAsia="SimSun"/>
                          <w:sz w:val="20"/>
                          <w:szCs w:val="20"/>
                          <w:lang w:val="fr-FR"/>
                        </w:rPr>
                        <w:t>–</w:t>
                      </w:r>
                      <w:r w:rsidRPr="004846CE">
                        <w:rPr>
                          <w:rFonts w:ascii="Times New Roman" w:eastAsia="Roboto" w:hAnsi="Times New Roman" w:cs="Times New Roman"/>
                          <w:sz w:val="20"/>
                          <w:szCs w:val="20"/>
                          <w:lang w:val="fr-FR"/>
                        </w:rPr>
                        <w:t xml:space="preserve">14, </w:t>
                      </w:r>
                      <w:r w:rsidRPr="004846CE">
                        <w:rPr>
                          <w:rFonts w:ascii="Times New Roman" w:eastAsia="Roboto" w:hAnsi="Times New Roman" w:cs="Times New Roman"/>
                          <w:spacing w:val="-7"/>
                          <w:sz w:val="20"/>
                          <w:szCs w:val="20"/>
                          <w:lang w:val="fr-FR"/>
                        </w:rPr>
                        <w:t>1211</w:t>
                      </w:r>
                      <w:r w:rsidRPr="004846CE">
                        <w:rPr>
                          <w:rFonts w:ascii="Times New Roman" w:eastAsia="Roboto" w:hAnsi="Times New Roman" w:cs="Times New Roman"/>
                          <w:sz w:val="20"/>
                          <w:szCs w:val="20"/>
                          <w:lang w:val="fr-FR"/>
                        </w:rPr>
                        <w:t xml:space="preserve"> Genève 10 (Suisse)</w:t>
                      </w:r>
                    </w:p>
                    <w:p w14:paraId="6F83B365" w14:textId="77777777" w:rsidR="00CA4DAC" w:rsidRPr="004846CE" w:rsidRDefault="00CA4DAC" w:rsidP="002A2EA6">
                      <w:pPr>
                        <w:pStyle w:val="Corps"/>
                        <w:spacing w:after="120"/>
                        <w:rPr>
                          <w:rStyle w:val="Hyperlink"/>
                          <w:rFonts w:eastAsia="Roboto Regular" w:cs="Times New Roman"/>
                          <w:spacing w:val="-7"/>
                        </w:rPr>
                      </w:pPr>
                      <w:r w:rsidRPr="004846CE">
                        <w:rPr>
                          <w:rFonts w:ascii="Times New Roman" w:eastAsia="Roboto" w:hAnsi="Times New Roman" w:cs="Times New Roman"/>
                          <w:spacing w:val="-7"/>
                          <w:sz w:val="20"/>
                          <w:szCs w:val="20"/>
                          <w:lang w:val="fr-FR"/>
                        </w:rPr>
                        <w:t xml:space="preserve">Adresse électronique : </w:t>
                      </w:r>
                      <w:hyperlink r:id="rId22" w:history="1">
                        <w:r w:rsidRPr="004846CE">
                          <w:rPr>
                            <w:rStyle w:val="Hyperlink"/>
                            <w:rFonts w:eastAsia="Roboto Regular" w:cs="Times New Roman"/>
                            <w:spacing w:val="-7"/>
                          </w:rPr>
                          <w:t>mea-minamatasecretariat@un.org</w:t>
                        </w:r>
                      </w:hyperlink>
                    </w:p>
                    <w:p w14:paraId="2A860DB9" w14:textId="5A486B97" w:rsidR="00CA4DAC" w:rsidRPr="00483E01" w:rsidRDefault="00CA4DAC" w:rsidP="002A2EA6">
                      <w:pPr>
                        <w:spacing w:after="120"/>
                        <w:rPr>
                          <w:color w:val="000000"/>
                        </w:rPr>
                      </w:pPr>
                      <w:r w:rsidRPr="00483E01">
                        <w:rPr>
                          <w:color w:val="000000"/>
                        </w:rPr>
                        <w:t>Les communications écrites sont soumises dans l</w:t>
                      </w:r>
                      <w:r>
                        <w:rPr>
                          <w:color w:val="000000"/>
                        </w:rPr>
                        <w:t>’</w:t>
                      </w:r>
                      <w:r w:rsidRPr="00483E01">
                        <w:rPr>
                          <w:color w:val="000000"/>
                        </w:rPr>
                        <w:t>une des six langues officielles de l</w:t>
                      </w:r>
                      <w:r>
                        <w:rPr>
                          <w:color w:val="000000"/>
                        </w:rPr>
                        <w:t>’</w:t>
                      </w:r>
                      <w:r w:rsidRPr="00483E01">
                        <w:rPr>
                          <w:color w:val="000000"/>
                        </w:rPr>
                        <w:t xml:space="preserve">Organisation des Nations Unies, de préférence par voie électronique, et contiennent les éléments figurant dans le modèle joint en annexe. </w:t>
                      </w:r>
                    </w:p>
                    <w:p w14:paraId="73C93890" w14:textId="77777777" w:rsidR="00CA4DAC" w:rsidRPr="00483E01" w:rsidRDefault="00CA4DAC" w:rsidP="002A2EA6">
                      <w:pPr>
                        <w:spacing w:after="120"/>
                        <w:rPr>
                          <w:color w:val="000000"/>
                        </w:rPr>
                      </w:pPr>
                      <w:r w:rsidRPr="00483E01">
                        <w:rPr>
                          <w:color w:val="000000"/>
                        </w:rPr>
                        <w:t xml:space="preserve">Elles ne dépassent pas cinq pages. </w:t>
                      </w:r>
                    </w:p>
                    <w:p w14:paraId="098BDBA9" w14:textId="6DDBC6FA" w:rsidR="00CA4DAC" w:rsidRPr="00483E01" w:rsidRDefault="00CA4DAC" w:rsidP="002A2EA6">
                      <w:pPr>
                        <w:spacing w:after="120"/>
                        <w:rPr>
                          <w:color w:val="000000"/>
                        </w:rPr>
                      </w:pPr>
                      <w:r w:rsidRPr="00483E01">
                        <w:rPr>
                          <w:color w:val="000000"/>
                        </w:rPr>
                        <w:t>Afin d</w:t>
                      </w:r>
                      <w:r>
                        <w:rPr>
                          <w:color w:val="000000"/>
                        </w:rPr>
                        <w:t>’</w:t>
                      </w:r>
                      <w:r w:rsidRPr="00483E01">
                        <w:rPr>
                          <w:color w:val="000000"/>
                        </w:rPr>
                        <w:t>être examinée à la réunion suivante du Comité, la communication devrait parvenir au secrétariat au moins huit semaines avant le premier jour de la réunion en question.</w:t>
                      </w:r>
                      <w:r w:rsidRPr="00483E01">
                        <w:t xml:space="preserve"> </w:t>
                      </w:r>
                    </w:p>
                    <w:p w14:paraId="557692DF" w14:textId="088A27A3" w:rsidR="00CA4DAC" w:rsidRPr="00483E01" w:rsidRDefault="00CA4DAC" w:rsidP="002A2EA6">
                      <w:pPr>
                        <w:spacing w:after="120"/>
                        <w:rPr>
                          <w:color w:val="000000"/>
                        </w:rPr>
                      </w:pPr>
                      <w:r w:rsidRPr="00483E01">
                        <w:rPr>
                          <w:color w:val="000000"/>
                        </w:rPr>
                        <w:t>Lorsque le Comité examine une question sur la base d</w:t>
                      </w:r>
                      <w:r>
                        <w:rPr>
                          <w:color w:val="000000"/>
                        </w:rPr>
                        <w:t>’</w:t>
                      </w:r>
                      <w:r w:rsidRPr="00483E01">
                        <w:rPr>
                          <w:color w:val="000000"/>
                        </w:rPr>
                        <w:t>une communication spécifique au sujet du</w:t>
                      </w:r>
                      <w:r>
                        <w:rPr>
                          <w:color w:val="000000"/>
                        </w:rPr>
                        <w:t> </w:t>
                      </w:r>
                      <w:r w:rsidRPr="00483E01">
                        <w:rPr>
                          <w:color w:val="000000"/>
                        </w:rPr>
                        <w:t>respect des dispositions par une Partie, cette dernière est invitée à participer à l</w:t>
                      </w:r>
                      <w:r>
                        <w:rPr>
                          <w:color w:val="000000"/>
                        </w:rPr>
                        <w:t>’</w:t>
                      </w:r>
                      <w:r w:rsidRPr="00483E01">
                        <w:rPr>
                          <w:color w:val="000000"/>
                        </w:rPr>
                        <w:t>examen de la</w:t>
                      </w:r>
                      <w:r>
                        <w:rPr>
                          <w:color w:val="000000"/>
                        </w:rPr>
                        <w:t> </w:t>
                      </w:r>
                      <w:r w:rsidRPr="00483E01">
                        <w:rPr>
                          <w:color w:val="000000"/>
                        </w:rPr>
                        <w:t>question par le Comité. Ces séances ne sont pas ouvertes aux observateurs, à moins que le</w:t>
                      </w:r>
                      <w:r>
                        <w:rPr>
                          <w:color w:val="000000"/>
                        </w:rPr>
                        <w:t> </w:t>
                      </w:r>
                      <w:r w:rsidRPr="00483E01">
                        <w:rPr>
                          <w:color w:val="000000"/>
                        </w:rPr>
                        <w:t>Comité et la Partie concernée n</w:t>
                      </w:r>
                      <w:r>
                        <w:rPr>
                          <w:color w:val="000000"/>
                        </w:rPr>
                        <w:t>’</w:t>
                      </w:r>
                      <w:r w:rsidRPr="00483E01">
                        <w:rPr>
                          <w:color w:val="000000"/>
                        </w:rPr>
                        <w:t>en conviennent autrement. Les observateurs ne peuvent pas non plus assister aux délibérations destinées à élaborer des recommandations ni aux votes concernant les recommandations.</w:t>
                      </w:r>
                    </w:p>
                    <w:p w14:paraId="40ED62DB" w14:textId="625A93E6" w:rsidR="00CA4DAC" w:rsidRPr="00483E01" w:rsidRDefault="00CA4DAC" w:rsidP="002A2EA6">
                      <w:pPr>
                        <w:spacing w:after="120"/>
                        <w:rPr>
                          <w:color w:val="000000"/>
                        </w:rPr>
                      </w:pPr>
                      <w:r w:rsidRPr="00483E01">
                        <w:rPr>
                          <w:color w:val="000000"/>
                        </w:rPr>
                        <w:t>Des informations supplémentaires peuvent être demandées par le Comité, si nécessaire. La Partie concernée peut soumettre à l</w:t>
                      </w:r>
                      <w:r>
                        <w:rPr>
                          <w:color w:val="000000"/>
                        </w:rPr>
                        <w:t>’</w:t>
                      </w:r>
                      <w:r w:rsidRPr="00483E01">
                        <w:rPr>
                          <w:color w:val="000000"/>
                        </w:rPr>
                        <w:t>attention du Comité, par l</w:t>
                      </w:r>
                      <w:r>
                        <w:rPr>
                          <w:color w:val="000000"/>
                        </w:rPr>
                        <w:t>’</w:t>
                      </w:r>
                      <w:r w:rsidRPr="00483E01">
                        <w:rPr>
                          <w:color w:val="000000"/>
                        </w:rPr>
                        <w:t>intermédiaire du secrétariat, de telles informations supplémentaires pertinentes dans les deux semaines suivant la réception de la</w:t>
                      </w:r>
                      <w:r>
                        <w:rPr>
                          <w:color w:val="000000"/>
                        </w:rPr>
                        <w:t> </w:t>
                      </w:r>
                      <w:r w:rsidRPr="00483E01">
                        <w:rPr>
                          <w:color w:val="000000"/>
                        </w:rPr>
                        <w:t>demande du Comité.</w:t>
                      </w:r>
                    </w:p>
                    <w:p w14:paraId="6DF65056" w14:textId="30527CE1" w:rsidR="00CA4DAC" w:rsidRPr="00483E01" w:rsidRDefault="00CA4DAC" w:rsidP="002A2EA6">
                      <w:pPr>
                        <w:spacing w:after="120"/>
                        <w:rPr>
                          <w:color w:val="000000"/>
                        </w:rPr>
                      </w:pPr>
                      <w:r w:rsidRPr="00483E01">
                        <w:rPr>
                          <w:color w:val="000000"/>
                        </w:rPr>
                        <w:t>Dans le cas où des informations supplémentaires sont soumises dans une langue officielle de</w:t>
                      </w:r>
                      <w:r>
                        <w:rPr>
                          <w:color w:val="000000"/>
                        </w:rPr>
                        <w:t> </w:t>
                      </w:r>
                      <w:r w:rsidRPr="00483E01">
                        <w:rPr>
                          <w:color w:val="000000"/>
                        </w:rPr>
                        <w:t>l</w:t>
                      </w:r>
                      <w:r>
                        <w:rPr>
                          <w:color w:val="000000"/>
                        </w:rPr>
                        <w:t>’</w:t>
                      </w:r>
                      <w:r w:rsidRPr="00483E01">
                        <w:rPr>
                          <w:color w:val="000000"/>
                        </w:rPr>
                        <w:t>Organisation des Nations Unies autre que l</w:t>
                      </w:r>
                      <w:r>
                        <w:rPr>
                          <w:color w:val="000000"/>
                        </w:rPr>
                        <w:t>’</w:t>
                      </w:r>
                      <w:r w:rsidRPr="00483E01">
                        <w:rPr>
                          <w:color w:val="000000"/>
                        </w:rPr>
                        <w:t>anglais et ne peuvent pas être traduites avant la</w:t>
                      </w:r>
                      <w:r>
                        <w:rPr>
                          <w:color w:val="000000"/>
                        </w:rPr>
                        <w:t> </w:t>
                      </w:r>
                      <w:r w:rsidRPr="00483E01">
                        <w:rPr>
                          <w:color w:val="000000"/>
                        </w:rPr>
                        <w:t>réunion durant laquelle elles doivent être examinées, les informations peuvent être présentées à cette réunion en étant interprétées vers l</w:t>
                      </w:r>
                      <w:r>
                        <w:rPr>
                          <w:color w:val="000000"/>
                        </w:rPr>
                        <w:t>’</w:t>
                      </w:r>
                      <w:r w:rsidRPr="00483E01">
                        <w:rPr>
                          <w:color w:val="000000"/>
                        </w:rPr>
                        <w:t>anglais conformément à l</w:t>
                      </w:r>
                      <w:r>
                        <w:rPr>
                          <w:color w:val="000000"/>
                        </w:rPr>
                        <w:t>’</w:t>
                      </w:r>
                      <w:r w:rsidRPr="00483E01">
                        <w:rPr>
                          <w:color w:val="000000"/>
                        </w:rPr>
                        <w:t>article 39 du Règlement intérieur.</w:t>
                      </w:r>
                    </w:p>
                    <w:p w14:paraId="1D74D8D9" w14:textId="3A42BDB8" w:rsidR="00CA4DAC" w:rsidRPr="00483E01" w:rsidRDefault="00CA4DAC" w:rsidP="002A2EA6">
                      <w:pPr>
                        <w:spacing w:after="120"/>
                        <w:rPr>
                          <w:color w:val="000000"/>
                        </w:rPr>
                      </w:pPr>
                      <w:r w:rsidRPr="00483E01">
                        <w:rPr>
                          <w:color w:val="000000"/>
                        </w:rPr>
                        <w:t>La Partie concernée peut également soumettre des informations pertinentes additionnelles de</w:t>
                      </w:r>
                      <w:r>
                        <w:rPr>
                          <w:color w:val="000000"/>
                        </w:rPr>
                        <w:t> </w:t>
                      </w:r>
                      <w:r w:rsidRPr="00483E01">
                        <w:rPr>
                          <w:color w:val="000000"/>
                        </w:rPr>
                        <w:t>sa</w:t>
                      </w:r>
                      <w:r>
                        <w:rPr>
                          <w:color w:val="000000"/>
                        </w:rPr>
                        <w:t> </w:t>
                      </w:r>
                      <w:r w:rsidRPr="00483E01">
                        <w:rPr>
                          <w:color w:val="000000"/>
                        </w:rPr>
                        <w:t>propre initiative, au moins cinq semaines avant l</w:t>
                      </w:r>
                      <w:r>
                        <w:rPr>
                          <w:color w:val="000000"/>
                        </w:rPr>
                        <w:t>’</w:t>
                      </w:r>
                      <w:r w:rsidRPr="00483E01">
                        <w:rPr>
                          <w:color w:val="000000"/>
                        </w:rPr>
                        <w:t>ouverture de la réunion durant laquelle sa</w:t>
                      </w:r>
                      <w:r>
                        <w:rPr>
                          <w:color w:val="000000"/>
                        </w:rPr>
                        <w:t> </w:t>
                      </w:r>
                      <w:r w:rsidRPr="00483E01">
                        <w:rPr>
                          <w:color w:val="000000"/>
                        </w:rPr>
                        <w:t>communication doit être examinée. De telles informations additionnelles devraient comprendre un résumé en anglais de deux pages maximum.</w:t>
                      </w:r>
                    </w:p>
                    <w:p w14:paraId="26AFBC00" w14:textId="6533D991" w:rsidR="00CA4DAC" w:rsidRPr="00483E01" w:rsidRDefault="00CA4DAC" w:rsidP="002A2EA6">
                      <w:pPr>
                        <w:pStyle w:val="Corps"/>
                        <w:spacing w:after="120"/>
                        <w:rPr>
                          <w:rFonts w:ascii="Times New Roman" w:hAnsi="Times New Roman" w:cs="Times New Roman"/>
                          <w:sz w:val="20"/>
                          <w:szCs w:val="20"/>
                          <w:lang w:val="fr-FR"/>
                        </w:rPr>
                      </w:pPr>
                      <w:r w:rsidRPr="00483E01">
                        <w:rPr>
                          <w:rFonts w:ascii="Times New Roman" w:hAnsi="Times New Roman" w:cs="Times New Roman"/>
                          <w:sz w:val="20"/>
                          <w:szCs w:val="20"/>
                          <w:lang w:val="fr-FR"/>
                        </w:rPr>
                        <w:t>Pour de plus amples informations concernant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examen par le Comité des communications écrites transmises par une Partie concernant son respect des dispositions, veuillez vous référer au Règlement intérieur et au mandat du Comité, qui sont disponibles à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 xml:space="preserve">adresse suivante : </w:t>
                      </w:r>
                      <w:hyperlink r:id="rId23" w:history="1">
                        <w:r w:rsidRPr="00483E01">
                          <w:rPr>
                            <w:rStyle w:val="Hyperlink"/>
                            <w:rFonts w:cs="Times New Roman"/>
                          </w:rPr>
                          <w:t>http://www.mercuryconvention.org/Accueil/tabid/5576/language/fr-CH/Default.aspx</w:t>
                        </w:r>
                      </w:hyperlink>
                      <w:r w:rsidRPr="00483E01">
                        <w:rPr>
                          <w:rFonts w:ascii="Times New Roman" w:hAnsi="Times New Roman" w:cs="Times New Roman"/>
                          <w:sz w:val="20"/>
                          <w:szCs w:val="20"/>
                          <w:lang w:val="fr-FR"/>
                        </w:rPr>
                        <w:t>.</w:t>
                      </w:r>
                    </w:p>
                  </w:txbxContent>
                </v:textbox>
                <w10:anchorlock/>
              </v:shape>
            </w:pict>
          </mc:Fallback>
        </mc:AlternateContent>
      </w:r>
    </w:p>
    <w:p w14:paraId="315FDBB2" w14:textId="77777777" w:rsidR="002A2EA6" w:rsidRPr="002A2EA6" w:rsidRDefault="002A2EA6" w:rsidP="002A2EA6">
      <w:pPr>
        <w:tabs>
          <w:tab w:val="clear" w:pos="1247"/>
          <w:tab w:val="clear" w:pos="1814"/>
          <w:tab w:val="clear" w:pos="2381"/>
          <w:tab w:val="clear" w:pos="2948"/>
          <w:tab w:val="clear" w:pos="3515"/>
        </w:tabs>
        <w:spacing w:after="160" w:line="259" w:lineRule="auto"/>
        <w:rPr>
          <w:rFonts w:ascii="Arial" w:hAnsi="Arial" w:cs="Arial"/>
          <w:b/>
        </w:rPr>
      </w:pPr>
      <w:r w:rsidRPr="002A2EA6">
        <w:rPr>
          <w:rFonts w:ascii="Arial" w:hAnsi="Arial" w:cs="Arial"/>
          <w:b/>
        </w:rPr>
        <w:br w:type="page"/>
      </w:r>
    </w:p>
    <w:p w14:paraId="457BFB47" w14:textId="77777777" w:rsidR="002A2EA6" w:rsidRPr="002A2EA6" w:rsidRDefault="002A2EA6" w:rsidP="002A2EA6">
      <w:pPr>
        <w:pStyle w:val="CH1"/>
        <w:rPr>
          <w:lang w:val="fr-FR"/>
        </w:rPr>
      </w:pPr>
      <w:r w:rsidRPr="002A2EA6">
        <w:rPr>
          <w:lang w:val="fr-FR"/>
        </w:rPr>
        <w:lastRenderedPageBreak/>
        <w:tab/>
        <w:t>I.</w:t>
      </w:r>
      <w:r w:rsidRPr="002A2EA6">
        <w:rPr>
          <w:lang w:val="fr-FR"/>
        </w:rPr>
        <w:tab/>
        <w:t>Partie et coordonnées</w:t>
      </w:r>
    </w:p>
    <w:p w14:paraId="4063B4CD" w14:textId="3001C5A3" w:rsidR="002A2EA6" w:rsidRPr="002A2EA6" w:rsidRDefault="002A2EA6" w:rsidP="002A2EA6">
      <w:pPr>
        <w:pStyle w:val="NormalNonumber"/>
        <w:rPr>
          <w:i/>
          <w:iCs/>
          <w:lang w:val="fr-FR"/>
        </w:rPr>
      </w:pPr>
      <w:r w:rsidRPr="002A2EA6">
        <w:rPr>
          <w:i/>
          <w:iCs/>
          <w:lang w:val="fr-FR"/>
        </w:rPr>
        <w:t>[Veuillez indiquer ci-après le nom de la Partie concernée ainsi que le nom et les coordonnées du correspondant national ou d</w:t>
      </w:r>
      <w:r w:rsidR="00CA4DAC">
        <w:rPr>
          <w:i/>
          <w:iCs/>
          <w:lang w:val="fr-FR"/>
        </w:rPr>
        <w:t>’</w:t>
      </w:r>
      <w:r w:rsidRPr="002A2EA6">
        <w:rPr>
          <w:i/>
          <w:iCs/>
          <w:lang w:val="fr-FR"/>
        </w:rPr>
        <w:t>une autre autorité compétente de la Partie transmettant la communication concernant le respect des dispositions par la Partie.]</w:t>
      </w:r>
    </w:p>
    <w:tbl>
      <w:tblPr>
        <w:tblW w:w="8298"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400"/>
        <w:gridCol w:w="704"/>
        <w:gridCol w:w="1826"/>
        <w:gridCol w:w="1004"/>
        <w:gridCol w:w="1946"/>
      </w:tblGrid>
      <w:tr w:rsidR="002A2EA6" w:rsidRPr="002A2EA6" w14:paraId="400250DE" w14:textId="77777777" w:rsidTr="002A2EA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4C1BE66D" w14:textId="77777777" w:rsidR="002A2EA6" w:rsidRPr="006C41DD" w:rsidRDefault="002A2EA6" w:rsidP="002A2EA6">
            <w:pPr>
              <w:pStyle w:val="Normal-pool"/>
              <w:rPr>
                <w:i/>
                <w:color w:val="FFFFFF" w:themeColor="background1"/>
                <w:sz w:val="18"/>
                <w:szCs w:val="18"/>
                <w:lang w:val="fr-FR"/>
              </w:rPr>
            </w:pPr>
            <w:r w:rsidRPr="006C41DD">
              <w:rPr>
                <w:i/>
                <w:color w:val="FFFFFF" w:themeColor="background1"/>
                <w:sz w:val="18"/>
                <w:szCs w:val="18"/>
                <w:lang w:val="fr-FR"/>
              </w:rPr>
              <w:t xml:space="preserve">PARTIE :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563C826" w14:textId="77777777" w:rsidR="002A2EA6" w:rsidRPr="002A2EA6" w:rsidRDefault="002A2EA6" w:rsidP="002A2EA6">
            <w:pPr>
              <w:pStyle w:val="Normal-pool"/>
              <w:rPr>
                <w:i/>
                <w:sz w:val="18"/>
                <w:szCs w:val="18"/>
                <w:lang w:val="fr-FR"/>
              </w:rPr>
            </w:pPr>
            <w:r w:rsidRPr="002A2EA6">
              <w:rPr>
                <w:i/>
                <w:sz w:val="18"/>
                <w:szCs w:val="18"/>
                <w:lang w:val="fr-FR"/>
              </w:rPr>
              <w:t>[Veuillez indiquer le nom de la Partie concernée par la communication]</w:t>
            </w:r>
          </w:p>
        </w:tc>
      </w:tr>
      <w:tr w:rsidR="002A2EA6" w:rsidRPr="002A2EA6" w14:paraId="78103BC8" w14:textId="77777777" w:rsidTr="002A2EA6">
        <w:trPr>
          <w:trHeight w:val="57"/>
          <w:jc w:val="right"/>
        </w:trPr>
        <w:tc>
          <w:tcPr>
            <w:tcW w:w="8298"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33E5202D" w14:textId="795D5540" w:rsidR="002A2EA6" w:rsidRPr="002A2EA6" w:rsidRDefault="002A2EA6" w:rsidP="002A2EA6">
            <w:pPr>
              <w:pStyle w:val="Normal-pool"/>
              <w:rPr>
                <w:i/>
                <w:sz w:val="18"/>
                <w:szCs w:val="18"/>
                <w:lang w:val="fr-FR"/>
              </w:rPr>
            </w:pPr>
            <w:r w:rsidRPr="006C41DD">
              <w:rPr>
                <w:i/>
                <w:color w:val="FFFFFF" w:themeColor="background1"/>
                <w:sz w:val="18"/>
                <w:szCs w:val="18"/>
                <w:lang w:val="fr-FR"/>
              </w:rPr>
              <w:t>COORDONNÉES DU CORRESPONDANT NATIONAL DE LA CONVENTION DE MINAMATA OU D</w:t>
            </w:r>
            <w:r w:rsidR="00CA4DAC">
              <w:rPr>
                <w:i/>
                <w:color w:val="FFFFFF" w:themeColor="background1"/>
                <w:sz w:val="18"/>
                <w:szCs w:val="18"/>
                <w:lang w:val="fr-FR"/>
              </w:rPr>
              <w:t>’</w:t>
            </w:r>
            <w:r w:rsidRPr="006C41DD">
              <w:rPr>
                <w:i/>
                <w:color w:val="FFFFFF" w:themeColor="background1"/>
                <w:sz w:val="18"/>
                <w:szCs w:val="18"/>
                <w:lang w:val="fr-FR"/>
              </w:rPr>
              <w:t xml:space="preserve">UNE AUTRE AUTORITÉ COMPÉTENTE DE LA PARTIE TRANSMETTANT LA COMMUNICATION </w:t>
            </w:r>
          </w:p>
        </w:tc>
      </w:tr>
      <w:tr w:rsidR="002A2EA6" w:rsidRPr="002A2EA6" w14:paraId="08489E04" w14:textId="77777777" w:rsidTr="002A2EA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21D254E7" w14:textId="77777777" w:rsidR="002A2EA6" w:rsidRPr="002A2EA6" w:rsidRDefault="002A2EA6" w:rsidP="002A2EA6">
            <w:pPr>
              <w:pStyle w:val="Normal-pool"/>
              <w:rPr>
                <w:i/>
                <w:sz w:val="18"/>
                <w:szCs w:val="18"/>
                <w:lang w:val="fr-FR"/>
              </w:rPr>
            </w:pPr>
            <w:r w:rsidRPr="002A2EA6">
              <w:rPr>
                <w:i/>
                <w:sz w:val="18"/>
                <w:szCs w:val="18"/>
                <w:lang w:val="fr-FR"/>
              </w:rPr>
              <w:t>Prénom/Nom de famille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0FF577" w14:textId="77777777" w:rsidR="002A2EA6" w:rsidRPr="002A2EA6" w:rsidRDefault="002A2EA6" w:rsidP="002A2EA6">
            <w:pPr>
              <w:pStyle w:val="Normal-pool"/>
              <w:rPr>
                <w:b/>
                <w:bCs/>
                <w:i/>
                <w:sz w:val="18"/>
                <w:szCs w:val="18"/>
                <w:lang w:val="fr-FR"/>
              </w:rPr>
            </w:pPr>
          </w:p>
        </w:tc>
      </w:tr>
      <w:tr w:rsidR="002A2EA6" w:rsidRPr="002A2EA6" w14:paraId="25253B16" w14:textId="77777777" w:rsidTr="002A2EA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64E2B360" w14:textId="77777777" w:rsidR="002A2EA6" w:rsidRPr="002A2EA6" w:rsidRDefault="002A2EA6" w:rsidP="002A2EA6">
            <w:pPr>
              <w:pStyle w:val="Normal-pool"/>
              <w:rPr>
                <w:i/>
                <w:sz w:val="18"/>
                <w:szCs w:val="18"/>
                <w:lang w:val="fr-FR"/>
              </w:rPr>
            </w:pPr>
            <w:r w:rsidRPr="002A2EA6">
              <w:rPr>
                <w:i/>
                <w:sz w:val="18"/>
                <w:szCs w:val="18"/>
                <w:lang w:val="fr-FR"/>
              </w:rPr>
              <w:t>Titre fonctionnel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08655B" w14:textId="77777777" w:rsidR="002A2EA6" w:rsidRPr="002A2EA6" w:rsidRDefault="002A2EA6" w:rsidP="002A2EA6">
            <w:pPr>
              <w:pStyle w:val="Normal-pool"/>
              <w:rPr>
                <w:b/>
                <w:bCs/>
                <w:i/>
                <w:sz w:val="18"/>
                <w:szCs w:val="18"/>
                <w:lang w:val="fr-FR"/>
              </w:rPr>
            </w:pPr>
          </w:p>
        </w:tc>
      </w:tr>
      <w:tr w:rsidR="002A2EA6" w:rsidRPr="002A2EA6" w14:paraId="7CCBF4C7" w14:textId="77777777" w:rsidTr="002A2EA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20588B78" w14:textId="77777777" w:rsidR="002A2EA6" w:rsidRPr="002A2EA6" w:rsidRDefault="002A2EA6" w:rsidP="002A2EA6">
            <w:pPr>
              <w:pStyle w:val="Normal-pool"/>
              <w:rPr>
                <w:i/>
                <w:sz w:val="18"/>
                <w:szCs w:val="18"/>
                <w:lang w:val="fr-FR"/>
              </w:rPr>
            </w:pPr>
            <w:r w:rsidRPr="002A2EA6">
              <w:rPr>
                <w:i/>
                <w:sz w:val="18"/>
                <w:szCs w:val="18"/>
                <w:lang w:val="fr-FR"/>
              </w:rPr>
              <w:t>Section/Département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FEB3137" w14:textId="77777777" w:rsidR="002A2EA6" w:rsidRPr="002A2EA6" w:rsidRDefault="002A2EA6" w:rsidP="002A2EA6">
            <w:pPr>
              <w:pStyle w:val="Normal-pool"/>
              <w:rPr>
                <w:b/>
                <w:bCs/>
                <w:i/>
                <w:sz w:val="18"/>
                <w:szCs w:val="18"/>
                <w:lang w:val="fr-FR"/>
              </w:rPr>
            </w:pPr>
          </w:p>
        </w:tc>
      </w:tr>
      <w:tr w:rsidR="002A2EA6" w:rsidRPr="002A2EA6" w14:paraId="40845EC3" w14:textId="77777777" w:rsidTr="002A2EA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377A626A" w14:textId="77777777" w:rsidR="002A2EA6" w:rsidRPr="002A2EA6" w:rsidRDefault="002A2EA6" w:rsidP="002A2EA6">
            <w:pPr>
              <w:pStyle w:val="Normal-pool"/>
              <w:rPr>
                <w:i/>
                <w:sz w:val="18"/>
                <w:szCs w:val="18"/>
                <w:lang w:val="fr-FR"/>
              </w:rPr>
            </w:pPr>
            <w:r w:rsidRPr="002A2EA6">
              <w:rPr>
                <w:i/>
                <w:sz w:val="18"/>
                <w:szCs w:val="18"/>
                <w:lang w:val="fr-FR"/>
              </w:rPr>
              <w:t>Organisation/Institution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1E5A8A" w14:textId="77777777" w:rsidR="002A2EA6" w:rsidRPr="002A2EA6" w:rsidRDefault="002A2EA6" w:rsidP="002A2EA6">
            <w:pPr>
              <w:pStyle w:val="Normal-pool"/>
              <w:rPr>
                <w:b/>
                <w:bCs/>
                <w:i/>
                <w:sz w:val="18"/>
                <w:szCs w:val="18"/>
                <w:lang w:val="fr-FR"/>
              </w:rPr>
            </w:pPr>
          </w:p>
        </w:tc>
      </w:tr>
      <w:tr w:rsidR="002A2EA6" w:rsidRPr="002A2EA6" w14:paraId="0A328CCF" w14:textId="77777777" w:rsidTr="002A2EA6">
        <w:trPr>
          <w:trHeight w:val="57"/>
          <w:jc w:val="right"/>
        </w:trPr>
        <w:tc>
          <w:tcPr>
            <w:tcW w:w="141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313437C8" w14:textId="77777777" w:rsidR="002A2EA6" w:rsidRPr="002A2EA6" w:rsidRDefault="002A2EA6" w:rsidP="002A2EA6">
            <w:pPr>
              <w:pStyle w:val="Normal-pool"/>
              <w:rPr>
                <w:i/>
                <w:sz w:val="18"/>
                <w:szCs w:val="18"/>
                <w:lang w:val="fr-FR"/>
              </w:rPr>
            </w:pPr>
            <w:r w:rsidRPr="002A2EA6">
              <w:rPr>
                <w:i/>
                <w:sz w:val="18"/>
                <w:szCs w:val="18"/>
                <w:lang w:val="fr-FR"/>
              </w:rPr>
              <w:t>Adresse :</w:t>
            </w:r>
          </w:p>
        </w:tc>
        <w:tc>
          <w:tcPr>
            <w:tcW w:w="688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hideMark/>
          </w:tcPr>
          <w:p w14:paraId="3B4CBE6F" w14:textId="77777777" w:rsidR="002A2EA6" w:rsidRPr="002A2EA6" w:rsidRDefault="002A2EA6" w:rsidP="002A2EA6">
            <w:pPr>
              <w:pStyle w:val="Normal-pool"/>
              <w:rPr>
                <w:i/>
                <w:sz w:val="18"/>
                <w:szCs w:val="18"/>
                <w:lang w:val="fr-FR"/>
              </w:rPr>
            </w:pPr>
          </w:p>
        </w:tc>
      </w:tr>
      <w:tr w:rsidR="002A2EA6" w:rsidRPr="002A2EA6" w14:paraId="37F1BBEF" w14:textId="77777777" w:rsidTr="002A2EA6">
        <w:trPr>
          <w:trHeight w:val="57"/>
          <w:jc w:val="right"/>
        </w:trPr>
        <w:tc>
          <w:tcPr>
            <w:tcW w:w="141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50508491" w14:textId="77777777" w:rsidR="002A2EA6" w:rsidRPr="002A2EA6" w:rsidRDefault="002A2EA6" w:rsidP="002A2EA6">
            <w:pPr>
              <w:pStyle w:val="Normal-pool"/>
              <w:rPr>
                <w:i/>
                <w:sz w:val="18"/>
                <w:szCs w:val="18"/>
                <w:lang w:val="fr-FR"/>
              </w:rPr>
            </w:pPr>
            <w:r w:rsidRPr="002A2EA6">
              <w:rPr>
                <w:i/>
                <w:sz w:val="18"/>
                <w:szCs w:val="18"/>
                <w:lang w:val="fr-FR"/>
              </w:rPr>
              <w:t>Code postal :</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FA7E53" w14:textId="77777777" w:rsidR="002A2EA6" w:rsidRPr="002A2EA6" w:rsidRDefault="002A2EA6" w:rsidP="002A2EA6">
            <w:pPr>
              <w:pStyle w:val="Normal-pool"/>
              <w:rPr>
                <w:i/>
                <w:sz w:val="18"/>
                <w:szCs w:val="18"/>
                <w:lang w:val="fr-FR"/>
              </w:rPr>
            </w:pPr>
          </w:p>
        </w:tc>
        <w:tc>
          <w:tcPr>
            <w:tcW w:w="704"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13CD1337" w14:textId="77777777" w:rsidR="002A2EA6" w:rsidRPr="002A2EA6" w:rsidRDefault="002A2EA6" w:rsidP="002A2EA6">
            <w:pPr>
              <w:pStyle w:val="Normal-pool"/>
              <w:rPr>
                <w:i/>
                <w:sz w:val="18"/>
                <w:szCs w:val="18"/>
                <w:lang w:val="fr-FR"/>
              </w:rPr>
            </w:pPr>
            <w:r w:rsidRPr="002A2EA6">
              <w:rPr>
                <w:i/>
                <w:sz w:val="18"/>
                <w:szCs w:val="18"/>
                <w:lang w:val="fr-FR"/>
              </w:rPr>
              <w:t>Ville :</w:t>
            </w:r>
          </w:p>
        </w:tc>
        <w:tc>
          <w:tcPr>
            <w:tcW w:w="18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66EF62" w14:textId="77777777" w:rsidR="002A2EA6" w:rsidRPr="002A2EA6" w:rsidRDefault="002A2EA6" w:rsidP="002A2EA6">
            <w:pPr>
              <w:pStyle w:val="Normal-pool"/>
              <w:rPr>
                <w:i/>
                <w:sz w:val="18"/>
                <w:szCs w:val="18"/>
                <w:lang w:val="fr-FR"/>
              </w:rPr>
            </w:pPr>
          </w:p>
        </w:tc>
        <w:tc>
          <w:tcPr>
            <w:tcW w:w="1004"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30FA6A9A" w14:textId="77777777" w:rsidR="002A2EA6" w:rsidRPr="002A2EA6" w:rsidRDefault="002A2EA6" w:rsidP="002A2EA6">
            <w:pPr>
              <w:pStyle w:val="Normal-pool"/>
              <w:rPr>
                <w:i/>
                <w:sz w:val="18"/>
                <w:szCs w:val="18"/>
                <w:lang w:val="fr-FR"/>
              </w:rPr>
            </w:pPr>
            <w:r w:rsidRPr="002A2EA6">
              <w:rPr>
                <w:i/>
                <w:sz w:val="18"/>
                <w:szCs w:val="18"/>
                <w:lang w:val="fr-FR"/>
              </w:rPr>
              <w:t>Pays :</w:t>
            </w:r>
          </w:p>
        </w:tc>
        <w:tc>
          <w:tcPr>
            <w:tcW w:w="1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87448" w14:textId="77777777" w:rsidR="002A2EA6" w:rsidRPr="002A2EA6" w:rsidRDefault="002A2EA6" w:rsidP="002A2EA6">
            <w:pPr>
              <w:pStyle w:val="Normal-pool"/>
              <w:rPr>
                <w:i/>
                <w:sz w:val="18"/>
                <w:szCs w:val="18"/>
                <w:lang w:val="fr-FR"/>
              </w:rPr>
            </w:pPr>
          </w:p>
        </w:tc>
      </w:tr>
      <w:tr w:rsidR="002A2EA6" w:rsidRPr="002A2EA6" w14:paraId="5068BC79" w14:textId="77777777" w:rsidTr="002A2EA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4FC38821" w14:textId="77777777" w:rsidR="002A2EA6" w:rsidRPr="002A2EA6" w:rsidRDefault="002A2EA6" w:rsidP="002A2EA6">
            <w:pPr>
              <w:pStyle w:val="Normal-pool"/>
              <w:jc w:val="center"/>
              <w:rPr>
                <w:i/>
                <w:sz w:val="18"/>
                <w:szCs w:val="18"/>
                <w:lang w:val="fr-FR"/>
              </w:rPr>
            </w:pPr>
            <w:r w:rsidRPr="002A2EA6">
              <w:rPr>
                <w:i/>
                <w:sz w:val="18"/>
                <w:szCs w:val="18"/>
                <w:lang w:val="fr-FR"/>
              </w:rPr>
              <w:t>Téléphone (y compris les indicatifs de pays et de ville) :</w:t>
            </w:r>
          </w:p>
        </w:tc>
        <w:tc>
          <w:tcPr>
            <w:tcW w:w="2530"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1B4A3EB2" w14:textId="77777777" w:rsidR="002A2EA6" w:rsidRPr="002A2EA6" w:rsidRDefault="002A2EA6" w:rsidP="002A2EA6">
            <w:pPr>
              <w:pStyle w:val="Normal-pool"/>
              <w:jc w:val="center"/>
              <w:rPr>
                <w:i/>
                <w:sz w:val="18"/>
                <w:szCs w:val="18"/>
                <w:lang w:val="fr-FR"/>
              </w:rPr>
            </w:pPr>
            <w:r w:rsidRPr="002A2EA6">
              <w:rPr>
                <w:i/>
                <w:sz w:val="18"/>
                <w:szCs w:val="18"/>
                <w:lang w:val="fr-FR"/>
              </w:rPr>
              <w:t>Télécopie (y compris les indicatifs de pays et de ville) :</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0A53EAF0" w14:textId="77777777" w:rsidR="002A2EA6" w:rsidRPr="002A2EA6" w:rsidRDefault="002A2EA6" w:rsidP="002A2EA6">
            <w:pPr>
              <w:pStyle w:val="Normal-pool"/>
              <w:jc w:val="center"/>
              <w:rPr>
                <w:i/>
                <w:sz w:val="18"/>
                <w:szCs w:val="18"/>
                <w:lang w:val="fr-FR"/>
              </w:rPr>
            </w:pPr>
            <w:r w:rsidRPr="002A2EA6">
              <w:rPr>
                <w:i/>
                <w:sz w:val="18"/>
                <w:szCs w:val="18"/>
                <w:lang w:val="fr-FR"/>
              </w:rPr>
              <w:t>Adresse électronique :</w:t>
            </w:r>
          </w:p>
        </w:tc>
      </w:tr>
      <w:tr w:rsidR="002A2EA6" w:rsidRPr="002A2EA6" w14:paraId="34132E59" w14:textId="77777777" w:rsidTr="002A2EA6">
        <w:trPr>
          <w:trHeight w:val="57"/>
          <w:jc w:val="right"/>
        </w:trPr>
        <w:tc>
          <w:tcPr>
            <w:tcW w:w="2818"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vAlign w:val="center"/>
            <w:hideMark/>
          </w:tcPr>
          <w:p w14:paraId="5D134C24" w14:textId="77777777" w:rsidR="002A2EA6" w:rsidRPr="002A2EA6" w:rsidRDefault="002A2EA6" w:rsidP="002A2EA6">
            <w:pPr>
              <w:pStyle w:val="Normal-pool"/>
              <w:rPr>
                <w:rFonts w:eastAsia="Helvetica Neue"/>
                <w:sz w:val="18"/>
                <w:szCs w:val="18"/>
                <w:bdr w:val="nil"/>
                <w:lang w:val="fr-FR"/>
              </w:rPr>
            </w:pPr>
            <w:bookmarkStart w:id="159" w:name="_Hlk13837024"/>
          </w:p>
        </w:tc>
        <w:tc>
          <w:tcPr>
            <w:tcW w:w="2530" w:type="dxa"/>
            <w:gridSpan w:val="2"/>
            <w:tcBorders>
              <w:top w:val="single" w:sz="8" w:space="0" w:color="000000"/>
              <w:left w:val="single" w:sz="8" w:space="0" w:color="000000"/>
              <w:bottom w:val="single" w:sz="2" w:space="0" w:color="000000"/>
              <w:right w:val="single" w:sz="8" w:space="0" w:color="000000"/>
            </w:tcBorders>
            <w:vAlign w:val="center"/>
            <w:hideMark/>
          </w:tcPr>
          <w:p w14:paraId="485CE748" w14:textId="77777777" w:rsidR="002A2EA6" w:rsidRPr="002A2EA6" w:rsidRDefault="002A2EA6" w:rsidP="002A2EA6">
            <w:pPr>
              <w:pStyle w:val="Normal-pool"/>
              <w:rPr>
                <w:rFonts w:eastAsia="Helvetica Neue"/>
                <w:sz w:val="18"/>
                <w:szCs w:val="18"/>
                <w:bdr w:val="nil"/>
                <w:lang w:val="fr-FR"/>
              </w:rPr>
            </w:pPr>
          </w:p>
        </w:tc>
        <w:tc>
          <w:tcPr>
            <w:tcW w:w="2950" w:type="dxa"/>
            <w:gridSpan w:val="2"/>
            <w:tcBorders>
              <w:top w:val="single" w:sz="8" w:space="0" w:color="000000"/>
              <w:left w:val="single" w:sz="8" w:space="0" w:color="000000"/>
              <w:bottom w:val="single" w:sz="2" w:space="0" w:color="000000"/>
              <w:right w:val="single" w:sz="8" w:space="0" w:color="000000"/>
            </w:tcBorders>
            <w:vAlign w:val="center"/>
            <w:hideMark/>
          </w:tcPr>
          <w:p w14:paraId="2F2185B5" w14:textId="77777777" w:rsidR="002A2EA6" w:rsidRPr="002A2EA6" w:rsidRDefault="002A2EA6" w:rsidP="002A2EA6">
            <w:pPr>
              <w:pStyle w:val="Normal-pool"/>
              <w:rPr>
                <w:rFonts w:eastAsia="Helvetica Neue"/>
                <w:sz w:val="18"/>
                <w:szCs w:val="18"/>
                <w:bdr w:val="nil"/>
                <w:lang w:val="fr-FR"/>
              </w:rPr>
            </w:pPr>
          </w:p>
        </w:tc>
      </w:tr>
    </w:tbl>
    <w:bookmarkEnd w:id="159"/>
    <w:p w14:paraId="5EE5CBA5" w14:textId="77777777" w:rsidR="002A2EA6" w:rsidRPr="002A2EA6" w:rsidRDefault="002A2EA6" w:rsidP="002A2EA6">
      <w:pPr>
        <w:pStyle w:val="CH1"/>
        <w:rPr>
          <w:lang w:val="fr-FR"/>
        </w:rPr>
      </w:pPr>
      <w:r w:rsidRPr="002A2EA6">
        <w:rPr>
          <w:lang w:val="fr-FR"/>
        </w:rPr>
        <w:tab/>
        <w:t>II.</w:t>
      </w:r>
      <w:r w:rsidRPr="002A2EA6">
        <w:rPr>
          <w:lang w:val="fr-FR"/>
        </w:rPr>
        <w:tab/>
        <w:t>Problème</w:t>
      </w:r>
    </w:p>
    <w:p w14:paraId="30C26570" w14:textId="77777777" w:rsidR="002A2EA6" w:rsidRPr="002A2EA6" w:rsidRDefault="002A2EA6" w:rsidP="002A2EA6">
      <w:pPr>
        <w:pStyle w:val="NormalNonumber"/>
        <w:rPr>
          <w:i/>
          <w:lang w:val="fr-FR"/>
        </w:rPr>
      </w:pPr>
      <w:r w:rsidRPr="002A2EA6">
        <w:rPr>
          <w:i/>
          <w:lang w:val="fr-FR"/>
        </w:rPr>
        <w:t>[Veuillez fournir des informations de base concernant le problème et décrire ce dernier, à savoir le cas de non-respect présenté. Veuillez indiquer la situation et les capacités nationales de la Partie concernée en rapport avec le problème.]</w:t>
      </w:r>
    </w:p>
    <w:p w14:paraId="2CBA5421" w14:textId="77777777" w:rsidR="002A2EA6" w:rsidRPr="002A2EA6" w:rsidRDefault="002A2EA6" w:rsidP="002A2EA6">
      <w:pPr>
        <w:pStyle w:val="CH1"/>
        <w:rPr>
          <w:lang w:val="fr-FR"/>
        </w:rPr>
      </w:pPr>
      <w:r w:rsidRPr="002A2EA6">
        <w:rPr>
          <w:lang w:val="fr-FR"/>
        </w:rPr>
        <w:tab/>
        <w:t>III.</w:t>
      </w:r>
      <w:r w:rsidRPr="002A2EA6">
        <w:rPr>
          <w:lang w:val="fr-FR"/>
        </w:rPr>
        <w:tab/>
        <w:t>Disposition(s) pertinente(s) de la Convention</w:t>
      </w:r>
    </w:p>
    <w:p w14:paraId="033A32AF" w14:textId="5003BC0A" w:rsidR="002A2EA6" w:rsidRPr="002A2EA6" w:rsidRDefault="002A2EA6" w:rsidP="002A2EA6">
      <w:pPr>
        <w:pStyle w:val="NormalNonumber"/>
        <w:rPr>
          <w:i/>
          <w:lang w:val="fr-FR"/>
        </w:rPr>
      </w:pPr>
      <w:r w:rsidRPr="002A2EA6">
        <w:rPr>
          <w:i/>
          <w:lang w:val="fr-FR"/>
        </w:rPr>
        <w:t>[Veuillez indiquer la(les) disposition(s) pertinente(s) de la Convention en rapport avec le cas de non</w:t>
      </w:r>
      <w:r w:rsidRPr="002A2EA6">
        <w:rPr>
          <w:i/>
          <w:lang w:val="fr-FR"/>
        </w:rPr>
        <w:noBreakHyphen/>
        <w:t>respect. Veuillez préciser l</w:t>
      </w:r>
      <w:r w:rsidR="00CA4DAC">
        <w:rPr>
          <w:i/>
          <w:lang w:val="fr-FR"/>
        </w:rPr>
        <w:t>’</w:t>
      </w:r>
      <w:r w:rsidRPr="002A2EA6">
        <w:rPr>
          <w:i/>
          <w:lang w:val="fr-FR"/>
        </w:rPr>
        <w:t>(les)article(s), le(s) paragraphe(s), l</w:t>
      </w:r>
      <w:r w:rsidR="00CA4DAC">
        <w:rPr>
          <w:i/>
          <w:lang w:val="fr-FR"/>
        </w:rPr>
        <w:t>’</w:t>
      </w:r>
      <w:r w:rsidRPr="002A2EA6">
        <w:rPr>
          <w:i/>
          <w:lang w:val="fr-FR"/>
        </w:rPr>
        <w:t>(les)alinéa(s), l</w:t>
      </w:r>
      <w:r w:rsidR="00CA4DAC">
        <w:rPr>
          <w:i/>
          <w:lang w:val="fr-FR"/>
        </w:rPr>
        <w:t>’</w:t>
      </w:r>
      <w:r w:rsidRPr="002A2EA6">
        <w:rPr>
          <w:i/>
          <w:lang w:val="fr-FR"/>
        </w:rPr>
        <w:t>(les)annexe(s) correspondants, selon qu</w:t>
      </w:r>
      <w:r w:rsidR="00CA4DAC">
        <w:rPr>
          <w:i/>
          <w:lang w:val="fr-FR"/>
        </w:rPr>
        <w:t>’</w:t>
      </w:r>
      <w:r w:rsidRPr="002A2EA6">
        <w:rPr>
          <w:i/>
          <w:lang w:val="fr-FR"/>
        </w:rPr>
        <w:t>il convient.]</w:t>
      </w:r>
    </w:p>
    <w:p w14:paraId="6AB71BFE" w14:textId="77777777" w:rsidR="002A2EA6" w:rsidRPr="002A2EA6" w:rsidRDefault="002A2EA6" w:rsidP="002A2EA6">
      <w:pPr>
        <w:pStyle w:val="CH1"/>
        <w:rPr>
          <w:lang w:val="fr-FR"/>
        </w:rPr>
      </w:pPr>
      <w:r w:rsidRPr="002A2EA6">
        <w:rPr>
          <w:lang w:val="fr-FR"/>
        </w:rPr>
        <w:tab/>
        <w:t>IV.</w:t>
      </w:r>
      <w:r w:rsidRPr="002A2EA6">
        <w:rPr>
          <w:lang w:val="fr-FR"/>
        </w:rPr>
        <w:tab/>
        <w:t>Efforts visant à résoudre le problème</w:t>
      </w:r>
    </w:p>
    <w:p w14:paraId="0DB9D6DD" w14:textId="740290CE" w:rsidR="002A2EA6" w:rsidRPr="002A2EA6" w:rsidRDefault="002A2EA6" w:rsidP="002A2EA6">
      <w:pPr>
        <w:pStyle w:val="NormalNonumber"/>
        <w:rPr>
          <w:i/>
          <w:lang w:val="fr-FR"/>
        </w:rPr>
      </w:pPr>
      <w:r w:rsidRPr="002A2EA6">
        <w:rPr>
          <w:i/>
          <w:lang w:val="fr-FR"/>
        </w:rPr>
        <w:t>[Veuillez fournir des informations concernant les efforts déjà faits ou en cours pour résoudre le problème ou, s</w:t>
      </w:r>
      <w:r w:rsidR="00CA4DAC">
        <w:rPr>
          <w:i/>
          <w:lang w:val="fr-FR"/>
        </w:rPr>
        <w:t>’</w:t>
      </w:r>
      <w:r w:rsidRPr="002A2EA6">
        <w:rPr>
          <w:i/>
          <w:lang w:val="fr-FR"/>
        </w:rPr>
        <w:t>il n</w:t>
      </w:r>
      <w:r w:rsidR="00CA4DAC">
        <w:rPr>
          <w:i/>
          <w:lang w:val="fr-FR"/>
        </w:rPr>
        <w:t>’</w:t>
      </w:r>
      <w:r w:rsidRPr="002A2EA6">
        <w:rPr>
          <w:i/>
          <w:lang w:val="fr-FR"/>
        </w:rPr>
        <w:t>y en a pas, veuillez en expliquer la raison.]</w:t>
      </w:r>
    </w:p>
    <w:p w14:paraId="2D74A2DE" w14:textId="77777777" w:rsidR="002A2EA6" w:rsidRPr="002A2EA6" w:rsidRDefault="002A2EA6" w:rsidP="002A2EA6">
      <w:pPr>
        <w:pStyle w:val="CH1"/>
        <w:rPr>
          <w:lang w:val="fr-FR"/>
        </w:rPr>
      </w:pPr>
      <w:r w:rsidRPr="002A2EA6">
        <w:rPr>
          <w:lang w:val="fr-FR"/>
        </w:rPr>
        <w:tab/>
        <w:t>V.</w:t>
      </w:r>
      <w:r w:rsidRPr="002A2EA6">
        <w:rPr>
          <w:lang w:val="fr-FR"/>
        </w:rPr>
        <w:tab/>
        <w:t>Informations confidentielles ou protégées</w:t>
      </w:r>
    </w:p>
    <w:p w14:paraId="6E98FC88" w14:textId="77777777" w:rsidR="002A2EA6" w:rsidRPr="002A2EA6" w:rsidRDefault="002A2EA6" w:rsidP="002A2EA6">
      <w:pPr>
        <w:pStyle w:val="NormalNonumber"/>
        <w:rPr>
          <w:i/>
          <w:lang w:val="fr-FR"/>
        </w:rPr>
      </w:pPr>
      <w:r w:rsidRPr="002A2EA6">
        <w:rPr>
          <w:i/>
          <w:lang w:val="fr-FR"/>
        </w:rPr>
        <w:t>[Les informations communiquées au Comité à titre confidentiel, notamment par une Partie concernant son respect des dispositions, sont traitées de manière confidentielle. Néanmoins, veuillez indiquer ci</w:t>
      </w:r>
      <w:r w:rsidRPr="002A2EA6">
        <w:rPr>
          <w:i/>
          <w:lang w:val="fr-FR"/>
        </w:rPr>
        <w:noBreakHyphen/>
        <w:t>après toute demande particulière concernant des informations confidentielles ou protégées (par ex., des informations qui ne devraient pas être divulguées dans les rapports et recommandations du Comité.]</w:t>
      </w:r>
    </w:p>
    <w:p w14:paraId="7E1CDE18" w14:textId="77777777" w:rsidR="002A2EA6" w:rsidRPr="002A2EA6" w:rsidRDefault="002A2EA6" w:rsidP="002A2EA6">
      <w:pPr>
        <w:pStyle w:val="CH1"/>
        <w:rPr>
          <w:lang w:val="fr-FR"/>
        </w:rPr>
      </w:pPr>
      <w:r w:rsidRPr="002A2EA6">
        <w:rPr>
          <w:lang w:val="fr-FR"/>
        </w:rPr>
        <w:tab/>
        <w:t>VI.</w:t>
      </w:r>
      <w:r w:rsidRPr="002A2EA6">
        <w:rPr>
          <w:lang w:val="fr-FR"/>
        </w:rPr>
        <w:tab/>
        <w:t>Signature</w:t>
      </w:r>
    </w:p>
    <w:p w14:paraId="3481461D" w14:textId="77777777" w:rsidR="002A2EA6" w:rsidRPr="002A2EA6" w:rsidRDefault="002A2EA6" w:rsidP="002A2EA6">
      <w:pPr>
        <w:pStyle w:val="NormalNonumber"/>
        <w:rPr>
          <w:i/>
          <w:lang w:val="fr-FR"/>
        </w:rPr>
      </w:pPr>
      <w:r w:rsidRPr="002A2EA6">
        <w:rPr>
          <w:i/>
          <w:lang w:val="fr-FR"/>
        </w:rPr>
        <w:t>[La communication est signée par le correspondant national de la Convention de Minamata ou, si elle est transmise par une autre autorité compétente de la Partie, par une personne autorisée à signer en son nom.]</w:t>
      </w:r>
    </w:p>
    <w:p w14:paraId="5E6BA910" w14:textId="77777777" w:rsidR="002A2EA6" w:rsidRPr="002A2EA6" w:rsidRDefault="002A2EA6" w:rsidP="002A2EA6">
      <w:pPr>
        <w:tabs>
          <w:tab w:val="clear" w:pos="1247"/>
          <w:tab w:val="clear" w:pos="1814"/>
          <w:tab w:val="clear" w:pos="2381"/>
          <w:tab w:val="clear" w:pos="2948"/>
          <w:tab w:val="clear" w:pos="3515"/>
        </w:tabs>
        <w:rPr>
          <w:b/>
          <w:bCs/>
          <w:sz w:val="28"/>
          <w:szCs w:val="22"/>
        </w:rPr>
      </w:pPr>
      <w:r w:rsidRPr="002A2EA6">
        <w:br w:type="page"/>
      </w:r>
    </w:p>
    <w:p w14:paraId="6341C58B" w14:textId="64DC01DD" w:rsidR="002A2EA6" w:rsidRPr="002A2EA6" w:rsidRDefault="002A2EA6" w:rsidP="002A2EA6">
      <w:pPr>
        <w:pStyle w:val="CH2"/>
        <w:rPr>
          <w:sz w:val="20"/>
          <w:szCs w:val="20"/>
          <w:lang w:val="fr-FR"/>
        </w:rPr>
      </w:pPr>
      <w:r w:rsidRPr="002A2EA6">
        <w:rPr>
          <w:lang w:val="fr-FR"/>
        </w:rPr>
        <w:lastRenderedPageBreak/>
        <w:tab/>
      </w:r>
      <w:r w:rsidRPr="002A2EA6">
        <w:rPr>
          <w:lang w:val="fr-FR"/>
        </w:rPr>
        <w:tab/>
      </w:r>
      <w:bookmarkStart w:id="160" w:name="_Toc39063362"/>
      <w:r w:rsidRPr="002A2EA6">
        <w:rPr>
          <w:lang w:val="fr-FR"/>
        </w:rPr>
        <w:t>MC-3/10 : Modalités de la première évaluation de l</w:t>
      </w:r>
      <w:r w:rsidR="00CA4DAC">
        <w:rPr>
          <w:lang w:val="fr-FR"/>
        </w:rPr>
        <w:t>’</w:t>
      </w:r>
      <w:r w:rsidRPr="002A2EA6">
        <w:rPr>
          <w:lang w:val="fr-FR"/>
        </w:rPr>
        <w:t xml:space="preserve">efficacité </w:t>
      </w:r>
      <w:r w:rsidRPr="002A2EA6">
        <w:rPr>
          <w:lang w:val="fr-FR"/>
        </w:rPr>
        <w:br/>
        <w:t>de la Convention de Minamata sur le mercure</w:t>
      </w:r>
      <w:bookmarkEnd w:id="160"/>
    </w:p>
    <w:p w14:paraId="6D445390" w14:textId="77777777" w:rsidR="002A2EA6" w:rsidRPr="002A2EA6" w:rsidRDefault="002A2EA6" w:rsidP="002A2EA6">
      <w:pPr>
        <w:pStyle w:val="NormalNonumber"/>
        <w:rPr>
          <w:i/>
          <w:iCs/>
          <w:lang w:val="fr-FR"/>
        </w:rPr>
      </w:pPr>
      <w:bookmarkStart w:id="161" w:name="_DV_C1169"/>
      <w:r w:rsidRPr="002A2EA6">
        <w:rPr>
          <w:lang w:val="fr-FR"/>
        </w:rPr>
        <w:tab/>
      </w:r>
      <w:r w:rsidRPr="002A2EA6">
        <w:rPr>
          <w:i/>
          <w:iCs/>
          <w:lang w:val="fr-FR"/>
        </w:rPr>
        <w:t>La Conférence des Parties,</w:t>
      </w:r>
      <w:bookmarkEnd w:id="161"/>
    </w:p>
    <w:p w14:paraId="7146B4FE" w14:textId="4741A577" w:rsidR="002A2EA6" w:rsidRPr="002A2EA6" w:rsidRDefault="002A2EA6" w:rsidP="002A2EA6">
      <w:pPr>
        <w:pStyle w:val="NormalNonumber"/>
        <w:rPr>
          <w:lang w:val="fr-FR"/>
        </w:rPr>
      </w:pPr>
      <w:bookmarkStart w:id="162" w:name="_DV_C1170"/>
      <w:r w:rsidRPr="002A2EA6">
        <w:rPr>
          <w:i/>
          <w:iCs/>
          <w:lang w:val="fr-FR"/>
        </w:rPr>
        <w:tab/>
        <w:t xml:space="preserve">Accueillant avec satisfaction </w:t>
      </w:r>
      <w:r w:rsidRPr="002A2EA6">
        <w:rPr>
          <w:lang w:val="fr-FR"/>
        </w:rPr>
        <w:t>le rapport sur le projet de cadre d</w:t>
      </w:r>
      <w:r w:rsidR="00CA4DAC">
        <w:rPr>
          <w:lang w:val="fr-FR"/>
        </w:rPr>
        <w:t>’</w:t>
      </w:r>
      <w:r w:rsidRPr="002A2EA6">
        <w:rPr>
          <w:lang w:val="fr-FR"/>
        </w:rPr>
        <w:t>évaluation de l</w:t>
      </w:r>
      <w:r w:rsidR="00CA4DAC">
        <w:rPr>
          <w:lang w:val="fr-FR"/>
        </w:rPr>
        <w:t>’</w:t>
      </w:r>
      <w:r w:rsidRPr="002A2EA6">
        <w:rPr>
          <w:lang w:val="fr-FR"/>
        </w:rPr>
        <w:t>efficacité et les arrangements en matière de surveillance au titre de la Convention de Minamata</w:t>
      </w:r>
      <w:r w:rsidRPr="002A2EA6">
        <w:rPr>
          <w:rStyle w:val="FootnoteReference"/>
          <w:lang w:val="fr-FR"/>
        </w:rPr>
        <w:footnoteReference w:id="9"/>
      </w:r>
      <w:r w:rsidRPr="002A2EA6">
        <w:rPr>
          <w:lang w:val="fr-FR"/>
        </w:rPr>
        <w:t>, ainsi que les informations complémentaires présentées par le groupe spécial d</w:t>
      </w:r>
      <w:r w:rsidR="00CA4DAC">
        <w:rPr>
          <w:lang w:val="fr-FR"/>
        </w:rPr>
        <w:t>’</w:t>
      </w:r>
      <w:r w:rsidRPr="002A2EA6">
        <w:rPr>
          <w:lang w:val="fr-FR"/>
        </w:rPr>
        <w:t>experts techniques sur la base des mandats définis dans les décisions MC-1/9 et MC-2/10</w:t>
      </w:r>
      <w:r w:rsidRPr="002A2EA6">
        <w:rPr>
          <w:rStyle w:val="FootnoteReference"/>
          <w:lang w:val="fr-FR"/>
        </w:rPr>
        <w:footnoteReference w:id="10"/>
      </w:r>
      <w:r w:rsidRPr="002A2EA6">
        <w:rPr>
          <w:lang w:val="fr-FR"/>
        </w:rPr>
        <w:t>,</w:t>
      </w:r>
      <w:bookmarkStart w:id="163" w:name="_DV_C1171"/>
      <w:bookmarkStart w:id="164" w:name="_DV_C1173"/>
      <w:bookmarkStart w:id="165" w:name="_DV_C1174"/>
      <w:bookmarkEnd w:id="162"/>
      <w:bookmarkEnd w:id="163"/>
      <w:bookmarkEnd w:id="164"/>
      <w:bookmarkEnd w:id="165"/>
    </w:p>
    <w:p w14:paraId="409A73E0" w14:textId="1BC81A2B" w:rsidR="002A2EA6" w:rsidRPr="002A2EA6" w:rsidRDefault="002A2EA6" w:rsidP="002A2EA6">
      <w:pPr>
        <w:pStyle w:val="NormalNonumber"/>
        <w:rPr>
          <w:i/>
          <w:lang w:val="fr-FR"/>
        </w:rPr>
      </w:pPr>
      <w:bookmarkStart w:id="166" w:name="_DV_C1176"/>
      <w:r w:rsidRPr="002A2EA6">
        <w:rPr>
          <w:i/>
          <w:iCs/>
          <w:lang w:val="fr-FR"/>
        </w:rPr>
        <w:tab/>
        <w:t xml:space="preserve">Consciente </w:t>
      </w:r>
      <w:r w:rsidRPr="002A2EA6">
        <w:rPr>
          <w:lang w:val="fr-FR"/>
        </w:rPr>
        <w:t>des efforts déployés pour faire avancer les travaux d</w:t>
      </w:r>
      <w:r w:rsidR="00CA4DAC">
        <w:rPr>
          <w:lang w:val="fr-FR"/>
        </w:rPr>
        <w:t>’</w:t>
      </w:r>
      <w:r w:rsidRPr="002A2EA6">
        <w:rPr>
          <w:lang w:val="fr-FR"/>
        </w:rPr>
        <w:t>évaluation de l</w:t>
      </w:r>
      <w:r w:rsidR="00CA4DAC">
        <w:rPr>
          <w:lang w:val="fr-FR"/>
        </w:rPr>
        <w:t>’</w:t>
      </w:r>
      <w:r w:rsidRPr="002A2EA6">
        <w:rPr>
          <w:lang w:val="fr-FR"/>
        </w:rPr>
        <w:t>efficacité à sa troisième réunion,</w:t>
      </w:r>
      <w:bookmarkStart w:id="167" w:name="_DV_C1177"/>
      <w:bookmarkEnd w:id="166"/>
    </w:p>
    <w:p w14:paraId="005C3F1B" w14:textId="398F4EBB" w:rsidR="002A2EA6" w:rsidRPr="002A2EA6" w:rsidRDefault="002A2EA6" w:rsidP="002A2EA6">
      <w:pPr>
        <w:pStyle w:val="NormalNonumber"/>
        <w:rPr>
          <w:lang w:val="fr-FR"/>
        </w:rPr>
      </w:pPr>
      <w:bookmarkStart w:id="168" w:name="_DV_C1178"/>
      <w:bookmarkEnd w:id="167"/>
      <w:r w:rsidRPr="002A2EA6">
        <w:rPr>
          <w:i/>
          <w:iCs/>
          <w:lang w:val="fr-FR"/>
        </w:rPr>
        <w:tab/>
      </w:r>
      <w:r w:rsidRPr="002A2EA6">
        <w:rPr>
          <w:lang w:val="fr-FR"/>
        </w:rPr>
        <w:t>1.</w:t>
      </w:r>
      <w:r w:rsidRPr="002A2EA6">
        <w:rPr>
          <w:lang w:val="fr-FR"/>
        </w:rPr>
        <w:tab/>
      </w:r>
      <w:r w:rsidRPr="002A2EA6">
        <w:rPr>
          <w:i/>
          <w:iCs/>
          <w:lang w:val="fr-FR"/>
        </w:rPr>
        <w:t>Invite</w:t>
      </w:r>
      <w:r w:rsidRPr="002A2EA6">
        <w:rPr>
          <w:lang w:val="fr-FR"/>
        </w:rPr>
        <w:t xml:space="preserve"> les Parties à présenter leurs vues sur les indicateurs énoncés à l</w:t>
      </w:r>
      <w:r w:rsidR="00CA4DAC">
        <w:rPr>
          <w:lang w:val="fr-FR"/>
        </w:rPr>
        <w:t>’</w:t>
      </w:r>
      <w:r w:rsidRPr="002A2EA6">
        <w:rPr>
          <w:lang w:val="fr-FR"/>
        </w:rPr>
        <w:t>annexe I de la présente décision et prie le secrétariat de compiler ces vues avant sa quatrième réunion ;</w:t>
      </w:r>
      <w:bookmarkStart w:id="169" w:name="_DV_C1179"/>
      <w:bookmarkEnd w:id="168"/>
    </w:p>
    <w:p w14:paraId="6DEDA368" w14:textId="371B826D" w:rsidR="002A2EA6" w:rsidRPr="002A2EA6" w:rsidRDefault="002A2EA6" w:rsidP="002A2EA6">
      <w:pPr>
        <w:pStyle w:val="NormalNonumber"/>
        <w:rPr>
          <w:lang w:val="fr-FR"/>
        </w:rPr>
      </w:pPr>
      <w:bookmarkStart w:id="170" w:name="_DV_C1180"/>
      <w:bookmarkEnd w:id="169"/>
      <w:r w:rsidRPr="002A2EA6">
        <w:rPr>
          <w:lang w:val="fr-FR"/>
        </w:rPr>
        <w:tab/>
        <w:t>2.</w:t>
      </w:r>
      <w:r w:rsidRPr="002A2EA6">
        <w:rPr>
          <w:lang w:val="fr-FR"/>
        </w:rPr>
        <w:tab/>
      </w:r>
      <w:r w:rsidRPr="002A2EA6">
        <w:rPr>
          <w:i/>
          <w:iCs/>
          <w:lang w:val="fr-FR"/>
        </w:rPr>
        <w:t>Prie</w:t>
      </w:r>
      <w:r w:rsidRPr="002A2EA6">
        <w:rPr>
          <w:lang w:val="fr-FR"/>
        </w:rPr>
        <w:t xml:space="preserve"> le secrétariat de faire avancer les travaux en s</w:t>
      </w:r>
      <w:r w:rsidR="00CA4DAC">
        <w:rPr>
          <w:lang w:val="fr-FR"/>
        </w:rPr>
        <w:t>’</w:t>
      </w:r>
      <w:r w:rsidRPr="002A2EA6">
        <w:rPr>
          <w:lang w:val="fr-FR"/>
        </w:rPr>
        <w:t>assurant des services de rédaction pour les documents suivants :</w:t>
      </w:r>
      <w:bookmarkStart w:id="171" w:name="_DV_C1181"/>
      <w:bookmarkEnd w:id="170"/>
    </w:p>
    <w:p w14:paraId="50A2BA41" w14:textId="63EFE6AA" w:rsidR="002A2EA6" w:rsidRPr="002A2EA6" w:rsidRDefault="002A2EA6" w:rsidP="002A2EA6">
      <w:pPr>
        <w:pStyle w:val="NormalNonumber"/>
        <w:rPr>
          <w:lang w:val="fr-FR"/>
        </w:rPr>
      </w:pPr>
      <w:bookmarkStart w:id="172" w:name="_DV_C1182"/>
      <w:bookmarkEnd w:id="171"/>
      <w:r w:rsidRPr="002A2EA6">
        <w:rPr>
          <w:lang w:val="fr-FR"/>
        </w:rPr>
        <w:tab/>
        <w:t>a)</w:t>
      </w:r>
      <w:r w:rsidRPr="002A2EA6">
        <w:rPr>
          <w:lang w:val="fr-FR"/>
        </w:rPr>
        <w:tab/>
        <w:t>Document d</w:t>
      </w:r>
      <w:r w:rsidR="00CA4DAC">
        <w:rPr>
          <w:lang w:val="fr-FR"/>
        </w:rPr>
        <w:t>’</w:t>
      </w:r>
      <w:r w:rsidRPr="002A2EA6">
        <w:rPr>
          <w:lang w:val="fr-FR"/>
        </w:rPr>
        <w:t>orientation sur l</w:t>
      </w:r>
      <w:r w:rsidR="00CA4DAC">
        <w:rPr>
          <w:lang w:val="fr-FR"/>
        </w:rPr>
        <w:t>’</w:t>
      </w:r>
      <w:r w:rsidRPr="002A2EA6">
        <w:rPr>
          <w:lang w:val="fr-FR"/>
        </w:rPr>
        <w:t>exercice d</w:t>
      </w:r>
      <w:r w:rsidR="00CA4DAC">
        <w:rPr>
          <w:lang w:val="fr-FR"/>
        </w:rPr>
        <w:t>’</w:t>
      </w:r>
      <w:r w:rsidRPr="002A2EA6">
        <w:rPr>
          <w:lang w:val="fr-FR"/>
        </w:rPr>
        <w:t>une surveillance de manière à tenir une base de données harmonisées et comparables sur les concentrations de mercure dans l</w:t>
      </w:r>
      <w:r w:rsidR="00CA4DAC">
        <w:rPr>
          <w:lang w:val="fr-FR"/>
        </w:rPr>
        <w:t>’</w:t>
      </w:r>
      <w:r w:rsidRPr="002A2EA6">
        <w:rPr>
          <w:lang w:val="fr-FR"/>
        </w:rPr>
        <w:t xml:space="preserve">environnement, en tenant compte du projet de structure consigné dans la note sur les informations </w:t>
      </w:r>
      <w:r w:rsidR="004203FD">
        <w:rPr>
          <w:lang w:val="fr-FR"/>
        </w:rPr>
        <w:t xml:space="preserve">de base </w:t>
      </w:r>
      <w:r w:rsidRPr="002A2EA6">
        <w:rPr>
          <w:lang w:val="fr-FR"/>
        </w:rPr>
        <w:t>relatives à la</w:t>
      </w:r>
      <w:r w:rsidR="00603A7E">
        <w:rPr>
          <w:lang w:val="fr-FR"/>
        </w:rPr>
        <w:t> </w:t>
      </w:r>
      <w:r w:rsidRPr="002A2EA6">
        <w:rPr>
          <w:lang w:val="fr-FR"/>
        </w:rPr>
        <w:t>surveillance du mercure</w:t>
      </w:r>
      <w:r w:rsidRPr="002A2EA6">
        <w:rPr>
          <w:rStyle w:val="FootnoteReference"/>
          <w:lang w:val="fr-FR"/>
        </w:rPr>
        <w:footnoteReference w:id="11"/>
      </w:r>
      <w:bookmarkStart w:id="173" w:name="_DV_C1183"/>
      <w:bookmarkStart w:id="174" w:name="_DV_C1185"/>
      <w:bookmarkEnd w:id="172"/>
      <w:bookmarkEnd w:id="173"/>
      <w:r w:rsidRPr="002A2EA6">
        <w:rPr>
          <w:lang w:val="fr-FR"/>
        </w:rPr>
        <w:t> ;</w:t>
      </w:r>
    </w:p>
    <w:p w14:paraId="0DD02004" w14:textId="5B74542D" w:rsidR="002A2EA6" w:rsidRPr="002A2EA6" w:rsidRDefault="002A2EA6" w:rsidP="002A2EA6">
      <w:pPr>
        <w:pStyle w:val="NormalNonumber"/>
        <w:rPr>
          <w:lang w:val="fr-FR"/>
        </w:rPr>
      </w:pPr>
      <w:bookmarkStart w:id="175" w:name="_DV_C1186"/>
      <w:bookmarkEnd w:id="174"/>
      <w:r w:rsidRPr="002A2EA6">
        <w:rPr>
          <w:lang w:val="fr-FR"/>
        </w:rPr>
        <w:tab/>
        <w:t>b)</w:t>
      </w:r>
      <w:r w:rsidRPr="002A2EA6">
        <w:rPr>
          <w:lang w:val="fr-FR"/>
        </w:rPr>
        <w:tab/>
        <w:t>Rapports établis dans le cadre de l</w:t>
      </w:r>
      <w:r w:rsidR="00CA4DAC">
        <w:rPr>
          <w:lang w:val="fr-FR"/>
        </w:rPr>
        <w:t>’</w:t>
      </w:r>
      <w:r w:rsidRPr="002A2EA6">
        <w:rPr>
          <w:lang w:val="fr-FR"/>
        </w:rPr>
        <w:t>annexe II de la présente décision, à l</w:t>
      </w:r>
      <w:r w:rsidR="00CA4DAC">
        <w:rPr>
          <w:lang w:val="fr-FR"/>
        </w:rPr>
        <w:t>’</w:t>
      </w:r>
      <w:r w:rsidRPr="002A2EA6">
        <w:rPr>
          <w:lang w:val="fr-FR"/>
        </w:rPr>
        <w:t>exception du rapport sur les émissions et les rejets, du rapport de surveillance et du rapport de modélisation.</w:t>
      </w:r>
      <w:bookmarkEnd w:id="175"/>
    </w:p>
    <w:p w14:paraId="0468E91D" w14:textId="77777777" w:rsidR="002A2EA6" w:rsidRPr="002A2EA6" w:rsidRDefault="002A2EA6" w:rsidP="002A2EA6">
      <w:pPr>
        <w:pStyle w:val="Titletable"/>
        <w:spacing w:before="240" w:after="240"/>
        <w:ind w:left="0"/>
        <w:rPr>
          <w:sz w:val="28"/>
          <w:szCs w:val="28"/>
          <w:lang w:val="fr-FR"/>
        </w:rPr>
      </w:pPr>
      <w:r w:rsidRPr="002A2EA6">
        <w:rPr>
          <w:sz w:val="28"/>
          <w:szCs w:val="28"/>
          <w:lang w:val="fr-FR"/>
        </w:rPr>
        <w:tab/>
        <w:t>Annexe I de la décision MC-3/10</w:t>
      </w:r>
    </w:p>
    <w:p w14:paraId="47C39EBA" w14:textId="452C3926" w:rsidR="002A2EA6" w:rsidRPr="002A2EA6" w:rsidRDefault="002A2EA6" w:rsidP="00774149">
      <w:pPr>
        <w:pStyle w:val="CH2"/>
        <w:spacing w:before="0"/>
        <w:rPr>
          <w:lang w:val="fr-FR"/>
        </w:rPr>
      </w:pPr>
      <w:r w:rsidRPr="002A2EA6">
        <w:rPr>
          <w:lang w:val="fr-FR"/>
        </w:rPr>
        <w:tab/>
      </w:r>
      <w:r w:rsidRPr="002A2EA6">
        <w:rPr>
          <w:lang w:val="fr-FR"/>
        </w:rPr>
        <w:tab/>
      </w:r>
      <w:bookmarkStart w:id="176" w:name="_Toc39063363"/>
      <w:r w:rsidRPr="002A2EA6">
        <w:rPr>
          <w:lang w:val="fr-FR"/>
        </w:rPr>
        <w:t>Indicateurs proposés pour l</w:t>
      </w:r>
      <w:r w:rsidR="00CA4DAC">
        <w:rPr>
          <w:lang w:val="fr-FR"/>
        </w:rPr>
        <w:t>’</w:t>
      </w:r>
      <w:r w:rsidRPr="002A2EA6">
        <w:rPr>
          <w:lang w:val="fr-FR"/>
        </w:rPr>
        <w:t>évaluation de l</w:t>
      </w:r>
      <w:r w:rsidR="00CA4DAC">
        <w:rPr>
          <w:lang w:val="fr-FR"/>
        </w:rPr>
        <w:t>’</w:t>
      </w:r>
      <w:r w:rsidRPr="002A2EA6">
        <w:rPr>
          <w:lang w:val="fr-FR"/>
        </w:rPr>
        <w:t>efficacité de Convention Minamata, par article</w:t>
      </w:r>
      <w:bookmarkEnd w:id="176"/>
    </w:p>
    <w:tbl>
      <w:tblPr>
        <w:tblStyle w:val="PlainTable2"/>
        <w:tblW w:w="8307" w:type="dxa"/>
        <w:jc w:val="right"/>
        <w:tblLook w:val="04A0" w:firstRow="1" w:lastRow="0" w:firstColumn="1" w:lastColumn="0" w:noHBand="0" w:noVBand="1"/>
      </w:tblPr>
      <w:tblGrid>
        <w:gridCol w:w="1834"/>
        <w:gridCol w:w="2702"/>
        <w:gridCol w:w="1843"/>
        <w:gridCol w:w="1928"/>
      </w:tblGrid>
      <w:tr w:rsidR="002A2EA6" w:rsidRPr="002A2EA6" w14:paraId="1517439D" w14:textId="77777777" w:rsidTr="00774149">
        <w:trPr>
          <w:cnfStyle w:val="100000000000" w:firstRow="1" w:lastRow="0" w:firstColumn="0" w:lastColumn="0" w:oddVBand="0" w:evenVBand="0" w:oddHBand="0" w:evenHBand="0" w:firstRowFirstColumn="0" w:firstRowLastColumn="0" w:lastRowFirstColumn="0" w:lastRowLastColumn="0"/>
          <w:trHeight w:val="57"/>
          <w:jc w:val="right"/>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auto"/>
              <w:bottom w:val="single" w:sz="12" w:space="0" w:color="auto"/>
            </w:tcBorders>
            <w:hideMark/>
          </w:tcPr>
          <w:p w14:paraId="36AD3151" w14:textId="77777777" w:rsidR="002A2EA6" w:rsidRPr="00375AFC" w:rsidRDefault="002A2EA6" w:rsidP="00774149">
            <w:pPr>
              <w:spacing w:before="20" w:after="120"/>
              <w:rPr>
                <w:b w:val="0"/>
                <w:i/>
                <w:iCs/>
                <w:sz w:val="18"/>
                <w:szCs w:val="18"/>
              </w:rPr>
            </w:pPr>
            <w:r w:rsidRPr="00375AFC">
              <w:rPr>
                <w:b w:val="0"/>
                <w:i/>
                <w:iCs/>
                <w:sz w:val="18"/>
                <w:szCs w:val="18"/>
              </w:rPr>
              <w:t xml:space="preserve">A : Article premier (Objectif) </w:t>
            </w:r>
          </w:p>
          <w:p w14:paraId="2D49D1E9" w14:textId="055CA80F" w:rsidR="002A2EA6" w:rsidRPr="00774149" w:rsidRDefault="002A2EA6" w:rsidP="002A2EA6">
            <w:pPr>
              <w:spacing w:before="20" w:after="20"/>
              <w:ind w:left="567"/>
              <w:rPr>
                <w:b w:val="0"/>
                <w:bCs w:val="0"/>
                <w:sz w:val="18"/>
                <w:szCs w:val="18"/>
              </w:rPr>
            </w:pPr>
            <w:r w:rsidRPr="00774149">
              <w:rPr>
                <w:b w:val="0"/>
                <w:bCs w:val="0"/>
                <w:sz w:val="18"/>
                <w:szCs w:val="18"/>
              </w:rPr>
              <w:t>(L</w:t>
            </w:r>
            <w:r w:rsidR="00CA4DAC">
              <w:rPr>
                <w:b w:val="0"/>
                <w:bCs w:val="0"/>
                <w:sz w:val="18"/>
                <w:szCs w:val="18"/>
              </w:rPr>
              <w:t>’</w:t>
            </w:r>
            <w:r w:rsidRPr="00774149">
              <w:rPr>
                <w:b w:val="0"/>
                <w:bCs w:val="0"/>
                <w:sz w:val="18"/>
                <w:szCs w:val="18"/>
              </w:rPr>
              <w:t>indicateur de l</w:t>
            </w:r>
            <w:r w:rsidR="00CA4DAC">
              <w:rPr>
                <w:b w:val="0"/>
                <w:bCs w:val="0"/>
                <w:sz w:val="18"/>
                <w:szCs w:val="18"/>
              </w:rPr>
              <w:t>’</w:t>
            </w:r>
            <w:r w:rsidRPr="00774149">
              <w:rPr>
                <w:b w:val="0"/>
                <w:bCs w:val="0"/>
                <w:sz w:val="18"/>
                <w:szCs w:val="18"/>
              </w:rPr>
              <w:t>article premier doit être lu parallèlement aux indicateurs de surveillance figurant au tableau 4</w:t>
            </w:r>
            <w:r w:rsidR="00FB57BF">
              <w:rPr>
                <w:b w:val="0"/>
                <w:bCs w:val="0"/>
                <w:sz w:val="18"/>
                <w:szCs w:val="18"/>
              </w:rPr>
              <w:t xml:space="preserve"> du document</w:t>
            </w:r>
            <w:r w:rsidR="000D4E8A">
              <w:rPr>
                <w:b w:val="0"/>
                <w:bCs w:val="0"/>
                <w:sz w:val="18"/>
                <w:szCs w:val="18"/>
              </w:rPr>
              <w:t> </w:t>
            </w:r>
            <w:r w:rsidR="003932EB" w:rsidRPr="00375475">
              <w:rPr>
                <w:b w:val="0"/>
                <w:bCs w:val="0"/>
                <w:sz w:val="18"/>
                <w:szCs w:val="18"/>
              </w:rPr>
              <w:t>UNEP/MC/COP.3/14</w:t>
            </w:r>
            <w:r w:rsidRPr="00774149">
              <w:rPr>
                <w:b w:val="0"/>
                <w:bCs w:val="0"/>
                <w:sz w:val="18"/>
                <w:szCs w:val="18"/>
              </w:rPr>
              <w:t>)</w:t>
            </w:r>
          </w:p>
        </w:tc>
        <w:tc>
          <w:tcPr>
            <w:tcW w:w="1843" w:type="dxa"/>
            <w:tcBorders>
              <w:top w:val="single" w:sz="4" w:space="0" w:color="auto"/>
              <w:bottom w:val="single" w:sz="12" w:space="0" w:color="auto"/>
            </w:tcBorders>
            <w:hideMark/>
          </w:tcPr>
          <w:p w14:paraId="04069730" w14:textId="3DC58623" w:rsidR="002A2EA6" w:rsidRPr="00375AFC" w:rsidRDefault="002A2EA6" w:rsidP="002A2EA6">
            <w:pPr>
              <w:spacing w:before="20" w:after="20"/>
              <w:cnfStyle w:val="100000000000" w:firstRow="1" w:lastRow="0" w:firstColumn="0" w:lastColumn="0" w:oddVBand="0" w:evenVBand="0" w:oddHBand="0" w:evenHBand="0" w:firstRowFirstColumn="0" w:firstRowLastColumn="0" w:lastRowFirstColumn="0" w:lastRowLastColumn="0"/>
              <w:rPr>
                <w:rFonts w:eastAsia="Roboto"/>
                <w:b w:val="0"/>
                <w:i/>
                <w:iCs/>
                <w:sz w:val="18"/>
                <w:szCs w:val="18"/>
              </w:rPr>
            </w:pPr>
            <w:r w:rsidRPr="00375AFC">
              <w:rPr>
                <w:b w:val="0"/>
                <w:bCs w:val="0"/>
                <w:i/>
                <w:iCs/>
                <w:sz w:val="18"/>
                <w:szCs w:val="18"/>
              </w:rPr>
              <w:t xml:space="preserve">Source </w:t>
            </w:r>
            <w:r w:rsidR="002321A6">
              <w:rPr>
                <w:b w:val="0"/>
                <w:bCs w:val="0"/>
                <w:i/>
                <w:iCs/>
                <w:sz w:val="18"/>
                <w:szCs w:val="18"/>
              </w:rPr>
              <w:br/>
            </w:r>
            <w:r w:rsidRPr="00375AFC">
              <w:rPr>
                <w:b w:val="0"/>
                <w:bCs w:val="0"/>
                <w:i/>
                <w:iCs/>
                <w:sz w:val="18"/>
                <w:szCs w:val="18"/>
              </w:rPr>
              <w:t>d</w:t>
            </w:r>
            <w:r w:rsidR="00CA4DAC">
              <w:rPr>
                <w:b w:val="0"/>
                <w:bCs w:val="0"/>
                <w:i/>
                <w:iCs/>
                <w:sz w:val="18"/>
                <w:szCs w:val="18"/>
              </w:rPr>
              <w:t>’</w:t>
            </w:r>
            <w:r w:rsidRPr="00375AFC">
              <w:rPr>
                <w:b w:val="0"/>
                <w:bCs w:val="0"/>
                <w:i/>
                <w:iCs/>
                <w:sz w:val="18"/>
                <w:szCs w:val="18"/>
              </w:rPr>
              <w:t>information concernant l</w:t>
            </w:r>
            <w:r w:rsidR="00CA4DAC">
              <w:rPr>
                <w:b w:val="0"/>
                <w:bCs w:val="0"/>
                <w:i/>
                <w:iCs/>
                <w:sz w:val="18"/>
                <w:szCs w:val="18"/>
              </w:rPr>
              <w:t>’</w:t>
            </w:r>
            <w:r w:rsidRPr="00375AFC">
              <w:rPr>
                <w:b w:val="0"/>
                <w:bCs w:val="0"/>
                <w:i/>
                <w:iCs/>
                <w:sz w:val="18"/>
                <w:szCs w:val="18"/>
              </w:rPr>
              <w:t>indicateur</w:t>
            </w:r>
          </w:p>
        </w:tc>
        <w:tc>
          <w:tcPr>
            <w:tcW w:w="1928" w:type="dxa"/>
            <w:tcBorders>
              <w:top w:val="single" w:sz="4" w:space="0" w:color="auto"/>
              <w:bottom w:val="single" w:sz="12" w:space="0" w:color="auto"/>
            </w:tcBorders>
            <w:hideMark/>
          </w:tcPr>
          <w:p w14:paraId="0BE2C11E" w14:textId="6E20C911" w:rsidR="002A2EA6" w:rsidRPr="00375AFC" w:rsidRDefault="002A2EA6" w:rsidP="002A2EA6">
            <w:pPr>
              <w:spacing w:before="20" w:after="20"/>
              <w:cnfStyle w:val="100000000000" w:firstRow="1" w:lastRow="0" w:firstColumn="0" w:lastColumn="0" w:oddVBand="0" w:evenVBand="0" w:oddHBand="0" w:evenHBand="0" w:firstRowFirstColumn="0" w:firstRowLastColumn="0" w:lastRowFirstColumn="0" w:lastRowLastColumn="0"/>
              <w:rPr>
                <w:rFonts w:eastAsia="Roboto"/>
                <w:b w:val="0"/>
                <w:bCs w:val="0"/>
                <w:i/>
                <w:iCs/>
                <w:sz w:val="18"/>
                <w:szCs w:val="18"/>
              </w:rPr>
            </w:pPr>
            <w:r w:rsidRPr="00375AFC">
              <w:rPr>
                <w:b w:val="0"/>
                <w:i/>
                <w:iCs/>
                <w:sz w:val="18"/>
                <w:szCs w:val="18"/>
              </w:rPr>
              <w:t>Valeur de référence pour</w:t>
            </w:r>
            <w:r w:rsidR="00774149">
              <w:rPr>
                <w:b w:val="0"/>
                <w:i/>
                <w:iCs/>
                <w:sz w:val="18"/>
                <w:szCs w:val="18"/>
              </w:rPr>
              <w:t> </w:t>
            </w:r>
            <w:r w:rsidRPr="00375AFC">
              <w:rPr>
                <w:b w:val="0"/>
                <w:i/>
                <w:iCs/>
                <w:sz w:val="18"/>
                <w:szCs w:val="18"/>
              </w:rPr>
              <w:t>l</w:t>
            </w:r>
            <w:r w:rsidR="00CA4DAC">
              <w:rPr>
                <w:b w:val="0"/>
                <w:i/>
                <w:iCs/>
                <w:sz w:val="18"/>
                <w:szCs w:val="18"/>
              </w:rPr>
              <w:t>’</w:t>
            </w:r>
            <w:r w:rsidRPr="00375AFC">
              <w:rPr>
                <w:b w:val="0"/>
                <w:i/>
                <w:iCs/>
                <w:sz w:val="18"/>
                <w:szCs w:val="18"/>
              </w:rPr>
              <w:t>indicateur</w:t>
            </w:r>
          </w:p>
        </w:tc>
      </w:tr>
      <w:tr w:rsidR="002A2EA6" w:rsidRPr="002A2EA6" w14:paraId="6EC3E891" w14:textId="77777777" w:rsidTr="00774149">
        <w:trPr>
          <w:cnfStyle w:val="000000100000" w:firstRow="0" w:lastRow="0" w:firstColumn="0" w:lastColumn="0" w:oddVBand="0" w:evenVBand="0" w:oddHBand="1" w:evenHBand="0" w:firstRowFirstColumn="0" w:firstRowLastColumn="0" w:lastRowFirstColumn="0" w:lastRowLastColumn="0"/>
          <w:trHeight w:val="454"/>
          <w:jc w:val="right"/>
        </w:trPr>
        <w:tc>
          <w:tcPr>
            <w:cnfStyle w:val="001000000000" w:firstRow="0" w:lastRow="0" w:firstColumn="1" w:lastColumn="0" w:oddVBand="0" w:evenVBand="0" w:oddHBand="0" w:evenHBand="0" w:firstRowFirstColumn="0" w:firstRowLastColumn="0" w:lastRowFirstColumn="0" w:lastRowLastColumn="0"/>
            <w:tcW w:w="1834" w:type="dxa"/>
            <w:tcBorders>
              <w:top w:val="single" w:sz="12" w:space="0" w:color="auto"/>
              <w:bottom w:val="nil"/>
            </w:tcBorders>
            <w:hideMark/>
          </w:tcPr>
          <w:p w14:paraId="38899BDA" w14:textId="77777777" w:rsidR="002A2EA6" w:rsidRPr="00375AFC" w:rsidRDefault="002A2EA6" w:rsidP="002A2EA6">
            <w:pPr>
              <w:spacing w:before="20" w:after="20"/>
              <w:rPr>
                <w:b w:val="0"/>
                <w:bCs w:val="0"/>
                <w:sz w:val="18"/>
                <w:szCs w:val="18"/>
              </w:rPr>
            </w:pPr>
            <w:r w:rsidRPr="00375AFC">
              <w:rPr>
                <w:b w:val="0"/>
                <w:bCs w:val="0"/>
                <w:sz w:val="18"/>
                <w:szCs w:val="18"/>
              </w:rPr>
              <w:t>A1. Indicateur de surveillance transversal</w:t>
            </w:r>
          </w:p>
        </w:tc>
        <w:tc>
          <w:tcPr>
            <w:tcW w:w="2702" w:type="dxa"/>
            <w:tcBorders>
              <w:top w:val="single" w:sz="12" w:space="0" w:color="auto"/>
              <w:bottom w:val="nil"/>
            </w:tcBorders>
            <w:hideMark/>
          </w:tcPr>
          <w:p w14:paraId="122CCE6B" w14:textId="5EC0A99C"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Concentrations de mercure dans l</w:t>
            </w:r>
            <w:r w:rsidR="00CA4DAC">
              <w:rPr>
                <w:sz w:val="18"/>
                <w:szCs w:val="18"/>
              </w:rPr>
              <w:t>’</w:t>
            </w:r>
            <w:r w:rsidRPr="002A2EA6">
              <w:rPr>
                <w:sz w:val="18"/>
                <w:szCs w:val="18"/>
              </w:rPr>
              <w:t>environnement et la population humaine dues aux émissions et aux</w:t>
            </w:r>
            <w:r w:rsidR="00774149">
              <w:rPr>
                <w:sz w:val="18"/>
                <w:szCs w:val="18"/>
              </w:rPr>
              <w:t> </w:t>
            </w:r>
            <w:r w:rsidRPr="002A2EA6">
              <w:rPr>
                <w:sz w:val="18"/>
                <w:szCs w:val="18"/>
              </w:rPr>
              <w:t>rejets anthropiques</w:t>
            </w:r>
          </w:p>
        </w:tc>
        <w:tc>
          <w:tcPr>
            <w:tcW w:w="1843" w:type="dxa"/>
            <w:tcBorders>
              <w:top w:val="single" w:sz="12" w:space="0" w:color="auto"/>
              <w:bottom w:val="nil"/>
            </w:tcBorders>
          </w:tcPr>
          <w:p w14:paraId="5BF798A4"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Modélisation attributive</w:t>
            </w:r>
          </w:p>
        </w:tc>
        <w:tc>
          <w:tcPr>
            <w:tcW w:w="1928" w:type="dxa"/>
            <w:tcBorders>
              <w:top w:val="single" w:sz="12" w:space="0" w:color="auto"/>
              <w:bottom w:val="nil"/>
            </w:tcBorders>
            <w:hideMark/>
          </w:tcPr>
          <w:p w14:paraId="44A7A724"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Quantité dans la première évaluation (si des modèles sont disponibles)</w:t>
            </w:r>
          </w:p>
        </w:tc>
      </w:tr>
      <w:tr w:rsidR="002A2EA6" w:rsidRPr="002A2EA6" w14:paraId="4853CD23" w14:textId="77777777" w:rsidTr="00774149">
        <w:trPr>
          <w:trHeight w:val="57"/>
          <w:jc w:val="right"/>
        </w:trPr>
        <w:tc>
          <w:tcPr>
            <w:cnfStyle w:val="001000000000" w:firstRow="0" w:lastRow="0" w:firstColumn="1" w:lastColumn="0" w:oddVBand="0" w:evenVBand="0" w:oddHBand="0" w:evenHBand="0" w:firstRowFirstColumn="0" w:firstRowLastColumn="0" w:lastRowFirstColumn="0" w:lastRowLastColumn="0"/>
            <w:tcW w:w="1834" w:type="dxa"/>
            <w:tcBorders>
              <w:top w:val="nil"/>
              <w:bottom w:val="single" w:sz="12" w:space="0" w:color="auto"/>
            </w:tcBorders>
            <w:hideMark/>
          </w:tcPr>
          <w:p w14:paraId="6CBDF05E" w14:textId="77777777" w:rsidR="002A2EA6" w:rsidRPr="00375AFC" w:rsidRDefault="002A2EA6" w:rsidP="007A1C1C">
            <w:pPr>
              <w:spacing w:before="120" w:after="20"/>
              <w:rPr>
                <w:sz w:val="18"/>
                <w:szCs w:val="18"/>
              </w:rPr>
            </w:pPr>
            <w:r w:rsidRPr="00375AFC">
              <w:rPr>
                <w:sz w:val="18"/>
                <w:szCs w:val="18"/>
              </w:rPr>
              <w:t>Notes</w:t>
            </w:r>
          </w:p>
        </w:tc>
        <w:tc>
          <w:tcPr>
            <w:tcW w:w="6473" w:type="dxa"/>
            <w:gridSpan w:val="3"/>
            <w:tcBorders>
              <w:top w:val="nil"/>
              <w:bottom w:val="single" w:sz="12" w:space="0" w:color="auto"/>
            </w:tcBorders>
            <w:hideMark/>
          </w:tcPr>
          <w:p w14:paraId="4DBB435A" w14:textId="4EC9F241" w:rsidR="002A2EA6" w:rsidRPr="002A2EA6" w:rsidRDefault="002A2EA6" w:rsidP="007A1C1C">
            <w:pPr>
              <w:pStyle w:val="ListParagraph"/>
              <w:numPr>
                <w:ilvl w:val="0"/>
                <w:numId w:val="20"/>
              </w:numPr>
              <w:tabs>
                <w:tab w:val="left" w:pos="850"/>
              </w:tabs>
              <w:spacing w:before="120" w:after="20"/>
              <w:ind w:left="283" w:hanging="283"/>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L</w:t>
            </w:r>
            <w:r w:rsidR="00CA4DAC">
              <w:rPr>
                <w:sz w:val="18"/>
                <w:szCs w:val="18"/>
              </w:rPr>
              <w:t>’</w:t>
            </w:r>
            <w:r w:rsidRPr="002A2EA6">
              <w:rPr>
                <w:sz w:val="18"/>
                <w:szCs w:val="18"/>
              </w:rPr>
              <w:t>attribution doit être estimée à l</w:t>
            </w:r>
            <w:r w:rsidR="00CA4DAC">
              <w:rPr>
                <w:sz w:val="18"/>
                <w:szCs w:val="18"/>
              </w:rPr>
              <w:t>’</w:t>
            </w:r>
            <w:r w:rsidRPr="002A2EA6">
              <w:rPr>
                <w:sz w:val="18"/>
                <w:szCs w:val="18"/>
              </w:rPr>
              <w:t>aide de modèles qui n</w:t>
            </w:r>
            <w:r w:rsidR="00CA4DAC">
              <w:rPr>
                <w:sz w:val="18"/>
                <w:szCs w:val="18"/>
              </w:rPr>
              <w:t>’</w:t>
            </w:r>
            <w:r w:rsidRPr="002A2EA6">
              <w:rPr>
                <w:sz w:val="18"/>
                <w:szCs w:val="18"/>
              </w:rPr>
              <w:t>ont pas encore été élaborés ; par conséquent, les informations pour cet indicateur peuvent être disponibles ou non pour le premier cycle du comité d</w:t>
            </w:r>
            <w:r w:rsidR="00CA4DAC">
              <w:rPr>
                <w:sz w:val="18"/>
                <w:szCs w:val="18"/>
              </w:rPr>
              <w:t>’</w:t>
            </w:r>
            <w:r w:rsidRPr="002A2EA6">
              <w:rPr>
                <w:sz w:val="18"/>
                <w:szCs w:val="18"/>
              </w:rPr>
              <w:t>évaluation de l</w:t>
            </w:r>
            <w:r w:rsidR="00CA4DAC">
              <w:rPr>
                <w:sz w:val="18"/>
                <w:szCs w:val="18"/>
              </w:rPr>
              <w:t>’</w:t>
            </w:r>
            <w:r w:rsidRPr="002A2EA6">
              <w:rPr>
                <w:sz w:val="18"/>
                <w:szCs w:val="18"/>
              </w:rPr>
              <w:t>efficacité.</w:t>
            </w:r>
          </w:p>
          <w:p w14:paraId="2413C19E" w14:textId="7B99B168" w:rsidR="002A2EA6" w:rsidRPr="002A2EA6" w:rsidRDefault="002A2EA6" w:rsidP="007A1C1C">
            <w:pPr>
              <w:pStyle w:val="ListParagraph"/>
              <w:numPr>
                <w:ilvl w:val="0"/>
                <w:numId w:val="20"/>
              </w:numPr>
              <w:tabs>
                <w:tab w:val="left" w:pos="850"/>
              </w:tabs>
              <w:spacing w:before="120" w:after="20"/>
              <w:ind w:left="283" w:hanging="283"/>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Les estimations issues de la modélisation doivent être accompagnées d</w:t>
            </w:r>
            <w:r w:rsidR="00CA4DAC">
              <w:rPr>
                <w:sz w:val="18"/>
                <w:szCs w:val="18"/>
              </w:rPr>
              <w:t>’</w:t>
            </w:r>
            <w:r w:rsidRPr="002A2EA6">
              <w:rPr>
                <w:sz w:val="18"/>
                <w:szCs w:val="18"/>
              </w:rPr>
              <w:t>observations pertinentes sur l</w:t>
            </w:r>
            <w:r w:rsidR="00CA4DAC">
              <w:rPr>
                <w:sz w:val="18"/>
                <w:szCs w:val="18"/>
              </w:rPr>
              <w:t>’</w:t>
            </w:r>
            <w:r w:rsidRPr="002A2EA6">
              <w:rPr>
                <w:sz w:val="18"/>
                <w:szCs w:val="18"/>
              </w:rPr>
              <w:t>incertitude de la modélisation.</w:t>
            </w:r>
          </w:p>
          <w:p w14:paraId="24F78FC9" w14:textId="682AF763" w:rsidR="002A2EA6" w:rsidRPr="002A2EA6" w:rsidRDefault="002A2EA6" w:rsidP="007A1C1C">
            <w:pPr>
              <w:pStyle w:val="ListParagraph"/>
              <w:numPr>
                <w:ilvl w:val="0"/>
                <w:numId w:val="20"/>
              </w:numPr>
              <w:tabs>
                <w:tab w:val="left" w:pos="850"/>
              </w:tabs>
              <w:spacing w:before="120" w:after="20"/>
              <w:ind w:left="283" w:hanging="283"/>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En cas de non-disponibilité d</w:t>
            </w:r>
            <w:r w:rsidR="00CA4DAC">
              <w:rPr>
                <w:sz w:val="18"/>
                <w:szCs w:val="18"/>
              </w:rPr>
              <w:t>’</w:t>
            </w:r>
            <w:r w:rsidRPr="002A2EA6">
              <w:rPr>
                <w:sz w:val="18"/>
                <w:szCs w:val="18"/>
              </w:rPr>
              <w:t>informations provenant des modèles, les concentrations du mercure et les tendances y relatives (variations dans le temps) pourraient être utilisées à des fins d</w:t>
            </w:r>
            <w:r w:rsidR="00CA4DAC">
              <w:rPr>
                <w:sz w:val="18"/>
                <w:szCs w:val="18"/>
              </w:rPr>
              <w:t>’</w:t>
            </w:r>
            <w:r w:rsidRPr="002A2EA6">
              <w:rPr>
                <w:sz w:val="18"/>
                <w:szCs w:val="18"/>
              </w:rPr>
              <w:t>attribution.</w:t>
            </w:r>
          </w:p>
        </w:tc>
      </w:tr>
    </w:tbl>
    <w:p w14:paraId="51F19D9E" w14:textId="67F691BA" w:rsidR="00774149" w:rsidRDefault="00774149" w:rsidP="002A2EA6">
      <w:pPr>
        <w:spacing w:before="20" w:after="20"/>
        <w:rPr>
          <w:sz w:val="12"/>
          <w:szCs w:val="12"/>
        </w:rPr>
      </w:pPr>
    </w:p>
    <w:p w14:paraId="794179D0" w14:textId="76FED75C" w:rsidR="00774149" w:rsidRDefault="00774149">
      <w:pPr>
        <w:tabs>
          <w:tab w:val="clear" w:pos="1247"/>
          <w:tab w:val="clear" w:pos="1814"/>
          <w:tab w:val="clear" w:pos="2381"/>
          <w:tab w:val="clear" w:pos="2948"/>
          <w:tab w:val="clear" w:pos="3515"/>
        </w:tabs>
        <w:rPr>
          <w:sz w:val="12"/>
          <w:szCs w:val="12"/>
        </w:rPr>
      </w:pPr>
      <w:r>
        <w:rPr>
          <w:sz w:val="12"/>
          <w:szCs w:val="12"/>
        </w:rPr>
        <w:br w:type="page"/>
      </w:r>
    </w:p>
    <w:tbl>
      <w:tblPr>
        <w:tblStyle w:val="PlainTable2"/>
        <w:tblW w:w="8307" w:type="dxa"/>
        <w:jc w:val="right"/>
        <w:tblLook w:val="04A0" w:firstRow="1" w:lastRow="0" w:firstColumn="1" w:lastColumn="0" w:noHBand="0" w:noVBand="1"/>
      </w:tblPr>
      <w:tblGrid>
        <w:gridCol w:w="1843"/>
        <w:gridCol w:w="2693"/>
        <w:gridCol w:w="1843"/>
        <w:gridCol w:w="1928"/>
      </w:tblGrid>
      <w:tr w:rsidR="002A2EA6" w:rsidRPr="002A2EA6" w14:paraId="25B81168" w14:textId="77777777" w:rsidTr="00774149">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2" w:space="0" w:color="auto"/>
              <w:bottom w:val="single" w:sz="12" w:space="0" w:color="auto"/>
            </w:tcBorders>
            <w:hideMark/>
          </w:tcPr>
          <w:p w14:paraId="3D389170" w14:textId="77777777" w:rsidR="002A2EA6" w:rsidRPr="004A7BEE" w:rsidRDefault="002A2EA6" w:rsidP="00774149">
            <w:pPr>
              <w:spacing w:before="20" w:after="20"/>
              <w:rPr>
                <w:b w:val="0"/>
                <w:i/>
                <w:iCs/>
                <w:sz w:val="18"/>
                <w:szCs w:val="18"/>
              </w:rPr>
            </w:pPr>
            <w:r w:rsidRPr="004A7BEE">
              <w:rPr>
                <w:b w:val="0"/>
                <w:i/>
                <w:iCs/>
                <w:sz w:val="18"/>
                <w:szCs w:val="18"/>
              </w:rPr>
              <w:lastRenderedPageBreak/>
              <w:t>B : groupe Approvisionnement</w:t>
            </w:r>
          </w:p>
          <w:p w14:paraId="3E3043C3" w14:textId="05CFBC14" w:rsidR="002A2EA6" w:rsidRPr="004A7BEE" w:rsidRDefault="002A2EA6" w:rsidP="00774149">
            <w:pPr>
              <w:spacing w:before="20" w:after="20"/>
              <w:ind w:left="567"/>
              <w:rPr>
                <w:b w:val="0"/>
                <w:bCs w:val="0"/>
                <w:i/>
                <w:iCs/>
                <w:sz w:val="18"/>
                <w:szCs w:val="18"/>
              </w:rPr>
            </w:pPr>
            <w:r w:rsidRPr="004A7BEE">
              <w:rPr>
                <w:b w:val="0"/>
                <w:i/>
                <w:iCs/>
              </w:rPr>
              <w:t>A</w:t>
            </w:r>
            <w:r w:rsidRPr="004A7BEE">
              <w:rPr>
                <w:b w:val="0"/>
                <w:i/>
                <w:iCs/>
                <w:sz w:val="18"/>
                <w:szCs w:val="18"/>
              </w:rPr>
              <w:t>rticle 3 (Sources d</w:t>
            </w:r>
            <w:r w:rsidR="00CA4DAC">
              <w:rPr>
                <w:b w:val="0"/>
                <w:i/>
                <w:iCs/>
                <w:sz w:val="18"/>
                <w:szCs w:val="18"/>
              </w:rPr>
              <w:t>’</w:t>
            </w:r>
            <w:r w:rsidRPr="004A7BEE">
              <w:rPr>
                <w:b w:val="0"/>
                <w:i/>
                <w:iCs/>
                <w:sz w:val="18"/>
                <w:szCs w:val="18"/>
              </w:rPr>
              <w:t>approvisionnement en mercure et commerce) ; article 10 (Stockage provisoire écologiquement rationnel du mercure, à l</w:t>
            </w:r>
            <w:r w:rsidR="00CA4DAC">
              <w:rPr>
                <w:b w:val="0"/>
                <w:i/>
                <w:iCs/>
                <w:sz w:val="18"/>
                <w:szCs w:val="18"/>
              </w:rPr>
              <w:t>’</w:t>
            </w:r>
            <w:r w:rsidRPr="004A7BEE">
              <w:rPr>
                <w:b w:val="0"/>
                <w:i/>
                <w:iCs/>
                <w:sz w:val="18"/>
                <w:szCs w:val="18"/>
              </w:rPr>
              <w:t>exclusion des déchets de mercure) ; article 11 (Déchets de mercure)</w:t>
            </w:r>
          </w:p>
        </w:tc>
        <w:tc>
          <w:tcPr>
            <w:tcW w:w="1843" w:type="dxa"/>
            <w:tcBorders>
              <w:top w:val="single" w:sz="2" w:space="0" w:color="auto"/>
              <w:bottom w:val="single" w:sz="12" w:space="0" w:color="auto"/>
            </w:tcBorders>
            <w:hideMark/>
          </w:tcPr>
          <w:p w14:paraId="5CA47404" w14:textId="15092316" w:rsidR="002A2EA6" w:rsidRPr="004A7BEE" w:rsidRDefault="002A2EA6" w:rsidP="007A1C1C">
            <w:pPr>
              <w:keepNext/>
              <w:keepLines/>
              <w:spacing w:before="20" w:after="20"/>
              <w:cnfStyle w:val="100000000000" w:firstRow="1" w:lastRow="0" w:firstColumn="0" w:lastColumn="0" w:oddVBand="0" w:evenVBand="0" w:oddHBand="0" w:evenHBand="0" w:firstRowFirstColumn="0" w:firstRowLastColumn="0" w:lastRowFirstColumn="0" w:lastRowLastColumn="0"/>
              <w:rPr>
                <w:b w:val="0"/>
                <w:bCs w:val="0"/>
                <w:i/>
                <w:iCs/>
                <w:sz w:val="18"/>
                <w:szCs w:val="18"/>
              </w:rPr>
            </w:pPr>
            <w:r w:rsidRPr="004A7BEE">
              <w:rPr>
                <w:b w:val="0"/>
                <w:bCs w:val="0"/>
                <w:i/>
                <w:iCs/>
                <w:sz w:val="18"/>
                <w:szCs w:val="18"/>
              </w:rPr>
              <w:t xml:space="preserve">Source </w:t>
            </w:r>
            <w:r w:rsidR="002321A6">
              <w:rPr>
                <w:b w:val="0"/>
                <w:bCs w:val="0"/>
                <w:i/>
                <w:iCs/>
                <w:sz w:val="18"/>
                <w:szCs w:val="18"/>
              </w:rPr>
              <w:br/>
            </w:r>
            <w:r w:rsidRPr="004A7BEE">
              <w:rPr>
                <w:b w:val="0"/>
                <w:bCs w:val="0"/>
                <w:i/>
                <w:iCs/>
                <w:sz w:val="18"/>
                <w:szCs w:val="18"/>
              </w:rPr>
              <w:t>d</w:t>
            </w:r>
            <w:r w:rsidR="00CA4DAC">
              <w:rPr>
                <w:b w:val="0"/>
                <w:bCs w:val="0"/>
                <w:i/>
                <w:iCs/>
                <w:sz w:val="18"/>
                <w:szCs w:val="18"/>
              </w:rPr>
              <w:t>’</w:t>
            </w:r>
            <w:r w:rsidRPr="004A7BEE">
              <w:rPr>
                <w:b w:val="0"/>
                <w:bCs w:val="0"/>
                <w:i/>
                <w:iCs/>
                <w:sz w:val="18"/>
                <w:szCs w:val="18"/>
              </w:rPr>
              <w:t>information concernant l</w:t>
            </w:r>
            <w:r w:rsidR="00CA4DAC">
              <w:rPr>
                <w:b w:val="0"/>
                <w:bCs w:val="0"/>
                <w:i/>
                <w:iCs/>
                <w:sz w:val="18"/>
                <w:szCs w:val="18"/>
              </w:rPr>
              <w:t>’</w:t>
            </w:r>
            <w:r w:rsidRPr="004A7BEE">
              <w:rPr>
                <w:b w:val="0"/>
                <w:bCs w:val="0"/>
                <w:i/>
                <w:iCs/>
                <w:sz w:val="18"/>
                <w:szCs w:val="18"/>
              </w:rPr>
              <w:t>indicateur</w:t>
            </w:r>
          </w:p>
        </w:tc>
        <w:tc>
          <w:tcPr>
            <w:tcW w:w="1928" w:type="dxa"/>
            <w:tcBorders>
              <w:top w:val="single" w:sz="2" w:space="0" w:color="auto"/>
              <w:bottom w:val="single" w:sz="12" w:space="0" w:color="auto"/>
            </w:tcBorders>
            <w:hideMark/>
          </w:tcPr>
          <w:p w14:paraId="2C03B80A" w14:textId="31C2F4A2" w:rsidR="002A2EA6" w:rsidRPr="004A7BEE" w:rsidRDefault="002A2EA6" w:rsidP="007A1C1C">
            <w:pPr>
              <w:keepNext/>
              <w:keepLines/>
              <w:spacing w:before="20" w:after="20"/>
              <w:cnfStyle w:val="100000000000" w:firstRow="1" w:lastRow="0" w:firstColumn="0" w:lastColumn="0" w:oddVBand="0" w:evenVBand="0" w:oddHBand="0" w:evenHBand="0" w:firstRowFirstColumn="0" w:firstRowLastColumn="0" w:lastRowFirstColumn="0" w:lastRowLastColumn="0"/>
              <w:rPr>
                <w:b w:val="0"/>
                <w:bCs w:val="0"/>
                <w:i/>
                <w:iCs/>
                <w:sz w:val="18"/>
                <w:szCs w:val="18"/>
              </w:rPr>
            </w:pPr>
            <w:r w:rsidRPr="004A7BEE">
              <w:rPr>
                <w:b w:val="0"/>
                <w:i/>
                <w:iCs/>
                <w:sz w:val="18"/>
                <w:szCs w:val="18"/>
              </w:rPr>
              <w:t>Valeur de référence pour l</w:t>
            </w:r>
            <w:r w:rsidR="00CA4DAC">
              <w:rPr>
                <w:b w:val="0"/>
                <w:i/>
                <w:iCs/>
                <w:sz w:val="18"/>
                <w:szCs w:val="18"/>
              </w:rPr>
              <w:t>’</w:t>
            </w:r>
            <w:r w:rsidRPr="004A7BEE">
              <w:rPr>
                <w:b w:val="0"/>
                <w:i/>
                <w:iCs/>
                <w:sz w:val="18"/>
                <w:szCs w:val="18"/>
              </w:rPr>
              <w:t>indicateur</w:t>
            </w:r>
          </w:p>
        </w:tc>
      </w:tr>
      <w:tr w:rsidR="002A2EA6" w:rsidRPr="002A2EA6" w14:paraId="5B7CC211" w14:textId="77777777" w:rsidTr="00774149">
        <w:trPr>
          <w:cnfStyle w:val="000000100000" w:firstRow="0" w:lastRow="0" w:firstColumn="0" w:lastColumn="0" w:oddVBand="0" w:evenVBand="0" w:oddHBand="1" w:evenHBand="0" w:firstRowFirstColumn="0" w:firstRowLastColumn="0" w:lastRowFirstColumn="0" w:lastRowLastColumn="0"/>
          <w:trHeight w:val="57"/>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auto"/>
              <w:bottom w:val="nil"/>
            </w:tcBorders>
            <w:hideMark/>
          </w:tcPr>
          <w:p w14:paraId="218077FC" w14:textId="77777777" w:rsidR="002A2EA6" w:rsidRPr="004A7BEE" w:rsidRDefault="002A2EA6" w:rsidP="00774149">
            <w:pPr>
              <w:spacing w:before="20" w:after="20"/>
              <w:rPr>
                <w:b w:val="0"/>
                <w:sz w:val="18"/>
                <w:szCs w:val="18"/>
              </w:rPr>
            </w:pPr>
            <w:r w:rsidRPr="004A7BEE">
              <w:rPr>
                <w:b w:val="0"/>
                <w:sz w:val="18"/>
                <w:szCs w:val="18"/>
              </w:rPr>
              <w:t>B1. Indicateur de méthode global pour les articles 3, 10 et 11</w:t>
            </w:r>
          </w:p>
        </w:tc>
        <w:tc>
          <w:tcPr>
            <w:tcW w:w="2693" w:type="dxa"/>
            <w:tcBorders>
              <w:top w:val="single" w:sz="12" w:space="0" w:color="auto"/>
              <w:bottom w:val="nil"/>
            </w:tcBorders>
            <w:hideMark/>
          </w:tcPr>
          <w:p w14:paraId="5887B0AC" w14:textId="07B05F6F" w:rsidR="002A2EA6" w:rsidRPr="002A2EA6" w:rsidRDefault="002A2EA6" w:rsidP="00774149">
            <w:pPr>
              <w:tabs>
                <w:tab w:val="left" w:pos="1163"/>
              </w:tabs>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Proportion de Parties ayant mis en œuvre des dispositions clefs dans le cadre de ce groupe (englobant tous les indicateurs de méthode ci</w:t>
            </w:r>
            <w:r w:rsidR="00774149">
              <w:rPr>
                <w:sz w:val="18"/>
                <w:szCs w:val="18"/>
              </w:rPr>
              <w:noBreakHyphen/>
            </w:r>
            <w:r w:rsidRPr="002A2EA6">
              <w:rPr>
                <w:sz w:val="18"/>
                <w:szCs w:val="18"/>
              </w:rPr>
              <w:t>dessous, c</w:t>
            </w:r>
            <w:r w:rsidR="00CA4DAC">
              <w:rPr>
                <w:sz w:val="18"/>
                <w:szCs w:val="18"/>
              </w:rPr>
              <w:t>’</w:t>
            </w:r>
            <w:r w:rsidRPr="002A2EA6">
              <w:rPr>
                <w:sz w:val="18"/>
                <w:szCs w:val="18"/>
              </w:rPr>
              <w:t>est</w:t>
            </w:r>
            <w:r w:rsidRPr="002A2EA6">
              <w:rPr>
                <w:sz w:val="18"/>
                <w:szCs w:val="18"/>
              </w:rPr>
              <w:noBreakHyphen/>
              <w:t>à</w:t>
            </w:r>
            <w:r w:rsidRPr="002A2EA6">
              <w:rPr>
                <w:sz w:val="18"/>
                <w:szCs w:val="18"/>
              </w:rPr>
              <w:noBreakHyphen/>
              <w:t>dire B5, B6, B7, B8, B9 et B13)</w:t>
            </w:r>
          </w:p>
        </w:tc>
        <w:tc>
          <w:tcPr>
            <w:tcW w:w="1843" w:type="dxa"/>
            <w:tcBorders>
              <w:top w:val="single" w:sz="12" w:space="0" w:color="auto"/>
              <w:bottom w:val="nil"/>
            </w:tcBorders>
          </w:tcPr>
          <w:p w14:paraId="6891A42D" w14:textId="6D93BEB9" w:rsidR="002A2EA6" w:rsidRPr="002A2EA6" w:rsidRDefault="002A2EA6" w:rsidP="007A1C1C">
            <w:pPr>
              <w:keepNext/>
              <w:keepLines/>
              <w:spacing w:before="20" w:after="20"/>
              <w:cnfStyle w:val="000000100000" w:firstRow="0" w:lastRow="0" w:firstColumn="0" w:lastColumn="0" w:oddVBand="0" w:evenVBand="0" w:oddHBand="1" w:evenHBand="0" w:firstRowFirstColumn="0" w:firstRowLastColumn="0" w:lastRowFirstColumn="0" w:lastRowLastColumn="0"/>
              <w:rPr>
                <w:rFonts w:eastAsia="Roboto"/>
                <w:sz w:val="18"/>
                <w:szCs w:val="18"/>
              </w:rPr>
            </w:pPr>
            <w:r w:rsidRPr="002A2EA6">
              <w:rPr>
                <w:iCs/>
                <w:sz w:val="18"/>
                <w:szCs w:val="18"/>
              </w:rPr>
              <w:t xml:space="preserve">- </w:t>
            </w:r>
            <w:r w:rsidRPr="002A2EA6">
              <w:rPr>
                <w:sz w:val="18"/>
                <w:szCs w:val="18"/>
              </w:rPr>
              <w:t>Rapports</w:t>
            </w:r>
            <w:r w:rsidRPr="002A2EA6">
              <w:rPr>
                <w:iCs/>
                <w:sz w:val="18"/>
                <w:szCs w:val="18"/>
              </w:rPr>
              <w:t xml:space="preserve">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1928" w:type="dxa"/>
            <w:tcBorders>
              <w:top w:val="single" w:sz="12" w:space="0" w:color="auto"/>
              <w:bottom w:val="nil"/>
            </w:tcBorders>
            <w:hideMark/>
          </w:tcPr>
          <w:p w14:paraId="36544F8E" w14:textId="257F8C16" w:rsidR="002A2EA6" w:rsidRPr="002A2EA6" w:rsidRDefault="00BA037C" w:rsidP="007A1C1C">
            <w:pPr>
              <w:keepNext/>
              <w:keepLines/>
              <w:spacing w:before="20" w:after="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Proportion </w:t>
            </w:r>
            <w:r w:rsidR="002A2EA6" w:rsidRPr="002A2EA6">
              <w:rPr>
                <w:sz w:val="18"/>
                <w:szCs w:val="18"/>
              </w:rPr>
              <w:t>dans la première évaluation</w:t>
            </w:r>
          </w:p>
        </w:tc>
      </w:tr>
      <w:tr w:rsidR="002A2EA6" w:rsidRPr="002A2EA6" w14:paraId="0124A1D7" w14:textId="77777777" w:rsidTr="00774149">
        <w:trPr>
          <w:trHeight w:val="629"/>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auto"/>
            </w:tcBorders>
            <w:hideMark/>
          </w:tcPr>
          <w:p w14:paraId="5C2DEAF4" w14:textId="77777777" w:rsidR="002A2EA6" w:rsidRPr="004A7BEE" w:rsidRDefault="002A2EA6" w:rsidP="007A1C1C">
            <w:pPr>
              <w:keepNext/>
              <w:keepLines/>
              <w:spacing w:before="20" w:after="20"/>
              <w:rPr>
                <w:b w:val="0"/>
                <w:sz w:val="18"/>
                <w:szCs w:val="18"/>
              </w:rPr>
            </w:pPr>
            <w:r w:rsidRPr="004A7BEE">
              <w:rPr>
                <w:b w:val="0"/>
                <w:sz w:val="18"/>
                <w:szCs w:val="18"/>
              </w:rPr>
              <w:t>B2. Indicateur de résultat transversal supplémentaire pour les articles 3, 10 et 11</w:t>
            </w:r>
          </w:p>
        </w:tc>
        <w:tc>
          <w:tcPr>
            <w:tcW w:w="2693" w:type="dxa"/>
            <w:tcBorders>
              <w:top w:val="nil"/>
              <w:bottom w:val="single" w:sz="2" w:space="0" w:color="auto"/>
            </w:tcBorders>
          </w:tcPr>
          <w:p w14:paraId="689B783E" w14:textId="611462CA" w:rsidR="002A2EA6" w:rsidRPr="002A2EA6" w:rsidRDefault="002A2EA6" w:rsidP="007A1C1C">
            <w:pPr>
              <w:keepNext/>
              <w:keepLine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Estimation de l</w:t>
            </w:r>
            <w:r w:rsidR="00CA4DAC">
              <w:rPr>
                <w:sz w:val="18"/>
                <w:szCs w:val="18"/>
              </w:rPr>
              <w:t>’</w:t>
            </w:r>
            <w:r w:rsidRPr="002A2EA6">
              <w:rPr>
                <w:sz w:val="18"/>
                <w:szCs w:val="18"/>
              </w:rPr>
              <w:t>approvisionnement mondial en mercure, en tonnes par an</w:t>
            </w:r>
          </w:p>
        </w:tc>
        <w:tc>
          <w:tcPr>
            <w:tcW w:w="1843" w:type="dxa"/>
            <w:tcBorders>
              <w:top w:val="nil"/>
              <w:bottom w:val="single" w:sz="2" w:space="0" w:color="auto"/>
            </w:tcBorders>
            <w:hideMark/>
          </w:tcPr>
          <w:p w14:paraId="2F60C80D" w14:textId="48FE7477" w:rsidR="002A2EA6" w:rsidRPr="002A2EA6" w:rsidRDefault="002A2EA6" w:rsidP="007A1C1C">
            <w:pPr>
              <w:keepNext/>
              <w:keepLine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 Informations synthétisées à partir d</w:t>
            </w:r>
            <w:r w:rsidR="00CA4DAC">
              <w:rPr>
                <w:sz w:val="18"/>
                <w:szCs w:val="18"/>
              </w:rPr>
              <w:t>’</w:t>
            </w:r>
            <w:r w:rsidRPr="002A2EA6">
              <w:rPr>
                <w:sz w:val="18"/>
                <w:szCs w:val="18"/>
              </w:rPr>
              <w:t>indicateurs individuels pour les articles 3, 10 et 11</w:t>
            </w:r>
          </w:p>
        </w:tc>
        <w:tc>
          <w:tcPr>
            <w:tcW w:w="1928" w:type="dxa"/>
            <w:tcBorders>
              <w:top w:val="nil"/>
              <w:bottom w:val="single" w:sz="2" w:space="0" w:color="auto"/>
            </w:tcBorders>
            <w:hideMark/>
          </w:tcPr>
          <w:p w14:paraId="2EE77949" w14:textId="77777777" w:rsidR="002A2EA6" w:rsidRPr="002A2EA6" w:rsidRDefault="002A2EA6" w:rsidP="007A1C1C">
            <w:pPr>
              <w:keepNext/>
              <w:keepLine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Quantité dans la première évaluation</w:t>
            </w:r>
          </w:p>
        </w:tc>
      </w:tr>
      <w:tr w:rsidR="002A2EA6" w:rsidRPr="002A2EA6" w14:paraId="2CAFD118" w14:textId="77777777" w:rsidTr="00774149">
        <w:trPr>
          <w:cnfStyle w:val="000000100000" w:firstRow="0" w:lastRow="0" w:firstColumn="0" w:lastColumn="0" w:oddVBand="0" w:evenVBand="0" w:oddHBand="1" w:evenHBand="0" w:firstRowFirstColumn="0" w:firstRowLastColumn="0" w:lastRowFirstColumn="0" w:lastRowLastColumn="0"/>
          <w:trHeight w:val="57"/>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auto"/>
              <w:bottom w:val="single" w:sz="2" w:space="0" w:color="auto"/>
            </w:tcBorders>
            <w:hideMark/>
          </w:tcPr>
          <w:p w14:paraId="7561710C" w14:textId="77777777" w:rsidR="002A2EA6" w:rsidRPr="004A7BEE" w:rsidRDefault="002A2EA6" w:rsidP="004A7BEE">
            <w:pPr>
              <w:spacing w:before="120" w:after="120"/>
              <w:rPr>
                <w:bCs w:val="0"/>
                <w:sz w:val="18"/>
                <w:szCs w:val="18"/>
              </w:rPr>
            </w:pPr>
            <w:r w:rsidRPr="004A7BEE">
              <w:rPr>
                <w:bCs w:val="0"/>
                <w:sz w:val="18"/>
                <w:szCs w:val="18"/>
              </w:rPr>
              <w:t>Article 3</w:t>
            </w:r>
          </w:p>
        </w:tc>
        <w:tc>
          <w:tcPr>
            <w:tcW w:w="2693" w:type="dxa"/>
            <w:tcBorders>
              <w:top w:val="single" w:sz="2" w:space="0" w:color="auto"/>
              <w:bottom w:val="single" w:sz="2" w:space="0" w:color="auto"/>
            </w:tcBorders>
          </w:tcPr>
          <w:p w14:paraId="363ABF30"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Borders>
              <w:top w:val="single" w:sz="2" w:space="0" w:color="auto"/>
              <w:bottom w:val="single" w:sz="2" w:space="0" w:color="auto"/>
            </w:tcBorders>
          </w:tcPr>
          <w:p w14:paraId="06C57420" w14:textId="77777777" w:rsidR="002A2EA6" w:rsidRPr="002A2EA6" w:rsidRDefault="002A2EA6" w:rsidP="002A2EA6">
            <w:pPr>
              <w:spacing w:before="20" w:after="20"/>
              <w:ind w:right="-1192"/>
              <w:cnfStyle w:val="000000100000" w:firstRow="0" w:lastRow="0" w:firstColumn="0" w:lastColumn="0" w:oddVBand="0" w:evenVBand="0" w:oddHBand="1" w:evenHBand="0" w:firstRowFirstColumn="0" w:firstRowLastColumn="0" w:lastRowFirstColumn="0" w:lastRowLastColumn="0"/>
              <w:rPr>
                <w:sz w:val="18"/>
                <w:szCs w:val="18"/>
              </w:rPr>
            </w:pPr>
          </w:p>
        </w:tc>
        <w:tc>
          <w:tcPr>
            <w:tcW w:w="1928" w:type="dxa"/>
            <w:tcBorders>
              <w:top w:val="single" w:sz="2" w:space="0" w:color="auto"/>
              <w:bottom w:val="single" w:sz="2" w:space="0" w:color="auto"/>
            </w:tcBorders>
          </w:tcPr>
          <w:p w14:paraId="6004A160" w14:textId="77777777" w:rsidR="002A2EA6" w:rsidRPr="002A2EA6" w:rsidRDefault="002A2EA6" w:rsidP="002A2EA6">
            <w:pPr>
              <w:spacing w:before="20" w:after="20"/>
              <w:ind w:right="-1192"/>
              <w:cnfStyle w:val="000000100000" w:firstRow="0" w:lastRow="0" w:firstColumn="0" w:lastColumn="0" w:oddVBand="0" w:evenVBand="0" w:oddHBand="1" w:evenHBand="0" w:firstRowFirstColumn="0" w:firstRowLastColumn="0" w:lastRowFirstColumn="0" w:lastRowLastColumn="0"/>
              <w:rPr>
                <w:sz w:val="18"/>
                <w:szCs w:val="18"/>
              </w:rPr>
            </w:pPr>
          </w:p>
        </w:tc>
      </w:tr>
      <w:tr w:rsidR="002A2EA6" w:rsidRPr="002A2EA6" w14:paraId="6AE579CB" w14:textId="77777777" w:rsidTr="00774149">
        <w:trPr>
          <w:trHeight w:val="57"/>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auto"/>
              <w:bottom w:val="nil"/>
            </w:tcBorders>
            <w:hideMark/>
          </w:tcPr>
          <w:p w14:paraId="6FF54ACD" w14:textId="3CDDF138" w:rsidR="002A2EA6" w:rsidRPr="004A7BEE" w:rsidRDefault="002A2EA6" w:rsidP="002A2EA6">
            <w:pPr>
              <w:spacing w:before="20" w:after="20"/>
              <w:rPr>
                <w:b w:val="0"/>
                <w:sz w:val="18"/>
                <w:szCs w:val="18"/>
              </w:rPr>
            </w:pPr>
            <w:r w:rsidRPr="004A7BEE">
              <w:rPr>
                <w:b w:val="0"/>
                <w:sz w:val="18"/>
                <w:szCs w:val="18"/>
              </w:rPr>
              <w:t>B3. Indicateur de résultat pour l</w:t>
            </w:r>
            <w:r w:rsidR="00CA4DAC">
              <w:rPr>
                <w:b w:val="0"/>
                <w:sz w:val="18"/>
                <w:szCs w:val="18"/>
              </w:rPr>
              <w:t>’</w:t>
            </w:r>
            <w:r w:rsidRPr="004A7BEE">
              <w:rPr>
                <w:b w:val="0"/>
                <w:sz w:val="18"/>
                <w:szCs w:val="18"/>
              </w:rPr>
              <w:t>article 3</w:t>
            </w:r>
          </w:p>
        </w:tc>
        <w:tc>
          <w:tcPr>
            <w:tcW w:w="2693" w:type="dxa"/>
            <w:tcBorders>
              <w:top w:val="single" w:sz="2" w:space="0" w:color="auto"/>
              <w:bottom w:val="nil"/>
            </w:tcBorders>
          </w:tcPr>
          <w:p w14:paraId="30438672" w14:textId="77777777" w:rsidR="002A2EA6" w:rsidRPr="002A2EA6" w:rsidRDefault="002A2EA6" w:rsidP="002A2EA6">
            <w:pPr>
              <w:tabs>
                <w:tab w:val="left" w:pos="1163"/>
              </w:tabs>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Quantité totale de mercure extraite des mines de mercure primaire</w:t>
            </w:r>
          </w:p>
        </w:tc>
        <w:tc>
          <w:tcPr>
            <w:tcW w:w="1843" w:type="dxa"/>
            <w:tcBorders>
              <w:top w:val="single" w:sz="2" w:space="0" w:color="auto"/>
              <w:bottom w:val="nil"/>
            </w:tcBorders>
            <w:hideMark/>
          </w:tcPr>
          <w:p w14:paraId="29899384" w14:textId="09B663B6"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 Rapport de 2017 sur l</w:t>
            </w:r>
            <w:r w:rsidR="00CA4DAC">
              <w:rPr>
                <w:sz w:val="18"/>
                <w:szCs w:val="18"/>
              </w:rPr>
              <w:t>’</w:t>
            </w:r>
            <w:r w:rsidRPr="002A2EA6">
              <w:rPr>
                <w:sz w:val="18"/>
                <w:szCs w:val="18"/>
              </w:rPr>
              <w:t>approvisionnement, le commerce et la demande de mercure</w:t>
            </w:r>
          </w:p>
          <w:p w14:paraId="1DECE91A" w14:textId="0CF51CDE"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iCs/>
                <w:sz w:val="18"/>
                <w:szCs w:val="18"/>
              </w:rPr>
            </w:pPr>
            <w:r w:rsidRPr="002A2EA6">
              <w:rPr>
                <w:iCs/>
                <w:sz w:val="18"/>
                <w:szCs w:val="18"/>
              </w:rPr>
              <w:t xml:space="preserve">- </w:t>
            </w:r>
            <w:r w:rsidRPr="002A2EA6">
              <w:rPr>
                <w:sz w:val="18"/>
                <w:szCs w:val="18"/>
              </w:rPr>
              <w:t>Rapports</w:t>
            </w:r>
            <w:r w:rsidRPr="002A2EA6">
              <w:rPr>
                <w:iCs/>
                <w:sz w:val="18"/>
                <w:szCs w:val="18"/>
              </w:rPr>
              <w:t xml:space="preserve">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p w14:paraId="24B73C20" w14:textId="3D2BA3E0"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 Rapports du plan d</w:t>
            </w:r>
            <w:r w:rsidR="00CA4DAC">
              <w:rPr>
                <w:sz w:val="18"/>
                <w:szCs w:val="18"/>
              </w:rPr>
              <w:t>’</w:t>
            </w:r>
            <w:r w:rsidRPr="002A2EA6">
              <w:rPr>
                <w:sz w:val="18"/>
                <w:szCs w:val="18"/>
              </w:rPr>
              <w:t>action national en matière d</w:t>
            </w:r>
            <w:r w:rsidR="00CA4DAC">
              <w:t>’</w:t>
            </w:r>
            <w:r w:rsidRPr="002A2EA6">
              <w:rPr>
                <w:sz w:val="18"/>
                <w:szCs w:val="18"/>
              </w:rPr>
              <w:t>exploitation artisanale et à petite échelle d</w:t>
            </w:r>
            <w:r w:rsidR="00CA4DAC">
              <w:rPr>
                <w:sz w:val="18"/>
                <w:szCs w:val="18"/>
              </w:rPr>
              <w:t>’</w:t>
            </w:r>
            <w:r w:rsidRPr="002A2EA6">
              <w:rPr>
                <w:sz w:val="18"/>
                <w:szCs w:val="18"/>
              </w:rPr>
              <w:t>or</w:t>
            </w:r>
          </w:p>
        </w:tc>
        <w:tc>
          <w:tcPr>
            <w:tcW w:w="1928" w:type="dxa"/>
            <w:tcBorders>
              <w:top w:val="single" w:sz="2" w:space="0" w:color="auto"/>
              <w:bottom w:val="nil"/>
            </w:tcBorders>
            <w:hideMark/>
          </w:tcPr>
          <w:p w14:paraId="248A5B83" w14:textId="77777777"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Quantité dans la première évaluation</w:t>
            </w:r>
          </w:p>
        </w:tc>
      </w:tr>
      <w:tr w:rsidR="002A2EA6" w:rsidRPr="002A2EA6" w14:paraId="23551BC3" w14:textId="77777777" w:rsidTr="00774149">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hideMark/>
          </w:tcPr>
          <w:p w14:paraId="007E4C59" w14:textId="378B2AE4" w:rsidR="002A2EA6" w:rsidRPr="004A7BEE" w:rsidRDefault="002A2EA6" w:rsidP="002A2EA6">
            <w:pPr>
              <w:spacing w:before="20" w:after="20"/>
              <w:rPr>
                <w:b w:val="0"/>
                <w:sz w:val="18"/>
                <w:szCs w:val="18"/>
              </w:rPr>
            </w:pPr>
            <w:r w:rsidRPr="004A7BEE">
              <w:rPr>
                <w:b w:val="0"/>
                <w:sz w:val="18"/>
                <w:szCs w:val="18"/>
              </w:rPr>
              <w:t>B4. Indicateur de résultat pour l</w:t>
            </w:r>
            <w:r w:rsidR="00CA4DAC">
              <w:rPr>
                <w:b w:val="0"/>
                <w:sz w:val="18"/>
                <w:szCs w:val="18"/>
              </w:rPr>
              <w:t>’</w:t>
            </w:r>
            <w:r w:rsidRPr="004A7BEE">
              <w:rPr>
                <w:b w:val="0"/>
                <w:sz w:val="18"/>
                <w:szCs w:val="18"/>
              </w:rPr>
              <w:t>article 3</w:t>
            </w:r>
          </w:p>
        </w:tc>
        <w:tc>
          <w:tcPr>
            <w:tcW w:w="2693" w:type="dxa"/>
            <w:tcBorders>
              <w:top w:val="nil"/>
              <w:bottom w:val="nil"/>
            </w:tcBorders>
            <w:hideMark/>
          </w:tcPr>
          <w:p w14:paraId="08439F84" w14:textId="62803AD6" w:rsidR="002A2EA6" w:rsidRPr="002A2EA6" w:rsidRDefault="002A2EA6" w:rsidP="002A2EA6">
            <w:pPr>
              <w:tabs>
                <w:tab w:val="left" w:pos="1163"/>
              </w:tabs>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Quantité de mercure a</w:t>
            </w:r>
            <w:r w:rsidRPr="002A2EA6">
              <w:t>yant fait l</w:t>
            </w:r>
            <w:r w:rsidR="00CA4DAC">
              <w:t>’</w:t>
            </w:r>
            <w:r w:rsidRPr="002A2EA6">
              <w:t>objet d</w:t>
            </w:r>
            <w:r w:rsidR="00CA4DAC">
              <w:t>’</w:t>
            </w:r>
            <w:r w:rsidRPr="002A2EA6">
              <w:t>un commerce</w:t>
            </w:r>
            <w:r w:rsidRPr="002A2EA6">
              <w:rPr>
                <w:sz w:val="18"/>
                <w:szCs w:val="18"/>
              </w:rPr>
              <w:t>, ventilée par utilisation prévue</w:t>
            </w:r>
          </w:p>
        </w:tc>
        <w:tc>
          <w:tcPr>
            <w:tcW w:w="1843" w:type="dxa"/>
            <w:tcBorders>
              <w:top w:val="nil"/>
              <w:bottom w:val="nil"/>
            </w:tcBorders>
            <w:hideMark/>
          </w:tcPr>
          <w:p w14:paraId="254B52BD" w14:textId="6FE3EB9F"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rFonts w:eastAsia="Roboto"/>
                <w:iCs/>
                <w:sz w:val="18"/>
                <w:szCs w:val="18"/>
              </w:rPr>
            </w:pPr>
            <w:r w:rsidRPr="002A2EA6">
              <w:rPr>
                <w:iCs/>
                <w:sz w:val="18"/>
                <w:szCs w:val="18"/>
              </w:rPr>
              <w:t>- Formulaires relatifs à l</w:t>
            </w:r>
            <w:r w:rsidR="00CA4DAC">
              <w:rPr>
                <w:iCs/>
                <w:sz w:val="18"/>
                <w:szCs w:val="18"/>
              </w:rPr>
              <w:t>’</w:t>
            </w:r>
            <w:r w:rsidRPr="002A2EA6">
              <w:rPr>
                <w:iCs/>
                <w:sz w:val="18"/>
                <w:szCs w:val="18"/>
              </w:rPr>
              <w:t>article 3</w:t>
            </w:r>
          </w:p>
        </w:tc>
        <w:tc>
          <w:tcPr>
            <w:tcW w:w="1928" w:type="dxa"/>
            <w:tcBorders>
              <w:top w:val="nil"/>
              <w:bottom w:val="nil"/>
            </w:tcBorders>
            <w:hideMark/>
          </w:tcPr>
          <w:p w14:paraId="55B1DC16"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Quantité dans la première évaluation</w:t>
            </w:r>
          </w:p>
        </w:tc>
      </w:tr>
      <w:tr w:rsidR="002A2EA6" w:rsidRPr="002A2EA6" w14:paraId="359ED85B" w14:textId="77777777" w:rsidTr="00774149">
        <w:trPr>
          <w:trHeight w:val="458"/>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hideMark/>
          </w:tcPr>
          <w:p w14:paraId="1316C8E1" w14:textId="61098E7A" w:rsidR="002A2EA6" w:rsidRPr="004A7BEE" w:rsidRDefault="002A2EA6" w:rsidP="002A2EA6">
            <w:pPr>
              <w:spacing w:before="20" w:after="20"/>
              <w:rPr>
                <w:b w:val="0"/>
                <w:sz w:val="18"/>
                <w:szCs w:val="18"/>
              </w:rPr>
            </w:pPr>
            <w:r w:rsidRPr="004A7BEE">
              <w:rPr>
                <w:b w:val="0"/>
                <w:sz w:val="18"/>
                <w:szCs w:val="18"/>
              </w:rPr>
              <w:t>B5. Indicateur de méthode pour l</w:t>
            </w:r>
            <w:r w:rsidR="00CA4DAC">
              <w:rPr>
                <w:b w:val="0"/>
                <w:sz w:val="18"/>
                <w:szCs w:val="18"/>
              </w:rPr>
              <w:t>’</w:t>
            </w:r>
            <w:r w:rsidRPr="004A7BEE">
              <w:rPr>
                <w:b w:val="0"/>
                <w:sz w:val="18"/>
                <w:szCs w:val="18"/>
              </w:rPr>
              <w:t>article 3</w:t>
            </w:r>
          </w:p>
        </w:tc>
        <w:tc>
          <w:tcPr>
            <w:tcW w:w="2693" w:type="dxa"/>
            <w:tcBorders>
              <w:top w:val="nil"/>
              <w:bottom w:val="nil"/>
            </w:tcBorders>
            <w:hideMark/>
          </w:tcPr>
          <w:p w14:paraId="6C252CB0" w14:textId="486544CB" w:rsidR="002A2EA6" w:rsidRPr="002A2EA6" w:rsidRDefault="002A2EA6" w:rsidP="002A2EA6">
            <w:pPr>
              <w:tabs>
                <w:tab w:val="left" w:pos="1163"/>
              </w:tabs>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sz w:val="18"/>
                <w:szCs w:val="18"/>
              </w:rPr>
              <w:t>Nombre de Parties qui se sont efforcées de recenser les stocks et les sources d</w:t>
            </w:r>
            <w:r w:rsidR="00CA4DAC">
              <w:rPr>
                <w:sz w:val="18"/>
                <w:szCs w:val="18"/>
              </w:rPr>
              <w:t>’</w:t>
            </w:r>
            <w:r w:rsidRPr="002A2EA6">
              <w:rPr>
                <w:sz w:val="18"/>
                <w:szCs w:val="18"/>
              </w:rPr>
              <w:t>approvisionnement</w:t>
            </w:r>
          </w:p>
        </w:tc>
        <w:tc>
          <w:tcPr>
            <w:tcW w:w="1843" w:type="dxa"/>
            <w:tcBorders>
              <w:top w:val="nil"/>
              <w:bottom w:val="nil"/>
            </w:tcBorders>
            <w:hideMark/>
          </w:tcPr>
          <w:p w14:paraId="69304AAE" w14:textId="3E7C0DE5"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iCs/>
                <w:sz w:val="18"/>
                <w:szCs w:val="18"/>
              </w:rPr>
              <w:t xml:space="preserve">- Rapports </w:t>
            </w:r>
            <w:r w:rsidRPr="002A2EA6">
              <w:rPr>
                <w:sz w:val="18"/>
                <w:szCs w:val="18"/>
              </w:rPr>
              <w:t>établis a</w:t>
            </w:r>
            <w:r w:rsidRPr="002A2EA6">
              <w:rPr>
                <w:iCs/>
                <w:sz w:val="18"/>
                <w:szCs w:val="18"/>
              </w:rPr>
              <w:t>u titre de l</w:t>
            </w:r>
            <w:r w:rsidR="00CA4DAC">
              <w:rPr>
                <w:iCs/>
                <w:sz w:val="18"/>
                <w:szCs w:val="18"/>
              </w:rPr>
              <w:t>’</w:t>
            </w:r>
            <w:r w:rsidRPr="002A2EA6">
              <w:rPr>
                <w:iCs/>
                <w:sz w:val="18"/>
                <w:szCs w:val="18"/>
              </w:rPr>
              <w:t>article 21</w:t>
            </w:r>
          </w:p>
        </w:tc>
        <w:tc>
          <w:tcPr>
            <w:tcW w:w="1928" w:type="dxa"/>
            <w:tcBorders>
              <w:top w:val="nil"/>
              <w:bottom w:val="nil"/>
            </w:tcBorders>
            <w:hideMark/>
          </w:tcPr>
          <w:p w14:paraId="7CADE108" w14:textId="77777777"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Nombre dans la première évaluation</w:t>
            </w:r>
          </w:p>
        </w:tc>
      </w:tr>
      <w:tr w:rsidR="002A2EA6" w:rsidRPr="002A2EA6" w14:paraId="4215CFD5" w14:textId="77777777" w:rsidTr="00774149">
        <w:trPr>
          <w:cnfStyle w:val="000000100000" w:firstRow="0" w:lastRow="0" w:firstColumn="0" w:lastColumn="0" w:oddVBand="0" w:evenVBand="0" w:oddHBand="1" w:evenHBand="0" w:firstRowFirstColumn="0" w:firstRowLastColumn="0" w:lastRowFirstColumn="0" w:lastRowLastColumn="0"/>
          <w:trHeight w:val="629"/>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hideMark/>
          </w:tcPr>
          <w:p w14:paraId="29DEFCFE" w14:textId="537AD99D" w:rsidR="002A2EA6" w:rsidRPr="004A7BEE" w:rsidRDefault="002A2EA6" w:rsidP="002A2EA6">
            <w:pPr>
              <w:tabs>
                <w:tab w:val="left" w:pos="1163"/>
              </w:tabs>
              <w:spacing w:before="20" w:after="20"/>
              <w:rPr>
                <w:b w:val="0"/>
                <w:sz w:val="18"/>
                <w:szCs w:val="18"/>
              </w:rPr>
            </w:pPr>
            <w:r w:rsidRPr="004A7BEE">
              <w:rPr>
                <w:b w:val="0"/>
                <w:sz w:val="18"/>
                <w:szCs w:val="18"/>
              </w:rPr>
              <w:t>B6. Indicateur de méthode pour l</w:t>
            </w:r>
            <w:r w:rsidR="00CA4DAC">
              <w:rPr>
                <w:b w:val="0"/>
                <w:sz w:val="18"/>
                <w:szCs w:val="18"/>
              </w:rPr>
              <w:t>’</w:t>
            </w:r>
            <w:r w:rsidRPr="004A7BEE">
              <w:rPr>
                <w:b w:val="0"/>
                <w:sz w:val="18"/>
                <w:szCs w:val="18"/>
              </w:rPr>
              <w:t>article 3</w:t>
            </w:r>
          </w:p>
        </w:tc>
        <w:tc>
          <w:tcPr>
            <w:tcW w:w="2693" w:type="dxa"/>
            <w:tcBorders>
              <w:top w:val="nil"/>
              <w:bottom w:val="nil"/>
            </w:tcBorders>
            <w:hideMark/>
          </w:tcPr>
          <w:p w14:paraId="6A9C5F42" w14:textId="558BD929" w:rsidR="002A2EA6" w:rsidRPr="002A2EA6" w:rsidRDefault="002A2EA6" w:rsidP="002A2EA6">
            <w:pPr>
              <w:tabs>
                <w:tab w:val="left" w:pos="1163"/>
              </w:tabs>
              <w:spacing w:before="20" w:after="20"/>
              <w:cnfStyle w:val="000000100000" w:firstRow="0" w:lastRow="0" w:firstColumn="0" w:lastColumn="0" w:oddVBand="0" w:evenVBand="0" w:oddHBand="1" w:evenHBand="0" w:firstRowFirstColumn="0" w:firstRowLastColumn="0" w:lastRowFirstColumn="0" w:lastRowLastColumn="0"/>
              <w:rPr>
                <w:rFonts w:eastAsia="Roboto"/>
                <w:sz w:val="18"/>
                <w:szCs w:val="18"/>
              </w:rPr>
            </w:pPr>
            <w:r w:rsidRPr="002A2EA6">
              <w:rPr>
                <w:sz w:val="18"/>
                <w:szCs w:val="18"/>
              </w:rPr>
              <w:t>Pour les Parties ayant déterminé qu</w:t>
            </w:r>
            <w:r w:rsidR="00CA4DAC">
              <w:rPr>
                <w:sz w:val="18"/>
                <w:szCs w:val="18"/>
              </w:rPr>
              <w:t>’</w:t>
            </w:r>
            <w:r w:rsidRPr="002A2EA6">
              <w:rPr>
                <w:sz w:val="18"/>
                <w:szCs w:val="18"/>
              </w:rPr>
              <w:t>elles ont un excédent de mercure, si elles ont pris les mesures prévues au paragraphe 5 b) de l</w:t>
            </w:r>
            <w:r w:rsidR="00CA4DAC">
              <w:rPr>
                <w:sz w:val="18"/>
                <w:szCs w:val="18"/>
              </w:rPr>
              <w:t>’</w:t>
            </w:r>
            <w:r w:rsidRPr="002A2EA6">
              <w:rPr>
                <w:sz w:val="18"/>
                <w:szCs w:val="18"/>
              </w:rPr>
              <w:t>article 3, et la quantité de mercure éliminée conformément à ces mesures, si disponible</w:t>
            </w:r>
          </w:p>
        </w:tc>
        <w:tc>
          <w:tcPr>
            <w:tcW w:w="1843" w:type="dxa"/>
            <w:tcBorders>
              <w:top w:val="nil"/>
              <w:bottom w:val="nil"/>
            </w:tcBorders>
            <w:hideMark/>
          </w:tcPr>
          <w:p w14:paraId="0BFF4FA8" w14:textId="144E00DC"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iCs/>
                <w:sz w:val="18"/>
                <w:szCs w:val="18"/>
              </w:rPr>
            </w:pPr>
            <w:r w:rsidRPr="002A2EA6">
              <w:rPr>
                <w:iCs/>
                <w:sz w:val="18"/>
                <w:szCs w:val="18"/>
              </w:rPr>
              <w:t xml:space="preserve">- Rapports </w:t>
            </w:r>
            <w:r w:rsidRPr="002A2EA6">
              <w:rPr>
                <w:sz w:val="18"/>
                <w:szCs w:val="18"/>
              </w:rPr>
              <w:t>établis a</w:t>
            </w:r>
            <w:r w:rsidRPr="002A2EA6">
              <w:rPr>
                <w:iCs/>
                <w:sz w:val="18"/>
                <w:szCs w:val="18"/>
              </w:rPr>
              <w:t>u titre de l</w:t>
            </w:r>
            <w:r w:rsidR="00CA4DAC">
              <w:rPr>
                <w:iCs/>
                <w:sz w:val="18"/>
                <w:szCs w:val="18"/>
              </w:rPr>
              <w:t>’</w:t>
            </w:r>
            <w:r w:rsidRPr="002A2EA6">
              <w:rPr>
                <w:iCs/>
                <w:sz w:val="18"/>
                <w:szCs w:val="18"/>
              </w:rPr>
              <w:t xml:space="preserve">article 21 </w:t>
            </w:r>
          </w:p>
          <w:p w14:paraId="5C9F89FD"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iCs/>
                <w:sz w:val="18"/>
                <w:szCs w:val="18"/>
              </w:rPr>
              <w:t>- Rapports du Conseil mondial du chlore</w:t>
            </w:r>
          </w:p>
        </w:tc>
        <w:tc>
          <w:tcPr>
            <w:tcW w:w="1928" w:type="dxa"/>
            <w:tcBorders>
              <w:top w:val="nil"/>
              <w:bottom w:val="nil"/>
            </w:tcBorders>
            <w:hideMark/>
          </w:tcPr>
          <w:p w14:paraId="6F7DA452"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Pourcentage dans la première évaluation</w:t>
            </w:r>
          </w:p>
        </w:tc>
      </w:tr>
      <w:tr w:rsidR="002A2EA6" w:rsidRPr="002A2EA6" w14:paraId="53C4BEAB" w14:textId="77777777" w:rsidTr="00774149">
        <w:trPr>
          <w:trHeight w:val="888"/>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hideMark/>
          </w:tcPr>
          <w:p w14:paraId="59D2E389" w14:textId="4BEE1BB9" w:rsidR="002A2EA6" w:rsidRPr="004A7BEE" w:rsidRDefault="002A2EA6" w:rsidP="002A2EA6">
            <w:pPr>
              <w:tabs>
                <w:tab w:val="left" w:pos="1163"/>
              </w:tabs>
              <w:spacing w:before="20" w:after="20"/>
              <w:rPr>
                <w:b w:val="0"/>
                <w:sz w:val="18"/>
                <w:szCs w:val="18"/>
              </w:rPr>
            </w:pPr>
            <w:r w:rsidRPr="004A7BEE">
              <w:rPr>
                <w:b w:val="0"/>
                <w:sz w:val="18"/>
                <w:szCs w:val="18"/>
              </w:rPr>
              <w:t>B7. Indicateur de méthode pour l</w:t>
            </w:r>
            <w:r w:rsidR="00CA4DAC">
              <w:rPr>
                <w:b w:val="0"/>
                <w:sz w:val="18"/>
                <w:szCs w:val="18"/>
              </w:rPr>
              <w:t>’</w:t>
            </w:r>
            <w:r w:rsidRPr="004A7BEE">
              <w:rPr>
                <w:b w:val="0"/>
                <w:sz w:val="18"/>
                <w:szCs w:val="18"/>
              </w:rPr>
              <w:t>article 3</w:t>
            </w:r>
          </w:p>
        </w:tc>
        <w:tc>
          <w:tcPr>
            <w:tcW w:w="2693" w:type="dxa"/>
            <w:tcBorders>
              <w:top w:val="nil"/>
              <w:bottom w:val="nil"/>
            </w:tcBorders>
            <w:hideMark/>
          </w:tcPr>
          <w:p w14:paraId="0A6FF1B7" w14:textId="77777777" w:rsidR="002A2EA6" w:rsidRPr="002A2EA6" w:rsidRDefault="002A2EA6" w:rsidP="002A2EA6">
            <w:pPr>
              <w:tabs>
                <w:tab w:val="left" w:pos="1163"/>
              </w:tabs>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sz w:val="18"/>
                <w:szCs w:val="18"/>
              </w:rPr>
              <w:t>Nombre et proportion des Parties faisant commerce du mercure</w:t>
            </w:r>
          </w:p>
        </w:tc>
        <w:tc>
          <w:tcPr>
            <w:tcW w:w="1843" w:type="dxa"/>
            <w:tcBorders>
              <w:top w:val="nil"/>
              <w:bottom w:val="nil"/>
            </w:tcBorders>
            <w:hideMark/>
          </w:tcPr>
          <w:p w14:paraId="03989F06" w14:textId="0BE1F3A3"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iCs/>
                <w:sz w:val="18"/>
                <w:szCs w:val="18"/>
              </w:rPr>
              <w:t xml:space="preserve">- Rapports </w:t>
            </w:r>
            <w:r w:rsidRPr="002A2EA6">
              <w:rPr>
                <w:sz w:val="18"/>
                <w:szCs w:val="18"/>
              </w:rPr>
              <w:t>établis a</w:t>
            </w:r>
            <w:r w:rsidRPr="002A2EA6">
              <w:rPr>
                <w:iCs/>
                <w:sz w:val="18"/>
                <w:szCs w:val="18"/>
              </w:rPr>
              <w:t>u titre de l</w:t>
            </w:r>
            <w:r w:rsidR="00CA4DAC">
              <w:rPr>
                <w:iCs/>
                <w:sz w:val="18"/>
                <w:szCs w:val="18"/>
              </w:rPr>
              <w:t>’</w:t>
            </w:r>
            <w:r w:rsidRPr="002A2EA6">
              <w:rPr>
                <w:iCs/>
                <w:sz w:val="18"/>
                <w:szCs w:val="18"/>
              </w:rPr>
              <w:t>article 21</w:t>
            </w:r>
            <w:r w:rsidRPr="002A2EA6">
              <w:rPr>
                <w:sz w:val="18"/>
                <w:szCs w:val="18"/>
              </w:rPr>
              <w:t xml:space="preserve"> </w:t>
            </w:r>
          </w:p>
          <w:p w14:paraId="11195CBC" w14:textId="6E212CBA" w:rsidR="002A2EA6" w:rsidRPr="002A2EA6" w:rsidRDefault="002A2EA6" w:rsidP="002A2EA6">
            <w:pPr>
              <w:tabs>
                <w:tab w:val="left" w:pos="1163"/>
              </w:tabs>
              <w:spacing w:before="20" w:after="20"/>
              <w:ind w:right="-1192"/>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sz w:val="18"/>
                <w:szCs w:val="18"/>
              </w:rPr>
              <w:t xml:space="preserve">- Formulaires relatifs à </w:t>
            </w:r>
            <w:r w:rsidRPr="002A2EA6">
              <w:rPr>
                <w:sz w:val="18"/>
                <w:szCs w:val="18"/>
              </w:rPr>
              <w:br/>
              <w:t>l</w:t>
            </w:r>
            <w:r w:rsidR="00CA4DAC">
              <w:rPr>
                <w:sz w:val="18"/>
                <w:szCs w:val="18"/>
              </w:rPr>
              <w:t>’</w:t>
            </w:r>
            <w:r w:rsidRPr="002A2EA6">
              <w:rPr>
                <w:sz w:val="18"/>
                <w:szCs w:val="18"/>
              </w:rPr>
              <w:t>article 3</w:t>
            </w:r>
          </w:p>
        </w:tc>
        <w:tc>
          <w:tcPr>
            <w:tcW w:w="1928" w:type="dxa"/>
            <w:tcBorders>
              <w:top w:val="nil"/>
              <w:bottom w:val="nil"/>
            </w:tcBorders>
            <w:hideMark/>
          </w:tcPr>
          <w:p w14:paraId="15074A94" w14:textId="4DE2B7CD" w:rsidR="002A2EA6" w:rsidRPr="002A2EA6" w:rsidRDefault="00892A6E"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Nombre et pourcentage </w:t>
            </w:r>
            <w:r w:rsidR="002A2EA6" w:rsidRPr="002A2EA6">
              <w:rPr>
                <w:sz w:val="18"/>
                <w:szCs w:val="18"/>
              </w:rPr>
              <w:t>dans</w:t>
            </w:r>
            <w:r>
              <w:rPr>
                <w:sz w:val="18"/>
                <w:szCs w:val="18"/>
              </w:rPr>
              <w:t xml:space="preserve"> </w:t>
            </w:r>
            <w:r w:rsidR="002A2EA6" w:rsidRPr="002A2EA6">
              <w:rPr>
                <w:sz w:val="18"/>
                <w:szCs w:val="18"/>
              </w:rPr>
              <w:t>la première évaluation</w:t>
            </w:r>
          </w:p>
        </w:tc>
      </w:tr>
      <w:tr w:rsidR="002A2EA6" w:rsidRPr="002A2EA6" w14:paraId="1BAF2BFC" w14:textId="77777777" w:rsidTr="00774149">
        <w:trPr>
          <w:cnfStyle w:val="000000100000" w:firstRow="0" w:lastRow="0" w:firstColumn="0" w:lastColumn="0" w:oddVBand="0" w:evenVBand="0" w:oddHBand="1" w:evenHBand="0" w:firstRowFirstColumn="0" w:firstRowLastColumn="0" w:lastRowFirstColumn="0" w:lastRowLastColumn="0"/>
          <w:trHeight w:val="285"/>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auto"/>
            </w:tcBorders>
            <w:hideMark/>
          </w:tcPr>
          <w:p w14:paraId="3DD39B16" w14:textId="50DC2CC0" w:rsidR="002A2EA6" w:rsidRPr="004A7BEE" w:rsidRDefault="002A2EA6" w:rsidP="002A2EA6">
            <w:pPr>
              <w:tabs>
                <w:tab w:val="left" w:pos="1163"/>
              </w:tabs>
              <w:spacing w:before="20" w:after="20"/>
              <w:rPr>
                <w:b w:val="0"/>
                <w:sz w:val="18"/>
                <w:szCs w:val="18"/>
              </w:rPr>
            </w:pPr>
            <w:r w:rsidRPr="004A7BEE">
              <w:rPr>
                <w:b w:val="0"/>
                <w:sz w:val="18"/>
                <w:szCs w:val="18"/>
              </w:rPr>
              <w:t>B8. Indicateur de méthode pour l</w:t>
            </w:r>
            <w:r w:rsidR="00CA4DAC">
              <w:rPr>
                <w:b w:val="0"/>
                <w:sz w:val="18"/>
                <w:szCs w:val="18"/>
              </w:rPr>
              <w:t>’</w:t>
            </w:r>
            <w:r w:rsidRPr="004A7BEE">
              <w:rPr>
                <w:b w:val="0"/>
                <w:sz w:val="18"/>
                <w:szCs w:val="18"/>
              </w:rPr>
              <w:t>article 3</w:t>
            </w:r>
          </w:p>
        </w:tc>
        <w:tc>
          <w:tcPr>
            <w:tcW w:w="2693" w:type="dxa"/>
            <w:tcBorders>
              <w:top w:val="nil"/>
              <w:bottom w:val="single" w:sz="2" w:space="0" w:color="auto"/>
            </w:tcBorders>
            <w:hideMark/>
          </w:tcPr>
          <w:p w14:paraId="79F16338" w14:textId="59A9D9E2" w:rsidR="002A2EA6" w:rsidRPr="002A2EA6" w:rsidRDefault="002A2EA6" w:rsidP="002A2EA6">
            <w:pPr>
              <w:tabs>
                <w:tab w:val="left" w:pos="1163"/>
              </w:tabs>
              <w:spacing w:before="20" w:after="20"/>
              <w:cnfStyle w:val="000000100000" w:firstRow="0" w:lastRow="0" w:firstColumn="0" w:lastColumn="0" w:oddVBand="0" w:evenVBand="0" w:oddHBand="1" w:evenHBand="0" w:firstRowFirstColumn="0" w:firstRowLastColumn="0" w:lastRowFirstColumn="0" w:lastRowLastColumn="0"/>
              <w:rPr>
                <w:rFonts w:eastAsia="Roboto"/>
                <w:sz w:val="18"/>
                <w:szCs w:val="18"/>
              </w:rPr>
            </w:pPr>
            <w:r w:rsidRPr="002A2EA6">
              <w:rPr>
                <w:sz w:val="18"/>
                <w:szCs w:val="18"/>
              </w:rPr>
              <w:t>Volume de mercure ayant fait l</w:t>
            </w:r>
            <w:r w:rsidR="00CA4DAC">
              <w:rPr>
                <w:sz w:val="18"/>
                <w:szCs w:val="18"/>
              </w:rPr>
              <w:t>’</w:t>
            </w:r>
            <w:r w:rsidRPr="002A2EA6">
              <w:rPr>
                <w:sz w:val="18"/>
                <w:szCs w:val="18"/>
              </w:rPr>
              <w:t>objet d</w:t>
            </w:r>
            <w:r w:rsidR="00CA4DAC">
              <w:rPr>
                <w:sz w:val="18"/>
                <w:szCs w:val="18"/>
              </w:rPr>
              <w:t>’</w:t>
            </w:r>
            <w:r w:rsidRPr="002A2EA6">
              <w:rPr>
                <w:sz w:val="18"/>
                <w:szCs w:val="18"/>
              </w:rPr>
              <w:t>un commerce</w:t>
            </w:r>
          </w:p>
        </w:tc>
        <w:tc>
          <w:tcPr>
            <w:tcW w:w="1843" w:type="dxa"/>
            <w:tcBorders>
              <w:top w:val="nil"/>
              <w:bottom w:val="single" w:sz="2" w:space="0" w:color="auto"/>
            </w:tcBorders>
            <w:hideMark/>
          </w:tcPr>
          <w:p w14:paraId="3C785F71" w14:textId="1DAD022C"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iCs/>
                <w:sz w:val="18"/>
                <w:szCs w:val="18"/>
              </w:rPr>
            </w:pPr>
            <w:r w:rsidRPr="002A2EA6">
              <w:rPr>
                <w:iCs/>
                <w:sz w:val="18"/>
                <w:szCs w:val="18"/>
              </w:rPr>
              <w:t xml:space="preserve">- Rapports </w:t>
            </w:r>
            <w:r w:rsidRPr="002A2EA6">
              <w:rPr>
                <w:sz w:val="18"/>
                <w:szCs w:val="18"/>
              </w:rPr>
              <w:t xml:space="preserve">établis au </w:t>
            </w:r>
            <w:r w:rsidRPr="002A2EA6">
              <w:rPr>
                <w:iCs/>
                <w:sz w:val="18"/>
                <w:szCs w:val="18"/>
              </w:rPr>
              <w:t>titre de l</w:t>
            </w:r>
            <w:r w:rsidR="00CA4DAC">
              <w:rPr>
                <w:iCs/>
                <w:sz w:val="18"/>
                <w:szCs w:val="18"/>
              </w:rPr>
              <w:t>’</w:t>
            </w:r>
            <w:r w:rsidRPr="002A2EA6">
              <w:rPr>
                <w:iCs/>
                <w:sz w:val="18"/>
                <w:szCs w:val="18"/>
              </w:rPr>
              <w:t>article 21</w:t>
            </w:r>
            <w:r w:rsidRPr="002A2EA6">
              <w:rPr>
                <w:sz w:val="18"/>
                <w:szCs w:val="18"/>
              </w:rPr>
              <w:t xml:space="preserve"> </w:t>
            </w:r>
          </w:p>
        </w:tc>
        <w:tc>
          <w:tcPr>
            <w:tcW w:w="1928" w:type="dxa"/>
            <w:tcBorders>
              <w:top w:val="nil"/>
              <w:bottom w:val="single" w:sz="2" w:space="0" w:color="auto"/>
            </w:tcBorders>
            <w:hideMark/>
          </w:tcPr>
          <w:p w14:paraId="70F254E1"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Quantité dans la première évaluation</w:t>
            </w:r>
          </w:p>
        </w:tc>
      </w:tr>
      <w:tr w:rsidR="002A2EA6" w:rsidRPr="002A2EA6" w14:paraId="6D9572C8" w14:textId="77777777" w:rsidTr="00774149">
        <w:trPr>
          <w:trHeight w:val="57"/>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auto"/>
              <w:bottom w:val="single" w:sz="2" w:space="0" w:color="auto"/>
            </w:tcBorders>
            <w:hideMark/>
          </w:tcPr>
          <w:p w14:paraId="2A3719EC" w14:textId="77777777" w:rsidR="002A2EA6" w:rsidRPr="004A7BEE" w:rsidRDefault="002A2EA6" w:rsidP="004A7BEE">
            <w:pPr>
              <w:tabs>
                <w:tab w:val="left" w:pos="1163"/>
              </w:tabs>
              <w:spacing w:before="120" w:after="120"/>
              <w:rPr>
                <w:bCs w:val="0"/>
                <w:sz w:val="18"/>
                <w:szCs w:val="18"/>
              </w:rPr>
            </w:pPr>
            <w:r w:rsidRPr="004A7BEE">
              <w:rPr>
                <w:bCs w:val="0"/>
                <w:sz w:val="18"/>
                <w:szCs w:val="18"/>
              </w:rPr>
              <w:t>Article 10</w:t>
            </w:r>
          </w:p>
        </w:tc>
        <w:tc>
          <w:tcPr>
            <w:tcW w:w="2693" w:type="dxa"/>
            <w:tcBorders>
              <w:top w:val="single" w:sz="2" w:space="0" w:color="auto"/>
              <w:bottom w:val="single" w:sz="2" w:space="0" w:color="auto"/>
            </w:tcBorders>
          </w:tcPr>
          <w:p w14:paraId="1EEA2F21" w14:textId="77777777" w:rsidR="002A2EA6" w:rsidRPr="002A2EA6" w:rsidRDefault="002A2EA6" w:rsidP="004A7BEE">
            <w:pPr>
              <w:tabs>
                <w:tab w:val="left" w:pos="1163"/>
              </w:tabs>
              <w:spacing w:before="120" w:after="120"/>
              <w:cnfStyle w:val="000000000000" w:firstRow="0" w:lastRow="0" w:firstColumn="0" w:lastColumn="0" w:oddVBand="0" w:evenVBand="0" w:oddHBand="0" w:evenHBand="0" w:firstRowFirstColumn="0" w:firstRowLastColumn="0" w:lastRowFirstColumn="0" w:lastRowLastColumn="0"/>
              <w:rPr>
                <w:rFonts w:eastAsia="Roboto"/>
                <w:sz w:val="18"/>
                <w:szCs w:val="18"/>
              </w:rPr>
            </w:pPr>
          </w:p>
        </w:tc>
        <w:tc>
          <w:tcPr>
            <w:tcW w:w="1843" w:type="dxa"/>
            <w:tcBorders>
              <w:top w:val="single" w:sz="2" w:space="0" w:color="auto"/>
              <w:bottom w:val="single" w:sz="2" w:space="0" w:color="auto"/>
            </w:tcBorders>
          </w:tcPr>
          <w:p w14:paraId="191EC7E7" w14:textId="77777777" w:rsidR="002A2EA6" w:rsidRPr="002A2EA6" w:rsidRDefault="002A2EA6" w:rsidP="004A7BEE">
            <w:pPr>
              <w:tabs>
                <w:tab w:val="left" w:pos="1163"/>
              </w:tabs>
              <w:spacing w:before="120" w:after="120"/>
              <w:ind w:right="-1192"/>
              <w:cnfStyle w:val="000000000000" w:firstRow="0" w:lastRow="0" w:firstColumn="0" w:lastColumn="0" w:oddVBand="0" w:evenVBand="0" w:oddHBand="0" w:evenHBand="0" w:firstRowFirstColumn="0" w:firstRowLastColumn="0" w:lastRowFirstColumn="0" w:lastRowLastColumn="0"/>
              <w:rPr>
                <w:rFonts w:eastAsia="Roboto"/>
                <w:sz w:val="18"/>
                <w:szCs w:val="18"/>
              </w:rPr>
            </w:pPr>
          </w:p>
        </w:tc>
        <w:tc>
          <w:tcPr>
            <w:tcW w:w="1928" w:type="dxa"/>
            <w:tcBorders>
              <w:top w:val="single" w:sz="2" w:space="0" w:color="auto"/>
              <w:bottom w:val="single" w:sz="2" w:space="0" w:color="auto"/>
            </w:tcBorders>
          </w:tcPr>
          <w:p w14:paraId="4CE7A443" w14:textId="77777777" w:rsidR="002A2EA6" w:rsidRPr="002A2EA6" w:rsidRDefault="002A2EA6" w:rsidP="004A7BEE">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r>
      <w:tr w:rsidR="002A2EA6" w:rsidRPr="002A2EA6" w14:paraId="1C17CEBC" w14:textId="77777777" w:rsidTr="00774149">
        <w:trPr>
          <w:cnfStyle w:val="000000100000" w:firstRow="0" w:lastRow="0" w:firstColumn="0" w:lastColumn="0" w:oddVBand="0" w:evenVBand="0" w:oddHBand="1" w:evenHBand="0" w:firstRowFirstColumn="0" w:firstRowLastColumn="0" w:lastRowFirstColumn="0" w:lastRowLastColumn="0"/>
          <w:trHeight w:val="458"/>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auto"/>
              <w:bottom w:val="nil"/>
            </w:tcBorders>
            <w:hideMark/>
          </w:tcPr>
          <w:p w14:paraId="196157B2" w14:textId="56453280" w:rsidR="002A2EA6" w:rsidRPr="004A7BEE" w:rsidRDefault="002A2EA6" w:rsidP="002A2EA6">
            <w:pPr>
              <w:tabs>
                <w:tab w:val="left" w:pos="1163"/>
              </w:tabs>
              <w:spacing w:before="20" w:after="20"/>
              <w:rPr>
                <w:b w:val="0"/>
                <w:sz w:val="18"/>
                <w:szCs w:val="18"/>
              </w:rPr>
            </w:pPr>
            <w:r w:rsidRPr="004A7BEE">
              <w:rPr>
                <w:b w:val="0"/>
                <w:sz w:val="18"/>
                <w:szCs w:val="18"/>
              </w:rPr>
              <w:t>B9. Indicateur de méthode pour l</w:t>
            </w:r>
            <w:r w:rsidR="00CA4DAC">
              <w:rPr>
                <w:b w:val="0"/>
                <w:sz w:val="18"/>
                <w:szCs w:val="18"/>
              </w:rPr>
              <w:t>’</w:t>
            </w:r>
            <w:r w:rsidRPr="004A7BEE">
              <w:rPr>
                <w:b w:val="0"/>
                <w:sz w:val="18"/>
                <w:szCs w:val="18"/>
              </w:rPr>
              <w:t>article 10</w:t>
            </w:r>
          </w:p>
        </w:tc>
        <w:tc>
          <w:tcPr>
            <w:tcW w:w="2693" w:type="dxa"/>
            <w:tcBorders>
              <w:top w:val="single" w:sz="2" w:space="0" w:color="auto"/>
              <w:bottom w:val="nil"/>
            </w:tcBorders>
            <w:hideMark/>
          </w:tcPr>
          <w:p w14:paraId="466E1703" w14:textId="77777777"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rFonts w:eastAsia="Roboto"/>
                <w:sz w:val="18"/>
                <w:szCs w:val="18"/>
              </w:rPr>
            </w:pPr>
            <w:r w:rsidRPr="002A2EA6">
              <w:rPr>
                <w:sz w:val="18"/>
                <w:szCs w:val="18"/>
              </w:rPr>
              <w:t>Nombre et proportion des Parties qui ont pris des mesures pour garantir un stockage provisoire rationnel</w:t>
            </w:r>
          </w:p>
        </w:tc>
        <w:tc>
          <w:tcPr>
            <w:tcW w:w="1843" w:type="dxa"/>
            <w:tcBorders>
              <w:top w:val="single" w:sz="2" w:space="0" w:color="auto"/>
              <w:bottom w:val="nil"/>
            </w:tcBorders>
            <w:hideMark/>
          </w:tcPr>
          <w:p w14:paraId="0875B5A5" w14:textId="585BB791"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1928" w:type="dxa"/>
            <w:tcBorders>
              <w:top w:val="single" w:sz="2" w:space="0" w:color="auto"/>
              <w:bottom w:val="nil"/>
            </w:tcBorders>
            <w:hideMark/>
          </w:tcPr>
          <w:p w14:paraId="26C62F78" w14:textId="5C7BE7C5" w:rsidR="002A2EA6" w:rsidRPr="002A2EA6" w:rsidRDefault="006E60F2"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Nombre et pourcentage</w:t>
            </w:r>
            <w:r w:rsidRPr="002A2EA6">
              <w:rPr>
                <w:sz w:val="18"/>
                <w:szCs w:val="18"/>
              </w:rPr>
              <w:t xml:space="preserve"> </w:t>
            </w:r>
            <w:r w:rsidR="002A2EA6" w:rsidRPr="002A2EA6">
              <w:rPr>
                <w:sz w:val="18"/>
                <w:szCs w:val="18"/>
              </w:rPr>
              <w:t>dans la première évaluation</w:t>
            </w:r>
          </w:p>
        </w:tc>
      </w:tr>
      <w:tr w:rsidR="002A2EA6" w:rsidRPr="002A2EA6" w14:paraId="179E02DC" w14:textId="77777777" w:rsidTr="00774149">
        <w:trPr>
          <w:trHeight w:val="458"/>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2" w:space="0" w:color="auto"/>
            </w:tcBorders>
            <w:hideMark/>
          </w:tcPr>
          <w:p w14:paraId="5862C85B" w14:textId="3B3B64CB" w:rsidR="002A2EA6" w:rsidRPr="004A7BEE" w:rsidRDefault="002A2EA6" w:rsidP="002A2EA6">
            <w:pPr>
              <w:tabs>
                <w:tab w:val="clear" w:pos="1247"/>
                <w:tab w:val="clear" w:pos="1814"/>
                <w:tab w:val="clear" w:pos="2381"/>
              </w:tabs>
              <w:spacing w:before="20" w:after="20"/>
              <w:ind w:right="-57"/>
              <w:rPr>
                <w:b w:val="0"/>
                <w:spacing w:val="-2"/>
                <w:sz w:val="18"/>
                <w:szCs w:val="18"/>
              </w:rPr>
            </w:pPr>
            <w:r w:rsidRPr="004A7BEE">
              <w:rPr>
                <w:b w:val="0"/>
                <w:sz w:val="18"/>
                <w:szCs w:val="18"/>
              </w:rPr>
              <w:t>B10. Indicateur de résultat pour l</w:t>
            </w:r>
            <w:r w:rsidR="00CA4DAC">
              <w:rPr>
                <w:b w:val="0"/>
                <w:sz w:val="18"/>
                <w:szCs w:val="18"/>
              </w:rPr>
              <w:t>’</w:t>
            </w:r>
            <w:r w:rsidRPr="004A7BEE">
              <w:rPr>
                <w:b w:val="0"/>
                <w:sz w:val="18"/>
                <w:szCs w:val="18"/>
              </w:rPr>
              <w:t>article 10</w:t>
            </w:r>
          </w:p>
        </w:tc>
        <w:tc>
          <w:tcPr>
            <w:tcW w:w="2693" w:type="dxa"/>
            <w:tcBorders>
              <w:top w:val="nil"/>
              <w:bottom w:val="single" w:sz="2" w:space="0" w:color="auto"/>
            </w:tcBorders>
            <w:hideMark/>
          </w:tcPr>
          <w:p w14:paraId="60AD1E87" w14:textId="2AD5C165" w:rsidR="002A2EA6" w:rsidRPr="002A2EA6" w:rsidRDefault="002A2EA6" w:rsidP="002A2EA6">
            <w:pPr>
              <w:tabs>
                <w:tab w:val="left" w:pos="1163"/>
              </w:tabs>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sz w:val="18"/>
                <w:szCs w:val="18"/>
              </w:rPr>
              <w:t>Quantité de mercure stockée de manière écologiquement rationnelle telle qu</w:t>
            </w:r>
            <w:r w:rsidR="00CA4DAC">
              <w:rPr>
                <w:sz w:val="18"/>
                <w:szCs w:val="18"/>
              </w:rPr>
              <w:t>’</w:t>
            </w:r>
            <w:r w:rsidRPr="002A2EA6">
              <w:rPr>
                <w:sz w:val="18"/>
                <w:szCs w:val="18"/>
              </w:rPr>
              <w:t>identifiée dans l</w:t>
            </w:r>
            <w:r w:rsidR="00CA4DAC">
              <w:rPr>
                <w:sz w:val="18"/>
                <w:szCs w:val="18"/>
              </w:rPr>
              <w:t>’</w:t>
            </w:r>
            <w:r w:rsidRPr="002A2EA6">
              <w:rPr>
                <w:sz w:val="18"/>
                <w:szCs w:val="18"/>
              </w:rPr>
              <w:t>inventaire des stocks</w:t>
            </w:r>
          </w:p>
        </w:tc>
        <w:tc>
          <w:tcPr>
            <w:tcW w:w="1843" w:type="dxa"/>
            <w:tcBorders>
              <w:top w:val="nil"/>
              <w:bottom w:val="single" w:sz="2" w:space="0" w:color="auto"/>
            </w:tcBorders>
            <w:hideMark/>
          </w:tcPr>
          <w:p w14:paraId="6C790838" w14:textId="078D3B8E"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1928" w:type="dxa"/>
            <w:tcBorders>
              <w:top w:val="nil"/>
              <w:bottom w:val="single" w:sz="2" w:space="0" w:color="auto"/>
            </w:tcBorders>
            <w:hideMark/>
          </w:tcPr>
          <w:p w14:paraId="7A3D2AC0" w14:textId="77777777"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Quantité dans la première évaluation</w:t>
            </w:r>
          </w:p>
        </w:tc>
      </w:tr>
      <w:tr w:rsidR="002A2EA6" w:rsidRPr="002A2EA6" w14:paraId="6FD2737F" w14:textId="77777777" w:rsidTr="00774149">
        <w:trPr>
          <w:cnfStyle w:val="000000100000" w:firstRow="0" w:lastRow="0" w:firstColumn="0" w:lastColumn="0" w:oddVBand="0" w:evenVBand="0" w:oddHBand="1" w:evenHBand="0" w:firstRowFirstColumn="0" w:firstRowLastColumn="0" w:lastRowFirstColumn="0" w:lastRowLastColumn="0"/>
          <w:trHeight w:val="57"/>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auto"/>
              <w:bottom w:val="single" w:sz="2" w:space="0" w:color="auto"/>
            </w:tcBorders>
            <w:hideMark/>
          </w:tcPr>
          <w:p w14:paraId="23E0762F" w14:textId="77777777" w:rsidR="002A2EA6" w:rsidRPr="004A7BEE" w:rsidRDefault="002A2EA6" w:rsidP="004A7BEE">
            <w:pPr>
              <w:keepNext/>
              <w:tabs>
                <w:tab w:val="left" w:pos="1163"/>
              </w:tabs>
              <w:spacing w:before="120" w:after="120"/>
              <w:rPr>
                <w:bCs w:val="0"/>
                <w:sz w:val="18"/>
                <w:szCs w:val="18"/>
              </w:rPr>
            </w:pPr>
            <w:r w:rsidRPr="004A7BEE">
              <w:rPr>
                <w:bCs w:val="0"/>
                <w:sz w:val="18"/>
                <w:szCs w:val="18"/>
              </w:rPr>
              <w:t>Article 11</w:t>
            </w:r>
          </w:p>
        </w:tc>
        <w:tc>
          <w:tcPr>
            <w:tcW w:w="2693" w:type="dxa"/>
            <w:tcBorders>
              <w:top w:val="single" w:sz="2" w:space="0" w:color="auto"/>
              <w:bottom w:val="single" w:sz="2" w:space="0" w:color="auto"/>
            </w:tcBorders>
          </w:tcPr>
          <w:p w14:paraId="7522AEC1" w14:textId="77777777" w:rsidR="002A2EA6" w:rsidRPr="002A2EA6" w:rsidRDefault="002A2EA6" w:rsidP="004A7BEE">
            <w:pPr>
              <w:keepNext/>
              <w:tabs>
                <w:tab w:val="left" w:pos="1163"/>
              </w:tabs>
              <w:spacing w:before="120" w:after="120"/>
              <w:cnfStyle w:val="000000100000" w:firstRow="0" w:lastRow="0" w:firstColumn="0" w:lastColumn="0" w:oddVBand="0" w:evenVBand="0" w:oddHBand="1" w:evenHBand="0" w:firstRowFirstColumn="0" w:firstRowLastColumn="0" w:lastRowFirstColumn="0" w:lastRowLastColumn="0"/>
              <w:rPr>
                <w:rFonts w:eastAsia="Roboto"/>
                <w:sz w:val="18"/>
                <w:szCs w:val="18"/>
              </w:rPr>
            </w:pPr>
          </w:p>
        </w:tc>
        <w:tc>
          <w:tcPr>
            <w:tcW w:w="1843" w:type="dxa"/>
            <w:tcBorders>
              <w:top w:val="single" w:sz="2" w:space="0" w:color="auto"/>
              <w:bottom w:val="single" w:sz="2" w:space="0" w:color="auto"/>
            </w:tcBorders>
          </w:tcPr>
          <w:p w14:paraId="4E971F78" w14:textId="77777777" w:rsidR="002A2EA6" w:rsidRPr="002A2EA6" w:rsidRDefault="002A2EA6" w:rsidP="004A7BEE">
            <w:pPr>
              <w:keepNext/>
              <w:tabs>
                <w:tab w:val="left" w:pos="1163"/>
              </w:tabs>
              <w:spacing w:before="120" w:after="120"/>
              <w:ind w:right="-1192"/>
              <w:cnfStyle w:val="000000100000" w:firstRow="0" w:lastRow="0" w:firstColumn="0" w:lastColumn="0" w:oddVBand="0" w:evenVBand="0" w:oddHBand="1" w:evenHBand="0" w:firstRowFirstColumn="0" w:firstRowLastColumn="0" w:lastRowFirstColumn="0" w:lastRowLastColumn="0"/>
              <w:rPr>
                <w:rFonts w:eastAsia="Roboto"/>
                <w:sz w:val="18"/>
                <w:szCs w:val="18"/>
              </w:rPr>
            </w:pPr>
          </w:p>
        </w:tc>
        <w:tc>
          <w:tcPr>
            <w:tcW w:w="1928" w:type="dxa"/>
            <w:tcBorders>
              <w:top w:val="single" w:sz="2" w:space="0" w:color="auto"/>
              <w:bottom w:val="single" w:sz="2" w:space="0" w:color="auto"/>
            </w:tcBorders>
          </w:tcPr>
          <w:p w14:paraId="169F1417" w14:textId="77777777" w:rsidR="002A2EA6" w:rsidRPr="002A2EA6" w:rsidRDefault="002A2EA6" w:rsidP="004A7BEE">
            <w:pPr>
              <w:keepNext/>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2A2EA6" w:rsidRPr="002A2EA6" w14:paraId="59C0CC38" w14:textId="77777777" w:rsidTr="00774149">
        <w:trPr>
          <w:trHeight w:val="458"/>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2" w:space="0" w:color="auto"/>
              <w:bottom w:val="nil"/>
            </w:tcBorders>
            <w:hideMark/>
          </w:tcPr>
          <w:p w14:paraId="77A5B15D" w14:textId="37A04A8E" w:rsidR="002A2EA6" w:rsidRPr="004A7BEE" w:rsidRDefault="002A2EA6" w:rsidP="002A2EA6">
            <w:pPr>
              <w:tabs>
                <w:tab w:val="left" w:pos="1163"/>
              </w:tabs>
              <w:spacing w:before="20" w:after="20"/>
              <w:ind w:right="-57"/>
              <w:rPr>
                <w:b w:val="0"/>
                <w:spacing w:val="-2"/>
                <w:sz w:val="18"/>
                <w:szCs w:val="18"/>
              </w:rPr>
            </w:pPr>
            <w:r w:rsidRPr="004A7BEE">
              <w:rPr>
                <w:b w:val="0"/>
                <w:sz w:val="18"/>
                <w:szCs w:val="18"/>
              </w:rPr>
              <w:t>B11. Indicateur de résultat pour l</w:t>
            </w:r>
            <w:r w:rsidR="00CA4DAC">
              <w:rPr>
                <w:b w:val="0"/>
                <w:sz w:val="18"/>
                <w:szCs w:val="18"/>
              </w:rPr>
              <w:t>’</w:t>
            </w:r>
            <w:r w:rsidRPr="004A7BEE">
              <w:rPr>
                <w:b w:val="0"/>
                <w:sz w:val="18"/>
                <w:szCs w:val="18"/>
              </w:rPr>
              <w:t>article 11</w:t>
            </w:r>
          </w:p>
        </w:tc>
        <w:tc>
          <w:tcPr>
            <w:tcW w:w="2693" w:type="dxa"/>
            <w:tcBorders>
              <w:top w:val="single" w:sz="2" w:space="0" w:color="auto"/>
              <w:bottom w:val="nil"/>
            </w:tcBorders>
            <w:hideMark/>
          </w:tcPr>
          <w:p w14:paraId="2A924216" w14:textId="7411662A"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sz w:val="18"/>
                <w:szCs w:val="18"/>
              </w:rPr>
              <w:t xml:space="preserve">Quantité de déchets contenant du mercure ou des composés de </w:t>
            </w:r>
            <w:r w:rsidRPr="002A2EA6">
              <w:rPr>
                <w:sz w:val="18"/>
                <w:szCs w:val="18"/>
              </w:rPr>
              <w:lastRenderedPageBreak/>
              <w:t>mercure ayant fait l</w:t>
            </w:r>
            <w:r w:rsidR="00CA4DAC">
              <w:rPr>
                <w:sz w:val="18"/>
                <w:szCs w:val="18"/>
              </w:rPr>
              <w:t>’</w:t>
            </w:r>
            <w:r w:rsidRPr="002A2EA6">
              <w:rPr>
                <w:sz w:val="18"/>
                <w:szCs w:val="18"/>
              </w:rPr>
              <w:t>objet d</w:t>
            </w:r>
            <w:r w:rsidR="00CA4DAC">
              <w:rPr>
                <w:sz w:val="18"/>
                <w:szCs w:val="18"/>
              </w:rPr>
              <w:t>’</w:t>
            </w:r>
            <w:r w:rsidRPr="002A2EA6">
              <w:rPr>
                <w:sz w:val="18"/>
                <w:szCs w:val="18"/>
              </w:rPr>
              <w:t>une élimination définitive</w:t>
            </w:r>
          </w:p>
        </w:tc>
        <w:tc>
          <w:tcPr>
            <w:tcW w:w="1843" w:type="dxa"/>
            <w:tcBorders>
              <w:top w:val="single" w:sz="2" w:space="0" w:color="auto"/>
              <w:bottom w:val="nil"/>
            </w:tcBorders>
            <w:hideMark/>
          </w:tcPr>
          <w:p w14:paraId="47FDFEDD" w14:textId="60B8A6F1"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iCs/>
                <w:sz w:val="18"/>
                <w:szCs w:val="18"/>
              </w:rPr>
              <w:lastRenderedPageBreak/>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1928" w:type="dxa"/>
            <w:tcBorders>
              <w:top w:val="single" w:sz="2" w:space="0" w:color="auto"/>
              <w:bottom w:val="nil"/>
            </w:tcBorders>
            <w:hideMark/>
          </w:tcPr>
          <w:p w14:paraId="762738F3" w14:textId="77777777"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2A2EA6">
              <w:rPr>
                <w:sz w:val="18"/>
                <w:szCs w:val="18"/>
              </w:rPr>
              <w:t>Quantité dans la première évaluation</w:t>
            </w:r>
          </w:p>
        </w:tc>
      </w:tr>
      <w:tr w:rsidR="002A2EA6" w:rsidRPr="002A2EA6" w14:paraId="38CB2615" w14:textId="77777777" w:rsidTr="00774149">
        <w:trPr>
          <w:cnfStyle w:val="000000100000" w:firstRow="0" w:lastRow="0" w:firstColumn="0" w:lastColumn="0" w:oddVBand="0" w:evenVBand="0" w:oddHBand="1" w:evenHBand="0" w:firstRowFirstColumn="0" w:firstRowLastColumn="0" w:lastRowFirstColumn="0" w:lastRowLastColumn="0"/>
          <w:trHeight w:val="458"/>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hideMark/>
          </w:tcPr>
          <w:p w14:paraId="5467699E" w14:textId="615699A0" w:rsidR="002A2EA6" w:rsidRPr="004A7BEE" w:rsidRDefault="002A2EA6" w:rsidP="002A2EA6">
            <w:pPr>
              <w:tabs>
                <w:tab w:val="left" w:pos="1163"/>
              </w:tabs>
              <w:spacing w:before="20" w:after="20"/>
              <w:ind w:right="-57"/>
              <w:rPr>
                <w:b w:val="0"/>
                <w:spacing w:val="-2"/>
                <w:sz w:val="18"/>
                <w:szCs w:val="18"/>
              </w:rPr>
            </w:pPr>
            <w:r w:rsidRPr="004A7BEE">
              <w:rPr>
                <w:b w:val="0"/>
                <w:sz w:val="18"/>
                <w:szCs w:val="18"/>
              </w:rPr>
              <w:t>B12. Indicateur de résultat pour l</w:t>
            </w:r>
            <w:r w:rsidR="00CA4DAC">
              <w:rPr>
                <w:b w:val="0"/>
                <w:sz w:val="18"/>
                <w:szCs w:val="18"/>
              </w:rPr>
              <w:t>’</w:t>
            </w:r>
            <w:r w:rsidRPr="004A7BEE">
              <w:rPr>
                <w:b w:val="0"/>
                <w:sz w:val="18"/>
                <w:szCs w:val="18"/>
              </w:rPr>
              <w:t>article 11</w:t>
            </w:r>
          </w:p>
        </w:tc>
        <w:tc>
          <w:tcPr>
            <w:tcW w:w="2693" w:type="dxa"/>
            <w:tcBorders>
              <w:top w:val="nil"/>
              <w:bottom w:val="nil"/>
            </w:tcBorders>
            <w:hideMark/>
          </w:tcPr>
          <w:p w14:paraId="1E4BB41B" w14:textId="7BB02A8A"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rFonts w:eastAsia="Roboto"/>
                <w:sz w:val="18"/>
                <w:szCs w:val="18"/>
              </w:rPr>
            </w:pPr>
            <w:r w:rsidRPr="002A2EA6">
              <w:rPr>
                <w:sz w:val="18"/>
                <w:szCs w:val="18"/>
              </w:rPr>
              <w:t>Nombre de Parties disposant d</w:t>
            </w:r>
            <w:r w:rsidR="00CA4DAC">
              <w:rPr>
                <w:sz w:val="18"/>
                <w:szCs w:val="18"/>
              </w:rPr>
              <w:t>’</w:t>
            </w:r>
            <w:r w:rsidRPr="002A2EA6">
              <w:rPr>
                <w:sz w:val="18"/>
                <w:szCs w:val="18"/>
              </w:rPr>
              <w:t>installations pour l</w:t>
            </w:r>
            <w:r w:rsidR="00CA4DAC">
              <w:rPr>
                <w:sz w:val="18"/>
                <w:szCs w:val="18"/>
              </w:rPr>
              <w:t>’</w:t>
            </w:r>
            <w:r w:rsidRPr="002A2EA6">
              <w:rPr>
                <w:sz w:val="18"/>
                <w:szCs w:val="18"/>
              </w:rPr>
              <w:t>élimination définitive des déchets contenant du mercure ou des composés du mercure</w:t>
            </w:r>
          </w:p>
        </w:tc>
        <w:tc>
          <w:tcPr>
            <w:tcW w:w="1843" w:type="dxa"/>
            <w:tcBorders>
              <w:top w:val="nil"/>
              <w:bottom w:val="nil"/>
            </w:tcBorders>
            <w:hideMark/>
          </w:tcPr>
          <w:p w14:paraId="59494440" w14:textId="7A31D154" w:rsidR="002A2EA6" w:rsidRPr="002A2EA6" w:rsidRDefault="002A2EA6" w:rsidP="002A2EA6">
            <w:pPr>
              <w:spacing w:before="20" w:after="20"/>
              <w:cnfStyle w:val="000000100000" w:firstRow="0" w:lastRow="0" w:firstColumn="0" w:lastColumn="0" w:oddVBand="0" w:evenVBand="0" w:oddHBand="1" w:evenHBand="0" w:firstRowFirstColumn="0" w:firstRowLastColumn="0" w:lastRowFirstColumn="0" w:lastRowLastColumn="0"/>
              <w:rPr>
                <w:iCs/>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1928" w:type="dxa"/>
            <w:tcBorders>
              <w:top w:val="nil"/>
              <w:bottom w:val="nil"/>
            </w:tcBorders>
            <w:hideMark/>
          </w:tcPr>
          <w:p w14:paraId="6ACC4049" w14:textId="480F6E2E" w:rsidR="002A2EA6" w:rsidRPr="002A2EA6" w:rsidRDefault="006E60F2" w:rsidP="002A2EA6">
            <w:pPr>
              <w:spacing w:before="20" w:after="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Nombre </w:t>
            </w:r>
            <w:r w:rsidR="002A2EA6" w:rsidRPr="002A2EA6">
              <w:rPr>
                <w:sz w:val="18"/>
                <w:szCs w:val="18"/>
              </w:rPr>
              <w:t>dans la première évaluation</w:t>
            </w:r>
          </w:p>
        </w:tc>
      </w:tr>
      <w:tr w:rsidR="002A2EA6" w:rsidRPr="002A2EA6" w14:paraId="1DE5A6EE" w14:textId="77777777" w:rsidTr="00774149">
        <w:trPr>
          <w:trHeight w:val="458"/>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hideMark/>
          </w:tcPr>
          <w:p w14:paraId="6480CD51" w14:textId="66392624" w:rsidR="002A2EA6" w:rsidRPr="004A7BEE" w:rsidRDefault="002A2EA6" w:rsidP="002A2EA6">
            <w:pPr>
              <w:tabs>
                <w:tab w:val="left" w:pos="1163"/>
              </w:tabs>
              <w:spacing w:before="20" w:after="20"/>
              <w:ind w:right="-57"/>
              <w:rPr>
                <w:b w:val="0"/>
                <w:sz w:val="18"/>
                <w:szCs w:val="18"/>
              </w:rPr>
            </w:pPr>
            <w:r w:rsidRPr="004A7BEE">
              <w:rPr>
                <w:b w:val="0"/>
                <w:sz w:val="18"/>
                <w:szCs w:val="18"/>
              </w:rPr>
              <w:t>B13. Indicateur de méthode pour l</w:t>
            </w:r>
            <w:r w:rsidR="00CA4DAC">
              <w:rPr>
                <w:b w:val="0"/>
                <w:sz w:val="18"/>
                <w:szCs w:val="18"/>
              </w:rPr>
              <w:t>’</w:t>
            </w:r>
            <w:r w:rsidRPr="004A7BEE">
              <w:rPr>
                <w:b w:val="0"/>
                <w:sz w:val="18"/>
                <w:szCs w:val="18"/>
              </w:rPr>
              <w:t>article 11</w:t>
            </w:r>
          </w:p>
        </w:tc>
        <w:tc>
          <w:tcPr>
            <w:tcW w:w="2693" w:type="dxa"/>
            <w:tcBorders>
              <w:top w:val="nil"/>
              <w:bottom w:val="nil"/>
            </w:tcBorders>
            <w:hideMark/>
          </w:tcPr>
          <w:p w14:paraId="3C518686" w14:textId="743F018C"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sz w:val="18"/>
                <w:szCs w:val="18"/>
              </w:rPr>
              <w:t>Nombre de Parties ayant mis en place des mesures pour gérer les déchets de mercure d</w:t>
            </w:r>
            <w:r w:rsidR="00CA4DAC">
              <w:rPr>
                <w:sz w:val="18"/>
                <w:szCs w:val="18"/>
              </w:rPr>
              <w:t>’</w:t>
            </w:r>
            <w:r w:rsidRPr="002A2EA6">
              <w:rPr>
                <w:sz w:val="18"/>
                <w:szCs w:val="18"/>
              </w:rPr>
              <w:t>une manière écologiquement rationnelle</w:t>
            </w:r>
          </w:p>
        </w:tc>
        <w:tc>
          <w:tcPr>
            <w:tcW w:w="1843" w:type="dxa"/>
            <w:tcBorders>
              <w:top w:val="nil"/>
              <w:bottom w:val="nil"/>
            </w:tcBorders>
            <w:hideMark/>
          </w:tcPr>
          <w:p w14:paraId="1EA2A450" w14:textId="0A5F89AB" w:rsidR="002A2EA6" w:rsidRPr="002A2EA6" w:rsidRDefault="002A2EA6" w:rsidP="002A2EA6">
            <w:pPr>
              <w:spacing w:before="20" w:after="20"/>
              <w:cnfStyle w:val="000000000000" w:firstRow="0" w:lastRow="0" w:firstColumn="0" w:lastColumn="0" w:oddVBand="0" w:evenVBand="0" w:oddHBand="0" w:evenHBand="0" w:firstRowFirstColumn="0" w:firstRowLastColumn="0" w:lastRowFirstColumn="0" w:lastRowLastColumn="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1928" w:type="dxa"/>
            <w:tcBorders>
              <w:top w:val="nil"/>
              <w:bottom w:val="nil"/>
            </w:tcBorders>
            <w:hideMark/>
          </w:tcPr>
          <w:p w14:paraId="60865E89" w14:textId="6CE61396" w:rsidR="002A2EA6" w:rsidRPr="002A2EA6" w:rsidRDefault="006E60F2" w:rsidP="002A2EA6">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Nombre </w:t>
            </w:r>
            <w:r w:rsidR="002A2EA6" w:rsidRPr="002A2EA6">
              <w:rPr>
                <w:sz w:val="18"/>
                <w:szCs w:val="18"/>
              </w:rPr>
              <w:t>dans la première évaluation</w:t>
            </w:r>
          </w:p>
        </w:tc>
      </w:tr>
      <w:tr w:rsidR="002A2EA6" w:rsidRPr="002A2EA6" w14:paraId="35C9B668" w14:textId="77777777" w:rsidTr="00774149">
        <w:trPr>
          <w:cnfStyle w:val="000000100000" w:firstRow="0" w:lastRow="0" w:firstColumn="0" w:lastColumn="0" w:oddVBand="0" w:evenVBand="0" w:oddHBand="1" w:evenHBand="0" w:firstRowFirstColumn="0" w:firstRowLastColumn="0" w:lastRowFirstColumn="0" w:lastRowLastColumn="0"/>
          <w:trHeight w:val="229"/>
          <w:jc w:val="right"/>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12" w:space="0" w:color="auto"/>
            </w:tcBorders>
            <w:hideMark/>
          </w:tcPr>
          <w:p w14:paraId="0E41C74A" w14:textId="77777777" w:rsidR="002A2EA6" w:rsidRPr="004A7BEE" w:rsidRDefault="002A2EA6" w:rsidP="002A2EA6">
            <w:pPr>
              <w:spacing w:before="20" w:after="20"/>
              <w:rPr>
                <w:sz w:val="18"/>
                <w:szCs w:val="18"/>
              </w:rPr>
            </w:pPr>
            <w:r w:rsidRPr="004A7BEE">
              <w:rPr>
                <w:sz w:val="18"/>
                <w:szCs w:val="18"/>
              </w:rPr>
              <w:t>Notes</w:t>
            </w:r>
          </w:p>
        </w:tc>
        <w:tc>
          <w:tcPr>
            <w:tcW w:w="6464" w:type="dxa"/>
            <w:gridSpan w:val="3"/>
            <w:tcBorders>
              <w:top w:val="nil"/>
              <w:bottom w:val="single" w:sz="12" w:space="0" w:color="auto"/>
            </w:tcBorders>
            <w:hideMark/>
          </w:tcPr>
          <w:p w14:paraId="0C8718A9" w14:textId="77777777" w:rsidR="002A2EA6" w:rsidRPr="002A2EA6" w:rsidRDefault="002A2EA6" w:rsidP="002A2EA6">
            <w:pPr>
              <w:pStyle w:val="ListParagraph"/>
              <w:numPr>
                <w:ilvl w:val="0"/>
                <w:numId w:val="21"/>
              </w:numPr>
              <w:tabs>
                <w:tab w:val="clear" w:pos="1247"/>
              </w:tabs>
              <w:spacing w:before="20" w:after="20"/>
              <w:ind w:right="-1192"/>
              <w:cnfStyle w:val="000000100000" w:firstRow="0" w:lastRow="0" w:firstColumn="0" w:lastColumn="0" w:oddVBand="0" w:evenVBand="0" w:oddHBand="1" w:evenHBand="0" w:firstRowFirstColumn="0" w:firstRowLastColumn="0" w:lastRowFirstColumn="0" w:lastRowLastColumn="0"/>
              <w:rPr>
                <w:sz w:val="18"/>
                <w:szCs w:val="18"/>
              </w:rPr>
            </w:pPr>
            <w:r w:rsidRPr="002A2EA6">
              <w:rPr>
                <w:sz w:val="18"/>
                <w:szCs w:val="18"/>
              </w:rPr>
              <w:t xml:space="preserve">Les données provenant de non-Parties pourraient également être importantes </w:t>
            </w:r>
            <w:r w:rsidRPr="002A2EA6">
              <w:rPr>
                <w:sz w:val="18"/>
                <w:szCs w:val="18"/>
              </w:rPr>
              <w:br/>
              <w:t>dans certains cas.</w:t>
            </w:r>
          </w:p>
        </w:tc>
      </w:tr>
    </w:tbl>
    <w:p w14:paraId="1667714D" w14:textId="77777777" w:rsidR="002A2EA6" w:rsidRPr="00774149" w:rsidRDefault="002A2EA6" w:rsidP="00774149">
      <w:pPr>
        <w:spacing w:after="120"/>
      </w:pPr>
    </w:p>
    <w:tbl>
      <w:tblPr>
        <w:tblStyle w:val="TableGrid"/>
        <w:tblW w:w="8307" w:type="dxa"/>
        <w:jc w:val="right"/>
        <w:tblLook w:val="04A0" w:firstRow="1" w:lastRow="0" w:firstColumn="1" w:lastColumn="0" w:noHBand="0" w:noVBand="1"/>
      </w:tblPr>
      <w:tblGrid>
        <w:gridCol w:w="1837"/>
        <w:gridCol w:w="2716"/>
        <w:gridCol w:w="1826"/>
        <w:gridCol w:w="1928"/>
      </w:tblGrid>
      <w:tr w:rsidR="00FD5921" w:rsidRPr="00FD5921" w14:paraId="614E0AA4" w14:textId="77777777" w:rsidTr="00774149">
        <w:trPr>
          <w:trHeight w:val="57"/>
          <w:tblHeader/>
          <w:jc w:val="right"/>
        </w:trPr>
        <w:tc>
          <w:tcPr>
            <w:tcW w:w="4553" w:type="dxa"/>
            <w:gridSpan w:val="2"/>
            <w:tcBorders>
              <w:top w:val="single" w:sz="2" w:space="0" w:color="auto"/>
              <w:left w:val="nil"/>
              <w:bottom w:val="single" w:sz="12" w:space="0" w:color="auto"/>
              <w:right w:val="nil"/>
            </w:tcBorders>
            <w:shd w:val="clear" w:color="auto" w:fill="FFFFFF" w:themeFill="background1"/>
            <w:hideMark/>
          </w:tcPr>
          <w:p w14:paraId="19724F52" w14:textId="77777777" w:rsidR="002A2EA6" w:rsidRPr="00593C5E" w:rsidRDefault="002A2EA6" w:rsidP="002A2EA6">
            <w:pPr>
              <w:pStyle w:val="Normal-pool"/>
              <w:spacing w:before="20" w:after="20"/>
              <w:rPr>
                <w:rFonts w:eastAsia="Times New Roman Bold"/>
                <w:bCs/>
                <w:i/>
                <w:iCs/>
                <w:sz w:val="18"/>
                <w:szCs w:val="18"/>
                <w:lang w:val="fr-FR"/>
              </w:rPr>
            </w:pPr>
            <w:r w:rsidRPr="00593C5E">
              <w:rPr>
                <w:rFonts w:eastAsia="Times New Roman Bold"/>
                <w:bCs/>
                <w:i/>
                <w:iCs/>
                <w:sz w:val="18"/>
                <w:szCs w:val="18"/>
                <w:lang w:val="fr-FR"/>
              </w:rPr>
              <w:t>C : groupe Demande</w:t>
            </w:r>
          </w:p>
          <w:p w14:paraId="5159C70B" w14:textId="0D6C8D0A" w:rsidR="002A2EA6" w:rsidRPr="00593C5E" w:rsidRDefault="002A2EA6" w:rsidP="002A2EA6">
            <w:pPr>
              <w:pStyle w:val="Normal-pool"/>
              <w:spacing w:before="20" w:after="20"/>
              <w:ind w:left="567"/>
              <w:rPr>
                <w:rFonts w:eastAsia="Times New Roman Bold"/>
                <w:bCs/>
                <w:i/>
                <w:iCs/>
                <w:sz w:val="18"/>
                <w:szCs w:val="18"/>
                <w:lang w:val="fr-FR"/>
              </w:rPr>
            </w:pPr>
            <w:r w:rsidRPr="00593C5E">
              <w:rPr>
                <w:rFonts w:eastAsia="Times New Roman Bold"/>
                <w:bCs/>
                <w:i/>
                <w:iCs/>
                <w:sz w:val="18"/>
                <w:szCs w:val="18"/>
                <w:lang w:val="fr-FR"/>
              </w:rPr>
              <w:t>Article 4 (Produits contenant du mercure ajouté) ; article 5 (Procédés de fabrication utilisant du mercure ou des composés du mercure) ; article 7 (Extraction minière artisanale et à petite échelle d</w:t>
            </w:r>
            <w:r w:rsidR="00CA4DAC">
              <w:rPr>
                <w:rFonts w:eastAsia="Times New Roman Bold"/>
                <w:bCs/>
                <w:i/>
                <w:iCs/>
                <w:sz w:val="18"/>
                <w:szCs w:val="18"/>
                <w:lang w:val="fr-FR"/>
              </w:rPr>
              <w:t>’</w:t>
            </w:r>
            <w:r w:rsidRPr="00593C5E">
              <w:rPr>
                <w:rFonts w:eastAsia="Times New Roman Bold"/>
                <w:bCs/>
                <w:i/>
                <w:iCs/>
                <w:sz w:val="18"/>
                <w:szCs w:val="18"/>
                <w:lang w:val="fr-FR"/>
              </w:rPr>
              <w:t>or)</w:t>
            </w:r>
          </w:p>
        </w:tc>
        <w:tc>
          <w:tcPr>
            <w:tcW w:w="1826" w:type="dxa"/>
            <w:tcBorders>
              <w:top w:val="single" w:sz="2" w:space="0" w:color="auto"/>
              <w:left w:val="nil"/>
              <w:bottom w:val="single" w:sz="12" w:space="0" w:color="auto"/>
              <w:right w:val="nil"/>
            </w:tcBorders>
            <w:shd w:val="clear" w:color="auto" w:fill="FFFFFF" w:themeFill="background1"/>
            <w:hideMark/>
          </w:tcPr>
          <w:p w14:paraId="7C35CB0E" w14:textId="776CBC68" w:rsidR="002A2EA6" w:rsidRPr="00593C5E" w:rsidRDefault="002A2EA6" w:rsidP="002A2EA6">
            <w:pPr>
              <w:pStyle w:val="Normal-pool"/>
              <w:spacing w:before="20" w:after="20"/>
              <w:rPr>
                <w:rFonts w:eastAsia="Times New Roman Bold"/>
                <w:bCs/>
                <w:i/>
                <w:iCs/>
                <w:sz w:val="18"/>
                <w:szCs w:val="18"/>
                <w:lang w:val="fr-FR"/>
              </w:rPr>
            </w:pPr>
            <w:r w:rsidRPr="00593C5E">
              <w:rPr>
                <w:rFonts w:eastAsia="Times New Roman Bold"/>
                <w:bCs/>
                <w:i/>
                <w:iCs/>
                <w:sz w:val="18"/>
                <w:szCs w:val="18"/>
                <w:lang w:val="fr-FR"/>
              </w:rPr>
              <w:t xml:space="preserve">Source </w:t>
            </w:r>
            <w:r w:rsidR="002321A6">
              <w:rPr>
                <w:rFonts w:eastAsia="Times New Roman Bold"/>
                <w:bCs/>
                <w:i/>
                <w:iCs/>
                <w:sz w:val="18"/>
                <w:szCs w:val="18"/>
                <w:lang w:val="fr-FR"/>
              </w:rPr>
              <w:br/>
            </w:r>
            <w:r w:rsidRPr="00593C5E">
              <w:rPr>
                <w:rFonts w:eastAsia="Times New Roman Bold"/>
                <w:bCs/>
                <w:i/>
                <w:iCs/>
                <w:sz w:val="18"/>
                <w:szCs w:val="18"/>
                <w:lang w:val="fr-FR"/>
              </w:rPr>
              <w:t>d</w:t>
            </w:r>
            <w:r w:rsidR="00CA4DAC">
              <w:rPr>
                <w:rFonts w:eastAsia="Times New Roman Bold"/>
                <w:bCs/>
                <w:i/>
                <w:iCs/>
                <w:sz w:val="18"/>
                <w:szCs w:val="18"/>
                <w:lang w:val="fr-FR"/>
              </w:rPr>
              <w:t>’</w:t>
            </w:r>
            <w:r w:rsidRPr="00593C5E">
              <w:rPr>
                <w:rFonts w:eastAsia="Times New Roman Bold"/>
                <w:bCs/>
                <w:i/>
                <w:iCs/>
                <w:sz w:val="18"/>
                <w:szCs w:val="18"/>
                <w:lang w:val="fr-FR"/>
              </w:rPr>
              <w:t>information</w:t>
            </w:r>
            <w:r w:rsidR="002321A6">
              <w:rPr>
                <w:rFonts w:eastAsia="Times New Roman Bold"/>
                <w:bCs/>
                <w:i/>
                <w:iCs/>
                <w:sz w:val="18"/>
                <w:szCs w:val="18"/>
                <w:lang w:val="fr-FR"/>
              </w:rPr>
              <w:t xml:space="preserve"> </w:t>
            </w:r>
            <w:r w:rsidRPr="00593C5E">
              <w:rPr>
                <w:rFonts w:eastAsia="Times New Roman Bold"/>
                <w:bCs/>
                <w:i/>
                <w:iCs/>
                <w:sz w:val="18"/>
                <w:szCs w:val="18"/>
                <w:lang w:val="fr-FR"/>
              </w:rPr>
              <w:t>concernant l</w:t>
            </w:r>
            <w:r w:rsidR="00CA4DAC">
              <w:rPr>
                <w:rFonts w:eastAsia="Times New Roman Bold"/>
                <w:bCs/>
                <w:i/>
                <w:iCs/>
                <w:sz w:val="18"/>
                <w:szCs w:val="18"/>
                <w:lang w:val="fr-FR"/>
              </w:rPr>
              <w:t>’</w:t>
            </w:r>
            <w:r w:rsidRPr="00593C5E">
              <w:rPr>
                <w:rFonts w:eastAsia="Times New Roman Bold"/>
                <w:bCs/>
                <w:i/>
                <w:iCs/>
                <w:sz w:val="18"/>
                <w:szCs w:val="18"/>
                <w:lang w:val="fr-FR"/>
              </w:rPr>
              <w:t>indicateur</w:t>
            </w:r>
          </w:p>
        </w:tc>
        <w:tc>
          <w:tcPr>
            <w:tcW w:w="1928" w:type="dxa"/>
            <w:tcBorders>
              <w:top w:val="single" w:sz="2" w:space="0" w:color="auto"/>
              <w:left w:val="nil"/>
              <w:bottom w:val="single" w:sz="12" w:space="0" w:color="auto"/>
              <w:right w:val="nil"/>
            </w:tcBorders>
            <w:shd w:val="clear" w:color="auto" w:fill="FFFFFF" w:themeFill="background1"/>
            <w:hideMark/>
          </w:tcPr>
          <w:p w14:paraId="36BBE507" w14:textId="7E7199CF" w:rsidR="002A2EA6" w:rsidRPr="00593C5E" w:rsidRDefault="002A2EA6" w:rsidP="002A2EA6">
            <w:pPr>
              <w:pStyle w:val="Normal-pool"/>
              <w:spacing w:before="20" w:after="20"/>
              <w:rPr>
                <w:rFonts w:eastAsia="Times New Roman Bold"/>
                <w:bCs/>
                <w:i/>
                <w:iCs/>
                <w:sz w:val="18"/>
                <w:szCs w:val="18"/>
                <w:lang w:val="fr-FR"/>
              </w:rPr>
            </w:pPr>
            <w:r w:rsidRPr="00593C5E">
              <w:rPr>
                <w:rFonts w:eastAsia="Times New Roman Bold"/>
                <w:bCs/>
                <w:i/>
                <w:iCs/>
                <w:sz w:val="18"/>
                <w:szCs w:val="18"/>
                <w:lang w:val="fr-FR"/>
              </w:rPr>
              <w:t>Valeur de référence pour l</w:t>
            </w:r>
            <w:r w:rsidR="00CA4DAC">
              <w:rPr>
                <w:rFonts w:eastAsia="Times New Roman Bold"/>
                <w:bCs/>
                <w:i/>
                <w:iCs/>
                <w:sz w:val="18"/>
                <w:szCs w:val="18"/>
                <w:lang w:val="fr-FR"/>
              </w:rPr>
              <w:t>’</w:t>
            </w:r>
            <w:r w:rsidRPr="00593C5E">
              <w:rPr>
                <w:rFonts w:eastAsia="Times New Roman Bold"/>
                <w:bCs/>
                <w:i/>
                <w:iCs/>
                <w:sz w:val="18"/>
                <w:szCs w:val="18"/>
                <w:lang w:val="fr-FR"/>
              </w:rPr>
              <w:t>indicateur</w:t>
            </w:r>
          </w:p>
        </w:tc>
      </w:tr>
      <w:tr w:rsidR="00FD5921" w:rsidRPr="00FD5921" w14:paraId="7E8724B5" w14:textId="77777777" w:rsidTr="00774149">
        <w:trPr>
          <w:trHeight w:val="624"/>
          <w:jc w:val="right"/>
        </w:trPr>
        <w:tc>
          <w:tcPr>
            <w:tcW w:w="1837" w:type="dxa"/>
            <w:tcBorders>
              <w:top w:val="single" w:sz="12" w:space="0" w:color="auto"/>
              <w:left w:val="nil"/>
              <w:bottom w:val="nil"/>
              <w:right w:val="nil"/>
            </w:tcBorders>
            <w:shd w:val="clear" w:color="auto" w:fill="FFFFFF" w:themeFill="background1"/>
            <w:hideMark/>
          </w:tcPr>
          <w:p w14:paraId="09FB3243" w14:textId="77777777" w:rsidR="002A2EA6" w:rsidRPr="00FD5921" w:rsidRDefault="002A2EA6" w:rsidP="002A2EA6">
            <w:pPr>
              <w:spacing w:before="20" w:after="20"/>
              <w:rPr>
                <w:sz w:val="18"/>
                <w:szCs w:val="18"/>
              </w:rPr>
            </w:pPr>
            <w:r w:rsidRPr="00FD5921">
              <w:rPr>
                <w:bCs/>
                <w:sz w:val="18"/>
                <w:szCs w:val="18"/>
              </w:rPr>
              <w:t xml:space="preserve">C1. Indicateur </w:t>
            </w:r>
            <w:r w:rsidRPr="00FD5921">
              <w:rPr>
                <w:sz w:val="18"/>
                <w:szCs w:val="18"/>
              </w:rPr>
              <w:t>de méthode transversal pour les articles 4, 5 et 7</w:t>
            </w:r>
          </w:p>
        </w:tc>
        <w:tc>
          <w:tcPr>
            <w:tcW w:w="2716" w:type="dxa"/>
            <w:tcBorders>
              <w:top w:val="single" w:sz="12" w:space="0" w:color="auto"/>
              <w:left w:val="nil"/>
              <w:bottom w:val="nil"/>
              <w:right w:val="nil"/>
            </w:tcBorders>
            <w:shd w:val="clear" w:color="auto" w:fill="FFFFFF" w:themeFill="background1"/>
          </w:tcPr>
          <w:p w14:paraId="04C3F169" w14:textId="77777777" w:rsidR="002A2EA6" w:rsidRPr="00FD5921" w:rsidRDefault="002A2EA6" w:rsidP="002A2EA6">
            <w:pPr>
              <w:spacing w:before="20" w:after="20"/>
              <w:rPr>
                <w:sz w:val="18"/>
                <w:szCs w:val="18"/>
              </w:rPr>
            </w:pPr>
            <w:r w:rsidRPr="00FD5921">
              <w:rPr>
                <w:sz w:val="18"/>
                <w:szCs w:val="18"/>
              </w:rPr>
              <w:t>Proportion de Parties ayant mis en œuvre des dispositions clefs dans le cadre de ce groupe</w:t>
            </w:r>
          </w:p>
        </w:tc>
        <w:tc>
          <w:tcPr>
            <w:tcW w:w="1826" w:type="dxa"/>
            <w:tcBorders>
              <w:top w:val="single" w:sz="12" w:space="0" w:color="auto"/>
              <w:left w:val="nil"/>
              <w:bottom w:val="nil"/>
              <w:right w:val="nil"/>
            </w:tcBorders>
            <w:shd w:val="clear" w:color="auto" w:fill="FFFFFF" w:themeFill="background1"/>
            <w:hideMark/>
          </w:tcPr>
          <w:p w14:paraId="6C10FE0B" w14:textId="4FA7CB9C" w:rsidR="002A2EA6" w:rsidRPr="00FD5921" w:rsidRDefault="002A2EA6" w:rsidP="002A2EA6">
            <w:pPr>
              <w:spacing w:before="20" w:after="20"/>
              <w:rPr>
                <w:rFonts w:eastAsia="Roboto"/>
                <w:sz w:val="18"/>
                <w:szCs w:val="18"/>
              </w:rPr>
            </w:pPr>
            <w:r w:rsidRPr="00FD5921">
              <w:rPr>
                <w:sz w:val="18"/>
                <w:szCs w:val="18"/>
              </w:rPr>
              <w:t>- Informations synthétisées à partir d</w:t>
            </w:r>
            <w:r w:rsidR="00CA4DAC">
              <w:rPr>
                <w:sz w:val="18"/>
                <w:szCs w:val="18"/>
              </w:rPr>
              <w:t>’</w:t>
            </w:r>
            <w:r w:rsidRPr="00FD5921">
              <w:rPr>
                <w:sz w:val="18"/>
                <w:szCs w:val="18"/>
              </w:rPr>
              <w:t>indicateurs individuels pour les articles 4, 5 et 7</w:t>
            </w:r>
          </w:p>
        </w:tc>
        <w:tc>
          <w:tcPr>
            <w:tcW w:w="1928" w:type="dxa"/>
            <w:tcBorders>
              <w:top w:val="single" w:sz="12" w:space="0" w:color="auto"/>
              <w:left w:val="nil"/>
              <w:bottom w:val="nil"/>
              <w:right w:val="nil"/>
            </w:tcBorders>
            <w:shd w:val="clear" w:color="auto" w:fill="FFFFFF" w:themeFill="background1"/>
            <w:hideMark/>
          </w:tcPr>
          <w:p w14:paraId="62EECEF9" w14:textId="77777777" w:rsidR="002A2EA6" w:rsidRPr="00FD5921" w:rsidRDefault="002A2EA6" w:rsidP="002A2EA6">
            <w:pPr>
              <w:spacing w:before="20" w:after="20"/>
              <w:rPr>
                <w:sz w:val="18"/>
                <w:szCs w:val="18"/>
              </w:rPr>
            </w:pPr>
            <w:r w:rsidRPr="00FD5921">
              <w:rPr>
                <w:sz w:val="18"/>
                <w:szCs w:val="18"/>
              </w:rPr>
              <w:t>Pourcentage dans la première évaluation</w:t>
            </w:r>
          </w:p>
        </w:tc>
      </w:tr>
      <w:tr w:rsidR="00FD5921" w:rsidRPr="00FD5921" w14:paraId="165A0FE6" w14:textId="77777777" w:rsidTr="00774149">
        <w:trPr>
          <w:trHeight w:val="454"/>
          <w:jc w:val="right"/>
        </w:trPr>
        <w:tc>
          <w:tcPr>
            <w:tcW w:w="1837" w:type="dxa"/>
            <w:tcBorders>
              <w:top w:val="nil"/>
              <w:left w:val="nil"/>
              <w:bottom w:val="single" w:sz="2" w:space="0" w:color="auto"/>
              <w:right w:val="nil"/>
            </w:tcBorders>
            <w:shd w:val="clear" w:color="auto" w:fill="FFFFFF" w:themeFill="background1"/>
            <w:hideMark/>
          </w:tcPr>
          <w:p w14:paraId="2198366E" w14:textId="77777777" w:rsidR="002A2EA6" w:rsidRPr="00FD5921" w:rsidRDefault="002A2EA6" w:rsidP="002A2EA6">
            <w:pPr>
              <w:spacing w:before="20" w:after="20"/>
              <w:rPr>
                <w:bCs/>
                <w:sz w:val="18"/>
                <w:szCs w:val="18"/>
              </w:rPr>
            </w:pPr>
            <w:r w:rsidRPr="00FD5921">
              <w:rPr>
                <w:bCs/>
                <w:sz w:val="18"/>
                <w:szCs w:val="18"/>
              </w:rPr>
              <w:t>C2. Indicateur</w:t>
            </w:r>
            <w:r w:rsidRPr="00FD5921">
              <w:rPr>
                <w:sz w:val="18"/>
                <w:szCs w:val="18"/>
              </w:rPr>
              <w:t xml:space="preserve"> de résultat transversal pour les articles 4, 5 et 7</w:t>
            </w:r>
          </w:p>
        </w:tc>
        <w:tc>
          <w:tcPr>
            <w:tcW w:w="2716" w:type="dxa"/>
            <w:tcBorders>
              <w:top w:val="nil"/>
              <w:left w:val="nil"/>
              <w:bottom w:val="single" w:sz="2" w:space="0" w:color="auto"/>
              <w:right w:val="nil"/>
            </w:tcBorders>
            <w:shd w:val="clear" w:color="auto" w:fill="FFFFFF" w:themeFill="background1"/>
            <w:hideMark/>
          </w:tcPr>
          <w:p w14:paraId="676CEB68" w14:textId="77777777" w:rsidR="002A2EA6" w:rsidRPr="00FD5921" w:rsidRDefault="002A2EA6" w:rsidP="002A2EA6">
            <w:pPr>
              <w:spacing w:before="20" w:after="20"/>
              <w:rPr>
                <w:sz w:val="18"/>
                <w:szCs w:val="18"/>
              </w:rPr>
            </w:pPr>
            <w:r w:rsidRPr="00FD5921">
              <w:rPr>
                <w:sz w:val="18"/>
                <w:szCs w:val="18"/>
              </w:rPr>
              <w:t xml:space="preserve">Utilisation mondiale du mercure dans la fabrication de produits ou de procédés, en tonnes par application </w:t>
            </w:r>
          </w:p>
        </w:tc>
        <w:tc>
          <w:tcPr>
            <w:tcW w:w="1826" w:type="dxa"/>
            <w:tcBorders>
              <w:top w:val="nil"/>
              <w:left w:val="nil"/>
              <w:bottom w:val="single" w:sz="2" w:space="0" w:color="auto"/>
              <w:right w:val="nil"/>
            </w:tcBorders>
            <w:shd w:val="clear" w:color="auto" w:fill="FFFFFF" w:themeFill="background1"/>
            <w:hideMark/>
          </w:tcPr>
          <w:p w14:paraId="588FDFA1" w14:textId="3897075B" w:rsidR="002A2EA6" w:rsidRPr="00FD5921" w:rsidRDefault="002A2EA6" w:rsidP="002A2EA6">
            <w:pPr>
              <w:spacing w:before="20" w:after="20"/>
              <w:rPr>
                <w:rFonts w:eastAsia="Roboto"/>
                <w:sz w:val="18"/>
                <w:szCs w:val="18"/>
              </w:rPr>
            </w:pPr>
            <w:r w:rsidRPr="00FD5921">
              <w:rPr>
                <w:sz w:val="18"/>
                <w:szCs w:val="18"/>
              </w:rPr>
              <w:t>- Informations provenant de sources de l</w:t>
            </w:r>
            <w:r w:rsidR="00CA4DAC">
              <w:rPr>
                <w:sz w:val="18"/>
                <w:szCs w:val="18"/>
              </w:rPr>
              <w:t>’</w:t>
            </w:r>
            <w:r w:rsidRPr="00FD5921">
              <w:rPr>
                <w:sz w:val="18"/>
                <w:szCs w:val="18"/>
              </w:rPr>
              <w:t>industrie</w:t>
            </w:r>
          </w:p>
        </w:tc>
        <w:tc>
          <w:tcPr>
            <w:tcW w:w="1928" w:type="dxa"/>
            <w:tcBorders>
              <w:top w:val="nil"/>
              <w:left w:val="nil"/>
              <w:bottom w:val="single" w:sz="2" w:space="0" w:color="auto"/>
              <w:right w:val="nil"/>
            </w:tcBorders>
            <w:shd w:val="clear" w:color="auto" w:fill="FFFFFF" w:themeFill="background1"/>
            <w:hideMark/>
          </w:tcPr>
          <w:p w14:paraId="2282FE14" w14:textId="77777777" w:rsidR="002A2EA6" w:rsidRPr="00FD5921" w:rsidRDefault="002A2EA6" w:rsidP="002A2EA6">
            <w:pPr>
              <w:spacing w:before="20" w:after="20"/>
              <w:rPr>
                <w:sz w:val="18"/>
                <w:szCs w:val="18"/>
              </w:rPr>
            </w:pPr>
            <w:r w:rsidRPr="00FD5921">
              <w:rPr>
                <w:sz w:val="18"/>
                <w:szCs w:val="18"/>
              </w:rPr>
              <w:t>Quantité dans la première évaluation</w:t>
            </w:r>
          </w:p>
        </w:tc>
      </w:tr>
      <w:tr w:rsidR="00FD5921" w:rsidRPr="00FD5921" w14:paraId="53E586FE" w14:textId="77777777" w:rsidTr="00774149">
        <w:trPr>
          <w:trHeight w:val="57"/>
          <w:jc w:val="right"/>
        </w:trPr>
        <w:tc>
          <w:tcPr>
            <w:tcW w:w="1837" w:type="dxa"/>
            <w:tcBorders>
              <w:top w:val="single" w:sz="2" w:space="0" w:color="auto"/>
              <w:left w:val="nil"/>
              <w:bottom w:val="single" w:sz="2" w:space="0" w:color="auto"/>
              <w:right w:val="nil"/>
            </w:tcBorders>
            <w:shd w:val="clear" w:color="auto" w:fill="FFFFFF" w:themeFill="background1"/>
            <w:hideMark/>
          </w:tcPr>
          <w:p w14:paraId="18209ABD" w14:textId="77777777" w:rsidR="002A2EA6" w:rsidRPr="00FD5921" w:rsidRDefault="002A2EA6" w:rsidP="00593C5E">
            <w:pPr>
              <w:spacing w:before="120" w:after="120"/>
              <w:rPr>
                <w:b/>
                <w:sz w:val="18"/>
                <w:szCs w:val="18"/>
              </w:rPr>
            </w:pPr>
            <w:r w:rsidRPr="00FD5921">
              <w:rPr>
                <w:b/>
                <w:sz w:val="18"/>
                <w:szCs w:val="18"/>
              </w:rPr>
              <w:t>Article 4</w:t>
            </w:r>
          </w:p>
        </w:tc>
        <w:tc>
          <w:tcPr>
            <w:tcW w:w="2716" w:type="dxa"/>
            <w:tcBorders>
              <w:top w:val="single" w:sz="2" w:space="0" w:color="auto"/>
              <w:left w:val="nil"/>
              <w:bottom w:val="single" w:sz="2" w:space="0" w:color="auto"/>
              <w:right w:val="nil"/>
            </w:tcBorders>
            <w:shd w:val="clear" w:color="auto" w:fill="FFFFFF" w:themeFill="background1"/>
          </w:tcPr>
          <w:p w14:paraId="35DCF045" w14:textId="77777777" w:rsidR="002A2EA6" w:rsidRPr="00FD5921" w:rsidRDefault="002A2EA6" w:rsidP="00593C5E">
            <w:pPr>
              <w:spacing w:before="120" w:after="120"/>
              <w:rPr>
                <w:sz w:val="18"/>
                <w:szCs w:val="18"/>
              </w:rPr>
            </w:pPr>
          </w:p>
        </w:tc>
        <w:tc>
          <w:tcPr>
            <w:tcW w:w="1826" w:type="dxa"/>
            <w:tcBorders>
              <w:top w:val="single" w:sz="2" w:space="0" w:color="auto"/>
              <w:left w:val="nil"/>
              <w:bottom w:val="single" w:sz="2" w:space="0" w:color="auto"/>
              <w:right w:val="nil"/>
            </w:tcBorders>
            <w:shd w:val="clear" w:color="auto" w:fill="FFFFFF" w:themeFill="background1"/>
          </w:tcPr>
          <w:p w14:paraId="77FA55F6" w14:textId="77777777" w:rsidR="002A2EA6" w:rsidRPr="00FD5921" w:rsidRDefault="002A2EA6" w:rsidP="00593C5E">
            <w:pPr>
              <w:spacing w:before="120" w:after="120"/>
              <w:rPr>
                <w:sz w:val="18"/>
                <w:szCs w:val="18"/>
              </w:rPr>
            </w:pPr>
          </w:p>
        </w:tc>
        <w:tc>
          <w:tcPr>
            <w:tcW w:w="1928" w:type="dxa"/>
            <w:tcBorders>
              <w:top w:val="single" w:sz="2" w:space="0" w:color="auto"/>
              <w:left w:val="nil"/>
              <w:bottom w:val="single" w:sz="2" w:space="0" w:color="auto"/>
              <w:right w:val="nil"/>
            </w:tcBorders>
            <w:shd w:val="clear" w:color="auto" w:fill="FFFFFF" w:themeFill="background1"/>
          </w:tcPr>
          <w:p w14:paraId="59C0C8D5" w14:textId="77777777" w:rsidR="002A2EA6" w:rsidRPr="00FD5921" w:rsidRDefault="002A2EA6" w:rsidP="00593C5E">
            <w:pPr>
              <w:spacing w:before="120" w:after="120"/>
              <w:rPr>
                <w:sz w:val="18"/>
                <w:szCs w:val="18"/>
              </w:rPr>
            </w:pPr>
          </w:p>
        </w:tc>
      </w:tr>
      <w:tr w:rsidR="00FD5921" w:rsidRPr="00FD5921" w14:paraId="427119AA" w14:textId="77777777" w:rsidTr="00774149">
        <w:trPr>
          <w:trHeight w:val="624"/>
          <w:jc w:val="right"/>
        </w:trPr>
        <w:tc>
          <w:tcPr>
            <w:tcW w:w="1837" w:type="dxa"/>
            <w:tcBorders>
              <w:top w:val="single" w:sz="2" w:space="0" w:color="auto"/>
              <w:left w:val="nil"/>
              <w:bottom w:val="nil"/>
              <w:right w:val="nil"/>
            </w:tcBorders>
            <w:shd w:val="clear" w:color="auto" w:fill="FFFFFF" w:themeFill="background1"/>
            <w:hideMark/>
          </w:tcPr>
          <w:p w14:paraId="2778A288" w14:textId="0B548474" w:rsidR="002A2EA6" w:rsidRPr="00FD5921" w:rsidRDefault="002A2EA6" w:rsidP="002A2EA6">
            <w:pPr>
              <w:spacing w:before="20" w:after="20"/>
              <w:rPr>
                <w:sz w:val="18"/>
                <w:szCs w:val="18"/>
              </w:rPr>
            </w:pPr>
            <w:r w:rsidRPr="00FD5921">
              <w:rPr>
                <w:sz w:val="18"/>
                <w:szCs w:val="18"/>
              </w:rPr>
              <w:t>C3. Indicateur de méthode pour l</w:t>
            </w:r>
            <w:r w:rsidR="00CA4DAC">
              <w:rPr>
                <w:sz w:val="18"/>
                <w:szCs w:val="18"/>
              </w:rPr>
              <w:t>’</w:t>
            </w:r>
            <w:r w:rsidRPr="00FD5921">
              <w:rPr>
                <w:sz w:val="18"/>
                <w:szCs w:val="18"/>
              </w:rPr>
              <w:t>article 4</w:t>
            </w:r>
          </w:p>
        </w:tc>
        <w:tc>
          <w:tcPr>
            <w:tcW w:w="2716" w:type="dxa"/>
            <w:tcBorders>
              <w:top w:val="single" w:sz="2" w:space="0" w:color="auto"/>
              <w:left w:val="nil"/>
              <w:bottom w:val="nil"/>
              <w:right w:val="nil"/>
            </w:tcBorders>
            <w:shd w:val="clear" w:color="auto" w:fill="FFFFFF" w:themeFill="background1"/>
            <w:hideMark/>
          </w:tcPr>
          <w:p w14:paraId="59FFF03B" w14:textId="420335E4" w:rsidR="002A2EA6" w:rsidRPr="00FD5921" w:rsidRDefault="002A2EA6" w:rsidP="002A2EA6">
            <w:pPr>
              <w:spacing w:before="20" w:after="20"/>
              <w:rPr>
                <w:sz w:val="18"/>
                <w:szCs w:val="18"/>
              </w:rPr>
            </w:pPr>
            <w:r w:rsidRPr="00FD5921">
              <w:rPr>
                <w:sz w:val="18"/>
                <w:szCs w:val="18"/>
              </w:rPr>
              <w:t>Nombre de Parties ayant pris les mesures nécessaires pour empêcher la fabrication, l</w:t>
            </w:r>
            <w:r w:rsidR="00CA4DAC">
              <w:rPr>
                <w:sz w:val="18"/>
                <w:szCs w:val="18"/>
              </w:rPr>
              <w:t>’</w:t>
            </w:r>
            <w:r w:rsidRPr="00FD5921">
              <w:rPr>
                <w:sz w:val="18"/>
                <w:szCs w:val="18"/>
              </w:rPr>
              <w:t>exportation ou l</w:t>
            </w:r>
            <w:r w:rsidR="00CA4DAC">
              <w:rPr>
                <w:sz w:val="18"/>
                <w:szCs w:val="18"/>
              </w:rPr>
              <w:t>’</w:t>
            </w:r>
            <w:r w:rsidRPr="00FD5921">
              <w:rPr>
                <w:sz w:val="18"/>
                <w:szCs w:val="18"/>
              </w:rPr>
              <w:t>importation de produits contenant du mercure ajouté figurant dans la partie I de l</w:t>
            </w:r>
            <w:r w:rsidR="00CA4DAC">
              <w:rPr>
                <w:sz w:val="18"/>
                <w:szCs w:val="18"/>
              </w:rPr>
              <w:t>’</w:t>
            </w:r>
            <w:r w:rsidRPr="00FD5921">
              <w:rPr>
                <w:sz w:val="18"/>
                <w:szCs w:val="18"/>
              </w:rPr>
              <w:t>Annexe A</w:t>
            </w:r>
          </w:p>
        </w:tc>
        <w:tc>
          <w:tcPr>
            <w:tcW w:w="1826" w:type="dxa"/>
            <w:tcBorders>
              <w:top w:val="single" w:sz="2" w:space="0" w:color="auto"/>
              <w:left w:val="nil"/>
              <w:bottom w:val="nil"/>
              <w:right w:val="nil"/>
            </w:tcBorders>
            <w:shd w:val="clear" w:color="auto" w:fill="FFFFFF" w:themeFill="background1"/>
          </w:tcPr>
          <w:p w14:paraId="4AAFE372" w14:textId="34EE31FB" w:rsidR="002A2EA6" w:rsidRPr="00FD5921" w:rsidRDefault="002A2EA6" w:rsidP="002A2EA6">
            <w:pPr>
              <w:spacing w:before="20" w:after="20"/>
              <w:rPr>
                <w:sz w:val="18"/>
                <w:szCs w:val="18"/>
                <w:lang w:eastAsia="ja-JP"/>
              </w:rPr>
            </w:pPr>
            <w:r w:rsidRPr="00FD5921">
              <w:rPr>
                <w:iCs/>
                <w:sz w:val="18"/>
                <w:szCs w:val="18"/>
              </w:rPr>
              <w:t xml:space="preserve">- Rapports </w:t>
            </w:r>
            <w:r w:rsidRPr="00FD5921">
              <w:rPr>
                <w:sz w:val="18"/>
                <w:szCs w:val="18"/>
              </w:rPr>
              <w:t xml:space="preserve">établis </w:t>
            </w:r>
            <w:r w:rsidRPr="00FD5921">
              <w:rPr>
                <w:iCs/>
                <w:sz w:val="18"/>
                <w:szCs w:val="18"/>
              </w:rPr>
              <w:t>au titre de l</w:t>
            </w:r>
            <w:r w:rsidR="00CA4DAC">
              <w:rPr>
                <w:iCs/>
                <w:sz w:val="18"/>
                <w:szCs w:val="18"/>
              </w:rPr>
              <w:t>’</w:t>
            </w:r>
            <w:r w:rsidRPr="00FD5921">
              <w:rPr>
                <w:iCs/>
                <w:sz w:val="18"/>
                <w:szCs w:val="18"/>
              </w:rPr>
              <w:t>article 21</w:t>
            </w:r>
          </w:p>
        </w:tc>
        <w:tc>
          <w:tcPr>
            <w:tcW w:w="1928" w:type="dxa"/>
            <w:tcBorders>
              <w:top w:val="single" w:sz="2" w:space="0" w:color="auto"/>
              <w:left w:val="nil"/>
              <w:bottom w:val="nil"/>
              <w:right w:val="nil"/>
            </w:tcBorders>
            <w:shd w:val="clear" w:color="auto" w:fill="FFFFFF" w:themeFill="background1"/>
            <w:hideMark/>
          </w:tcPr>
          <w:p w14:paraId="58B5685A" w14:textId="77777777" w:rsidR="002A2EA6" w:rsidRPr="00FD5921" w:rsidRDefault="002A2EA6" w:rsidP="002A2EA6">
            <w:pPr>
              <w:spacing w:before="20" w:after="20"/>
              <w:rPr>
                <w:sz w:val="18"/>
                <w:szCs w:val="18"/>
              </w:rPr>
            </w:pPr>
            <w:r w:rsidRPr="00FD5921">
              <w:rPr>
                <w:sz w:val="18"/>
                <w:szCs w:val="18"/>
              </w:rPr>
              <w:t>Nombre dans la première évaluation</w:t>
            </w:r>
          </w:p>
        </w:tc>
      </w:tr>
      <w:tr w:rsidR="00FD5921" w:rsidRPr="00FD5921" w14:paraId="1AABB8CB" w14:textId="77777777" w:rsidTr="00774149">
        <w:trPr>
          <w:trHeight w:val="283"/>
          <w:jc w:val="right"/>
        </w:trPr>
        <w:tc>
          <w:tcPr>
            <w:tcW w:w="1837" w:type="dxa"/>
            <w:tcBorders>
              <w:top w:val="nil"/>
              <w:left w:val="nil"/>
              <w:bottom w:val="nil"/>
              <w:right w:val="nil"/>
            </w:tcBorders>
            <w:shd w:val="clear" w:color="auto" w:fill="FFFFFF" w:themeFill="background1"/>
            <w:hideMark/>
          </w:tcPr>
          <w:p w14:paraId="07F267DA" w14:textId="7260EA4C" w:rsidR="002A2EA6" w:rsidRPr="00FD5921" w:rsidRDefault="002A2EA6" w:rsidP="002A2EA6">
            <w:pPr>
              <w:spacing w:before="20" w:after="20"/>
              <w:rPr>
                <w:sz w:val="18"/>
                <w:szCs w:val="18"/>
              </w:rPr>
            </w:pPr>
            <w:r w:rsidRPr="00FD5921">
              <w:rPr>
                <w:sz w:val="18"/>
                <w:szCs w:val="18"/>
              </w:rPr>
              <w:t>C4. Indicateur de méthode pour l</w:t>
            </w:r>
            <w:r w:rsidR="00CA4DAC">
              <w:rPr>
                <w:sz w:val="18"/>
                <w:szCs w:val="18"/>
              </w:rPr>
              <w:t>’</w:t>
            </w:r>
            <w:r w:rsidRPr="00FD5921">
              <w:rPr>
                <w:sz w:val="18"/>
                <w:szCs w:val="18"/>
              </w:rPr>
              <w:t>article 4</w:t>
            </w:r>
          </w:p>
        </w:tc>
        <w:tc>
          <w:tcPr>
            <w:tcW w:w="2716" w:type="dxa"/>
            <w:tcBorders>
              <w:top w:val="nil"/>
              <w:left w:val="nil"/>
              <w:bottom w:val="nil"/>
              <w:right w:val="nil"/>
            </w:tcBorders>
            <w:shd w:val="clear" w:color="auto" w:fill="FFFFFF" w:themeFill="background1"/>
            <w:hideMark/>
          </w:tcPr>
          <w:p w14:paraId="7986C88B" w14:textId="77777777" w:rsidR="002A2EA6" w:rsidRPr="00FD5921" w:rsidRDefault="002A2EA6" w:rsidP="002A2EA6">
            <w:pPr>
              <w:spacing w:before="20" w:after="20"/>
              <w:rPr>
                <w:sz w:val="18"/>
                <w:szCs w:val="18"/>
              </w:rPr>
            </w:pPr>
            <w:r w:rsidRPr="00FD5921">
              <w:rPr>
                <w:sz w:val="18"/>
                <w:szCs w:val="18"/>
              </w:rPr>
              <w:t>Nombre de dérogations par catégorie de produits qui sont toujours en vigueur</w:t>
            </w:r>
          </w:p>
        </w:tc>
        <w:tc>
          <w:tcPr>
            <w:tcW w:w="1826" w:type="dxa"/>
            <w:tcBorders>
              <w:top w:val="nil"/>
              <w:left w:val="nil"/>
              <w:bottom w:val="nil"/>
              <w:right w:val="nil"/>
            </w:tcBorders>
            <w:shd w:val="clear" w:color="auto" w:fill="FFFFFF" w:themeFill="background1"/>
            <w:hideMark/>
          </w:tcPr>
          <w:p w14:paraId="42C87F19" w14:textId="77777777" w:rsidR="002A2EA6" w:rsidRPr="00FD5921" w:rsidRDefault="002A2EA6" w:rsidP="002A2EA6">
            <w:pPr>
              <w:spacing w:before="20" w:after="20"/>
              <w:rPr>
                <w:rFonts w:eastAsia="Roboto"/>
                <w:sz w:val="18"/>
                <w:szCs w:val="18"/>
              </w:rPr>
            </w:pPr>
            <w:r w:rsidRPr="00FD5921">
              <w:rPr>
                <w:sz w:val="18"/>
                <w:szCs w:val="18"/>
              </w:rPr>
              <w:t>- Registre des dérogations</w:t>
            </w:r>
          </w:p>
        </w:tc>
        <w:tc>
          <w:tcPr>
            <w:tcW w:w="1928" w:type="dxa"/>
            <w:tcBorders>
              <w:top w:val="nil"/>
              <w:left w:val="nil"/>
              <w:bottom w:val="nil"/>
              <w:right w:val="nil"/>
            </w:tcBorders>
            <w:shd w:val="clear" w:color="auto" w:fill="FFFFFF" w:themeFill="background1"/>
            <w:hideMark/>
          </w:tcPr>
          <w:p w14:paraId="20C0ACA3" w14:textId="77777777" w:rsidR="002A2EA6" w:rsidRPr="00FD5921" w:rsidRDefault="002A2EA6" w:rsidP="002A2EA6">
            <w:pPr>
              <w:spacing w:before="20" w:after="20"/>
              <w:rPr>
                <w:sz w:val="18"/>
                <w:szCs w:val="18"/>
              </w:rPr>
            </w:pPr>
            <w:r w:rsidRPr="00FD5921">
              <w:rPr>
                <w:sz w:val="18"/>
                <w:szCs w:val="18"/>
              </w:rPr>
              <w:t>Nombre dans la première évaluation</w:t>
            </w:r>
          </w:p>
        </w:tc>
      </w:tr>
      <w:tr w:rsidR="00FD5921" w:rsidRPr="00FD5921" w14:paraId="146802C9" w14:textId="77777777" w:rsidTr="00774149">
        <w:trPr>
          <w:trHeight w:val="454"/>
          <w:jc w:val="right"/>
        </w:trPr>
        <w:tc>
          <w:tcPr>
            <w:tcW w:w="1837" w:type="dxa"/>
            <w:tcBorders>
              <w:top w:val="nil"/>
              <w:left w:val="nil"/>
              <w:bottom w:val="nil"/>
              <w:right w:val="nil"/>
            </w:tcBorders>
            <w:shd w:val="clear" w:color="auto" w:fill="FFFFFF" w:themeFill="background1"/>
            <w:hideMark/>
          </w:tcPr>
          <w:p w14:paraId="48DCF37A" w14:textId="00D9023B" w:rsidR="002A2EA6" w:rsidRPr="00FD5921" w:rsidRDefault="002A2EA6" w:rsidP="002A2EA6">
            <w:pPr>
              <w:spacing w:before="20" w:after="20"/>
              <w:rPr>
                <w:sz w:val="18"/>
                <w:szCs w:val="18"/>
              </w:rPr>
            </w:pPr>
            <w:r w:rsidRPr="00FD5921">
              <w:rPr>
                <w:sz w:val="18"/>
                <w:szCs w:val="18"/>
              </w:rPr>
              <w:t>C5. Indicateur de méthode pour l</w:t>
            </w:r>
            <w:r w:rsidR="00CA4DAC">
              <w:rPr>
                <w:sz w:val="18"/>
                <w:szCs w:val="18"/>
              </w:rPr>
              <w:t>’</w:t>
            </w:r>
            <w:r w:rsidRPr="00FD5921">
              <w:rPr>
                <w:sz w:val="18"/>
                <w:szCs w:val="18"/>
              </w:rPr>
              <w:t>article 4</w:t>
            </w:r>
          </w:p>
        </w:tc>
        <w:tc>
          <w:tcPr>
            <w:tcW w:w="2716" w:type="dxa"/>
            <w:tcBorders>
              <w:top w:val="nil"/>
              <w:left w:val="nil"/>
              <w:bottom w:val="nil"/>
              <w:right w:val="nil"/>
            </w:tcBorders>
            <w:shd w:val="clear" w:color="auto" w:fill="FFFFFF" w:themeFill="background1"/>
            <w:hideMark/>
          </w:tcPr>
          <w:p w14:paraId="5F755DD8" w14:textId="01B4E355" w:rsidR="002A2EA6" w:rsidRPr="00FD5921" w:rsidRDefault="002A2EA6" w:rsidP="002A2EA6">
            <w:pPr>
              <w:spacing w:before="20" w:after="20"/>
              <w:rPr>
                <w:sz w:val="18"/>
                <w:szCs w:val="18"/>
              </w:rPr>
            </w:pPr>
            <w:r w:rsidRPr="00FD5921">
              <w:rPr>
                <w:sz w:val="18"/>
                <w:szCs w:val="18"/>
              </w:rPr>
              <w:t>Nombre de Parties ayant pris deux mesures ou plus pour les produits contenant du mercure ajouté figurant dans la partie II de l</w:t>
            </w:r>
            <w:r w:rsidR="00CA4DAC">
              <w:rPr>
                <w:sz w:val="18"/>
                <w:szCs w:val="18"/>
              </w:rPr>
              <w:t>’</w:t>
            </w:r>
            <w:r w:rsidRPr="00FD5921">
              <w:rPr>
                <w:sz w:val="18"/>
                <w:szCs w:val="18"/>
              </w:rPr>
              <w:t>Annexe A</w:t>
            </w:r>
          </w:p>
        </w:tc>
        <w:tc>
          <w:tcPr>
            <w:tcW w:w="1826" w:type="dxa"/>
            <w:tcBorders>
              <w:top w:val="nil"/>
              <w:left w:val="nil"/>
              <w:bottom w:val="nil"/>
              <w:right w:val="nil"/>
            </w:tcBorders>
            <w:shd w:val="clear" w:color="auto" w:fill="FFFFFF" w:themeFill="background1"/>
            <w:hideMark/>
          </w:tcPr>
          <w:p w14:paraId="349E0F18" w14:textId="7A09CA7E" w:rsidR="002A2EA6" w:rsidRPr="00FD5921" w:rsidRDefault="002A2EA6" w:rsidP="002A2EA6">
            <w:pPr>
              <w:spacing w:before="20" w:after="20"/>
              <w:rPr>
                <w:sz w:val="18"/>
                <w:szCs w:val="18"/>
              </w:rPr>
            </w:pPr>
            <w:r w:rsidRPr="00FD5921">
              <w:rPr>
                <w:iCs/>
                <w:sz w:val="18"/>
                <w:szCs w:val="18"/>
              </w:rPr>
              <w:t xml:space="preserve">- Rapports </w:t>
            </w:r>
            <w:r w:rsidRPr="00FD5921">
              <w:rPr>
                <w:sz w:val="18"/>
                <w:szCs w:val="18"/>
              </w:rPr>
              <w:t xml:space="preserve">établis </w:t>
            </w:r>
            <w:r w:rsidRPr="00FD5921">
              <w:rPr>
                <w:iCs/>
                <w:sz w:val="18"/>
                <w:szCs w:val="18"/>
              </w:rPr>
              <w:t>au titre de l</w:t>
            </w:r>
            <w:r w:rsidR="00CA4DAC">
              <w:rPr>
                <w:iCs/>
                <w:sz w:val="18"/>
                <w:szCs w:val="18"/>
              </w:rPr>
              <w:t>’</w:t>
            </w:r>
            <w:r w:rsidRPr="00FD5921">
              <w:rPr>
                <w:iCs/>
                <w:sz w:val="18"/>
                <w:szCs w:val="18"/>
              </w:rPr>
              <w:t>article 21</w:t>
            </w:r>
          </w:p>
        </w:tc>
        <w:tc>
          <w:tcPr>
            <w:tcW w:w="1928" w:type="dxa"/>
            <w:tcBorders>
              <w:top w:val="nil"/>
              <w:left w:val="nil"/>
              <w:bottom w:val="nil"/>
              <w:right w:val="nil"/>
            </w:tcBorders>
            <w:shd w:val="clear" w:color="auto" w:fill="FFFFFF" w:themeFill="background1"/>
            <w:hideMark/>
          </w:tcPr>
          <w:p w14:paraId="2EB5ED94" w14:textId="77777777" w:rsidR="002A2EA6" w:rsidRPr="00FD5921" w:rsidRDefault="002A2EA6" w:rsidP="002A2EA6">
            <w:pPr>
              <w:spacing w:before="20" w:after="20"/>
              <w:rPr>
                <w:sz w:val="18"/>
                <w:szCs w:val="18"/>
              </w:rPr>
            </w:pPr>
            <w:r w:rsidRPr="00FD5921">
              <w:rPr>
                <w:sz w:val="18"/>
                <w:szCs w:val="18"/>
              </w:rPr>
              <w:t>Nombre dans la première évaluation</w:t>
            </w:r>
          </w:p>
        </w:tc>
      </w:tr>
      <w:tr w:rsidR="00FD5921" w:rsidRPr="00FD5921" w14:paraId="1D585DA1" w14:textId="77777777" w:rsidTr="00774149">
        <w:trPr>
          <w:trHeight w:val="624"/>
          <w:jc w:val="right"/>
        </w:trPr>
        <w:tc>
          <w:tcPr>
            <w:tcW w:w="1837" w:type="dxa"/>
            <w:tcBorders>
              <w:top w:val="nil"/>
              <w:left w:val="nil"/>
              <w:bottom w:val="single" w:sz="2" w:space="0" w:color="auto"/>
              <w:right w:val="nil"/>
            </w:tcBorders>
            <w:shd w:val="clear" w:color="auto" w:fill="FFFFFF" w:themeFill="background1"/>
            <w:hideMark/>
          </w:tcPr>
          <w:p w14:paraId="753F9F73" w14:textId="717C00FF" w:rsidR="002A2EA6" w:rsidRPr="00FD5921" w:rsidRDefault="002A2EA6" w:rsidP="002A2EA6">
            <w:pPr>
              <w:tabs>
                <w:tab w:val="left" w:pos="1163"/>
              </w:tabs>
              <w:spacing w:before="20" w:after="20"/>
              <w:rPr>
                <w:sz w:val="18"/>
                <w:szCs w:val="18"/>
              </w:rPr>
            </w:pPr>
            <w:r w:rsidRPr="00FD5921">
              <w:rPr>
                <w:sz w:val="18"/>
                <w:szCs w:val="18"/>
              </w:rPr>
              <w:t>C6. Indicateur de résultat supplémentaire pour l</w:t>
            </w:r>
            <w:r w:rsidR="00CA4DAC">
              <w:rPr>
                <w:sz w:val="18"/>
                <w:szCs w:val="18"/>
              </w:rPr>
              <w:t>’</w:t>
            </w:r>
            <w:r w:rsidRPr="00FD5921">
              <w:rPr>
                <w:sz w:val="18"/>
                <w:szCs w:val="18"/>
              </w:rPr>
              <w:t>article 4</w:t>
            </w:r>
          </w:p>
        </w:tc>
        <w:tc>
          <w:tcPr>
            <w:tcW w:w="2716" w:type="dxa"/>
            <w:tcBorders>
              <w:top w:val="nil"/>
              <w:left w:val="nil"/>
              <w:bottom w:val="single" w:sz="2" w:space="0" w:color="auto"/>
              <w:right w:val="nil"/>
            </w:tcBorders>
            <w:shd w:val="clear" w:color="auto" w:fill="FFFFFF" w:themeFill="background1"/>
            <w:hideMark/>
          </w:tcPr>
          <w:p w14:paraId="24D4F517" w14:textId="3B7B5B33" w:rsidR="002A2EA6" w:rsidRPr="00FD5921" w:rsidRDefault="002A2EA6" w:rsidP="002A2EA6">
            <w:pPr>
              <w:tabs>
                <w:tab w:val="left" w:pos="1163"/>
              </w:tabs>
              <w:spacing w:before="20" w:after="20"/>
              <w:rPr>
                <w:rFonts w:eastAsia="Roboto"/>
                <w:sz w:val="18"/>
                <w:szCs w:val="18"/>
              </w:rPr>
            </w:pPr>
            <w:r w:rsidRPr="00FD5921">
              <w:rPr>
                <w:sz w:val="18"/>
                <w:szCs w:val="18"/>
              </w:rPr>
              <w:t>Volume, en tonnes de produits contenant du mercure ajouté a) importés et b) exportés, en unités par an, pour chaque catégorie de produits de la partie I de l</w:t>
            </w:r>
            <w:r w:rsidR="00CA4DAC">
              <w:rPr>
                <w:sz w:val="18"/>
                <w:szCs w:val="18"/>
              </w:rPr>
              <w:t>’</w:t>
            </w:r>
            <w:r w:rsidRPr="00FD5921">
              <w:rPr>
                <w:sz w:val="18"/>
                <w:szCs w:val="18"/>
              </w:rPr>
              <w:t>Annexe A</w:t>
            </w:r>
          </w:p>
        </w:tc>
        <w:tc>
          <w:tcPr>
            <w:tcW w:w="1826" w:type="dxa"/>
            <w:tcBorders>
              <w:top w:val="nil"/>
              <w:left w:val="nil"/>
              <w:bottom w:val="single" w:sz="2" w:space="0" w:color="auto"/>
              <w:right w:val="nil"/>
            </w:tcBorders>
            <w:shd w:val="clear" w:color="auto" w:fill="FFFFFF" w:themeFill="background1"/>
            <w:hideMark/>
          </w:tcPr>
          <w:p w14:paraId="18CB4601" w14:textId="77777777" w:rsidR="002A2EA6" w:rsidRPr="00FD5921" w:rsidRDefault="002A2EA6" w:rsidP="002A2EA6">
            <w:pPr>
              <w:tabs>
                <w:tab w:val="left" w:pos="1163"/>
              </w:tabs>
              <w:spacing w:before="20" w:after="20"/>
              <w:rPr>
                <w:rFonts w:eastAsia="Roboto"/>
                <w:sz w:val="18"/>
                <w:szCs w:val="18"/>
              </w:rPr>
            </w:pPr>
            <w:r w:rsidRPr="00FD5921">
              <w:rPr>
                <w:sz w:val="18"/>
                <w:szCs w:val="18"/>
              </w:rPr>
              <w:t>- Données commerciales et douanières</w:t>
            </w:r>
          </w:p>
        </w:tc>
        <w:tc>
          <w:tcPr>
            <w:tcW w:w="1928" w:type="dxa"/>
            <w:tcBorders>
              <w:top w:val="nil"/>
              <w:left w:val="nil"/>
              <w:bottom w:val="single" w:sz="2" w:space="0" w:color="auto"/>
              <w:right w:val="nil"/>
            </w:tcBorders>
            <w:shd w:val="clear" w:color="auto" w:fill="FFFFFF" w:themeFill="background1"/>
            <w:hideMark/>
          </w:tcPr>
          <w:p w14:paraId="49495540" w14:textId="77777777" w:rsidR="002A2EA6" w:rsidRPr="00FD5921" w:rsidRDefault="002A2EA6" w:rsidP="002A2EA6">
            <w:pPr>
              <w:tabs>
                <w:tab w:val="left" w:pos="1163"/>
              </w:tabs>
              <w:spacing w:before="20" w:after="20"/>
              <w:rPr>
                <w:rFonts w:eastAsia="Roboto"/>
                <w:sz w:val="18"/>
                <w:szCs w:val="18"/>
              </w:rPr>
            </w:pPr>
            <w:r w:rsidRPr="00FD5921">
              <w:rPr>
                <w:sz w:val="18"/>
                <w:szCs w:val="18"/>
              </w:rPr>
              <w:t>Quantité dans la première évaluation</w:t>
            </w:r>
          </w:p>
        </w:tc>
      </w:tr>
      <w:tr w:rsidR="00FD5921" w:rsidRPr="00FD5921" w14:paraId="148F17E4" w14:textId="77777777" w:rsidTr="00774149">
        <w:trPr>
          <w:trHeight w:val="57"/>
          <w:jc w:val="right"/>
        </w:trPr>
        <w:tc>
          <w:tcPr>
            <w:tcW w:w="1837" w:type="dxa"/>
            <w:tcBorders>
              <w:top w:val="single" w:sz="2" w:space="0" w:color="auto"/>
              <w:left w:val="nil"/>
              <w:bottom w:val="single" w:sz="2" w:space="0" w:color="auto"/>
              <w:right w:val="nil"/>
            </w:tcBorders>
            <w:shd w:val="clear" w:color="auto" w:fill="FFFFFF" w:themeFill="background1"/>
            <w:hideMark/>
          </w:tcPr>
          <w:p w14:paraId="620CBA1C" w14:textId="77777777" w:rsidR="002A2EA6" w:rsidRPr="00FD5921" w:rsidRDefault="002A2EA6" w:rsidP="00593C5E">
            <w:pPr>
              <w:tabs>
                <w:tab w:val="left" w:pos="1163"/>
              </w:tabs>
              <w:spacing w:before="120" w:after="120"/>
              <w:rPr>
                <w:b/>
                <w:sz w:val="18"/>
                <w:szCs w:val="18"/>
              </w:rPr>
            </w:pPr>
            <w:r w:rsidRPr="00FD5921">
              <w:rPr>
                <w:b/>
                <w:sz w:val="18"/>
                <w:szCs w:val="18"/>
              </w:rPr>
              <w:t>Article 5</w:t>
            </w:r>
          </w:p>
        </w:tc>
        <w:tc>
          <w:tcPr>
            <w:tcW w:w="2716" w:type="dxa"/>
            <w:tcBorders>
              <w:top w:val="single" w:sz="2" w:space="0" w:color="auto"/>
              <w:left w:val="nil"/>
              <w:bottom w:val="single" w:sz="2" w:space="0" w:color="auto"/>
              <w:right w:val="nil"/>
            </w:tcBorders>
            <w:shd w:val="clear" w:color="auto" w:fill="FFFFFF" w:themeFill="background1"/>
          </w:tcPr>
          <w:p w14:paraId="1D4CAF19" w14:textId="77777777" w:rsidR="002A2EA6" w:rsidRPr="00FD5921" w:rsidRDefault="002A2EA6" w:rsidP="00593C5E">
            <w:pPr>
              <w:tabs>
                <w:tab w:val="left" w:pos="1163"/>
              </w:tabs>
              <w:spacing w:before="120" w:after="120"/>
              <w:rPr>
                <w:rFonts w:eastAsia="Roboto"/>
                <w:sz w:val="18"/>
                <w:szCs w:val="18"/>
              </w:rPr>
            </w:pPr>
          </w:p>
        </w:tc>
        <w:tc>
          <w:tcPr>
            <w:tcW w:w="1826" w:type="dxa"/>
            <w:tcBorders>
              <w:top w:val="single" w:sz="2" w:space="0" w:color="auto"/>
              <w:left w:val="nil"/>
              <w:bottom w:val="single" w:sz="2" w:space="0" w:color="auto"/>
              <w:right w:val="nil"/>
            </w:tcBorders>
            <w:shd w:val="clear" w:color="auto" w:fill="FFFFFF" w:themeFill="background1"/>
          </w:tcPr>
          <w:p w14:paraId="21E60D47" w14:textId="77777777" w:rsidR="002A2EA6" w:rsidRPr="00FD5921" w:rsidRDefault="002A2EA6" w:rsidP="00593C5E">
            <w:pPr>
              <w:tabs>
                <w:tab w:val="left" w:pos="1163"/>
              </w:tabs>
              <w:spacing w:before="120" w:after="120"/>
              <w:rPr>
                <w:rFonts w:eastAsia="Roboto"/>
                <w:sz w:val="18"/>
                <w:szCs w:val="18"/>
              </w:rPr>
            </w:pPr>
          </w:p>
        </w:tc>
        <w:tc>
          <w:tcPr>
            <w:tcW w:w="1928" w:type="dxa"/>
            <w:tcBorders>
              <w:top w:val="single" w:sz="2" w:space="0" w:color="auto"/>
              <w:left w:val="nil"/>
              <w:bottom w:val="single" w:sz="2" w:space="0" w:color="auto"/>
              <w:right w:val="nil"/>
            </w:tcBorders>
            <w:shd w:val="clear" w:color="auto" w:fill="FFFFFF" w:themeFill="background1"/>
          </w:tcPr>
          <w:p w14:paraId="1198234E" w14:textId="77777777" w:rsidR="002A2EA6" w:rsidRPr="00FD5921" w:rsidRDefault="002A2EA6" w:rsidP="00593C5E">
            <w:pPr>
              <w:tabs>
                <w:tab w:val="left" w:pos="1163"/>
              </w:tabs>
              <w:spacing w:before="120" w:after="120"/>
              <w:rPr>
                <w:rFonts w:eastAsia="Roboto"/>
                <w:sz w:val="18"/>
                <w:szCs w:val="18"/>
              </w:rPr>
            </w:pPr>
          </w:p>
        </w:tc>
      </w:tr>
      <w:tr w:rsidR="00FD5921" w:rsidRPr="00FD5921" w14:paraId="7F545636" w14:textId="77777777" w:rsidTr="00774149">
        <w:trPr>
          <w:trHeight w:val="454"/>
          <w:jc w:val="right"/>
        </w:trPr>
        <w:tc>
          <w:tcPr>
            <w:tcW w:w="1837" w:type="dxa"/>
            <w:tcBorders>
              <w:top w:val="single" w:sz="2" w:space="0" w:color="auto"/>
              <w:left w:val="nil"/>
              <w:bottom w:val="nil"/>
              <w:right w:val="nil"/>
            </w:tcBorders>
            <w:shd w:val="clear" w:color="auto" w:fill="FFFFFF" w:themeFill="background1"/>
            <w:hideMark/>
          </w:tcPr>
          <w:p w14:paraId="50945447" w14:textId="23986B5F" w:rsidR="002A2EA6" w:rsidRPr="00FD5921" w:rsidRDefault="002A2EA6" w:rsidP="002A2EA6">
            <w:pPr>
              <w:tabs>
                <w:tab w:val="left" w:pos="1163"/>
              </w:tabs>
              <w:spacing w:before="20" w:after="20"/>
              <w:rPr>
                <w:sz w:val="18"/>
                <w:szCs w:val="18"/>
              </w:rPr>
            </w:pPr>
            <w:r w:rsidRPr="00FD5921">
              <w:rPr>
                <w:sz w:val="18"/>
                <w:szCs w:val="18"/>
              </w:rPr>
              <w:t>C7. Indicateur de méthode pour l</w:t>
            </w:r>
            <w:r w:rsidR="00CA4DAC">
              <w:rPr>
                <w:sz w:val="18"/>
                <w:szCs w:val="18"/>
              </w:rPr>
              <w:t>’</w:t>
            </w:r>
            <w:r w:rsidRPr="00FD5921">
              <w:rPr>
                <w:sz w:val="18"/>
                <w:szCs w:val="18"/>
              </w:rPr>
              <w:t>article 5</w:t>
            </w:r>
          </w:p>
        </w:tc>
        <w:tc>
          <w:tcPr>
            <w:tcW w:w="2716" w:type="dxa"/>
            <w:tcBorders>
              <w:top w:val="single" w:sz="2" w:space="0" w:color="auto"/>
              <w:left w:val="nil"/>
              <w:bottom w:val="nil"/>
              <w:right w:val="nil"/>
            </w:tcBorders>
            <w:shd w:val="clear" w:color="auto" w:fill="FFFFFF" w:themeFill="background1"/>
            <w:hideMark/>
          </w:tcPr>
          <w:p w14:paraId="65720873" w14:textId="44065BBA" w:rsidR="002A2EA6" w:rsidRPr="00FD5921" w:rsidRDefault="002A2EA6" w:rsidP="002A2EA6">
            <w:pPr>
              <w:tabs>
                <w:tab w:val="left" w:pos="1163"/>
              </w:tabs>
              <w:spacing w:before="20" w:after="20"/>
              <w:rPr>
                <w:rFonts w:eastAsia="Roboto"/>
                <w:sz w:val="18"/>
                <w:szCs w:val="18"/>
              </w:rPr>
            </w:pPr>
            <w:r w:rsidRPr="00FD5921">
              <w:rPr>
                <w:sz w:val="18"/>
                <w:szCs w:val="18"/>
              </w:rPr>
              <w:t>Nombre de Parties bénéficiant de dérogations pour les processus visés à la partie I de l</w:t>
            </w:r>
            <w:r w:rsidR="00CA4DAC">
              <w:rPr>
                <w:sz w:val="18"/>
                <w:szCs w:val="18"/>
              </w:rPr>
              <w:t>’</w:t>
            </w:r>
            <w:r w:rsidRPr="00FD5921">
              <w:rPr>
                <w:sz w:val="18"/>
                <w:szCs w:val="18"/>
              </w:rPr>
              <w:t>Annexe B qui sont toujours en vigueur</w:t>
            </w:r>
          </w:p>
        </w:tc>
        <w:tc>
          <w:tcPr>
            <w:tcW w:w="1826" w:type="dxa"/>
            <w:tcBorders>
              <w:top w:val="single" w:sz="2" w:space="0" w:color="auto"/>
              <w:left w:val="nil"/>
              <w:bottom w:val="nil"/>
              <w:right w:val="nil"/>
            </w:tcBorders>
            <w:shd w:val="clear" w:color="auto" w:fill="FFFFFF" w:themeFill="background1"/>
            <w:hideMark/>
          </w:tcPr>
          <w:p w14:paraId="62BB09C1" w14:textId="77777777" w:rsidR="002A2EA6" w:rsidRPr="00FD5921" w:rsidRDefault="002A2EA6" w:rsidP="002A2EA6">
            <w:pPr>
              <w:tabs>
                <w:tab w:val="left" w:pos="1163"/>
              </w:tabs>
              <w:spacing w:before="20" w:after="20"/>
              <w:rPr>
                <w:rFonts w:eastAsia="Roboto"/>
                <w:sz w:val="18"/>
                <w:szCs w:val="18"/>
              </w:rPr>
            </w:pPr>
            <w:r w:rsidRPr="00FD5921">
              <w:rPr>
                <w:sz w:val="18"/>
                <w:szCs w:val="18"/>
              </w:rPr>
              <w:t>- Registre des dérogations</w:t>
            </w:r>
          </w:p>
        </w:tc>
        <w:tc>
          <w:tcPr>
            <w:tcW w:w="1928" w:type="dxa"/>
            <w:tcBorders>
              <w:top w:val="single" w:sz="2" w:space="0" w:color="auto"/>
              <w:left w:val="nil"/>
              <w:bottom w:val="nil"/>
              <w:right w:val="nil"/>
            </w:tcBorders>
            <w:shd w:val="clear" w:color="auto" w:fill="FFFFFF" w:themeFill="background1"/>
            <w:hideMark/>
          </w:tcPr>
          <w:p w14:paraId="3C72131F" w14:textId="77777777" w:rsidR="002A2EA6" w:rsidRPr="00FD5921" w:rsidRDefault="002A2EA6" w:rsidP="002A2EA6">
            <w:pPr>
              <w:tabs>
                <w:tab w:val="left" w:pos="1163"/>
              </w:tabs>
              <w:spacing w:before="20" w:after="20"/>
              <w:rPr>
                <w:rFonts w:eastAsia="Roboto"/>
                <w:sz w:val="18"/>
                <w:szCs w:val="18"/>
              </w:rPr>
            </w:pPr>
            <w:r w:rsidRPr="00FD5921">
              <w:rPr>
                <w:sz w:val="18"/>
                <w:szCs w:val="18"/>
              </w:rPr>
              <w:t>Nombre dans la première évaluation</w:t>
            </w:r>
          </w:p>
        </w:tc>
      </w:tr>
      <w:tr w:rsidR="00FD5921" w:rsidRPr="00FD5921" w14:paraId="4B148B0E" w14:textId="77777777" w:rsidTr="00774149">
        <w:trPr>
          <w:trHeight w:val="624"/>
          <w:jc w:val="right"/>
        </w:trPr>
        <w:tc>
          <w:tcPr>
            <w:tcW w:w="1837" w:type="dxa"/>
            <w:tcBorders>
              <w:top w:val="nil"/>
              <w:left w:val="nil"/>
              <w:bottom w:val="nil"/>
              <w:right w:val="nil"/>
            </w:tcBorders>
            <w:shd w:val="clear" w:color="auto" w:fill="FFFFFF" w:themeFill="background1"/>
            <w:hideMark/>
          </w:tcPr>
          <w:p w14:paraId="617C6088" w14:textId="0295E0D0" w:rsidR="002A2EA6" w:rsidRPr="00FD5921" w:rsidRDefault="002A2EA6" w:rsidP="002A2EA6">
            <w:pPr>
              <w:tabs>
                <w:tab w:val="left" w:pos="1163"/>
              </w:tabs>
              <w:spacing w:before="20" w:after="20"/>
              <w:rPr>
                <w:sz w:val="18"/>
                <w:szCs w:val="18"/>
              </w:rPr>
            </w:pPr>
            <w:r w:rsidRPr="00FD5921">
              <w:rPr>
                <w:sz w:val="18"/>
                <w:szCs w:val="18"/>
              </w:rPr>
              <w:lastRenderedPageBreak/>
              <w:t>C8. Indicateur de méthode pour l</w:t>
            </w:r>
            <w:r w:rsidR="00CA4DAC">
              <w:rPr>
                <w:sz w:val="18"/>
                <w:szCs w:val="18"/>
              </w:rPr>
              <w:t>’</w:t>
            </w:r>
            <w:r w:rsidRPr="00FD5921">
              <w:rPr>
                <w:sz w:val="18"/>
                <w:szCs w:val="18"/>
              </w:rPr>
              <w:t>article 5</w:t>
            </w:r>
          </w:p>
        </w:tc>
        <w:tc>
          <w:tcPr>
            <w:tcW w:w="2716" w:type="dxa"/>
            <w:tcBorders>
              <w:top w:val="nil"/>
              <w:left w:val="nil"/>
              <w:bottom w:val="nil"/>
              <w:right w:val="nil"/>
            </w:tcBorders>
            <w:shd w:val="clear" w:color="auto" w:fill="FFFFFF" w:themeFill="background1"/>
            <w:hideMark/>
          </w:tcPr>
          <w:p w14:paraId="7B90389D" w14:textId="27A3DB77" w:rsidR="002A2EA6" w:rsidRPr="00FD5921" w:rsidRDefault="002A2EA6" w:rsidP="002A2EA6">
            <w:pPr>
              <w:tabs>
                <w:tab w:val="left" w:pos="1163"/>
              </w:tabs>
              <w:spacing w:before="20" w:after="20"/>
              <w:rPr>
                <w:sz w:val="18"/>
                <w:szCs w:val="18"/>
              </w:rPr>
            </w:pPr>
            <w:r w:rsidRPr="00FD5921">
              <w:rPr>
                <w:sz w:val="18"/>
                <w:szCs w:val="18"/>
              </w:rPr>
              <w:t>Nombre de Parties ayant pris des mesures pour interdire l</w:t>
            </w:r>
            <w:r w:rsidR="00CA4DAC">
              <w:rPr>
                <w:sz w:val="18"/>
                <w:szCs w:val="18"/>
              </w:rPr>
              <w:t>’</w:t>
            </w:r>
            <w:r w:rsidRPr="00FD5921">
              <w:rPr>
                <w:sz w:val="18"/>
                <w:szCs w:val="18"/>
              </w:rPr>
              <w:t>utilisation du mercure ou de ses composés dans les procédés de fabrication figurant dans la partie I de l</w:t>
            </w:r>
            <w:r w:rsidR="00CA4DAC">
              <w:rPr>
                <w:sz w:val="18"/>
                <w:szCs w:val="18"/>
              </w:rPr>
              <w:t>’</w:t>
            </w:r>
            <w:r w:rsidRPr="00FD5921">
              <w:rPr>
                <w:sz w:val="18"/>
                <w:szCs w:val="18"/>
              </w:rPr>
              <w:t>Annexe B</w:t>
            </w:r>
          </w:p>
        </w:tc>
        <w:tc>
          <w:tcPr>
            <w:tcW w:w="1826" w:type="dxa"/>
            <w:tcBorders>
              <w:top w:val="nil"/>
              <w:left w:val="nil"/>
              <w:bottom w:val="nil"/>
              <w:right w:val="nil"/>
            </w:tcBorders>
            <w:shd w:val="clear" w:color="auto" w:fill="FFFFFF" w:themeFill="background1"/>
            <w:hideMark/>
          </w:tcPr>
          <w:p w14:paraId="66D8DEDC" w14:textId="7B15C8CD" w:rsidR="002A2EA6" w:rsidRPr="00FD5921" w:rsidRDefault="002A2EA6" w:rsidP="002A2EA6">
            <w:pPr>
              <w:spacing w:before="20" w:after="20"/>
              <w:rPr>
                <w:sz w:val="18"/>
                <w:szCs w:val="18"/>
              </w:rPr>
            </w:pPr>
            <w:r w:rsidRPr="00FD5921">
              <w:rPr>
                <w:iCs/>
                <w:sz w:val="18"/>
                <w:szCs w:val="18"/>
              </w:rPr>
              <w:t xml:space="preserve">- Rapports </w:t>
            </w:r>
            <w:r w:rsidRPr="00FD5921">
              <w:rPr>
                <w:sz w:val="18"/>
                <w:szCs w:val="18"/>
              </w:rPr>
              <w:t xml:space="preserve">établis </w:t>
            </w:r>
            <w:r w:rsidRPr="00FD5921">
              <w:rPr>
                <w:iCs/>
                <w:sz w:val="18"/>
                <w:szCs w:val="18"/>
              </w:rPr>
              <w:t>au titre de l</w:t>
            </w:r>
            <w:r w:rsidR="00CA4DAC">
              <w:rPr>
                <w:iCs/>
                <w:sz w:val="18"/>
                <w:szCs w:val="18"/>
              </w:rPr>
              <w:t>’</w:t>
            </w:r>
            <w:r w:rsidRPr="00FD5921">
              <w:rPr>
                <w:iCs/>
                <w:sz w:val="18"/>
                <w:szCs w:val="18"/>
              </w:rPr>
              <w:t>article 21</w:t>
            </w:r>
          </w:p>
        </w:tc>
        <w:tc>
          <w:tcPr>
            <w:tcW w:w="1928" w:type="dxa"/>
            <w:tcBorders>
              <w:top w:val="nil"/>
              <w:left w:val="nil"/>
              <w:bottom w:val="nil"/>
              <w:right w:val="nil"/>
            </w:tcBorders>
            <w:shd w:val="clear" w:color="auto" w:fill="FFFFFF" w:themeFill="background1"/>
            <w:hideMark/>
          </w:tcPr>
          <w:p w14:paraId="28EA99A1" w14:textId="77777777" w:rsidR="002A2EA6" w:rsidRPr="00FD5921" w:rsidRDefault="002A2EA6" w:rsidP="002A2EA6">
            <w:pPr>
              <w:tabs>
                <w:tab w:val="left" w:pos="1163"/>
              </w:tabs>
              <w:spacing w:before="20" w:after="20"/>
              <w:rPr>
                <w:sz w:val="18"/>
                <w:szCs w:val="18"/>
              </w:rPr>
            </w:pPr>
            <w:r w:rsidRPr="00FD5921">
              <w:rPr>
                <w:sz w:val="18"/>
                <w:szCs w:val="18"/>
              </w:rPr>
              <w:t>Nombre dans la première évaluation</w:t>
            </w:r>
          </w:p>
        </w:tc>
      </w:tr>
      <w:tr w:rsidR="00FD5921" w:rsidRPr="00FD5921" w14:paraId="18FC4FFA" w14:textId="77777777" w:rsidTr="00774149">
        <w:trPr>
          <w:trHeight w:val="624"/>
          <w:jc w:val="right"/>
        </w:trPr>
        <w:tc>
          <w:tcPr>
            <w:tcW w:w="1837" w:type="dxa"/>
            <w:tcBorders>
              <w:top w:val="nil"/>
              <w:left w:val="nil"/>
              <w:bottom w:val="single" w:sz="2" w:space="0" w:color="auto"/>
              <w:right w:val="nil"/>
            </w:tcBorders>
            <w:shd w:val="clear" w:color="auto" w:fill="FFFFFF" w:themeFill="background1"/>
            <w:hideMark/>
          </w:tcPr>
          <w:p w14:paraId="6E27828E" w14:textId="67FDDFE3" w:rsidR="002A2EA6" w:rsidRPr="00FD5921" w:rsidRDefault="002A2EA6" w:rsidP="002A2EA6">
            <w:pPr>
              <w:tabs>
                <w:tab w:val="left" w:pos="1163"/>
              </w:tabs>
              <w:spacing w:before="20" w:after="20"/>
              <w:rPr>
                <w:sz w:val="18"/>
                <w:szCs w:val="18"/>
              </w:rPr>
            </w:pPr>
            <w:r w:rsidRPr="00FD5921">
              <w:rPr>
                <w:sz w:val="18"/>
                <w:szCs w:val="18"/>
              </w:rPr>
              <w:t>C9. Indicateur de méthode pour l</w:t>
            </w:r>
            <w:r w:rsidR="00CA4DAC">
              <w:rPr>
                <w:sz w:val="18"/>
                <w:szCs w:val="18"/>
              </w:rPr>
              <w:t>’</w:t>
            </w:r>
            <w:r w:rsidRPr="00FD5921">
              <w:rPr>
                <w:sz w:val="18"/>
                <w:szCs w:val="18"/>
              </w:rPr>
              <w:t>article 5</w:t>
            </w:r>
          </w:p>
        </w:tc>
        <w:tc>
          <w:tcPr>
            <w:tcW w:w="2716" w:type="dxa"/>
            <w:tcBorders>
              <w:top w:val="nil"/>
              <w:left w:val="nil"/>
              <w:bottom w:val="single" w:sz="2" w:space="0" w:color="auto"/>
              <w:right w:val="nil"/>
            </w:tcBorders>
            <w:shd w:val="clear" w:color="auto" w:fill="FFFFFF" w:themeFill="background1"/>
            <w:hideMark/>
          </w:tcPr>
          <w:p w14:paraId="7CC8860E" w14:textId="654DBB78" w:rsidR="002A2EA6" w:rsidRPr="00FD5921" w:rsidRDefault="002A2EA6" w:rsidP="002A2EA6">
            <w:pPr>
              <w:tabs>
                <w:tab w:val="left" w:pos="1163"/>
              </w:tabs>
              <w:spacing w:before="20" w:after="20"/>
              <w:rPr>
                <w:rFonts w:eastAsia="Roboto"/>
                <w:sz w:val="18"/>
                <w:szCs w:val="18"/>
              </w:rPr>
            </w:pPr>
            <w:r w:rsidRPr="00FD5921">
              <w:rPr>
                <w:sz w:val="18"/>
                <w:szCs w:val="18"/>
              </w:rPr>
              <w:t>Proportion de Parties ayant des procédures visées au paragraphe 3 de l</w:t>
            </w:r>
            <w:r w:rsidR="00CA4DAC">
              <w:rPr>
                <w:sz w:val="18"/>
                <w:szCs w:val="18"/>
              </w:rPr>
              <w:t>’</w:t>
            </w:r>
            <w:r w:rsidRPr="00FD5921">
              <w:rPr>
                <w:sz w:val="18"/>
                <w:szCs w:val="18"/>
              </w:rPr>
              <w:t>article 5 qui ont pris toutes les mesures voulues pour les procédures respectives figurant dans la partie II de l</w:t>
            </w:r>
            <w:r w:rsidR="00CA4DAC">
              <w:rPr>
                <w:sz w:val="18"/>
                <w:szCs w:val="18"/>
              </w:rPr>
              <w:t>’</w:t>
            </w:r>
            <w:r w:rsidRPr="00FD5921">
              <w:rPr>
                <w:sz w:val="18"/>
                <w:szCs w:val="18"/>
              </w:rPr>
              <w:t>Annexe B</w:t>
            </w:r>
          </w:p>
        </w:tc>
        <w:tc>
          <w:tcPr>
            <w:tcW w:w="1826" w:type="dxa"/>
            <w:tcBorders>
              <w:top w:val="nil"/>
              <w:left w:val="nil"/>
              <w:bottom w:val="single" w:sz="2" w:space="0" w:color="auto"/>
              <w:right w:val="nil"/>
            </w:tcBorders>
            <w:shd w:val="clear" w:color="auto" w:fill="FFFFFF" w:themeFill="background1"/>
            <w:hideMark/>
          </w:tcPr>
          <w:p w14:paraId="33CBCCAF" w14:textId="7BEE7D84" w:rsidR="002A2EA6" w:rsidRPr="00FD5921" w:rsidRDefault="002A2EA6" w:rsidP="002A2EA6">
            <w:pPr>
              <w:spacing w:before="20" w:after="20"/>
              <w:rPr>
                <w:rFonts w:eastAsia="Roboto"/>
                <w:sz w:val="18"/>
                <w:szCs w:val="18"/>
              </w:rPr>
            </w:pPr>
            <w:r w:rsidRPr="00FD5921">
              <w:rPr>
                <w:iCs/>
                <w:sz w:val="18"/>
                <w:szCs w:val="18"/>
              </w:rPr>
              <w:t xml:space="preserve">- Rapports </w:t>
            </w:r>
            <w:r w:rsidRPr="00FD5921">
              <w:rPr>
                <w:sz w:val="18"/>
                <w:szCs w:val="18"/>
              </w:rPr>
              <w:t xml:space="preserve">établis </w:t>
            </w:r>
            <w:r w:rsidRPr="00FD5921">
              <w:rPr>
                <w:iCs/>
                <w:sz w:val="18"/>
                <w:szCs w:val="18"/>
              </w:rPr>
              <w:t>au titre de l</w:t>
            </w:r>
            <w:r w:rsidR="00CA4DAC">
              <w:rPr>
                <w:iCs/>
                <w:sz w:val="18"/>
                <w:szCs w:val="18"/>
              </w:rPr>
              <w:t>’</w:t>
            </w:r>
            <w:r w:rsidRPr="00FD5921">
              <w:rPr>
                <w:iCs/>
                <w:sz w:val="18"/>
                <w:szCs w:val="18"/>
              </w:rPr>
              <w:t>article 21</w:t>
            </w:r>
          </w:p>
        </w:tc>
        <w:tc>
          <w:tcPr>
            <w:tcW w:w="1928" w:type="dxa"/>
            <w:tcBorders>
              <w:top w:val="nil"/>
              <w:left w:val="nil"/>
              <w:bottom w:val="single" w:sz="2" w:space="0" w:color="auto"/>
              <w:right w:val="nil"/>
            </w:tcBorders>
            <w:shd w:val="clear" w:color="auto" w:fill="FFFFFF" w:themeFill="background1"/>
            <w:hideMark/>
          </w:tcPr>
          <w:p w14:paraId="2C782A52" w14:textId="77777777" w:rsidR="002A2EA6" w:rsidRPr="00FD5921" w:rsidRDefault="002A2EA6" w:rsidP="002A2EA6">
            <w:pPr>
              <w:tabs>
                <w:tab w:val="left" w:pos="1163"/>
              </w:tabs>
              <w:spacing w:before="20" w:after="20"/>
              <w:rPr>
                <w:rFonts w:eastAsia="Roboto"/>
                <w:sz w:val="18"/>
                <w:szCs w:val="18"/>
              </w:rPr>
            </w:pPr>
            <w:r w:rsidRPr="00FD5921">
              <w:rPr>
                <w:sz w:val="18"/>
                <w:szCs w:val="18"/>
              </w:rPr>
              <w:t>Pourcentage dans la première évaluation</w:t>
            </w:r>
          </w:p>
        </w:tc>
      </w:tr>
      <w:tr w:rsidR="00FD5921" w:rsidRPr="00FD5921" w14:paraId="12A4BF19" w14:textId="77777777" w:rsidTr="00774149">
        <w:trPr>
          <w:trHeight w:val="57"/>
          <w:jc w:val="right"/>
        </w:trPr>
        <w:tc>
          <w:tcPr>
            <w:tcW w:w="1837" w:type="dxa"/>
            <w:tcBorders>
              <w:top w:val="single" w:sz="2" w:space="0" w:color="auto"/>
              <w:left w:val="nil"/>
              <w:bottom w:val="single" w:sz="2" w:space="0" w:color="auto"/>
              <w:right w:val="nil"/>
            </w:tcBorders>
            <w:shd w:val="clear" w:color="auto" w:fill="FFFFFF" w:themeFill="background1"/>
            <w:hideMark/>
          </w:tcPr>
          <w:p w14:paraId="2294E88A" w14:textId="77777777" w:rsidR="002A2EA6" w:rsidRPr="00FD5921" w:rsidRDefault="002A2EA6" w:rsidP="00593C5E">
            <w:pPr>
              <w:tabs>
                <w:tab w:val="left" w:pos="1163"/>
              </w:tabs>
              <w:spacing w:before="120" w:after="120"/>
              <w:rPr>
                <w:b/>
                <w:sz w:val="18"/>
                <w:szCs w:val="18"/>
              </w:rPr>
            </w:pPr>
            <w:r w:rsidRPr="00FD5921">
              <w:rPr>
                <w:b/>
                <w:sz w:val="18"/>
                <w:szCs w:val="18"/>
              </w:rPr>
              <w:t>Article 7</w:t>
            </w:r>
          </w:p>
        </w:tc>
        <w:tc>
          <w:tcPr>
            <w:tcW w:w="2716" w:type="dxa"/>
            <w:tcBorders>
              <w:top w:val="single" w:sz="2" w:space="0" w:color="auto"/>
              <w:left w:val="nil"/>
              <w:bottom w:val="single" w:sz="2" w:space="0" w:color="auto"/>
              <w:right w:val="nil"/>
            </w:tcBorders>
            <w:shd w:val="clear" w:color="auto" w:fill="FFFFFF" w:themeFill="background1"/>
          </w:tcPr>
          <w:p w14:paraId="45A9AAE2" w14:textId="77777777" w:rsidR="002A2EA6" w:rsidRPr="00FD5921" w:rsidRDefault="002A2EA6" w:rsidP="00593C5E">
            <w:pPr>
              <w:tabs>
                <w:tab w:val="left" w:pos="1163"/>
              </w:tabs>
              <w:spacing w:before="120" w:after="120"/>
              <w:rPr>
                <w:rFonts w:eastAsia="Roboto"/>
                <w:sz w:val="18"/>
                <w:szCs w:val="18"/>
              </w:rPr>
            </w:pPr>
          </w:p>
        </w:tc>
        <w:tc>
          <w:tcPr>
            <w:tcW w:w="1826" w:type="dxa"/>
            <w:tcBorders>
              <w:top w:val="single" w:sz="2" w:space="0" w:color="auto"/>
              <w:left w:val="nil"/>
              <w:bottom w:val="single" w:sz="2" w:space="0" w:color="auto"/>
              <w:right w:val="nil"/>
            </w:tcBorders>
            <w:shd w:val="clear" w:color="auto" w:fill="FFFFFF" w:themeFill="background1"/>
          </w:tcPr>
          <w:p w14:paraId="190D7526" w14:textId="77777777" w:rsidR="002A2EA6" w:rsidRPr="00FD5921" w:rsidRDefault="002A2EA6" w:rsidP="00593C5E">
            <w:pPr>
              <w:tabs>
                <w:tab w:val="left" w:pos="1163"/>
              </w:tabs>
              <w:spacing w:before="120" w:after="120"/>
              <w:rPr>
                <w:rFonts w:eastAsia="Roboto"/>
                <w:sz w:val="18"/>
                <w:szCs w:val="18"/>
              </w:rPr>
            </w:pPr>
          </w:p>
        </w:tc>
        <w:tc>
          <w:tcPr>
            <w:tcW w:w="1928" w:type="dxa"/>
            <w:tcBorders>
              <w:top w:val="single" w:sz="2" w:space="0" w:color="auto"/>
              <w:left w:val="nil"/>
              <w:bottom w:val="single" w:sz="2" w:space="0" w:color="auto"/>
              <w:right w:val="nil"/>
            </w:tcBorders>
            <w:shd w:val="clear" w:color="auto" w:fill="FFFFFF" w:themeFill="background1"/>
          </w:tcPr>
          <w:p w14:paraId="3453EC80" w14:textId="77777777" w:rsidR="002A2EA6" w:rsidRPr="00FD5921" w:rsidRDefault="002A2EA6" w:rsidP="00593C5E">
            <w:pPr>
              <w:tabs>
                <w:tab w:val="left" w:pos="1163"/>
              </w:tabs>
              <w:spacing w:before="120" w:after="120"/>
              <w:rPr>
                <w:rFonts w:eastAsia="Roboto"/>
                <w:sz w:val="18"/>
                <w:szCs w:val="18"/>
              </w:rPr>
            </w:pPr>
          </w:p>
        </w:tc>
      </w:tr>
      <w:tr w:rsidR="00FD5921" w:rsidRPr="00FD5921" w14:paraId="3C8842D1" w14:textId="77777777" w:rsidTr="00774149">
        <w:trPr>
          <w:trHeight w:val="850"/>
          <w:jc w:val="right"/>
        </w:trPr>
        <w:tc>
          <w:tcPr>
            <w:tcW w:w="1837" w:type="dxa"/>
            <w:tcBorders>
              <w:top w:val="single" w:sz="2" w:space="0" w:color="auto"/>
              <w:left w:val="nil"/>
              <w:bottom w:val="nil"/>
              <w:right w:val="nil"/>
            </w:tcBorders>
            <w:shd w:val="clear" w:color="auto" w:fill="FFFFFF" w:themeFill="background1"/>
            <w:hideMark/>
          </w:tcPr>
          <w:p w14:paraId="5543D854" w14:textId="78DE0A22" w:rsidR="002A2EA6" w:rsidRPr="00FD5921" w:rsidRDefault="002A2EA6" w:rsidP="002A2EA6">
            <w:pPr>
              <w:tabs>
                <w:tab w:val="left" w:pos="1163"/>
              </w:tabs>
              <w:spacing w:before="20" w:after="20"/>
              <w:rPr>
                <w:sz w:val="18"/>
                <w:szCs w:val="18"/>
              </w:rPr>
            </w:pPr>
            <w:r w:rsidRPr="00FD5921">
              <w:rPr>
                <w:sz w:val="18"/>
                <w:szCs w:val="18"/>
              </w:rPr>
              <w:t>C10. Indicateur de résultat pour l</w:t>
            </w:r>
            <w:r w:rsidR="00CA4DAC">
              <w:rPr>
                <w:sz w:val="18"/>
                <w:szCs w:val="18"/>
              </w:rPr>
              <w:t>’</w:t>
            </w:r>
            <w:r w:rsidRPr="00FD5921">
              <w:rPr>
                <w:sz w:val="18"/>
                <w:szCs w:val="18"/>
              </w:rPr>
              <w:t>article 7</w:t>
            </w:r>
          </w:p>
        </w:tc>
        <w:tc>
          <w:tcPr>
            <w:tcW w:w="2716" w:type="dxa"/>
            <w:tcBorders>
              <w:top w:val="single" w:sz="2" w:space="0" w:color="auto"/>
              <w:left w:val="nil"/>
              <w:bottom w:val="nil"/>
              <w:right w:val="nil"/>
            </w:tcBorders>
            <w:shd w:val="clear" w:color="auto" w:fill="FFFFFF" w:themeFill="background1"/>
          </w:tcPr>
          <w:p w14:paraId="26CEFBD6" w14:textId="6B8C396E" w:rsidR="002A2EA6" w:rsidRPr="00FD5921" w:rsidRDefault="002A2EA6" w:rsidP="002A2EA6">
            <w:pPr>
              <w:tabs>
                <w:tab w:val="left" w:pos="1163"/>
              </w:tabs>
              <w:spacing w:before="20" w:after="20"/>
              <w:rPr>
                <w:rFonts w:eastAsia="Roboto"/>
                <w:sz w:val="18"/>
                <w:szCs w:val="18"/>
              </w:rPr>
            </w:pPr>
            <w:r w:rsidRPr="00FD5921">
              <w:rPr>
                <w:sz w:val="18"/>
                <w:szCs w:val="18"/>
              </w:rPr>
              <w:t>Quantité totale de mercure utilisée dans les exploitations minières artisanales et à petite échelle d</w:t>
            </w:r>
            <w:r w:rsidR="00CA4DAC">
              <w:rPr>
                <w:sz w:val="18"/>
                <w:szCs w:val="18"/>
              </w:rPr>
              <w:t>’</w:t>
            </w:r>
            <w:r w:rsidRPr="00FD5921">
              <w:rPr>
                <w:sz w:val="18"/>
                <w:szCs w:val="18"/>
              </w:rPr>
              <w:t xml:space="preserve">or dans le monde, en tonnes par an </w:t>
            </w:r>
          </w:p>
        </w:tc>
        <w:tc>
          <w:tcPr>
            <w:tcW w:w="1826" w:type="dxa"/>
            <w:tcBorders>
              <w:top w:val="single" w:sz="2" w:space="0" w:color="auto"/>
              <w:left w:val="nil"/>
              <w:bottom w:val="nil"/>
              <w:right w:val="nil"/>
            </w:tcBorders>
            <w:shd w:val="clear" w:color="auto" w:fill="FFFFFF" w:themeFill="background1"/>
            <w:hideMark/>
          </w:tcPr>
          <w:p w14:paraId="6DA01B1A" w14:textId="500C1049" w:rsidR="002A2EA6" w:rsidRPr="00FD5921" w:rsidRDefault="002A2EA6" w:rsidP="002A2EA6">
            <w:pPr>
              <w:spacing w:before="20" w:after="20"/>
              <w:rPr>
                <w:rFonts w:eastAsia="Roboto"/>
                <w:sz w:val="18"/>
                <w:szCs w:val="18"/>
              </w:rPr>
            </w:pPr>
            <w:r w:rsidRPr="00FD5921">
              <w:rPr>
                <w:sz w:val="18"/>
                <w:szCs w:val="18"/>
              </w:rPr>
              <w:t>- Rapports établis au titre de l</w:t>
            </w:r>
            <w:r w:rsidR="00CA4DAC">
              <w:rPr>
                <w:sz w:val="18"/>
                <w:szCs w:val="18"/>
              </w:rPr>
              <w:t>’</w:t>
            </w:r>
            <w:r w:rsidRPr="00FD5921">
              <w:rPr>
                <w:sz w:val="18"/>
                <w:szCs w:val="18"/>
              </w:rPr>
              <w:t>article 21</w:t>
            </w:r>
          </w:p>
          <w:p w14:paraId="323CB6E6" w14:textId="3FE7DE14" w:rsidR="002A2EA6" w:rsidRPr="00FD5921" w:rsidRDefault="002A2EA6" w:rsidP="002A2EA6">
            <w:pPr>
              <w:tabs>
                <w:tab w:val="left" w:pos="1163"/>
              </w:tabs>
              <w:spacing w:before="20" w:after="20"/>
              <w:rPr>
                <w:rFonts w:eastAsia="Roboto"/>
                <w:sz w:val="18"/>
                <w:szCs w:val="18"/>
              </w:rPr>
            </w:pPr>
            <w:r w:rsidRPr="00FD5921">
              <w:rPr>
                <w:sz w:val="18"/>
                <w:szCs w:val="18"/>
              </w:rPr>
              <w:t>- Plans d</w:t>
            </w:r>
            <w:r w:rsidR="00CA4DAC">
              <w:rPr>
                <w:sz w:val="18"/>
                <w:szCs w:val="18"/>
              </w:rPr>
              <w:t>’</w:t>
            </w:r>
            <w:r w:rsidRPr="00FD5921">
              <w:rPr>
                <w:sz w:val="18"/>
                <w:szCs w:val="18"/>
              </w:rPr>
              <w:t>action nationaux e</w:t>
            </w:r>
            <w:r w:rsidRPr="00774149">
              <w:rPr>
                <w:sz w:val="18"/>
                <w:szCs w:val="18"/>
              </w:rPr>
              <w:t>n matière d</w:t>
            </w:r>
            <w:r w:rsidR="00CA4DAC">
              <w:rPr>
                <w:sz w:val="18"/>
                <w:szCs w:val="18"/>
              </w:rPr>
              <w:t>’</w:t>
            </w:r>
            <w:r w:rsidRPr="00FD5921">
              <w:rPr>
                <w:sz w:val="18"/>
                <w:szCs w:val="18"/>
              </w:rPr>
              <w:t>exploitation artisanale et à petite échelle d</w:t>
            </w:r>
            <w:r w:rsidR="00CA4DAC">
              <w:rPr>
                <w:sz w:val="18"/>
                <w:szCs w:val="18"/>
              </w:rPr>
              <w:t>’</w:t>
            </w:r>
            <w:r w:rsidRPr="00FD5921">
              <w:rPr>
                <w:sz w:val="18"/>
                <w:szCs w:val="18"/>
              </w:rPr>
              <w:t>or et examen de ceux-ci</w:t>
            </w:r>
          </w:p>
          <w:p w14:paraId="5E41522C" w14:textId="77777777" w:rsidR="002A2EA6" w:rsidRPr="00FD5921" w:rsidRDefault="002A2EA6" w:rsidP="002A2EA6">
            <w:pPr>
              <w:tabs>
                <w:tab w:val="left" w:pos="1163"/>
              </w:tabs>
              <w:spacing w:before="20" w:after="20"/>
              <w:rPr>
                <w:rFonts w:eastAsia="Roboto"/>
                <w:sz w:val="18"/>
                <w:szCs w:val="18"/>
              </w:rPr>
            </w:pPr>
            <w:r w:rsidRPr="00FD5921">
              <w:rPr>
                <w:sz w:val="18"/>
                <w:szCs w:val="18"/>
              </w:rPr>
              <w:t>- Notifications</w:t>
            </w:r>
          </w:p>
        </w:tc>
        <w:tc>
          <w:tcPr>
            <w:tcW w:w="1928" w:type="dxa"/>
            <w:tcBorders>
              <w:top w:val="single" w:sz="2" w:space="0" w:color="auto"/>
              <w:left w:val="nil"/>
              <w:bottom w:val="nil"/>
              <w:right w:val="nil"/>
            </w:tcBorders>
            <w:shd w:val="clear" w:color="auto" w:fill="FFFFFF" w:themeFill="background1"/>
            <w:hideMark/>
          </w:tcPr>
          <w:p w14:paraId="0AFA39CE" w14:textId="77777777" w:rsidR="002A2EA6" w:rsidRPr="00FD5921" w:rsidRDefault="002A2EA6" w:rsidP="002A2EA6">
            <w:pPr>
              <w:tabs>
                <w:tab w:val="left" w:pos="1163"/>
              </w:tabs>
              <w:spacing w:before="20" w:after="20"/>
              <w:rPr>
                <w:rFonts w:eastAsia="Roboto"/>
                <w:sz w:val="18"/>
                <w:szCs w:val="18"/>
              </w:rPr>
            </w:pPr>
            <w:r w:rsidRPr="00FD5921">
              <w:rPr>
                <w:sz w:val="18"/>
                <w:szCs w:val="18"/>
              </w:rPr>
              <w:t>Quantité dans la première évaluation</w:t>
            </w:r>
          </w:p>
        </w:tc>
      </w:tr>
      <w:tr w:rsidR="00FD5921" w:rsidRPr="00FD5921" w14:paraId="4C4D0BAE" w14:textId="77777777" w:rsidTr="00774149">
        <w:trPr>
          <w:trHeight w:val="454"/>
          <w:jc w:val="right"/>
        </w:trPr>
        <w:tc>
          <w:tcPr>
            <w:tcW w:w="1837" w:type="dxa"/>
            <w:tcBorders>
              <w:top w:val="nil"/>
              <w:left w:val="nil"/>
              <w:bottom w:val="nil"/>
              <w:right w:val="nil"/>
            </w:tcBorders>
            <w:shd w:val="clear" w:color="auto" w:fill="FFFFFF" w:themeFill="background1"/>
            <w:hideMark/>
          </w:tcPr>
          <w:p w14:paraId="5278217E" w14:textId="493DF1FF" w:rsidR="002A2EA6" w:rsidRPr="00FD5921" w:rsidRDefault="002A2EA6" w:rsidP="002A2EA6">
            <w:pPr>
              <w:tabs>
                <w:tab w:val="left" w:pos="1163"/>
              </w:tabs>
              <w:spacing w:before="20" w:after="20"/>
              <w:rPr>
                <w:sz w:val="18"/>
                <w:szCs w:val="18"/>
              </w:rPr>
            </w:pPr>
            <w:r w:rsidRPr="00FD5921">
              <w:rPr>
                <w:sz w:val="18"/>
                <w:szCs w:val="18"/>
              </w:rPr>
              <w:t>C11. Indicateur de méthode pour l</w:t>
            </w:r>
            <w:r w:rsidR="00CA4DAC">
              <w:rPr>
                <w:sz w:val="18"/>
                <w:szCs w:val="18"/>
              </w:rPr>
              <w:t>’</w:t>
            </w:r>
            <w:r w:rsidRPr="00FD5921">
              <w:rPr>
                <w:sz w:val="18"/>
                <w:szCs w:val="18"/>
              </w:rPr>
              <w:t>article 7</w:t>
            </w:r>
          </w:p>
        </w:tc>
        <w:tc>
          <w:tcPr>
            <w:tcW w:w="2716" w:type="dxa"/>
            <w:tcBorders>
              <w:top w:val="nil"/>
              <w:left w:val="nil"/>
              <w:bottom w:val="nil"/>
              <w:right w:val="nil"/>
            </w:tcBorders>
            <w:shd w:val="clear" w:color="auto" w:fill="FFFFFF" w:themeFill="background1"/>
            <w:hideMark/>
          </w:tcPr>
          <w:p w14:paraId="65A9C93F" w14:textId="2FBA9702" w:rsidR="002A2EA6" w:rsidRPr="00FD5921" w:rsidRDefault="002A2EA6" w:rsidP="002A2EA6">
            <w:pPr>
              <w:tabs>
                <w:tab w:val="left" w:pos="1163"/>
              </w:tabs>
              <w:spacing w:before="20" w:after="20"/>
              <w:rPr>
                <w:rFonts w:eastAsia="Roboto"/>
                <w:sz w:val="18"/>
                <w:szCs w:val="18"/>
              </w:rPr>
            </w:pPr>
            <w:r w:rsidRPr="00FD5921">
              <w:rPr>
                <w:sz w:val="18"/>
                <w:szCs w:val="18"/>
              </w:rPr>
              <w:t>Proportion de Parties déclarant un nombre n</w:t>
            </w:r>
            <w:r w:rsidRPr="00FD5921">
              <w:t xml:space="preserve">on négligeable </w:t>
            </w:r>
            <w:r w:rsidRPr="00FD5921">
              <w:rPr>
                <w:sz w:val="18"/>
                <w:szCs w:val="18"/>
              </w:rPr>
              <w:t>d</w:t>
            </w:r>
            <w:r w:rsidR="00CA4DAC">
              <w:rPr>
                <w:sz w:val="18"/>
                <w:szCs w:val="18"/>
              </w:rPr>
              <w:t>’</w:t>
            </w:r>
            <w:r w:rsidRPr="00FD5921">
              <w:rPr>
                <w:sz w:val="18"/>
                <w:szCs w:val="18"/>
              </w:rPr>
              <w:t>exploitations minières artisanales et à petite échelle d</w:t>
            </w:r>
            <w:r w:rsidR="00CA4DAC">
              <w:rPr>
                <w:sz w:val="18"/>
                <w:szCs w:val="18"/>
              </w:rPr>
              <w:t>’</w:t>
            </w:r>
            <w:r w:rsidRPr="00FD5921">
              <w:rPr>
                <w:sz w:val="18"/>
                <w:szCs w:val="18"/>
              </w:rPr>
              <w:t>or ayant soumis un plan d</w:t>
            </w:r>
            <w:r w:rsidR="00CA4DAC">
              <w:rPr>
                <w:sz w:val="18"/>
                <w:szCs w:val="18"/>
              </w:rPr>
              <w:t>’</w:t>
            </w:r>
            <w:r w:rsidRPr="00FD5921">
              <w:rPr>
                <w:sz w:val="18"/>
                <w:szCs w:val="18"/>
              </w:rPr>
              <w:t>action national</w:t>
            </w:r>
          </w:p>
        </w:tc>
        <w:tc>
          <w:tcPr>
            <w:tcW w:w="1826" w:type="dxa"/>
            <w:tcBorders>
              <w:top w:val="nil"/>
              <w:left w:val="nil"/>
              <w:bottom w:val="nil"/>
              <w:right w:val="nil"/>
            </w:tcBorders>
            <w:shd w:val="clear" w:color="auto" w:fill="FFFFFF" w:themeFill="background1"/>
            <w:hideMark/>
          </w:tcPr>
          <w:p w14:paraId="3D9A53FF" w14:textId="77777777" w:rsidR="002A2EA6" w:rsidRPr="00FD5921" w:rsidRDefault="002A2EA6" w:rsidP="002A2EA6">
            <w:pPr>
              <w:tabs>
                <w:tab w:val="left" w:pos="1163"/>
              </w:tabs>
              <w:spacing w:before="20" w:after="20"/>
              <w:rPr>
                <w:rFonts w:eastAsia="Roboto"/>
                <w:sz w:val="18"/>
                <w:szCs w:val="18"/>
              </w:rPr>
            </w:pPr>
            <w:r w:rsidRPr="00FD5921">
              <w:rPr>
                <w:sz w:val="18"/>
                <w:szCs w:val="18"/>
              </w:rPr>
              <w:t>- Notifications</w:t>
            </w:r>
          </w:p>
        </w:tc>
        <w:tc>
          <w:tcPr>
            <w:tcW w:w="1928" w:type="dxa"/>
            <w:tcBorders>
              <w:top w:val="nil"/>
              <w:left w:val="nil"/>
              <w:bottom w:val="nil"/>
              <w:right w:val="nil"/>
            </w:tcBorders>
            <w:shd w:val="clear" w:color="auto" w:fill="FFFFFF" w:themeFill="background1"/>
            <w:hideMark/>
          </w:tcPr>
          <w:p w14:paraId="64953CDE" w14:textId="77777777" w:rsidR="002A2EA6" w:rsidRPr="00FD5921" w:rsidRDefault="002A2EA6" w:rsidP="002A2EA6">
            <w:pPr>
              <w:tabs>
                <w:tab w:val="left" w:pos="1163"/>
              </w:tabs>
              <w:spacing w:before="20" w:after="20"/>
              <w:rPr>
                <w:rFonts w:eastAsia="Roboto"/>
                <w:sz w:val="18"/>
                <w:szCs w:val="18"/>
              </w:rPr>
            </w:pPr>
            <w:r w:rsidRPr="00FD5921">
              <w:rPr>
                <w:sz w:val="18"/>
                <w:szCs w:val="18"/>
              </w:rPr>
              <w:t>Pourcentage dans la première évaluation</w:t>
            </w:r>
          </w:p>
        </w:tc>
      </w:tr>
      <w:tr w:rsidR="00FD5921" w:rsidRPr="00FD5921" w14:paraId="63B09E47" w14:textId="77777777" w:rsidTr="00774149">
        <w:trPr>
          <w:trHeight w:val="454"/>
          <w:jc w:val="right"/>
        </w:trPr>
        <w:tc>
          <w:tcPr>
            <w:tcW w:w="1837" w:type="dxa"/>
            <w:tcBorders>
              <w:top w:val="nil"/>
              <w:left w:val="nil"/>
              <w:bottom w:val="nil"/>
              <w:right w:val="nil"/>
            </w:tcBorders>
            <w:shd w:val="clear" w:color="auto" w:fill="FFFFFF" w:themeFill="background1"/>
            <w:hideMark/>
          </w:tcPr>
          <w:p w14:paraId="42C5F5CA" w14:textId="4729E21B" w:rsidR="002A2EA6" w:rsidRPr="00FD5921" w:rsidRDefault="002A2EA6" w:rsidP="002A2EA6">
            <w:pPr>
              <w:tabs>
                <w:tab w:val="left" w:pos="1163"/>
              </w:tabs>
              <w:spacing w:before="20" w:after="20"/>
              <w:rPr>
                <w:sz w:val="18"/>
                <w:szCs w:val="18"/>
              </w:rPr>
            </w:pPr>
            <w:r w:rsidRPr="00FD5921">
              <w:rPr>
                <w:sz w:val="18"/>
                <w:szCs w:val="18"/>
              </w:rPr>
              <w:t>C12. Indicateur de méthode pour l</w:t>
            </w:r>
            <w:r w:rsidR="00CA4DAC">
              <w:rPr>
                <w:sz w:val="18"/>
                <w:szCs w:val="18"/>
              </w:rPr>
              <w:t>’</w:t>
            </w:r>
            <w:r w:rsidRPr="00FD5921">
              <w:rPr>
                <w:sz w:val="18"/>
                <w:szCs w:val="18"/>
              </w:rPr>
              <w:t>article 7</w:t>
            </w:r>
          </w:p>
        </w:tc>
        <w:tc>
          <w:tcPr>
            <w:tcW w:w="2716" w:type="dxa"/>
            <w:tcBorders>
              <w:top w:val="nil"/>
              <w:left w:val="nil"/>
              <w:bottom w:val="nil"/>
              <w:right w:val="nil"/>
            </w:tcBorders>
            <w:shd w:val="clear" w:color="auto" w:fill="FFFFFF" w:themeFill="background1"/>
            <w:hideMark/>
          </w:tcPr>
          <w:p w14:paraId="3F732F95" w14:textId="25B08701" w:rsidR="002A2EA6" w:rsidRPr="00FD5921" w:rsidRDefault="002A2EA6" w:rsidP="002A2EA6">
            <w:pPr>
              <w:tabs>
                <w:tab w:val="left" w:pos="1163"/>
              </w:tabs>
              <w:spacing w:before="20" w:after="20"/>
              <w:rPr>
                <w:rFonts w:eastAsia="Roboto"/>
                <w:sz w:val="18"/>
                <w:szCs w:val="18"/>
              </w:rPr>
            </w:pPr>
            <w:r w:rsidRPr="00FD5921">
              <w:rPr>
                <w:sz w:val="18"/>
                <w:szCs w:val="18"/>
              </w:rPr>
              <w:t>Proportion de Parties ayant soumis un plan d</w:t>
            </w:r>
            <w:r w:rsidR="00CA4DAC">
              <w:rPr>
                <w:sz w:val="18"/>
                <w:szCs w:val="18"/>
              </w:rPr>
              <w:t>’</w:t>
            </w:r>
            <w:r w:rsidRPr="00FD5921">
              <w:rPr>
                <w:sz w:val="18"/>
                <w:szCs w:val="18"/>
              </w:rPr>
              <w:t>action national et qui l</w:t>
            </w:r>
            <w:r w:rsidR="00CA4DAC">
              <w:rPr>
                <w:sz w:val="18"/>
                <w:szCs w:val="18"/>
              </w:rPr>
              <w:t>’</w:t>
            </w:r>
            <w:r w:rsidRPr="00FD5921">
              <w:rPr>
                <w:sz w:val="18"/>
                <w:szCs w:val="18"/>
              </w:rPr>
              <w:t>ont examiné</w:t>
            </w:r>
          </w:p>
        </w:tc>
        <w:tc>
          <w:tcPr>
            <w:tcW w:w="1826" w:type="dxa"/>
            <w:tcBorders>
              <w:top w:val="nil"/>
              <w:left w:val="nil"/>
              <w:bottom w:val="nil"/>
              <w:right w:val="nil"/>
            </w:tcBorders>
            <w:shd w:val="clear" w:color="auto" w:fill="FFFFFF" w:themeFill="background1"/>
            <w:hideMark/>
          </w:tcPr>
          <w:p w14:paraId="40F541DE" w14:textId="009FA0BD" w:rsidR="002A2EA6" w:rsidRPr="00FD5921" w:rsidRDefault="002A2EA6" w:rsidP="002A2EA6">
            <w:pPr>
              <w:tabs>
                <w:tab w:val="left" w:pos="1163"/>
              </w:tabs>
              <w:spacing w:before="20" w:after="20"/>
              <w:rPr>
                <w:sz w:val="18"/>
                <w:szCs w:val="18"/>
              </w:rPr>
            </w:pPr>
            <w:r w:rsidRPr="00FD5921">
              <w:rPr>
                <w:sz w:val="18"/>
                <w:szCs w:val="18"/>
              </w:rPr>
              <w:t>- Examens au titre de l</w:t>
            </w:r>
            <w:r w:rsidR="00CA4DAC">
              <w:rPr>
                <w:sz w:val="18"/>
                <w:szCs w:val="18"/>
              </w:rPr>
              <w:t>’</w:t>
            </w:r>
            <w:r w:rsidRPr="00FD5921">
              <w:rPr>
                <w:sz w:val="18"/>
                <w:szCs w:val="18"/>
              </w:rPr>
              <w:t>article 7</w:t>
            </w:r>
          </w:p>
        </w:tc>
        <w:tc>
          <w:tcPr>
            <w:tcW w:w="1928" w:type="dxa"/>
            <w:tcBorders>
              <w:top w:val="nil"/>
              <w:left w:val="nil"/>
              <w:bottom w:val="nil"/>
              <w:right w:val="nil"/>
            </w:tcBorders>
            <w:shd w:val="clear" w:color="auto" w:fill="FFFFFF" w:themeFill="background1"/>
            <w:hideMark/>
          </w:tcPr>
          <w:p w14:paraId="1BECBA37" w14:textId="77777777" w:rsidR="002A2EA6" w:rsidRPr="00FD5921" w:rsidRDefault="002A2EA6" w:rsidP="002A2EA6">
            <w:pPr>
              <w:tabs>
                <w:tab w:val="left" w:pos="1163"/>
              </w:tabs>
              <w:spacing w:before="20" w:after="20"/>
              <w:rPr>
                <w:sz w:val="18"/>
                <w:szCs w:val="18"/>
              </w:rPr>
            </w:pPr>
            <w:r w:rsidRPr="00FD5921">
              <w:rPr>
                <w:sz w:val="18"/>
                <w:szCs w:val="18"/>
              </w:rPr>
              <w:t>Pourcentage dans la première évaluation</w:t>
            </w:r>
          </w:p>
        </w:tc>
      </w:tr>
      <w:tr w:rsidR="00FD5921" w:rsidRPr="00FD5921" w14:paraId="217A5D7A" w14:textId="77777777" w:rsidTr="00774149">
        <w:trPr>
          <w:trHeight w:val="227"/>
          <w:jc w:val="right"/>
        </w:trPr>
        <w:tc>
          <w:tcPr>
            <w:tcW w:w="1837" w:type="dxa"/>
            <w:tcBorders>
              <w:top w:val="nil"/>
              <w:left w:val="nil"/>
              <w:bottom w:val="single" w:sz="12" w:space="0" w:color="auto"/>
              <w:right w:val="nil"/>
            </w:tcBorders>
            <w:shd w:val="clear" w:color="auto" w:fill="FFFFFF" w:themeFill="background1"/>
            <w:hideMark/>
          </w:tcPr>
          <w:p w14:paraId="09B502E1" w14:textId="77777777" w:rsidR="002A2EA6" w:rsidRPr="00FD5921" w:rsidRDefault="002A2EA6" w:rsidP="007D560A">
            <w:pPr>
              <w:spacing w:before="120" w:after="20"/>
              <w:rPr>
                <w:sz w:val="18"/>
                <w:szCs w:val="18"/>
              </w:rPr>
            </w:pPr>
            <w:r w:rsidRPr="00FD5921">
              <w:rPr>
                <w:b/>
                <w:bCs/>
                <w:sz w:val="18"/>
                <w:szCs w:val="18"/>
              </w:rPr>
              <w:t>Notes</w:t>
            </w:r>
          </w:p>
        </w:tc>
        <w:tc>
          <w:tcPr>
            <w:tcW w:w="6470" w:type="dxa"/>
            <w:gridSpan w:val="3"/>
            <w:tcBorders>
              <w:top w:val="nil"/>
              <w:left w:val="nil"/>
              <w:bottom w:val="single" w:sz="12" w:space="0" w:color="auto"/>
              <w:right w:val="nil"/>
            </w:tcBorders>
            <w:shd w:val="clear" w:color="auto" w:fill="FFFFFF" w:themeFill="background1"/>
            <w:hideMark/>
          </w:tcPr>
          <w:p w14:paraId="003C3999" w14:textId="5CB15532" w:rsidR="002A2EA6" w:rsidRPr="007D560A" w:rsidRDefault="002A2EA6" w:rsidP="007D560A">
            <w:pPr>
              <w:pStyle w:val="ListParagraph"/>
              <w:numPr>
                <w:ilvl w:val="0"/>
                <w:numId w:val="21"/>
              </w:numPr>
              <w:tabs>
                <w:tab w:val="clear" w:pos="1247"/>
              </w:tabs>
              <w:spacing w:before="120" w:after="20"/>
              <w:rPr>
                <w:sz w:val="18"/>
                <w:szCs w:val="18"/>
              </w:rPr>
            </w:pPr>
            <w:r w:rsidRPr="007D560A">
              <w:rPr>
                <w:sz w:val="18"/>
                <w:szCs w:val="18"/>
              </w:rPr>
              <w:t>Il est possible qu</w:t>
            </w:r>
            <w:r w:rsidR="00CA4DAC">
              <w:rPr>
                <w:sz w:val="18"/>
                <w:szCs w:val="18"/>
              </w:rPr>
              <w:t>’</w:t>
            </w:r>
            <w:r w:rsidRPr="007D560A">
              <w:rPr>
                <w:sz w:val="18"/>
                <w:szCs w:val="18"/>
              </w:rPr>
              <w:t>il soit difficile d</w:t>
            </w:r>
            <w:r w:rsidR="00CA4DAC">
              <w:rPr>
                <w:sz w:val="18"/>
                <w:szCs w:val="18"/>
              </w:rPr>
              <w:t>’</w:t>
            </w:r>
            <w:r w:rsidRPr="007D560A">
              <w:rPr>
                <w:sz w:val="18"/>
                <w:szCs w:val="18"/>
              </w:rPr>
              <w:t>obtenir certaines données sur les produits.</w:t>
            </w:r>
          </w:p>
        </w:tc>
      </w:tr>
    </w:tbl>
    <w:p w14:paraId="6E60E251" w14:textId="77777777" w:rsidR="002A2EA6" w:rsidRPr="00FD5921" w:rsidRDefault="002A2EA6" w:rsidP="00774149">
      <w:pPr>
        <w:spacing w:after="120"/>
        <w:rPr>
          <w:sz w:val="12"/>
          <w:szCs w:val="12"/>
        </w:rPr>
      </w:pPr>
    </w:p>
    <w:tbl>
      <w:tblPr>
        <w:tblStyle w:val="TableGrid"/>
        <w:tblW w:w="8278" w:type="dxa"/>
        <w:jc w:val="right"/>
        <w:tblLook w:val="04A0" w:firstRow="1" w:lastRow="0" w:firstColumn="1" w:lastColumn="0" w:noHBand="0" w:noVBand="1"/>
      </w:tblPr>
      <w:tblGrid>
        <w:gridCol w:w="1772"/>
        <w:gridCol w:w="2783"/>
        <w:gridCol w:w="1697"/>
        <w:gridCol w:w="2026"/>
      </w:tblGrid>
      <w:tr w:rsidR="002A2EA6" w:rsidRPr="002A2EA6" w14:paraId="122A3598" w14:textId="77777777" w:rsidTr="00774149">
        <w:trPr>
          <w:trHeight w:val="57"/>
          <w:tblHeader/>
          <w:jc w:val="right"/>
        </w:trPr>
        <w:tc>
          <w:tcPr>
            <w:tcW w:w="4555" w:type="dxa"/>
            <w:gridSpan w:val="2"/>
            <w:tcBorders>
              <w:top w:val="single" w:sz="2" w:space="0" w:color="auto"/>
              <w:left w:val="nil"/>
              <w:bottom w:val="single" w:sz="12" w:space="0" w:color="auto"/>
              <w:right w:val="nil"/>
            </w:tcBorders>
            <w:shd w:val="clear" w:color="auto" w:fill="auto"/>
            <w:hideMark/>
          </w:tcPr>
          <w:p w14:paraId="15D73337" w14:textId="77777777" w:rsidR="002A2EA6" w:rsidRPr="007D560A" w:rsidRDefault="002A2EA6" w:rsidP="002A2EA6">
            <w:pPr>
              <w:pStyle w:val="Normal-pool"/>
              <w:spacing w:before="20" w:after="20"/>
              <w:rPr>
                <w:bCs/>
                <w:i/>
                <w:iCs/>
                <w:sz w:val="18"/>
                <w:szCs w:val="18"/>
                <w:lang w:val="fr-FR"/>
              </w:rPr>
            </w:pPr>
            <w:r w:rsidRPr="007D560A">
              <w:rPr>
                <w:bCs/>
                <w:i/>
                <w:iCs/>
                <w:sz w:val="18"/>
                <w:szCs w:val="18"/>
                <w:lang w:val="fr-FR"/>
              </w:rPr>
              <w:t>D : groupe Pressions</w:t>
            </w:r>
          </w:p>
          <w:p w14:paraId="7BD48D22" w14:textId="77777777" w:rsidR="002A2EA6" w:rsidRPr="007D560A" w:rsidRDefault="002A2EA6" w:rsidP="002A2EA6">
            <w:pPr>
              <w:pStyle w:val="Normal-pool"/>
              <w:spacing w:before="20" w:after="20"/>
              <w:ind w:left="567"/>
              <w:rPr>
                <w:bCs/>
                <w:i/>
                <w:iCs/>
                <w:sz w:val="18"/>
                <w:szCs w:val="18"/>
                <w:lang w:val="fr-FR"/>
              </w:rPr>
            </w:pPr>
            <w:r w:rsidRPr="007D560A">
              <w:rPr>
                <w:bCs/>
                <w:i/>
                <w:iCs/>
                <w:sz w:val="18"/>
                <w:szCs w:val="18"/>
                <w:lang w:val="fr-FR"/>
              </w:rPr>
              <w:t>Article 8 (Émissions) ; article 9 (Rejets) ; article 12 (Sites contaminés)</w:t>
            </w:r>
          </w:p>
        </w:tc>
        <w:tc>
          <w:tcPr>
            <w:tcW w:w="1697" w:type="dxa"/>
            <w:tcBorders>
              <w:top w:val="single" w:sz="2" w:space="0" w:color="auto"/>
              <w:left w:val="nil"/>
              <w:bottom w:val="single" w:sz="12" w:space="0" w:color="auto"/>
              <w:right w:val="nil"/>
            </w:tcBorders>
            <w:shd w:val="clear" w:color="auto" w:fill="auto"/>
            <w:hideMark/>
          </w:tcPr>
          <w:p w14:paraId="24374E7C" w14:textId="594DADA2" w:rsidR="002A2EA6" w:rsidRPr="007D560A" w:rsidRDefault="002A2EA6" w:rsidP="002A2EA6">
            <w:pPr>
              <w:pStyle w:val="Normal-pool"/>
              <w:spacing w:before="20" w:after="20"/>
              <w:rPr>
                <w:bCs/>
                <w:i/>
                <w:iCs/>
                <w:sz w:val="18"/>
                <w:szCs w:val="18"/>
                <w:lang w:val="fr-FR"/>
              </w:rPr>
            </w:pPr>
            <w:r w:rsidRPr="007D560A">
              <w:rPr>
                <w:bCs/>
                <w:i/>
                <w:iCs/>
                <w:sz w:val="18"/>
                <w:szCs w:val="18"/>
                <w:lang w:val="fr-FR"/>
              </w:rPr>
              <w:t>Source d</w:t>
            </w:r>
            <w:r w:rsidR="00CA4DAC">
              <w:rPr>
                <w:bCs/>
                <w:i/>
                <w:iCs/>
                <w:sz w:val="18"/>
                <w:szCs w:val="18"/>
                <w:lang w:val="fr-FR"/>
              </w:rPr>
              <w:t>’</w:t>
            </w:r>
            <w:r w:rsidRPr="007D560A">
              <w:rPr>
                <w:bCs/>
                <w:i/>
                <w:iCs/>
                <w:sz w:val="18"/>
                <w:szCs w:val="18"/>
                <w:lang w:val="fr-FR"/>
              </w:rPr>
              <w:t>information concernant l</w:t>
            </w:r>
            <w:r w:rsidR="00CA4DAC">
              <w:rPr>
                <w:bCs/>
                <w:i/>
                <w:iCs/>
                <w:sz w:val="18"/>
                <w:szCs w:val="18"/>
                <w:lang w:val="fr-FR"/>
              </w:rPr>
              <w:t>’</w:t>
            </w:r>
            <w:r w:rsidRPr="007D560A">
              <w:rPr>
                <w:bCs/>
                <w:i/>
                <w:iCs/>
                <w:sz w:val="18"/>
                <w:szCs w:val="18"/>
                <w:lang w:val="fr-FR"/>
              </w:rPr>
              <w:t>indicateur</w:t>
            </w:r>
          </w:p>
        </w:tc>
        <w:tc>
          <w:tcPr>
            <w:tcW w:w="2026" w:type="dxa"/>
            <w:tcBorders>
              <w:top w:val="single" w:sz="2" w:space="0" w:color="auto"/>
              <w:left w:val="nil"/>
              <w:bottom w:val="single" w:sz="12" w:space="0" w:color="auto"/>
              <w:right w:val="nil"/>
            </w:tcBorders>
            <w:shd w:val="clear" w:color="auto" w:fill="auto"/>
            <w:hideMark/>
          </w:tcPr>
          <w:p w14:paraId="78CAABB5" w14:textId="058F7C2A" w:rsidR="002A2EA6" w:rsidRPr="007D560A" w:rsidRDefault="002A2EA6" w:rsidP="002A2EA6">
            <w:pPr>
              <w:pStyle w:val="Normal-pool"/>
              <w:spacing w:before="20" w:after="20"/>
              <w:rPr>
                <w:bCs/>
                <w:i/>
                <w:iCs/>
                <w:sz w:val="18"/>
                <w:szCs w:val="18"/>
                <w:lang w:val="fr-FR"/>
              </w:rPr>
            </w:pPr>
            <w:r w:rsidRPr="007D560A">
              <w:rPr>
                <w:bCs/>
                <w:i/>
                <w:iCs/>
                <w:sz w:val="18"/>
                <w:szCs w:val="18"/>
                <w:lang w:val="fr-FR"/>
              </w:rPr>
              <w:t>Valeur de référence pour l</w:t>
            </w:r>
            <w:r w:rsidR="00CA4DAC">
              <w:rPr>
                <w:bCs/>
                <w:i/>
                <w:iCs/>
                <w:sz w:val="18"/>
                <w:szCs w:val="18"/>
                <w:lang w:val="fr-FR"/>
              </w:rPr>
              <w:t>’</w:t>
            </w:r>
            <w:r w:rsidRPr="007D560A">
              <w:rPr>
                <w:bCs/>
                <w:i/>
                <w:iCs/>
                <w:sz w:val="18"/>
                <w:szCs w:val="18"/>
                <w:lang w:val="fr-FR"/>
              </w:rPr>
              <w:t>indicateur</w:t>
            </w:r>
          </w:p>
        </w:tc>
      </w:tr>
      <w:tr w:rsidR="002A2EA6" w:rsidRPr="002A2EA6" w14:paraId="441A0109" w14:textId="77777777" w:rsidTr="00774149">
        <w:trPr>
          <w:trHeight w:val="454"/>
          <w:jc w:val="right"/>
        </w:trPr>
        <w:tc>
          <w:tcPr>
            <w:tcW w:w="1772" w:type="dxa"/>
            <w:tcBorders>
              <w:top w:val="single" w:sz="12" w:space="0" w:color="auto"/>
              <w:left w:val="nil"/>
              <w:bottom w:val="nil"/>
              <w:right w:val="nil"/>
            </w:tcBorders>
            <w:shd w:val="clear" w:color="auto" w:fill="auto"/>
            <w:hideMark/>
          </w:tcPr>
          <w:p w14:paraId="7856BEFD" w14:textId="77777777" w:rsidR="002A2EA6" w:rsidRPr="002A2EA6" w:rsidRDefault="002A2EA6" w:rsidP="002A2EA6">
            <w:pPr>
              <w:spacing w:before="20" w:after="20"/>
              <w:rPr>
                <w:sz w:val="18"/>
                <w:szCs w:val="18"/>
              </w:rPr>
            </w:pPr>
            <w:r w:rsidRPr="002A2EA6">
              <w:rPr>
                <w:bCs/>
                <w:sz w:val="18"/>
                <w:szCs w:val="18"/>
              </w:rPr>
              <w:t xml:space="preserve">D1. </w:t>
            </w:r>
            <w:r w:rsidRPr="002A2EA6">
              <w:rPr>
                <w:sz w:val="18"/>
                <w:szCs w:val="18"/>
              </w:rPr>
              <w:t>Indicateur de méthode global pour les articles 8, 9 et 12</w:t>
            </w:r>
          </w:p>
        </w:tc>
        <w:tc>
          <w:tcPr>
            <w:tcW w:w="2783" w:type="dxa"/>
            <w:tcBorders>
              <w:top w:val="single" w:sz="12" w:space="0" w:color="auto"/>
              <w:left w:val="nil"/>
              <w:bottom w:val="nil"/>
              <w:right w:val="nil"/>
            </w:tcBorders>
            <w:shd w:val="clear" w:color="auto" w:fill="auto"/>
          </w:tcPr>
          <w:p w14:paraId="32E9E7A6" w14:textId="77777777" w:rsidR="002A2EA6" w:rsidRPr="002A2EA6" w:rsidRDefault="002A2EA6" w:rsidP="002A2EA6">
            <w:pPr>
              <w:spacing w:before="20" w:after="20"/>
              <w:rPr>
                <w:sz w:val="18"/>
                <w:szCs w:val="18"/>
              </w:rPr>
            </w:pPr>
            <w:r w:rsidRPr="002A2EA6">
              <w:rPr>
                <w:sz w:val="18"/>
                <w:szCs w:val="18"/>
              </w:rPr>
              <w:t>Proportion de Parties ayant mis en œuvre des dispositions clefs dans le cadre de ce groupe</w:t>
            </w:r>
          </w:p>
        </w:tc>
        <w:tc>
          <w:tcPr>
            <w:tcW w:w="1697" w:type="dxa"/>
            <w:tcBorders>
              <w:top w:val="single" w:sz="12" w:space="0" w:color="auto"/>
              <w:left w:val="nil"/>
              <w:bottom w:val="nil"/>
              <w:right w:val="nil"/>
            </w:tcBorders>
            <w:shd w:val="clear" w:color="auto" w:fill="auto"/>
          </w:tcPr>
          <w:p w14:paraId="526888F8" w14:textId="131A1E6B" w:rsidR="002A2EA6" w:rsidRPr="002A2EA6" w:rsidRDefault="002A2EA6" w:rsidP="002A2EA6">
            <w:pPr>
              <w:tabs>
                <w:tab w:val="left" w:pos="1163"/>
              </w:tabs>
              <w:spacing w:before="20" w:after="2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26" w:type="dxa"/>
            <w:tcBorders>
              <w:top w:val="single" w:sz="12" w:space="0" w:color="auto"/>
              <w:left w:val="nil"/>
              <w:bottom w:val="nil"/>
              <w:right w:val="nil"/>
            </w:tcBorders>
            <w:shd w:val="clear" w:color="auto" w:fill="auto"/>
            <w:hideMark/>
          </w:tcPr>
          <w:p w14:paraId="0F5B7EBE" w14:textId="77777777" w:rsidR="002A2EA6" w:rsidRPr="002A2EA6" w:rsidRDefault="002A2EA6" w:rsidP="002A2EA6">
            <w:pPr>
              <w:spacing w:before="20" w:after="20"/>
              <w:rPr>
                <w:rFonts w:eastAsia="Roboto"/>
                <w:sz w:val="18"/>
                <w:szCs w:val="18"/>
              </w:rPr>
            </w:pPr>
            <w:r w:rsidRPr="002A2EA6">
              <w:rPr>
                <w:sz w:val="18"/>
                <w:szCs w:val="18"/>
              </w:rPr>
              <w:t>Pourcentage dans la première évaluation</w:t>
            </w:r>
          </w:p>
        </w:tc>
      </w:tr>
      <w:tr w:rsidR="002A2EA6" w:rsidRPr="002A2EA6" w14:paraId="1A603D65" w14:textId="77777777" w:rsidTr="00774149">
        <w:trPr>
          <w:trHeight w:val="1077"/>
          <w:jc w:val="right"/>
        </w:trPr>
        <w:tc>
          <w:tcPr>
            <w:tcW w:w="1772" w:type="dxa"/>
            <w:tcBorders>
              <w:top w:val="nil"/>
              <w:left w:val="nil"/>
              <w:bottom w:val="single" w:sz="2" w:space="0" w:color="auto"/>
              <w:right w:val="nil"/>
            </w:tcBorders>
            <w:shd w:val="clear" w:color="auto" w:fill="auto"/>
            <w:hideMark/>
          </w:tcPr>
          <w:p w14:paraId="34A69115" w14:textId="77777777" w:rsidR="002A2EA6" w:rsidRPr="002A2EA6" w:rsidRDefault="002A2EA6" w:rsidP="002A2EA6">
            <w:pPr>
              <w:spacing w:before="20" w:after="20"/>
              <w:rPr>
                <w:bCs/>
                <w:sz w:val="18"/>
                <w:szCs w:val="18"/>
              </w:rPr>
            </w:pPr>
            <w:r w:rsidRPr="002A2EA6">
              <w:rPr>
                <w:sz w:val="18"/>
                <w:szCs w:val="18"/>
              </w:rPr>
              <w:t>D2. Indicateur de résultat transversal pour les articles 8, 9 et 12</w:t>
            </w:r>
          </w:p>
        </w:tc>
        <w:tc>
          <w:tcPr>
            <w:tcW w:w="2783" w:type="dxa"/>
            <w:tcBorders>
              <w:top w:val="nil"/>
              <w:left w:val="nil"/>
              <w:bottom w:val="single" w:sz="2" w:space="0" w:color="auto"/>
              <w:right w:val="nil"/>
            </w:tcBorders>
            <w:shd w:val="clear" w:color="auto" w:fill="auto"/>
            <w:hideMark/>
          </w:tcPr>
          <w:p w14:paraId="7518B229" w14:textId="77777777" w:rsidR="002A2EA6" w:rsidRPr="002A2EA6" w:rsidRDefault="002A2EA6" w:rsidP="002A2EA6">
            <w:pPr>
              <w:spacing w:before="20" w:after="20"/>
              <w:rPr>
                <w:sz w:val="18"/>
                <w:szCs w:val="18"/>
              </w:rPr>
            </w:pPr>
            <w:r w:rsidRPr="002A2EA6">
              <w:rPr>
                <w:sz w:val="18"/>
                <w:szCs w:val="18"/>
              </w:rPr>
              <w:t>Quantité totale de mercure émise et rejetée</w:t>
            </w:r>
          </w:p>
        </w:tc>
        <w:tc>
          <w:tcPr>
            <w:tcW w:w="1697" w:type="dxa"/>
            <w:tcBorders>
              <w:top w:val="nil"/>
              <w:left w:val="nil"/>
              <w:bottom w:val="single" w:sz="2" w:space="0" w:color="auto"/>
              <w:right w:val="nil"/>
            </w:tcBorders>
            <w:shd w:val="clear" w:color="auto" w:fill="auto"/>
            <w:hideMark/>
          </w:tcPr>
          <w:p w14:paraId="4F77BF70" w14:textId="77777777" w:rsidR="002A2EA6" w:rsidRPr="002A2EA6" w:rsidRDefault="002A2EA6" w:rsidP="002A2EA6">
            <w:pPr>
              <w:spacing w:before="20" w:after="20"/>
              <w:rPr>
                <w:rFonts w:eastAsia="Roboto"/>
                <w:sz w:val="18"/>
                <w:szCs w:val="18"/>
              </w:rPr>
            </w:pPr>
            <w:r w:rsidRPr="002A2EA6">
              <w:rPr>
                <w:sz w:val="18"/>
                <w:szCs w:val="18"/>
              </w:rPr>
              <w:t>- Évaluation mondiale du mercure 2018</w:t>
            </w:r>
          </w:p>
          <w:p w14:paraId="3FF7FEEF" w14:textId="77777777" w:rsidR="002A2EA6" w:rsidRPr="002A2EA6" w:rsidRDefault="002A2EA6" w:rsidP="002A2EA6">
            <w:pPr>
              <w:spacing w:before="20" w:after="20"/>
              <w:rPr>
                <w:rFonts w:eastAsia="Roboto"/>
                <w:sz w:val="18"/>
                <w:szCs w:val="18"/>
              </w:rPr>
            </w:pPr>
            <w:r w:rsidRPr="002A2EA6">
              <w:rPr>
                <w:sz w:val="18"/>
                <w:szCs w:val="18"/>
              </w:rPr>
              <w:t>- Inventaires</w:t>
            </w:r>
          </w:p>
          <w:p w14:paraId="27FBE919" w14:textId="77777777" w:rsidR="002A2EA6" w:rsidRPr="002A2EA6" w:rsidRDefault="002A2EA6" w:rsidP="002A2EA6">
            <w:pPr>
              <w:spacing w:before="20" w:after="20"/>
              <w:rPr>
                <w:rFonts w:eastAsia="Roboto"/>
                <w:sz w:val="18"/>
                <w:szCs w:val="18"/>
              </w:rPr>
            </w:pPr>
            <w:r w:rsidRPr="002A2EA6">
              <w:rPr>
                <w:sz w:val="18"/>
                <w:szCs w:val="18"/>
              </w:rPr>
              <w:t>- Premières évaluations de la Convention de Minamata</w:t>
            </w:r>
          </w:p>
        </w:tc>
        <w:tc>
          <w:tcPr>
            <w:tcW w:w="2026" w:type="dxa"/>
            <w:tcBorders>
              <w:top w:val="nil"/>
              <w:left w:val="nil"/>
              <w:bottom w:val="single" w:sz="2" w:space="0" w:color="auto"/>
              <w:right w:val="nil"/>
            </w:tcBorders>
            <w:shd w:val="clear" w:color="auto" w:fill="auto"/>
            <w:hideMark/>
          </w:tcPr>
          <w:p w14:paraId="062A287F" w14:textId="77777777" w:rsidR="002A2EA6" w:rsidRPr="002A2EA6" w:rsidRDefault="002A2EA6" w:rsidP="002A2EA6">
            <w:pPr>
              <w:spacing w:before="20" w:after="20"/>
              <w:rPr>
                <w:rFonts w:eastAsia="Roboto"/>
                <w:sz w:val="18"/>
                <w:szCs w:val="18"/>
              </w:rPr>
            </w:pPr>
            <w:r w:rsidRPr="002A2EA6">
              <w:rPr>
                <w:sz w:val="18"/>
                <w:szCs w:val="18"/>
              </w:rPr>
              <w:t>Quantité dans la première évaluation</w:t>
            </w:r>
          </w:p>
        </w:tc>
      </w:tr>
      <w:tr w:rsidR="002A2EA6" w:rsidRPr="002A2EA6" w14:paraId="5FA33737" w14:textId="77777777" w:rsidTr="00774149">
        <w:trPr>
          <w:trHeight w:val="227"/>
          <w:jc w:val="right"/>
        </w:trPr>
        <w:tc>
          <w:tcPr>
            <w:tcW w:w="8278" w:type="dxa"/>
            <w:gridSpan w:val="4"/>
            <w:tcBorders>
              <w:top w:val="single" w:sz="2" w:space="0" w:color="auto"/>
              <w:left w:val="nil"/>
              <w:bottom w:val="single" w:sz="2" w:space="0" w:color="auto"/>
              <w:right w:val="nil"/>
            </w:tcBorders>
            <w:shd w:val="clear" w:color="auto" w:fill="auto"/>
            <w:hideMark/>
          </w:tcPr>
          <w:p w14:paraId="79201A70" w14:textId="6624D372" w:rsidR="002A2EA6" w:rsidRPr="002A2EA6" w:rsidRDefault="002A2EA6" w:rsidP="007D560A">
            <w:pPr>
              <w:tabs>
                <w:tab w:val="left" w:pos="1872"/>
              </w:tabs>
              <w:spacing w:before="120" w:after="120"/>
              <w:rPr>
                <w:sz w:val="18"/>
                <w:szCs w:val="18"/>
              </w:rPr>
            </w:pPr>
            <w:r w:rsidRPr="002A2EA6">
              <w:rPr>
                <w:b/>
                <w:sz w:val="18"/>
                <w:szCs w:val="18"/>
              </w:rPr>
              <w:t xml:space="preserve">Article 8 </w:t>
            </w:r>
            <w:r w:rsidRPr="002A2EA6">
              <w:rPr>
                <w:bCs/>
                <w:sz w:val="18"/>
                <w:szCs w:val="18"/>
              </w:rPr>
              <w:t>(</w:t>
            </w:r>
            <w:r w:rsidRPr="002A2EA6">
              <w:rPr>
                <w:sz w:val="18"/>
                <w:szCs w:val="18"/>
              </w:rPr>
              <w:t>les indicateurs de l</w:t>
            </w:r>
            <w:r w:rsidR="00CA4DAC">
              <w:rPr>
                <w:sz w:val="18"/>
                <w:szCs w:val="18"/>
              </w:rPr>
              <w:t>’</w:t>
            </w:r>
            <w:r w:rsidRPr="002A2EA6">
              <w:rPr>
                <w:sz w:val="18"/>
                <w:szCs w:val="18"/>
              </w:rPr>
              <w:t>article 8 doivent être rapprochés des indicateurs de surveillance correspondants du tableau 4)</w:t>
            </w:r>
          </w:p>
        </w:tc>
      </w:tr>
      <w:tr w:rsidR="002A2EA6" w:rsidRPr="002A2EA6" w14:paraId="6CE4C6C1" w14:textId="77777777" w:rsidTr="00774149">
        <w:trPr>
          <w:trHeight w:val="454"/>
          <w:jc w:val="right"/>
        </w:trPr>
        <w:tc>
          <w:tcPr>
            <w:tcW w:w="1772" w:type="dxa"/>
            <w:tcBorders>
              <w:top w:val="single" w:sz="2" w:space="0" w:color="auto"/>
              <w:left w:val="nil"/>
              <w:bottom w:val="nil"/>
              <w:right w:val="nil"/>
            </w:tcBorders>
            <w:shd w:val="clear" w:color="auto" w:fill="auto"/>
            <w:hideMark/>
          </w:tcPr>
          <w:p w14:paraId="138A34FD" w14:textId="37F87814" w:rsidR="002A2EA6" w:rsidRPr="002A2EA6" w:rsidRDefault="002A2EA6" w:rsidP="002A2EA6">
            <w:pPr>
              <w:spacing w:before="20" w:after="20"/>
              <w:rPr>
                <w:sz w:val="18"/>
                <w:szCs w:val="18"/>
              </w:rPr>
            </w:pPr>
            <w:r w:rsidRPr="002A2EA6">
              <w:rPr>
                <w:sz w:val="18"/>
                <w:szCs w:val="18"/>
              </w:rPr>
              <w:t>D3. Indicateur de résultat pour l</w:t>
            </w:r>
            <w:r w:rsidR="00CA4DAC">
              <w:rPr>
                <w:sz w:val="18"/>
                <w:szCs w:val="18"/>
              </w:rPr>
              <w:t>’</w:t>
            </w:r>
            <w:r w:rsidRPr="002A2EA6">
              <w:rPr>
                <w:sz w:val="18"/>
                <w:szCs w:val="18"/>
              </w:rPr>
              <w:t>article 8</w:t>
            </w:r>
          </w:p>
        </w:tc>
        <w:tc>
          <w:tcPr>
            <w:tcW w:w="2783" w:type="dxa"/>
            <w:tcBorders>
              <w:top w:val="single" w:sz="2" w:space="0" w:color="auto"/>
              <w:left w:val="nil"/>
              <w:bottom w:val="nil"/>
              <w:right w:val="nil"/>
            </w:tcBorders>
            <w:shd w:val="clear" w:color="auto" w:fill="auto"/>
            <w:hideMark/>
          </w:tcPr>
          <w:p w14:paraId="381F98FD" w14:textId="31195420" w:rsidR="002A2EA6" w:rsidRPr="002A2EA6" w:rsidRDefault="002A2EA6" w:rsidP="002A2EA6">
            <w:pPr>
              <w:spacing w:before="20" w:after="20"/>
              <w:rPr>
                <w:sz w:val="18"/>
                <w:szCs w:val="18"/>
              </w:rPr>
            </w:pPr>
            <w:r w:rsidRPr="002A2EA6">
              <w:rPr>
                <w:sz w:val="18"/>
                <w:szCs w:val="18"/>
              </w:rPr>
              <w:t>Quantité totale de mercure émise pour chaque catégorie de sources ponctuelles à l</w:t>
            </w:r>
            <w:r w:rsidR="00CA4DAC">
              <w:rPr>
                <w:sz w:val="18"/>
                <w:szCs w:val="18"/>
              </w:rPr>
              <w:t>’</w:t>
            </w:r>
            <w:r w:rsidRPr="002A2EA6">
              <w:rPr>
                <w:sz w:val="18"/>
                <w:szCs w:val="18"/>
              </w:rPr>
              <w:t xml:space="preserve">Annexe D </w:t>
            </w:r>
          </w:p>
        </w:tc>
        <w:tc>
          <w:tcPr>
            <w:tcW w:w="1697" w:type="dxa"/>
            <w:tcBorders>
              <w:top w:val="single" w:sz="2" w:space="0" w:color="auto"/>
              <w:left w:val="nil"/>
              <w:bottom w:val="nil"/>
              <w:right w:val="nil"/>
            </w:tcBorders>
            <w:shd w:val="clear" w:color="auto" w:fill="auto"/>
            <w:hideMark/>
          </w:tcPr>
          <w:p w14:paraId="2F3CFBE6" w14:textId="787FA7D5" w:rsidR="002A2EA6" w:rsidRPr="002A2EA6" w:rsidRDefault="002A2EA6" w:rsidP="002A2EA6">
            <w:pPr>
              <w:tabs>
                <w:tab w:val="left" w:pos="1163"/>
              </w:tabs>
              <w:spacing w:before="20" w:after="2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p w14:paraId="5198862A" w14:textId="77777777" w:rsidR="002A2EA6" w:rsidRPr="002A2EA6" w:rsidRDefault="002A2EA6" w:rsidP="002A2EA6">
            <w:pPr>
              <w:tabs>
                <w:tab w:val="left" w:pos="1163"/>
              </w:tabs>
              <w:spacing w:before="20" w:after="20"/>
              <w:rPr>
                <w:rFonts w:eastAsia="Roboto"/>
                <w:sz w:val="18"/>
                <w:szCs w:val="18"/>
              </w:rPr>
            </w:pPr>
            <w:r w:rsidRPr="002A2EA6">
              <w:rPr>
                <w:sz w:val="18"/>
                <w:szCs w:val="18"/>
              </w:rPr>
              <w:t>- Inventaires</w:t>
            </w:r>
          </w:p>
        </w:tc>
        <w:tc>
          <w:tcPr>
            <w:tcW w:w="2026" w:type="dxa"/>
            <w:tcBorders>
              <w:top w:val="single" w:sz="2" w:space="0" w:color="auto"/>
              <w:left w:val="nil"/>
              <w:bottom w:val="nil"/>
              <w:right w:val="nil"/>
            </w:tcBorders>
            <w:shd w:val="clear" w:color="auto" w:fill="auto"/>
            <w:hideMark/>
          </w:tcPr>
          <w:p w14:paraId="635FCA67" w14:textId="4C507F07" w:rsidR="002A2EA6" w:rsidRPr="002A2EA6" w:rsidRDefault="00F25B0D" w:rsidP="002A2EA6">
            <w:pPr>
              <w:spacing w:before="20" w:after="20"/>
              <w:rPr>
                <w:rFonts w:eastAsia="Roboto"/>
                <w:sz w:val="18"/>
                <w:szCs w:val="18"/>
              </w:rPr>
            </w:pPr>
            <w:r>
              <w:rPr>
                <w:sz w:val="18"/>
                <w:szCs w:val="18"/>
              </w:rPr>
              <w:t xml:space="preserve">Quantité </w:t>
            </w:r>
            <w:r w:rsidR="002A2EA6" w:rsidRPr="002A2EA6">
              <w:rPr>
                <w:sz w:val="18"/>
                <w:szCs w:val="18"/>
              </w:rPr>
              <w:t>dans la première évaluation</w:t>
            </w:r>
          </w:p>
        </w:tc>
      </w:tr>
      <w:tr w:rsidR="002A2EA6" w:rsidRPr="002A2EA6" w14:paraId="119533FA" w14:textId="77777777" w:rsidTr="00774149">
        <w:trPr>
          <w:trHeight w:val="454"/>
          <w:jc w:val="right"/>
        </w:trPr>
        <w:tc>
          <w:tcPr>
            <w:tcW w:w="1772" w:type="dxa"/>
            <w:tcBorders>
              <w:top w:val="nil"/>
              <w:left w:val="nil"/>
              <w:bottom w:val="nil"/>
              <w:right w:val="nil"/>
            </w:tcBorders>
            <w:shd w:val="clear" w:color="auto" w:fill="auto"/>
            <w:hideMark/>
          </w:tcPr>
          <w:p w14:paraId="1FA9C530" w14:textId="19F55734" w:rsidR="002A2EA6" w:rsidRPr="002A2EA6" w:rsidRDefault="002A2EA6" w:rsidP="002A2EA6">
            <w:pPr>
              <w:spacing w:before="20" w:after="20"/>
              <w:rPr>
                <w:sz w:val="18"/>
                <w:szCs w:val="18"/>
              </w:rPr>
            </w:pPr>
            <w:r w:rsidRPr="002A2EA6">
              <w:rPr>
                <w:sz w:val="18"/>
                <w:szCs w:val="18"/>
              </w:rPr>
              <w:lastRenderedPageBreak/>
              <w:t>D4. Indicateur de méthode pour l</w:t>
            </w:r>
            <w:r w:rsidR="00CA4DAC">
              <w:rPr>
                <w:sz w:val="18"/>
                <w:szCs w:val="18"/>
              </w:rPr>
              <w:t>’</w:t>
            </w:r>
            <w:r w:rsidRPr="002A2EA6">
              <w:rPr>
                <w:sz w:val="18"/>
                <w:szCs w:val="18"/>
              </w:rPr>
              <w:t>article 8</w:t>
            </w:r>
          </w:p>
        </w:tc>
        <w:tc>
          <w:tcPr>
            <w:tcW w:w="2783" w:type="dxa"/>
            <w:tcBorders>
              <w:top w:val="nil"/>
              <w:left w:val="nil"/>
              <w:bottom w:val="nil"/>
              <w:right w:val="nil"/>
            </w:tcBorders>
            <w:shd w:val="clear" w:color="auto" w:fill="auto"/>
            <w:hideMark/>
          </w:tcPr>
          <w:p w14:paraId="4EFE8BA4" w14:textId="742A1D17" w:rsidR="002A2EA6" w:rsidRPr="002A2EA6" w:rsidRDefault="002A2EA6" w:rsidP="002A2EA6">
            <w:pPr>
              <w:tabs>
                <w:tab w:val="left" w:pos="1163"/>
              </w:tabs>
              <w:spacing w:before="20" w:after="20"/>
              <w:rPr>
                <w:rFonts w:eastAsia="Roboto"/>
                <w:sz w:val="18"/>
                <w:szCs w:val="18"/>
              </w:rPr>
            </w:pPr>
            <w:r w:rsidRPr="002A2EA6">
              <w:rPr>
                <w:sz w:val="18"/>
                <w:szCs w:val="18"/>
              </w:rPr>
              <w:t>Nombre de Parties qui nécessitent des MTD/MPE ou des valeurs limites d</w:t>
            </w:r>
            <w:r w:rsidR="00CA4DAC">
              <w:rPr>
                <w:sz w:val="18"/>
                <w:szCs w:val="18"/>
              </w:rPr>
              <w:t>’</w:t>
            </w:r>
            <w:r w:rsidRPr="002A2EA6">
              <w:rPr>
                <w:sz w:val="18"/>
                <w:szCs w:val="18"/>
              </w:rPr>
              <w:t>émission compatibles avec l</w:t>
            </w:r>
            <w:r w:rsidR="00CA4DAC">
              <w:rPr>
                <w:sz w:val="18"/>
                <w:szCs w:val="18"/>
              </w:rPr>
              <w:t>’</w:t>
            </w:r>
            <w:r w:rsidRPr="002A2EA6">
              <w:rPr>
                <w:sz w:val="18"/>
                <w:szCs w:val="18"/>
              </w:rPr>
              <w:t>application des MTD</w:t>
            </w:r>
          </w:p>
        </w:tc>
        <w:tc>
          <w:tcPr>
            <w:tcW w:w="1697" w:type="dxa"/>
            <w:tcBorders>
              <w:top w:val="nil"/>
              <w:left w:val="nil"/>
              <w:bottom w:val="nil"/>
              <w:right w:val="nil"/>
            </w:tcBorders>
            <w:shd w:val="clear" w:color="auto" w:fill="auto"/>
            <w:hideMark/>
          </w:tcPr>
          <w:p w14:paraId="163FFE2E" w14:textId="4DAD0F49" w:rsidR="002A2EA6" w:rsidRPr="002A2EA6" w:rsidRDefault="002A2EA6" w:rsidP="002A2EA6">
            <w:pPr>
              <w:tabs>
                <w:tab w:val="left" w:pos="1163"/>
              </w:tabs>
              <w:spacing w:before="20" w:after="2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nil"/>
              <w:left w:val="nil"/>
              <w:bottom w:val="nil"/>
              <w:right w:val="nil"/>
            </w:tcBorders>
            <w:shd w:val="clear" w:color="auto" w:fill="auto"/>
            <w:hideMark/>
          </w:tcPr>
          <w:p w14:paraId="3006D7E5" w14:textId="77777777" w:rsidR="002A2EA6" w:rsidRPr="002A2EA6" w:rsidRDefault="002A2EA6" w:rsidP="002A2EA6">
            <w:pPr>
              <w:tabs>
                <w:tab w:val="left" w:pos="1163"/>
              </w:tabs>
              <w:spacing w:before="20" w:after="20"/>
              <w:rPr>
                <w:rFonts w:eastAsia="Roboto"/>
                <w:sz w:val="18"/>
                <w:szCs w:val="18"/>
              </w:rPr>
            </w:pPr>
            <w:r w:rsidRPr="002A2EA6">
              <w:rPr>
                <w:sz w:val="18"/>
                <w:szCs w:val="18"/>
              </w:rPr>
              <w:t>Nombre dans la première évaluation</w:t>
            </w:r>
          </w:p>
        </w:tc>
      </w:tr>
      <w:tr w:rsidR="002A2EA6" w:rsidRPr="002A2EA6" w14:paraId="3D298DD4" w14:textId="77777777" w:rsidTr="00774149">
        <w:trPr>
          <w:trHeight w:val="454"/>
          <w:jc w:val="right"/>
        </w:trPr>
        <w:tc>
          <w:tcPr>
            <w:tcW w:w="1772" w:type="dxa"/>
            <w:tcBorders>
              <w:top w:val="nil"/>
              <w:left w:val="nil"/>
              <w:bottom w:val="nil"/>
              <w:right w:val="nil"/>
            </w:tcBorders>
            <w:shd w:val="clear" w:color="auto" w:fill="auto"/>
            <w:hideMark/>
          </w:tcPr>
          <w:p w14:paraId="23F7B1BF" w14:textId="6E10542F" w:rsidR="002A2EA6" w:rsidRPr="002A2EA6" w:rsidRDefault="002A2EA6" w:rsidP="002A2EA6">
            <w:pPr>
              <w:spacing w:before="20" w:after="20"/>
              <w:rPr>
                <w:sz w:val="18"/>
                <w:szCs w:val="18"/>
              </w:rPr>
            </w:pPr>
            <w:r w:rsidRPr="002A2EA6">
              <w:rPr>
                <w:sz w:val="18"/>
                <w:szCs w:val="18"/>
              </w:rPr>
              <w:t>D5. Indicateur de méthode pour l</w:t>
            </w:r>
            <w:r w:rsidR="00CA4DAC">
              <w:rPr>
                <w:sz w:val="18"/>
                <w:szCs w:val="18"/>
              </w:rPr>
              <w:t>’</w:t>
            </w:r>
            <w:r w:rsidRPr="002A2EA6">
              <w:rPr>
                <w:sz w:val="18"/>
                <w:szCs w:val="18"/>
              </w:rPr>
              <w:t>article 8</w:t>
            </w:r>
          </w:p>
        </w:tc>
        <w:tc>
          <w:tcPr>
            <w:tcW w:w="2783" w:type="dxa"/>
            <w:tcBorders>
              <w:top w:val="nil"/>
              <w:left w:val="nil"/>
              <w:bottom w:val="nil"/>
              <w:right w:val="nil"/>
            </w:tcBorders>
            <w:shd w:val="clear" w:color="auto" w:fill="auto"/>
            <w:hideMark/>
          </w:tcPr>
          <w:p w14:paraId="706AC181" w14:textId="0E8CEE6B" w:rsidR="002A2EA6" w:rsidRPr="002A2EA6" w:rsidRDefault="002A2EA6" w:rsidP="002A2EA6">
            <w:pPr>
              <w:spacing w:before="20" w:after="20"/>
              <w:rPr>
                <w:sz w:val="18"/>
                <w:szCs w:val="18"/>
              </w:rPr>
            </w:pPr>
            <w:r w:rsidRPr="002A2EA6">
              <w:rPr>
                <w:sz w:val="18"/>
                <w:szCs w:val="18"/>
              </w:rPr>
              <w:t>Nombre de Parties ayant mis en place des mesures de contrôle pour les sources existantes (pour chacune des mesures énoncées au paragraphe 5 de l</w:t>
            </w:r>
            <w:r w:rsidR="00CA4DAC">
              <w:rPr>
                <w:sz w:val="18"/>
                <w:szCs w:val="18"/>
              </w:rPr>
              <w:t>’</w:t>
            </w:r>
            <w:r w:rsidRPr="002A2EA6">
              <w:rPr>
                <w:sz w:val="18"/>
                <w:szCs w:val="18"/>
              </w:rPr>
              <w:t>article 8)</w:t>
            </w:r>
          </w:p>
        </w:tc>
        <w:tc>
          <w:tcPr>
            <w:tcW w:w="1697" w:type="dxa"/>
            <w:tcBorders>
              <w:top w:val="nil"/>
              <w:left w:val="nil"/>
              <w:bottom w:val="nil"/>
              <w:right w:val="nil"/>
            </w:tcBorders>
            <w:shd w:val="clear" w:color="auto" w:fill="auto"/>
            <w:hideMark/>
          </w:tcPr>
          <w:p w14:paraId="4A8E58E4" w14:textId="4475DEFE" w:rsidR="002A2EA6" w:rsidRPr="002A2EA6" w:rsidRDefault="002A2EA6" w:rsidP="002A2EA6">
            <w:pPr>
              <w:spacing w:before="20" w:after="2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nil"/>
              <w:left w:val="nil"/>
              <w:bottom w:val="nil"/>
              <w:right w:val="nil"/>
            </w:tcBorders>
            <w:shd w:val="clear" w:color="auto" w:fill="auto"/>
            <w:hideMark/>
          </w:tcPr>
          <w:p w14:paraId="51F4F360" w14:textId="77777777" w:rsidR="002A2EA6" w:rsidRPr="002A2EA6" w:rsidRDefault="002A2EA6" w:rsidP="002A2EA6">
            <w:pPr>
              <w:spacing w:before="20" w:after="20"/>
              <w:rPr>
                <w:rFonts w:eastAsia="Roboto"/>
                <w:sz w:val="18"/>
                <w:szCs w:val="18"/>
              </w:rPr>
            </w:pPr>
            <w:r w:rsidRPr="002A2EA6">
              <w:rPr>
                <w:sz w:val="18"/>
                <w:szCs w:val="18"/>
              </w:rPr>
              <w:t>Nombre dans la première évaluation</w:t>
            </w:r>
          </w:p>
        </w:tc>
      </w:tr>
      <w:tr w:rsidR="002A2EA6" w:rsidRPr="002A2EA6" w14:paraId="24D49D42" w14:textId="77777777" w:rsidTr="00774149">
        <w:trPr>
          <w:trHeight w:val="454"/>
          <w:jc w:val="right"/>
        </w:trPr>
        <w:tc>
          <w:tcPr>
            <w:tcW w:w="1772" w:type="dxa"/>
            <w:tcBorders>
              <w:top w:val="nil"/>
              <w:left w:val="nil"/>
              <w:bottom w:val="single" w:sz="2" w:space="0" w:color="auto"/>
              <w:right w:val="nil"/>
            </w:tcBorders>
            <w:shd w:val="clear" w:color="auto" w:fill="auto"/>
            <w:hideMark/>
          </w:tcPr>
          <w:p w14:paraId="7E32E3B1" w14:textId="73DFCD24" w:rsidR="002A2EA6" w:rsidRPr="002A2EA6" w:rsidRDefault="002A2EA6" w:rsidP="002A2EA6">
            <w:pPr>
              <w:spacing w:before="20" w:after="20"/>
              <w:rPr>
                <w:sz w:val="18"/>
                <w:szCs w:val="18"/>
              </w:rPr>
            </w:pPr>
            <w:r w:rsidRPr="002A2EA6">
              <w:rPr>
                <w:sz w:val="18"/>
                <w:szCs w:val="18"/>
              </w:rPr>
              <w:t>D6. Indicateur de méthode pour l</w:t>
            </w:r>
            <w:r w:rsidR="00CA4DAC">
              <w:rPr>
                <w:sz w:val="18"/>
                <w:szCs w:val="18"/>
              </w:rPr>
              <w:t>’</w:t>
            </w:r>
            <w:r w:rsidRPr="002A2EA6">
              <w:rPr>
                <w:sz w:val="18"/>
                <w:szCs w:val="18"/>
              </w:rPr>
              <w:t>article 8</w:t>
            </w:r>
          </w:p>
        </w:tc>
        <w:tc>
          <w:tcPr>
            <w:tcW w:w="2783" w:type="dxa"/>
            <w:tcBorders>
              <w:top w:val="nil"/>
              <w:left w:val="nil"/>
              <w:bottom w:val="single" w:sz="2" w:space="0" w:color="auto"/>
              <w:right w:val="nil"/>
            </w:tcBorders>
            <w:shd w:val="clear" w:color="auto" w:fill="auto"/>
            <w:hideMark/>
          </w:tcPr>
          <w:p w14:paraId="0155E9CD" w14:textId="77777777" w:rsidR="002A2EA6" w:rsidRPr="002A2EA6" w:rsidRDefault="002A2EA6" w:rsidP="002A2EA6">
            <w:pPr>
              <w:spacing w:before="20" w:after="20"/>
              <w:rPr>
                <w:rFonts w:eastAsia="Roboto"/>
                <w:sz w:val="18"/>
                <w:szCs w:val="18"/>
              </w:rPr>
            </w:pPr>
            <w:r w:rsidRPr="002A2EA6">
              <w:rPr>
                <w:sz w:val="18"/>
                <w:szCs w:val="18"/>
              </w:rPr>
              <w:t xml:space="preserve">Nombre de Parties ayant créé et tenu à jour un inventaire des émissions </w:t>
            </w:r>
          </w:p>
        </w:tc>
        <w:tc>
          <w:tcPr>
            <w:tcW w:w="1697" w:type="dxa"/>
            <w:tcBorders>
              <w:top w:val="nil"/>
              <w:left w:val="nil"/>
              <w:bottom w:val="single" w:sz="2" w:space="0" w:color="auto"/>
              <w:right w:val="nil"/>
            </w:tcBorders>
            <w:shd w:val="clear" w:color="auto" w:fill="auto"/>
            <w:hideMark/>
          </w:tcPr>
          <w:p w14:paraId="57F7118C" w14:textId="54A43897" w:rsidR="002A2EA6" w:rsidRPr="002A2EA6" w:rsidRDefault="002A2EA6" w:rsidP="002A2EA6">
            <w:pPr>
              <w:spacing w:before="20" w:after="20"/>
              <w:rPr>
                <w:iCs/>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nil"/>
              <w:left w:val="nil"/>
              <w:bottom w:val="single" w:sz="2" w:space="0" w:color="auto"/>
              <w:right w:val="nil"/>
            </w:tcBorders>
            <w:shd w:val="clear" w:color="auto" w:fill="auto"/>
            <w:hideMark/>
          </w:tcPr>
          <w:p w14:paraId="3C690AEB" w14:textId="77777777" w:rsidR="002A2EA6" w:rsidRPr="002A2EA6" w:rsidRDefault="002A2EA6" w:rsidP="002A2EA6">
            <w:pPr>
              <w:spacing w:before="20" w:after="20"/>
              <w:rPr>
                <w:sz w:val="18"/>
                <w:szCs w:val="18"/>
              </w:rPr>
            </w:pPr>
            <w:r w:rsidRPr="002A2EA6">
              <w:rPr>
                <w:sz w:val="18"/>
                <w:szCs w:val="18"/>
              </w:rPr>
              <w:t>Nombre dans la première évaluation</w:t>
            </w:r>
          </w:p>
        </w:tc>
      </w:tr>
      <w:tr w:rsidR="002A2EA6" w:rsidRPr="002A2EA6" w14:paraId="55D6EE4F" w14:textId="77777777" w:rsidTr="00774149">
        <w:trPr>
          <w:trHeight w:val="227"/>
          <w:jc w:val="right"/>
        </w:trPr>
        <w:tc>
          <w:tcPr>
            <w:tcW w:w="8278" w:type="dxa"/>
            <w:gridSpan w:val="4"/>
            <w:tcBorders>
              <w:top w:val="single" w:sz="2" w:space="0" w:color="auto"/>
              <w:left w:val="nil"/>
              <w:bottom w:val="single" w:sz="2" w:space="0" w:color="auto"/>
              <w:right w:val="nil"/>
            </w:tcBorders>
            <w:shd w:val="clear" w:color="auto" w:fill="auto"/>
            <w:hideMark/>
          </w:tcPr>
          <w:p w14:paraId="0BA1B62F" w14:textId="37F2AB5E" w:rsidR="002A2EA6" w:rsidRPr="002A2EA6" w:rsidRDefault="002A2EA6" w:rsidP="007D560A">
            <w:pPr>
              <w:tabs>
                <w:tab w:val="left" w:pos="1872"/>
              </w:tabs>
              <w:spacing w:before="120" w:after="120"/>
              <w:rPr>
                <w:sz w:val="18"/>
                <w:szCs w:val="18"/>
              </w:rPr>
            </w:pPr>
            <w:r w:rsidRPr="002A2EA6">
              <w:rPr>
                <w:b/>
                <w:sz w:val="18"/>
                <w:szCs w:val="18"/>
              </w:rPr>
              <w:t xml:space="preserve">Article 9 </w:t>
            </w:r>
            <w:r w:rsidRPr="002A2EA6">
              <w:rPr>
                <w:bCs/>
                <w:sz w:val="18"/>
                <w:szCs w:val="18"/>
              </w:rPr>
              <w:t>(</w:t>
            </w:r>
            <w:r w:rsidRPr="002A2EA6">
              <w:rPr>
                <w:sz w:val="18"/>
                <w:szCs w:val="18"/>
              </w:rPr>
              <w:t>les indicateurs de l</w:t>
            </w:r>
            <w:r w:rsidR="00CA4DAC">
              <w:rPr>
                <w:sz w:val="18"/>
                <w:szCs w:val="18"/>
              </w:rPr>
              <w:t>’</w:t>
            </w:r>
            <w:r w:rsidRPr="002A2EA6">
              <w:rPr>
                <w:sz w:val="18"/>
                <w:szCs w:val="18"/>
              </w:rPr>
              <w:t>article 9 doivent être rapprochés des indicateurs de surveillance correspondants du tableau 4)</w:t>
            </w:r>
          </w:p>
        </w:tc>
      </w:tr>
      <w:tr w:rsidR="002A2EA6" w:rsidRPr="002A2EA6" w14:paraId="047806A0" w14:textId="77777777" w:rsidTr="00774149">
        <w:trPr>
          <w:trHeight w:val="454"/>
          <w:jc w:val="right"/>
        </w:trPr>
        <w:tc>
          <w:tcPr>
            <w:tcW w:w="1772" w:type="dxa"/>
            <w:tcBorders>
              <w:top w:val="single" w:sz="2" w:space="0" w:color="auto"/>
              <w:left w:val="nil"/>
              <w:bottom w:val="nil"/>
              <w:right w:val="nil"/>
            </w:tcBorders>
            <w:shd w:val="clear" w:color="auto" w:fill="auto"/>
            <w:hideMark/>
          </w:tcPr>
          <w:p w14:paraId="3181203F" w14:textId="1DCF9680" w:rsidR="002A2EA6" w:rsidRPr="002A2EA6" w:rsidRDefault="002A2EA6" w:rsidP="002A2EA6">
            <w:pPr>
              <w:tabs>
                <w:tab w:val="left" w:pos="1163"/>
              </w:tabs>
              <w:spacing w:before="20" w:after="20"/>
              <w:rPr>
                <w:sz w:val="18"/>
                <w:szCs w:val="18"/>
              </w:rPr>
            </w:pPr>
            <w:r w:rsidRPr="002A2EA6">
              <w:rPr>
                <w:sz w:val="18"/>
                <w:szCs w:val="18"/>
              </w:rPr>
              <w:t>D7. Indicateur de résultat pour l</w:t>
            </w:r>
            <w:r w:rsidR="00CA4DAC">
              <w:rPr>
                <w:sz w:val="18"/>
                <w:szCs w:val="18"/>
              </w:rPr>
              <w:t>’</w:t>
            </w:r>
            <w:r w:rsidRPr="002A2EA6">
              <w:rPr>
                <w:sz w:val="18"/>
                <w:szCs w:val="18"/>
              </w:rPr>
              <w:t>article 9</w:t>
            </w:r>
          </w:p>
        </w:tc>
        <w:tc>
          <w:tcPr>
            <w:tcW w:w="2783" w:type="dxa"/>
            <w:tcBorders>
              <w:top w:val="single" w:sz="2" w:space="0" w:color="auto"/>
              <w:left w:val="nil"/>
              <w:bottom w:val="nil"/>
              <w:right w:val="nil"/>
            </w:tcBorders>
            <w:shd w:val="clear" w:color="auto" w:fill="auto"/>
            <w:hideMark/>
          </w:tcPr>
          <w:p w14:paraId="41BED8AB" w14:textId="454F46D6" w:rsidR="002A2EA6" w:rsidRPr="002A2EA6" w:rsidRDefault="002A2EA6" w:rsidP="002A2EA6">
            <w:pPr>
              <w:spacing w:before="20" w:after="20"/>
              <w:rPr>
                <w:rFonts w:eastAsia="Roboto"/>
                <w:sz w:val="18"/>
                <w:szCs w:val="18"/>
              </w:rPr>
            </w:pPr>
            <w:r w:rsidRPr="002A2EA6">
              <w:rPr>
                <w:sz w:val="18"/>
                <w:szCs w:val="18"/>
              </w:rPr>
              <w:t>Quantité totale de rejets de mercure dans l</w:t>
            </w:r>
            <w:r w:rsidR="00CA4DAC">
              <w:rPr>
                <w:sz w:val="18"/>
                <w:szCs w:val="18"/>
              </w:rPr>
              <w:t>’</w:t>
            </w:r>
            <w:r w:rsidRPr="002A2EA6">
              <w:rPr>
                <w:sz w:val="18"/>
                <w:szCs w:val="18"/>
              </w:rPr>
              <w:t xml:space="preserve">inventaire provenant de sources pertinentes </w:t>
            </w:r>
          </w:p>
        </w:tc>
        <w:tc>
          <w:tcPr>
            <w:tcW w:w="1697" w:type="dxa"/>
            <w:tcBorders>
              <w:top w:val="single" w:sz="2" w:space="0" w:color="auto"/>
              <w:left w:val="nil"/>
              <w:bottom w:val="nil"/>
              <w:right w:val="nil"/>
            </w:tcBorders>
            <w:shd w:val="clear" w:color="auto" w:fill="auto"/>
            <w:hideMark/>
          </w:tcPr>
          <w:p w14:paraId="518AF269" w14:textId="51F4B2C8" w:rsidR="002A2EA6" w:rsidRPr="002A2EA6" w:rsidRDefault="002A2EA6" w:rsidP="002A2EA6">
            <w:pPr>
              <w:tabs>
                <w:tab w:val="left" w:pos="1163"/>
              </w:tabs>
              <w:spacing w:before="20" w:after="2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p w14:paraId="5A827B43" w14:textId="77777777" w:rsidR="002A2EA6" w:rsidRPr="002A2EA6" w:rsidRDefault="002A2EA6" w:rsidP="002A2EA6">
            <w:pPr>
              <w:spacing w:before="20" w:after="20"/>
              <w:rPr>
                <w:rFonts w:eastAsia="Roboto"/>
                <w:sz w:val="18"/>
                <w:szCs w:val="18"/>
              </w:rPr>
            </w:pPr>
            <w:r w:rsidRPr="002A2EA6">
              <w:rPr>
                <w:sz w:val="18"/>
                <w:szCs w:val="18"/>
              </w:rPr>
              <w:t>- Inventaires</w:t>
            </w:r>
          </w:p>
        </w:tc>
        <w:tc>
          <w:tcPr>
            <w:tcW w:w="2026" w:type="dxa"/>
            <w:tcBorders>
              <w:top w:val="single" w:sz="2" w:space="0" w:color="auto"/>
              <w:left w:val="nil"/>
              <w:bottom w:val="nil"/>
              <w:right w:val="nil"/>
            </w:tcBorders>
            <w:shd w:val="clear" w:color="auto" w:fill="auto"/>
            <w:hideMark/>
          </w:tcPr>
          <w:p w14:paraId="5ABFA05D" w14:textId="13267516" w:rsidR="002A2EA6" w:rsidRPr="002A2EA6" w:rsidRDefault="00162D20" w:rsidP="002A2EA6">
            <w:pPr>
              <w:spacing w:before="20" w:after="20"/>
              <w:rPr>
                <w:rFonts w:eastAsia="Roboto"/>
                <w:sz w:val="18"/>
                <w:szCs w:val="18"/>
              </w:rPr>
            </w:pPr>
            <w:r>
              <w:rPr>
                <w:sz w:val="18"/>
                <w:szCs w:val="18"/>
              </w:rPr>
              <w:t xml:space="preserve">Quantité </w:t>
            </w:r>
            <w:r w:rsidR="002A2EA6" w:rsidRPr="002A2EA6">
              <w:rPr>
                <w:sz w:val="18"/>
                <w:szCs w:val="18"/>
              </w:rPr>
              <w:t>dans la première évaluation</w:t>
            </w:r>
          </w:p>
        </w:tc>
      </w:tr>
      <w:tr w:rsidR="002A2EA6" w:rsidRPr="002A2EA6" w14:paraId="6D47F9EC" w14:textId="77777777" w:rsidTr="00774149">
        <w:trPr>
          <w:trHeight w:val="255"/>
          <w:jc w:val="right"/>
        </w:trPr>
        <w:tc>
          <w:tcPr>
            <w:tcW w:w="1772" w:type="dxa"/>
            <w:tcBorders>
              <w:top w:val="nil"/>
              <w:left w:val="nil"/>
              <w:bottom w:val="nil"/>
              <w:right w:val="nil"/>
            </w:tcBorders>
            <w:shd w:val="clear" w:color="auto" w:fill="auto"/>
            <w:hideMark/>
          </w:tcPr>
          <w:p w14:paraId="0BA2DEC0" w14:textId="2546D015" w:rsidR="002A2EA6" w:rsidRPr="002A2EA6" w:rsidRDefault="002A2EA6" w:rsidP="002A2EA6">
            <w:pPr>
              <w:tabs>
                <w:tab w:val="left" w:pos="1163"/>
              </w:tabs>
              <w:spacing w:before="20" w:after="20"/>
              <w:rPr>
                <w:sz w:val="18"/>
                <w:szCs w:val="18"/>
              </w:rPr>
            </w:pPr>
            <w:r w:rsidRPr="002A2EA6">
              <w:rPr>
                <w:sz w:val="18"/>
                <w:szCs w:val="18"/>
              </w:rPr>
              <w:t>D8. Indicateur de méthode pour l</w:t>
            </w:r>
            <w:r w:rsidR="00CA4DAC">
              <w:rPr>
                <w:sz w:val="18"/>
                <w:szCs w:val="18"/>
              </w:rPr>
              <w:t>’</w:t>
            </w:r>
            <w:r w:rsidRPr="002A2EA6">
              <w:rPr>
                <w:sz w:val="18"/>
                <w:szCs w:val="18"/>
              </w:rPr>
              <w:t>article 9</w:t>
            </w:r>
          </w:p>
        </w:tc>
        <w:tc>
          <w:tcPr>
            <w:tcW w:w="2783" w:type="dxa"/>
            <w:tcBorders>
              <w:top w:val="nil"/>
              <w:left w:val="nil"/>
              <w:bottom w:val="nil"/>
              <w:right w:val="nil"/>
            </w:tcBorders>
            <w:shd w:val="clear" w:color="auto" w:fill="auto"/>
            <w:hideMark/>
          </w:tcPr>
          <w:p w14:paraId="02482F31" w14:textId="77777777" w:rsidR="002A2EA6" w:rsidRPr="002A2EA6" w:rsidRDefault="002A2EA6" w:rsidP="002A2EA6">
            <w:pPr>
              <w:spacing w:before="20" w:after="20"/>
              <w:rPr>
                <w:rFonts w:eastAsia="Roboto"/>
                <w:sz w:val="18"/>
                <w:szCs w:val="18"/>
              </w:rPr>
            </w:pPr>
            <w:r w:rsidRPr="002A2EA6">
              <w:rPr>
                <w:sz w:val="18"/>
                <w:szCs w:val="18"/>
              </w:rPr>
              <w:t>Nombre de Parties ayant recensé des sources pertinentes</w:t>
            </w:r>
          </w:p>
        </w:tc>
        <w:tc>
          <w:tcPr>
            <w:tcW w:w="1697" w:type="dxa"/>
            <w:tcBorders>
              <w:top w:val="nil"/>
              <w:left w:val="nil"/>
              <w:bottom w:val="nil"/>
              <w:right w:val="nil"/>
            </w:tcBorders>
            <w:shd w:val="clear" w:color="auto" w:fill="auto"/>
            <w:hideMark/>
          </w:tcPr>
          <w:p w14:paraId="26470A33" w14:textId="0B9B8426" w:rsidR="002A2EA6" w:rsidRPr="002A2EA6" w:rsidRDefault="002A2EA6" w:rsidP="002A2EA6">
            <w:pPr>
              <w:spacing w:before="20" w:after="2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nil"/>
              <w:left w:val="nil"/>
              <w:bottom w:val="nil"/>
              <w:right w:val="nil"/>
            </w:tcBorders>
            <w:shd w:val="clear" w:color="auto" w:fill="auto"/>
            <w:hideMark/>
          </w:tcPr>
          <w:p w14:paraId="0E5EFE21" w14:textId="77777777" w:rsidR="002A2EA6" w:rsidRPr="002A2EA6" w:rsidRDefault="002A2EA6" w:rsidP="002A2EA6">
            <w:pPr>
              <w:spacing w:before="20" w:after="20"/>
              <w:rPr>
                <w:rFonts w:eastAsia="Roboto"/>
                <w:sz w:val="18"/>
                <w:szCs w:val="18"/>
              </w:rPr>
            </w:pPr>
            <w:r w:rsidRPr="002A2EA6">
              <w:rPr>
                <w:sz w:val="18"/>
                <w:szCs w:val="18"/>
              </w:rPr>
              <w:t>Nombre dans la première évaluation</w:t>
            </w:r>
          </w:p>
        </w:tc>
      </w:tr>
      <w:tr w:rsidR="002A2EA6" w:rsidRPr="002A2EA6" w14:paraId="22698136" w14:textId="77777777" w:rsidTr="00774149">
        <w:trPr>
          <w:trHeight w:val="454"/>
          <w:jc w:val="right"/>
        </w:trPr>
        <w:tc>
          <w:tcPr>
            <w:tcW w:w="1772" w:type="dxa"/>
            <w:tcBorders>
              <w:top w:val="nil"/>
              <w:left w:val="nil"/>
              <w:bottom w:val="single" w:sz="2" w:space="0" w:color="auto"/>
              <w:right w:val="nil"/>
            </w:tcBorders>
            <w:shd w:val="clear" w:color="auto" w:fill="auto"/>
            <w:hideMark/>
          </w:tcPr>
          <w:p w14:paraId="7D4BCCF0" w14:textId="168962DD" w:rsidR="002A2EA6" w:rsidRPr="002A2EA6" w:rsidRDefault="002A2EA6" w:rsidP="002A2EA6">
            <w:pPr>
              <w:tabs>
                <w:tab w:val="left" w:pos="1163"/>
              </w:tabs>
              <w:spacing w:before="20" w:after="20"/>
              <w:rPr>
                <w:sz w:val="18"/>
                <w:szCs w:val="18"/>
              </w:rPr>
            </w:pPr>
            <w:r w:rsidRPr="002A2EA6">
              <w:rPr>
                <w:sz w:val="18"/>
                <w:szCs w:val="18"/>
              </w:rPr>
              <w:t>D9. Indicateur de méthode pour l</w:t>
            </w:r>
            <w:r w:rsidR="00CA4DAC">
              <w:rPr>
                <w:sz w:val="18"/>
                <w:szCs w:val="18"/>
              </w:rPr>
              <w:t>’</w:t>
            </w:r>
            <w:r w:rsidRPr="002A2EA6">
              <w:rPr>
                <w:sz w:val="18"/>
                <w:szCs w:val="18"/>
              </w:rPr>
              <w:t>article 9</w:t>
            </w:r>
          </w:p>
        </w:tc>
        <w:tc>
          <w:tcPr>
            <w:tcW w:w="2783" w:type="dxa"/>
            <w:tcBorders>
              <w:top w:val="nil"/>
              <w:left w:val="nil"/>
              <w:bottom w:val="single" w:sz="2" w:space="0" w:color="auto"/>
              <w:right w:val="nil"/>
            </w:tcBorders>
            <w:shd w:val="clear" w:color="auto" w:fill="auto"/>
            <w:hideMark/>
          </w:tcPr>
          <w:p w14:paraId="60021D47" w14:textId="77777777" w:rsidR="002A2EA6" w:rsidRPr="002A2EA6" w:rsidRDefault="002A2EA6" w:rsidP="002A2EA6">
            <w:pPr>
              <w:spacing w:before="20" w:after="20"/>
              <w:rPr>
                <w:rFonts w:eastAsia="Roboto"/>
                <w:sz w:val="18"/>
                <w:szCs w:val="18"/>
              </w:rPr>
            </w:pPr>
            <w:r w:rsidRPr="002A2EA6">
              <w:rPr>
                <w:sz w:val="18"/>
                <w:szCs w:val="18"/>
              </w:rPr>
              <w:t>Nombre de Parties ayant créé et tenu à jour un inventaire des rejets des sources pertinentes</w:t>
            </w:r>
          </w:p>
        </w:tc>
        <w:tc>
          <w:tcPr>
            <w:tcW w:w="1697" w:type="dxa"/>
            <w:tcBorders>
              <w:top w:val="nil"/>
              <w:left w:val="nil"/>
              <w:bottom w:val="single" w:sz="2" w:space="0" w:color="auto"/>
              <w:right w:val="nil"/>
            </w:tcBorders>
            <w:shd w:val="clear" w:color="auto" w:fill="auto"/>
            <w:hideMark/>
          </w:tcPr>
          <w:p w14:paraId="4C2A2401" w14:textId="07460FE9" w:rsidR="002A2EA6" w:rsidRPr="002A2EA6" w:rsidRDefault="002A2EA6" w:rsidP="002A2EA6">
            <w:pPr>
              <w:spacing w:before="20" w:after="2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nil"/>
              <w:left w:val="nil"/>
              <w:bottom w:val="single" w:sz="2" w:space="0" w:color="auto"/>
              <w:right w:val="nil"/>
            </w:tcBorders>
            <w:shd w:val="clear" w:color="auto" w:fill="auto"/>
            <w:hideMark/>
          </w:tcPr>
          <w:p w14:paraId="07B413D5" w14:textId="77777777" w:rsidR="002A2EA6" w:rsidRPr="002A2EA6" w:rsidRDefault="002A2EA6" w:rsidP="002A2EA6">
            <w:pPr>
              <w:spacing w:before="20" w:after="20"/>
              <w:rPr>
                <w:rFonts w:eastAsia="Roboto"/>
                <w:sz w:val="18"/>
                <w:szCs w:val="18"/>
              </w:rPr>
            </w:pPr>
            <w:r w:rsidRPr="002A2EA6">
              <w:rPr>
                <w:sz w:val="18"/>
                <w:szCs w:val="18"/>
              </w:rPr>
              <w:t>Nombre dans la première évaluation</w:t>
            </w:r>
          </w:p>
        </w:tc>
      </w:tr>
      <w:tr w:rsidR="002A2EA6" w:rsidRPr="002A2EA6" w14:paraId="446F808D" w14:textId="77777777" w:rsidTr="00774149">
        <w:trPr>
          <w:trHeight w:val="227"/>
          <w:jc w:val="right"/>
        </w:trPr>
        <w:tc>
          <w:tcPr>
            <w:tcW w:w="1772" w:type="dxa"/>
            <w:tcBorders>
              <w:top w:val="single" w:sz="2" w:space="0" w:color="auto"/>
              <w:left w:val="nil"/>
              <w:bottom w:val="single" w:sz="2" w:space="0" w:color="auto"/>
              <w:right w:val="nil"/>
            </w:tcBorders>
            <w:shd w:val="clear" w:color="auto" w:fill="auto"/>
            <w:hideMark/>
          </w:tcPr>
          <w:p w14:paraId="448EBC40" w14:textId="77777777" w:rsidR="002A2EA6" w:rsidRPr="002A2EA6" w:rsidRDefault="002A2EA6" w:rsidP="007D560A">
            <w:pPr>
              <w:tabs>
                <w:tab w:val="left" w:pos="1163"/>
              </w:tabs>
              <w:spacing w:before="120" w:after="120"/>
              <w:rPr>
                <w:b/>
                <w:sz w:val="18"/>
                <w:szCs w:val="18"/>
              </w:rPr>
            </w:pPr>
            <w:r w:rsidRPr="002A2EA6">
              <w:rPr>
                <w:b/>
                <w:sz w:val="18"/>
                <w:szCs w:val="18"/>
              </w:rPr>
              <w:t>Article 12</w:t>
            </w:r>
          </w:p>
        </w:tc>
        <w:tc>
          <w:tcPr>
            <w:tcW w:w="2783" w:type="dxa"/>
            <w:tcBorders>
              <w:top w:val="single" w:sz="2" w:space="0" w:color="auto"/>
              <w:left w:val="nil"/>
              <w:bottom w:val="single" w:sz="2" w:space="0" w:color="auto"/>
              <w:right w:val="nil"/>
            </w:tcBorders>
            <w:shd w:val="clear" w:color="auto" w:fill="auto"/>
          </w:tcPr>
          <w:p w14:paraId="32D8AF9A" w14:textId="77777777" w:rsidR="002A2EA6" w:rsidRPr="002A2EA6" w:rsidRDefault="002A2EA6" w:rsidP="007D560A">
            <w:pPr>
              <w:spacing w:before="120" w:after="120"/>
              <w:rPr>
                <w:i/>
                <w:iCs/>
                <w:sz w:val="18"/>
                <w:szCs w:val="18"/>
              </w:rPr>
            </w:pPr>
          </w:p>
        </w:tc>
        <w:tc>
          <w:tcPr>
            <w:tcW w:w="1697" w:type="dxa"/>
            <w:tcBorders>
              <w:top w:val="single" w:sz="2" w:space="0" w:color="auto"/>
              <w:left w:val="nil"/>
              <w:bottom w:val="single" w:sz="2" w:space="0" w:color="auto"/>
              <w:right w:val="nil"/>
            </w:tcBorders>
            <w:shd w:val="clear" w:color="auto" w:fill="auto"/>
          </w:tcPr>
          <w:p w14:paraId="3DD5844E" w14:textId="77777777" w:rsidR="002A2EA6" w:rsidRPr="002A2EA6" w:rsidRDefault="002A2EA6" w:rsidP="007D560A">
            <w:pPr>
              <w:spacing w:before="120" w:after="120"/>
              <w:rPr>
                <w:sz w:val="18"/>
                <w:szCs w:val="18"/>
              </w:rPr>
            </w:pPr>
          </w:p>
        </w:tc>
        <w:tc>
          <w:tcPr>
            <w:tcW w:w="2026" w:type="dxa"/>
            <w:tcBorders>
              <w:top w:val="single" w:sz="2" w:space="0" w:color="auto"/>
              <w:left w:val="nil"/>
              <w:bottom w:val="single" w:sz="2" w:space="0" w:color="auto"/>
              <w:right w:val="nil"/>
            </w:tcBorders>
            <w:shd w:val="clear" w:color="auto" w:fill="auto"/>
          </w:tcPr>
          <w:p w14:paraId="43418A9D" w14:textId="77777777" w:rsidR="002A2EA6" w:rsidRPr="002A2EA6" w:rsidRDefault="002A2EA6" w:rsidP="007D560A">
            <w:pPr>
              <w:spacing w:before="120" w:after="120"/>
              <w:rPr>
                <w:i/>
                <w:iCs/>
                <w:sz w:val="18"/>
                <w:szCs w:val="18"/>
              </w:rPr>
            </w:pPr>
          </w:p>
        </w:tc>
      </w:tr>
      <w:tr w:rsidR="002A2EA6" w:rsidRPr="002A2EA6" w14:paraId="2C928448" w14:textId="77777777" w:rsidTr="00774149">
        <w:trPr>
          <w:trHeight w:val="454"/>
          <w:jc w:val="right"/>
        </w:trPr>
        <w:tc>
          <w:tcPr>
            <w:tcW w:w="1772" w:type="dxa"/>
            <w:tcBorders>
              <w:top w:val="single" w:sz="2" w:space="0" w:color="auto"/>
              <w:left w:val="nil"/>
              <w:bottom w:val="nil"/>
              <w:right w:val="nil"/>
            </w:tcBorders>
            <w:shd w:val="clear" w:color="auto" w:fill="auto"/>
            <w:hideMark/>
          </w:tcPr>
          <w:p w14:paraId="04A3810F" w14:textId="2B48B68F" w:rsidR="002A2EA6" w:rsidRPr="002A2EA6" w:rsidRDefault="002A2EA6" w:rsidP="002A2EA6">
            <w:pPr>
              <w:tabs>
                <w:tab w:val="left" w:pos="1163"/>
              </w:tabs>
              <w:spacing w:before="20" w:after="20"/>
              <w:rPr>
                <w:sz w:val="18"/>
                <w:szCs w:val="18"/>
              </w:rPr>
            </w:pPr>
            <w:r w:rsidRPr="002A2EA6">
              <w:rPr>
                <w:sz w:val="18"/>
                <w:szCs w:val="18"/>
              </w:rPr>
              <w:t>D10. Indicateur de méthode pour l</w:t>
            </w:r>
            <w:r w:rsidR="00CA4DAC">
              <w:rPr>
                <w:sz w:val="18"/>
                <w:szCs w:val="18"/>
              </w:rPr>
              <w:t>’</w:t>
            </w:r>
            <w:r w:rsidRPr="002A2EA6">
              <w:rPr>
                <w:sz w:val="18"/>
                <w:szCs w:val="18"/>
              </w:rPr>
              <w:t>article 12</w:t>
            </w:r>
          </w:p>
        </w:tc>
        <w:tc>
          <w:tcPr>
            <w:tcW w:w="2783" w:type="dxa"/>
            <w:tcBorders>
              <w:top w:val="single" w:sz="2" w:space="0" w:color="auto"/>
              <w:left w:val="nil"/>
              <w:bottom w:val="nil"/>
              <w:right w:val="nil"/>
            </w:tcBorders>
            <w:shd w:val="clear" w:color="auto" w:fill="auto"/>
            <w:hideMark/>
          </w:tcPr>
          <w:p w14:paraId="0F9ADC24" w14:textId="77777777" w:rsidR="002A2EA6" w:rsidRPr="002A2EA6" w:rsidRDefault="002A2EA6" w:rsidP="002A2EA6">
            <w:pPr>
              <w:spacing w:before="20" w:after="20"/>
              <w:rPr>
                <w:rFonts w:eastAsia="Roboto"/>
                <w:sz w:val="18"/>
                <w:szCs w:val="18"/>
              </w:rPr>
            </w:pPr>
            <w:r w:rsidRPr="002A2EA6">
              <w:rPr>
                <w:sz w:val="18"/>
                <w:szCs w:val="18"/>
              </w:rPr>
              <w:t>Nombre de Parties ayant élaboré des stratégies pour identifier et évaluer les sites contaminés par du mercure ou des composés du mercure</w:t>
            </w:r>
          </w:p>
        </w:tc>
        <w:tc>
          <w:tcPr>
            <w:tcW w:w="1697" w:type="dxa"/>
            <w:tcBorders>
              <w:top w:val="single" w:sz="2" w:space="0" w:color="auto"/>
              <w:left w:val="nil"/>
              <w:bottom w:val="nil"/>
              <w:right w:val="nil"/>
            </w:tcBorders>
            <w:shd w:val="clear" w:color="auto" w:fill="auto"/>
            <w:hideMark/>
          </w:tcPr>
          <w:p w14:paraId="42FC13B1" w14:textId="7E7EAC01" w:rsidR="002A2EA6" w:rsidRPr="002A2EA6" w:rsidRDefault="002A2EA6" w:rsidP="002A2EA6">
            <w:pPr>
              <w:spacing w:before="20" w:after="2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single" w:sz="2" w:space="0" w:color="auto"/>
              <w:left w:val="nil"/>
              <w:bottom w:val="nil"/>
              <w:right w:val="nil"/>
            </w:tcBorders>
            <w:shd w:val="clear" w:color="auto" w:fill="auto"/>
            <w:hideMark/>
          </w:tcPr>
          <w:p w14:paraId="5B8C3322" w14:textId="77777777" w:rsidR="002A2EA6" w:rsidRPr="002A2EA6" w:rsidRDefault="002A2EA6" w:rsidP="002A2EA6">
            <w:pPr>
              <w:spacing w:before="20" w:after="20"/>
              <w:rPr>
                <w:rFonts w:eastAsia="Roboto"/>
                <w:sz w:val="18"/>
                <w:szCs w:val="18"/>
              </w:rPr>
            </w:pPr>
            <w:r w:rsidRPr="002A2EA6">
              <w:rPr>
                <w:sz w:val="18"/>
                <w:szCs w:val="18"/>
              </w:rPr>
              <w:t>Nombre dans la première évaluation</w:t>
            </w:r>
          </w:p>
        </w:tc>
      </w:tr>
      <w:tr w:rsidR="002A2EA6" w:rsidRPr="002A2EA6" w14:paraId="5D62D185" w14:textId="77777777" w:rsidTr="00774149">
        <w:trPr>
          <w:trHeight w:val="255"/>
          <w:jc w:val="right"/>
        </w:trPr>
        <w:tc>
          <w:tcPr>
            <w:tcW w:w="1772" w:type="dxa"/>
            <w:tcBorders>
              <w:top w:val="nil"/>
              <w:left w:val="nil"/>
              <w:bottom w:val="nil"/>
              <w:right w:val="nil"/>
            </w:tcBorders>
            <w:shd w:val="clear" w:color="auto" w:fill="auto"/>
            <w:hideMark/>
          </w:tcPr>
          <w:p w14:paraId="0BE98B56" w14:textId="0C23F041" w:rsidR="002A2EA6" w:rsidRPr="002A2EA6" w:rsidRDefault="002A2EA6" w:rsidP="002A2EA6">
            <w:pPr>
              <w:tabs>
                <w:tab w:val="left" w:pos="1163"/>
              </w:tabs>
              <w:spacing w:before="20" w:after="20"/>
              <w:rPr>
                <w:sz w:val="18"/>
                <w:szCs w:val="18"/>
              </w:rPr>
            </w:pPr>
            <w:r w:rsidRPr="002A2EA6">
              <w:rPr>
                <w:sz w:val="18"/>
                <w:szCs w:val="18"/>
              </w:rPr>
              <w:t>D11. Indicateur de méthode pour l</w:t>
            </w:r>
            <w:r w:rsidR="00CA4DAC">
              <w:rPr>
                <w:sz w:val="18"/>
                <w:szCs w:val="18"/>
              </w:rPr>
              <w:t>’</w:t>
            </w:r>
            <w:r w:rsidRPr="002A2EA6">
              <w:rPr>
                <w:sz w:val="18"/>
                <w:szCs w:val="18"/>
              </w:rPr>
              <w:t>article 12</w:t>
            </w:r>
          </w:p>
        </w:tc>
        <w:tc>
          <w:tcPr>
            <w:tcW w:w="2783" w:type="dxa"/>
            <w:tcBorders>
              <w:top w:val="nil"/>
              <w:left w:val="nil"/>
              <w:bottom w:val="nil"/>
              <w:right w:val="nil"/>
            </w:tcBorders>
            <w:shd w:val="clear" w:color="auto" w:fill="auto"/>
            <w:hideMark/>
          </w:tcPr>
          <w:p w14:paraId="1993192B" w14:textId="77777777" w:rsidR="002A2EA6" w:rsidRPr="002A2EA6" w:rsidRDefault="002A2EA6" w:rsidP="002A2EA6">
            <w:pPr>
              <w:tabs>
                <w:tab w:val="left" w:pos="1163"/>
              </w:tabs>
              <w:spacing w:before="20" w:after="20"/>
              <w:rPr>
                <w:rFonts w:eastAsia="Roboto"/>
                <w:spacing w:val="-2"/>
                <w:sz w:val="18"/>
                <w:szCs w:val="18"/>
              </w:rPr>
            </w:pPr>
            <w:r w:rsidRPr="002A2EA6">
              <w:rPr>
                <w:sz w:val="18"/>
                <w:szCs w:val="18"/>
              </w:rPr>
              <w:t>Nombre de Parties ayant dressé un inventaire des sites contaminés</w:t>
            </w:r>
          </w:p>
        </w:tc>
        <w:tc>
          <w:tcPr>
            <w:tcW w:w="1697" w:type="dxa"/>
            <w:tcBorders>
              <w:top w:val="nil"/>
              <w:left w:val="nil"/>
              <w:bottom w:val="nil"/>
              <w:right w:val="nil"/>
            </w:tcBorders>
            <w:shd w:val="clear" w:color="auto" w:fill="auto"/>
            <w:hideMark/>
          </w:tcPr>
          <w:p w14:paraId="3B393F91" w14:textId="69504AE9" w:rsidR="002A2EA6" w:rsidRPr="002A2EA6" w:rsidRDefault="002A2EA6" w:rsidP="002A2EA6">
            <w:pPr>
              <w:tabs>
                <w:tab w:val="left" w:pos="1163"/>
              </w:tabs>
              <w:spacing w:before="20" w:after="20"/>
              <w:rPr>
                <w:rFonts w:eastAsia="Roboto"/>
                <w:sz w:val="18"/>
                <w:szCs w:val="18"/>
              </w:rPr>
            </w:pPr>
            <w:r w:rsidRPr="002A2EA6">
              <w:rPr>
                <w:iCs/>
                <w:sz w:val="18"/>
                <w:szCs w:val="18"/>
              </w:rPr>
              <w:t xml:space="preserve">- Rapports </w:t>
            </w:r>
            <w:r w:rsidRPr="002A2EA6">
              <w:rPr>
                <w:sz w:val="18"/>
                <w:szCs w:val="18"/>
              </w:rPr>
              <w:t xml:space="preserve">établis </w:t>
            </w:r>
            <w:r w:rsidRPr="002A2EA6">
              <w:rPr>
                <w:iCs/>
                <w:sz w:val="18"/>
                <w:szCs w:val="18"/>
              </w:rPr>
              <w:t>au titre de l</w:t>
            </w:r>
            <w:r w:rsidR="00CA4DAC">
              <w:rPr>
                <w:iCs/>
                <w:sz w:val="18"/>
                <w:szCs w:val="18"/>
              </w:rPr>
              <w:t>’</w:t>
            </w:r>
            <w:r w:rsidRPr="002A2EA6">
              <w:rPr>
                <w:iCs/>
                <w:sz w:val="18"/>
                <w:szCs w:val="18"/>
              </w:rPr>
              <w:t>article 21</w:t>
            </w:r>
          </w:p>
        </w:tc>
        <w:tc>
          <w:tcPr>
            <w:tcW w:w="2026" w:type="dxa"/>
            <w:tcBorders>
              <w:top w:val="nil"/>
              <w:left w:val="nil"/>
              <w:bottom w:val="nil"/>
              <w:right w:val="nil"/>
            </w:tcBorders>
            <w:shd w:val="clear" w:color="auto" w:fill="auto"/>
            <w:hideMark/>
          </w:tcPr>
          <w:p w14:paraId="1E487951" w14:textId="77777777" w:rsidR="002A2EA6" w:rsidRPr="002A2EA6" w:rsidRDefault="002A2EA6" w:rsidP="002A2EA6">
            <w:pPr>
              <w:tabs>
                <w:tab w:val="left" w:pos="1163"/>
              </w:tabs>
              <w:spacing w:before="20" w:after="20"/>
              <w:rPr>
                <w:rFonts w:eastAsia="Roboto"/>
                <w:sz w:val="18"/>
                <w:szCs w:val="18"/>
              </w:rPr>
            </w:pPr>
            <w:r w:rsidRPr="002A2EA6">
              <w:rPr>
                <w:sz w:val="18"/>
                <w:szCs w:val="18"/>
              </w:rPr>
              <w:t>Nombre dans la première évaluation</w:t>
            </w:r>
          </w:p>
        </w:tc>
      </w:tr>
      <w:tr w:rsidR="002A2EA6" w:rsidRPr="002A2EA6" w14:paraId="33282E52" w14:textId="77777777" w:rsidTr="00774149">
        <w:trPr>
          <w:trHeight w:val="227"/>
          <w:jc w:val="right"/>
        </w:trPr>
        <w:tc>
          <w:tcPr>
            <w:tcW w:w="1772" w:type="dxa"/>
            <w:tcBorders>
              <w:top w:val="nil"/>
              <w:left w:val="nil"/>
              <w:bottom w:val="single" w:sz="12" w:space="0" w:color="auto"/>
              <w:right w:val="nil"/>
            </w:tcBorders>
            <w:shd w:val="clear" w:color="auto" w:fill="auto"/>
            <w:hideMark/>
          </w:tcPr>
          <w:p w14:paraId="330CC4E4" w14:textId="77777777" w:rsidR="002A2EA6" w:rsidRPr="002A2EA6" w:rsidRDefault="002A2EA6" w:rsidP="002A2EA6">
            <w:pPr>
              <w:spacing w:before="20" w:after="20"/>
              <w:rPr>
                <w:sz w:val="18"/>
                <w:szCs w:val="18"/>
              </w:rPr>
            </w:pPr>
            <w:r w:rsidRPr="002A2EA6">
              <w:rPr>
                <w:b/>
                <w:bCs/>
                <w:sz w:val="18"/>
                <w:szCs w:val="18"/>
              </w:rPr>
              <w:t>Notes</w:t>
            </w:r>
          </w:p>
        </w:tc>
        <w:tc>
          <w:tcPr>
            <w:tcW w:w="6506" w:type="dxa"/>
            <w:gridSpan w:val="3"/>
            <w:tcBorders>
              <w:top w:val="nil"/>
              <w:left w:val="nil"/>
              <w:bottom w:val="single" w:sz="12" w:space="0" w:color="auto"/>
              <w:right w:val="nil"/>
            </w:tcBorders>
            <w:shd w:val="clear" w:color="auto" w:fill="auto"/>
            <w:hideMark/>
          </w:tcPr>
          <w:p w14:paraId="0BEA360C" w14:textId="77777777" w:rsidR="002A2EA6" w:rsidRPr="002A2EA6" w:rsidRDefault="002A2EA6" w:rsidP="002A2EA6">
            <w:pPr>
              <w:pStyle w:val="ListParagraph"/>
              <w:numPr>
                <w:ilvl w:val="0"/>
                <w:numId w:val="22"/>
              </w:numPr>
              <w:tabs>
                <w:tab w:val="left" w:pos="1872"/>
              </w:tabs>
              <w:spacing w:before="20" w:after="20"/>
              <w:rPr>
                <w:sz w:val="18"/>
                <w:szCs w:val="18"/>
              </w:rPr>
            </w:pPr>
            <w:r w:rsidRPr="002A2EA6">
              <w:rPr>
                <w:sz w:val="18"/>
                <w:szCs w:val="18"/>
              </w:rPr>
              <w:t>Il peut exister certaines lacunes dans les données, car les Parties ne sont pas obligées de communiquer les informations recueillies dans le cadre de leur inventaire.</w:t>
            </w:r>
          </w:p>
        </w:tc>
      </w:tr>
    </w:tbl>
    <w:p w14:paraId="2785CFF7" w14:textId="77777777" w:rsidR="002A2EA6" w:rsidRPr="002321A6" w:rsidRDefault="002A2EA6" w:rsidP="002321A6">
      <w:pPr>
        <w:spacing w:after="120"/>
      </w:pPr>
    </w:p>
    <w:tbl>
      <w:tblPr>
        <w:tblStyle w:val="TableGrid"/>
        <w:tblW w:w="8278" w:type="dxa"/>
        <w:jc w:val="right"/>
        <w:shd w:val="clear" w:color="auto" w:fill="FFFFFF" w:themeFill="background1"/>
        <w:tblLayout w:type="fixed"/>
        <w:tblLook w:val="04A0" w:firstRow="1" w:lastRow="0" w:firstColumn="1" w:lastColumn="0" w:noHBand="0" w:noVBand="1"/>
      </w:tblPr>
      <w:tblGrid>
        <w:gridCol w:w="1823"/>
        <w:gridCol w:w="2855"/>
        <w:gridCol w:w="1559"/>
        <w:gridCol w:w="2041"/>
      </w:tblGrid>
      <w:tr w:rsidR="002A2EA6" w:rsidRPr="002A2EA6" w14:paraId="10FEF447" w14:textId="77777777" w:rsidTr="002321A6">
        <w:trPr>
          <w:trHeight w:val="57"/>
          <w:tblHeader/>
          <w:jc w:val="right"/>
        </w:trPr>
        <w:tc>
          <w:tcPr>
            <w:tcW w:w="4678" w:type="dxa"/>
            <w:gridSpan w:val="2"/>
            <w:tcBorders>
              <w:top w:val="single" w:sz="4" w:space="0" w:color="auto"/>
              <w:left w:val="nil"/>
              <w:bottom w:val="single" w:sz="12" w:space="0" w:color="auto"/>
              <w:right w:val="nil"/>
            </w:tcBorders>
            <w:shd w:val="clear" w:color="auto" w:fill="FFFFFF" w:themeFill="background1"/>
          </w:tcPr>
          <w:p w14:paraId="5387F7D8" w14:textId="77777777" w:rsidR="002A2EA6" w:rsidRPr="002D2836" w:rsidRDefault="002A2EA6" w:rsidP="002A2EA6">
            <w:pPr>
              <w:pStyle w:val="Normal-pool"/>
              <w:spacing w:before="40" w:after="40"/>
              <w:rPr>
                <w:bCs/>
                <w:i/>
                <w:iCs/>
                <w:sz w:val="18"/>
                <w:szCs w:val="18"/>
                <w:lang w:val="fr-FR"/>
              </w:rPr>
            </w:pPr>
            <w:r w:rsidRPr="002D2836">
              <w:rPr>
                <w:bCs/>
                <w:i/>
                <w:iCs/>
                <w:sz w:val="18"/>
                <w:szCs w:val="18"/>
                <w:lang w:val="fr-FR"/>
              </w:rPr>
              <w:t xml:space="preserve">E : groupe Appui </w:t>
            </w:r>
          </w:p>
          <w:p w14:paraId="223BED64" w14:textId="77777777" w:rsidR="002A2EA6" w:rsidRPr="002D2836" w:rsidRDefault="002A2EA6" w:rsidP="002A2EA6">
            <w:pPr>
              <w:pStyle w:val="Normal-pool"/>
              <w:spacing w:before="40" w:after="40"/>
              <w:ind w:left="567"/>
              <w:rPr>
                <w:bCs/>
                <w:i/>
                <w:iCs/>
                <w:sz w:val="18"/>
                <w:szCs w:val="18"/>
                <w:lang w:val="fr-FR"/>
              </w:rPr>
            </w:pPr>
            <w:r w:rsidRPr="002D2836">
              <w:rPr>
                <w:bCs/>
                <w:i/>
                <w:iCs/>
                <w:sz w:val="18"/>
                <w:szCs w:val="18"/>
                <w:lang w:val="fr-FR"/>
              </w:rPr>
              <w:t>Article 13 (Ressources financières et mécanisme de financement) ; article 14 (Renforcement des capacités, assistance technique et transfert de technologies)</w:t>
            </w:r>
          </w:p>
        </w:tc>
        <w:tc>
          <w:tcPr>
            <w:tcW w:w="1559" w:type="dxa"/>
            <w:tcBorders>
              <w:top w:val="single" w:sz="4" w:space="0" w:color="auto"/>
              <w:left w:val="nil"/>
              <w:bottom w:val="single" w:sz="12" w:space="0" w:color="auto"/>
              <w:right w:val="nil"/>
            </w:tcBorders>
            <w:shd w:val="clear" w:color="auto" w:fill="FFFFFF" w:themeFill="background1"/>
          </w:tcPr>
          <w:p w14:paraId="700ED996" w14:textId="0FA2AC4D" w:rsidR="002A2EA6" w:rsidRPr="002D2836" w:rsidRDefault="002A2EA6" w:rsidP="002A2EA6">
            <w:pPr>
              <w:pStyle w:val="Normal-pool"/>
              <w:spacing w:before="40" w:after="40"/>
              <w:rPr>
                <w:bCs/>
                <w:i/>
                <w:iCs/>
                <w:sz w:val="18"/>
                <w:szCs w:val="18"/>
                <w:lang w:val="fr-FR"/>
              </w:rPr>
            </w:pPr>
            <w:r w:rsidRPr="002D2836">
              <w:rPr>
                <w:bCs/>
                <w:i/>
                <w:iCs/>
                <w:sz w:val="18"/>
                <w:szCs w:val="18"/>
                <w:lang w:val="fr-FR"/>
              </w:rPr>
              <w:t>Source d</w:t>
            </w:r>
            <w:r w:rsidR="00CA4DAC">
              <w:rPr>
                <w:bCs/>
                <w:i/>
                <w:iCs/>
                <w:sz w:val="18"/>
                <w:szCs w:val="18"/>
                <w:lang w:val="fr-FR"/>
              </w:rPr>
              <w:t>’</w:t>
            </w:r>
            <w:r w:rsidRPr="002D2836">
              <w:rPr>
                <w:bCs/>
                <w:i/>
                <w:iCs/>
                <w:sz w:val="18"/>
                <w:szCs w:val="18"/>
                <w:lang w:val="fr-FR"/>
              </w:rPr>
              <w:t>information concernant l</w:t>
            </w:r>
            <w:r w:rsidR="00CA4DAC">
              <w:rPr>
                <w:bCs/>
                <w:i/>
                <w:iCs/>
                <w:sz w:val="18"/>
                <w:szCs w:val="18"/>
                <w:lang w:val="fr-FR"/>
              </w:rPr>
              <w:t>’</w:t>
            </w:r>
            <w:r w:rsidRPr="002D2836">
              <w:rPr>
                <w:bCs/>
                <w:i/>
                <w:iCs/>
                <w:sz w:val="18"/>
                <w:szCs w:val="18"/>
                <w:lang w:val="fr-FR"/>
              </w:rPr>
              <w:t>indicateur</w:t>
            </w:r>
          </w:p>
        </w:tc>
        <w:tc>
          <w:tcPr>
            <w:tcW w:w="2041" w:type="dxa"/>
            <w:tcBorders>
              <w:top w:val="single" w:sz="4" w:space="0" w:color="auto"/>
              <w:left w:val="nil"/>
              <w:bottom w:val="single" w:sz="12" w:space="0" w:color="auto"/>
              <w:right w:val="nil"/>
            </w:tcBorders>
            <w:shd w:val="clear" w:color="auto" w:fill="FFFFFF" w:themeFill="background1"/>
          </w:tcPr>
          <w:p w14:paraId="04BE3B8B" w14:textId="42BFFF25" w:rsidR="002A2EA6" w:rsidRPr="002D2836" w:rsidRDefault="002A2EA6" w:rsidP="002A2EA6">
            <w:pPr>
              <w:pStyle w:val="Normal-pool"/>
              <w:spacing w:before="40" w:after="40"/>
              <w:rPr>
                <w:bCs/>
                <w:i/>
                <w:iCs/>
                <w:sz w:val="18"/>
                <w:szCs w:val="18"/>
                <w:lang w:val="fr-FR"/>
              </w:rPr>
            </w:pPr>
            <w:r w:rsidRPr="002D2836">
              <w:rPr>
                <w:bCs/>
                <w:i/>
                <w:iCs/>
                <w:sz w:val="18"/>
                <w:szCs w:val="18"/>
                <w:lang w:val="fr-FR"/>
              </w:rPr>
              <w:t>Valeur de référence pour l</w:t>
            </w:r>
            <w:r w:rsidR="00CA4DAC">
              <w:rPr>
                <w:bCs/>
                <w:i/>
                <w:iCs/>
                <w:sz w:val="18"/>
                <w:szCs w:val="18"/>
                <w:lang w:val="fr-FR"/>
              </w:rPr>
              <w:t>’</w:t>
            </w:r>
            <w:r w:rsidRPr="002D2836">
              <w:rPr>
                <w:bCs/>
                <w:i/>
                <w:iCs/>
                <w:sz w:val="18"/>
                <w:szCs w:val="18"/>
                <w:lang w:val="fr-FR"/>
              </w:rPr>
              <w:t>indicateur</w:t>
            </w:r>
          </w:p>
        </w:tc>
      </w:tr>
      <w:tr w:rsidR="002A2EA6" w:rsidRPr="002A2EA6" w14:paraId="3EA20CE5" w14:textId="77777777" w:rsidTr="00774149">
        <w:trPr>
          <w:trHeight w:val="227"/>
          <w:jc w:val="right"/>
        </w:trPr>
        <w:tc>
          <w:tcPr>
            <w:tcW w:w="1823" w:type="dxa"/>
            <w:tcBorders>
              <w:top w:val="single" w:sz="12" w:space="0" w:color="auto"/>
              <w:left w:val="nil"/>
              <w:bottom w:val="nil"/>
              <w:right w:val="nil"/>
            </w:tcBorders>
            <w:shd w:val="clear" w:color="auto" w:fill="FFFFFF" w:themeFill="background1"/>
          </w:tcPr>
          <w:p w14:paraId="1FEE04C9" w14:textId="77777777" w:rsidR="002A2EA6" w:rsidRPr="002A2EA6" w:rsidRDefault="002A2EA6" w:rsidP="002A2EA6">
            <w:pPr>
              <w:spacing w:before="40" w:after="40"/>
              <w:rPr>
                <w:b/>
                <w:sz w:val="18"/>
                <w:szCs w:val="18"/>
              </w:rPr>
            </w:pPr>
            <w:r w:rsidRPr="002A2EA6">
              <w:rPr>
                <w:b/>
                <w:bCs/>
                <w:sz w:val="18"/>
                <w:szCs w:val="18"/>
              </w:rPr>
              <w:t>Article 13</w:t>
            </w:r>
          </w:p>
        </w:tc>
        <w:tc>
          <w:tcPr>
            <w:tcW w:w="2855" w:type="dxa"/>
            <w:tcBorders>
              <w:top w:val="single" w:sz="12" w:space="0" w:color="auto"/>
              <w:left w:val="nil"/>
              <w:bottom w:val="nil"/>
              <w:right w:val="nil"/>
            </w:tcBorders>
            <w:shd w:val="clear" w:color="auto" w:fill="FFFFFF" w:themeFill="background1"/>
          </w:tcPr>
          <w:p w14:paraId="093A6751" w14:textId="77777777" w:rsidR="002A2EA6" w:rsidRPr="002A2EA6" w:rsidRDefault="002A2EA6" w:rsidP="002A2EA6">
            <w:pPr>
              <w:spacing w:before="40" w:after="40"/>
              <w:rPr>
                <w:sz w:val="18"/>
                <w:szCs w:val="18"/>
              </w:rPr>
            </w:pPr>
          </w:p>
        </w:tc>
        <w:tc>
          <w:tcPr>
            <w:tcW w:w="1559" w:type="dxa"/>
            <w:tcBorders>
              <w:top w:val="single" w:sz="12" w:space="0" w:color="auto"/>
              <w:left w:val="nil"/>
              <w:bottom w:val="nil"/>
              <w:right w:val="nil"/>
            </w:tcBorders>
            <w:shd w:val="clear" w:color="auto" w:fill="FFFFFF" w:themeFill="background1"/>
          </w:tcPr>
          <w:p w14:paraId="209A4F2B" w14:textId="77777777" w:rsidR="002A2EA6" w:rsidRPr="002A2EA6" w:rsidRDefault="002A2EA6" w:rsidP="002A2EA6">
            <w:pPr>
              <w:spacing w:before="40" w:after="40"/>
              <w:rPr>
                <w:sz w:val="18"/>
                <w:szCs w:val="18"/>
              </w:rPr>
            </w:pPr>
          </w:p>
        </w:tc>
        <w:tc>
          <w:tcPr>
            <w:tcW w:w="2041" w:type="dxa"/>
            <w:tcBorders>
              <w:top w:val="single" w:sz="12" w:space="0" w:color="auto"/>
              <w:left w:val="nil"/>
              <w:bottom w:val="nil"/>
              <w:right w:val="nil"/>
            </w:tcBorders>
            <w:shd w:val="clear" w:color="auto" w:fill="FFFFFF" w:themeFill="background1"/>
          </w:tcPr>
          <w:p w14:paraId="5ADBD5B3" w14:textId="77777777" w:rsidR="002A2EA6" w:rsidRPr="002A2EA6" w:rsidRDefault="002A2EA6" w:rsidP="002A2EA6">
            <w:pPr>
              <w:spacing w:before="40" w:after="40"/>
              <w:rPr>
                <w:sz w:val="18"/>
                <w:szCs w:val="18"/>
              </w:rPr>
            </w:pPr>
          </w:p>
        </w:tc>
      </w:tr>
      <w:tr w:rsidR="002A2EA6" w:rsidRPr="002A2EA6" w14:paraId="50792FD0" w14:textId="77777777" w:rsidTr="00774149">
        <w:trPr>
          <w:trHeight w:val="1276"/>
          <w:jc w:val="right"/>
        </w:trPr>
        <w:tc>
          <w:tcPr>
            <w:tcW w:w="1823" w:type="dxa"/>
            <w:tcBorders>
              <w:top w:val="nil"/>
              <w:left w:val="nil"/>
              <w:bottom w:val="nil"/>
              <w:right w:val="nil"/>
            </w:tcBorders>
            <w:shd w:val="clear" w:color="auto" w:fill="FFFFFF" w:themeFill="background1"/>
          </w:tcPr>
          <w:p w14:paraId="69D57100" w14:textId="12D81A13" w:rsidR="002A2EA6" w:rsidRPr="002A2EA6" w:rsidRDefault="002A2EA6" w:rsidP="002A2EA6">
            <w:pPr>
              <w:spacing w:before="40" w:after="40"/>
              <w:rPr>
                <w:sz w:val="18"/>
                <w:szCs w:val="18"/>
              </w:rPr>
            </w:pPr>
            <w:r w:rsidRPr="002A2EA6">
              <w:rPr>
                <w:sz w:val="18"/>
                <w:szCs w:val="18"/>
              </w:rPr>
              <w:t>E1. Indicateur de méthode pour l</w:t>
            </w:r>
            <w:r w:rsidR="00CA4DAC">
              <w:rPr>
                <w:sz w:val="18"/>
                <w:szCs w:val="18"/>
              </w:rPr>
              <w:t>’</w:t>
            </w:r>
            <w:r w:rsidRPr="002A2EA6">
              <w:rPr>
                <w:sz w:val="18"/>
                <w:szCs w:val="18"/>
              </w:rPr>
              <w:t>article 13</w:t>
            </w:r>
          </w:p>
        </w:tc>
        <w:tc>
          <w:tcPr>
            <w:tcW w:w="2855" w:type="dxa"/>
            <w:tcBorders>
              <w:top w:val="nil"/>
              <w:left w:val="nil"/>
              <w:bottom w:val="nil"/>
              <w:right w:val="nil"/>
            </w:tcBorders>
            <w:shd w:val="clear" w:color="auto" w:fill="FFFFFF" w:themeFill="background1"/>
          </w:tcPr>
          <w:p w14:paraId="3C5CF59A"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 xml:space="preserve">Nombre de Parties ayant : </w:t>
            </w:r>
          </w:p>
          <w:p w14:paraId="5546DE4D" w14:textId="7E13C221" w:rsidR="002A2EA6" w:rsidRPr="002A2EA6" w:rsidRDefault="002A2EA6" w:rsidP="002A2EA6">
            <w:pPr>
              <w:pStyle w:val="ListParagraph"/>
              <w:numPr>
                <w:ilvl w:val="0"/>
                <w:numId w:val="15"/>
              </w:numPr>
              <w:pBdr>
                <w:top w:val="nil"/>
                <w:left w:val="nil"/>
                <w:bottom w:val="nil"/>
                <w:right w:val="nil"/>
                <w:between w:val="nil"/>
                <w:bar w:val="nil"/>
              </w:pBdr>
              <w:tabs>
                <w:tab w:val="clear" w:pos="1814"/>
                <w:tab w:val="left" w:pos="1163"/>
                <w:tab w:val="left" w:pos="1815"/>
              </w:tabs>
              <w:spacing w:before="40" w:after="40"/>
              <w:ind w:left="417" w:hanging="304"/>
              <w:rPr>
                <w:rFonts w:eastAsia="Roboto"/>
                <w:sz w:val="18"/>
                <w:szCs w:val="18"/>
              </w:rPr>
            </w:pPr>
            <w:r w:rsidRPr="002A2EA6">
              <w:rPr>
                <w:sz w:val="18"/>
                <w:szCs w:val="18"/>
              </w:rPr>
              <w:t>Contribué au mécanisme de financement visé au paragraphe 5 de l</w:t>
            </w:r>
            <w:r w:rsidR="00CA4DAC">
              <w:rPr>
                <w:sz w:val="18"/>
                <w:szCs w:val="18"/>
              </w:rPr>
              <w:t>’</w:t>
            </w:r>
            <w:r w:rsidRPr="002A2EA6">
              <w:rPr>
                <w:sz w:val="18"/>
                <w:szCs w:val="18"/>
              </w:rPr>
              <w:t>article 13</w:t>
            </w:r>
          </w:p>
          <w:p w14:paraId="1ACB0325" w14:textId="68EF8BD3" w:rsidR="002A2EA6" w:rsidRPr="002A2EA6" w:rsidRDefault="002A2EA6" w:rsidP="002A2EA6">
            <w:pPr>
              <w:pStyle w:val="ListParagraph"/>
              <w:numPr>
                <w:ilvl w:val="0"/>
                <w:numId w:val="15"/>
              </w:numPr>
              <w:pBdr>
                <w:top w:val="nil"/>
                <w:left w:val="nil"/>
                <w:bottom w:val="nil"/>
                <w:right w:val="nil"/>
                <w:between w:val="nil"/>
                <w:bar w:val="nil"/>
              </w:pBdr>
              <w:tabs>
                <w:tab w:val="clear" w:pos="1814"/>
                <w:tab w:val="left" w:pos="1163"/>
                <w:tab w:val="left" w:pos="1815"/>
              </w:tabs>
              <w:spacing w:before="40" w:after="40"/>
              <w:ind w:left="417" w:hanging="304"/>
              <w:rPr>
                <w:rFonts w:eastAsia="Roboto"/>
                <w:sz w:val="18"/>
                <w:szCs w:val="18"/>
              </w:rPr>
            </w:pPr>
            <w:r w:rsidRPr="002A2EA6">
              <w:rPr>
                <w:sz w:val="18"/>
                <w:szCs w:val="18"/>
              </w:rPr>
              <w:t>Reçu des ressources du Fonds pour l</w:t>
            </w:r>
            <w:r w:rsidR="00CA4DAC">
              <w:rPr>
                <w:sz w:val="18"/>
                <w:szCs w:val="18"/>
              </w:rPr>
              <w:t>’</w:t>
            </w:r>
            <w:r w:rsidRPr="002A2EA6">
              <w:rPr>
                <w:sz w:val="18"/>
                <w:szCs w:val="18"/>
              </w:rPr>
              <w:t>environnement mondial</w:t>
            </w:r>
          </w:p>
          <w:p w14:paraId="79446DBE" w14:textId="77777777" w:rsidR="002A2EA6" w:rsidRPr="002A2EA6" w:rsidRDefault="002A2EA6" w:rsidP="002A2EA6">
            <w:pPr>
              <w:pStyle w:val="ListParagraph"/>
              <w:numPr>
                <w:ilvl w:val="0"/>
                <w:numId w:val="15"/>
              </w:numPr>
              <w:pBdr>
                <w:top w:val="nil"/>
                <w:left w:val="nil"/>
                <w:bottom w:val="nil"/>
                <w:right w:val="nil"/>
                <w:between w:val="nil"/>
                <w:bar w:val="nil"/>
              </w:pBdr>
              <w:tabs>
                <w:tab w:val="clear" w:pos="1814"/>
                <w:tab w:val="left" w:pos="1163"/>
                <w:tab w:val="left" w:pos="1815"/>
              </w:tabs>
              <w:spacing w:before="40" w:after="40"/>
              <w:ind w:left="417" w:hanging="304"/>
              <w:rPr>
                <w:rFonts w:eastAsia="Roboto"/>
                <w:sz w:val="18"/>
                <w:szCs w:val="18"/>
              </w:rPr>
            </w:pPr>
            <w:r w:rsidRPr="002A2EA6">
              <w:rPr>
                <w:sz w:val="18"/>
                <w:szCs w:val="18"/>
              </w:rPr>
              <w:t>Reçu des ressources du SIP</w:t>
            </w:r>
          </w:p>
          <w:p w14:paraId="513300EB" w14:textId="77777777" w:rsidR="002A2EA6" w:rsidRPr="002A2EA6" w:rsidRDefault="002A2EA6" w:rsidP="002A2EA6">
            <w:pPr>
              <w:pStyle w:val="ListParagraph"/>
              <w:numPr>
                <w:ilvl w:val="0"/>
                <w:numId w:val="15"/>
              </w:numPr>
              <w:pBdr>
                <w:top w:val="nil"/>
                <w:left w:val="nil"/>
                <w:bottom w:val="nil"/>
                <w:right w:val="nil"/>
                <w:between w:val="nil"/>
                <w:bar w:val="nil"/>
              </w:pBdr>
              <w:tabs>
                <w:tab w:val="left" w:pos="1163"/>
              </w:tabs>
              <w:spacing w:before="40" w:after="40"/>
              <w:ind w:left="417" w:hanging="304"/>
              <w:rPr>
                <w:rFonts w:eastAsia="Roboto"/>
                <w:sz w:val="18"/>
                <w:szCs w:val="18"/>
              </w:rPr>
            </w:pPr>
            <w:r w:rsidRPr="002A2EA6">
              <w:rPr>
                <w:sz w:val="18"/>
                <w:szCs w:val="18"/>
              </w:rPr>
              <w:t>Mobilisé des ressources nationales pour la mise en œuvre de la Convention</w:t>
            </w:r>
          </w:p>
          <w:p w14:paraId="2CB70A9E"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au cours de la période considérée</w:t>
            </w:r>
          </w:p>
        </w:tc>
        <w:tc>
          <w:tcPr>
            <w:tcW w:w="1559" w:type="dxa"/>
            <w:tcBorders>
              <w:top w:val="nil"/>
              <w:left w:val="nil"/>
              <w:bottom w:val="nil"/>
              <w:right w:val="nil"/>
            </w:tcBorders>
            <w:shd w:val="clear" w:color="auto" w:fill="FFFFFF" w:themeFill="background1"/>
          </w:tcPr>
          <w:p w14:paraId="051F21AC" w14:textId="0C594E6F" w:rsidR="002A2EA6" w:rsidRPr="002A2EA6" w:rsidRDefault="00D50A98" w:rsidP="002A2EA6">
            <w:pPr>
              <w:pBdr>
                <w:top w:val="nil"/>
                <w:left w:val="nil"/>
                <w:bottom w:val="nil"/>
                <w:right w:val="nil"/>
                <w:between w:val="nil"/>
                <w:bar w:val="nil"/>
              </w:pBdr>
              <w:tabs>
                <w:tab w:val="left" w:pos="1163"/>
              </w:tabs>
              <w:spacing w:before="40" w:after="40"/>
              <w:rPr>
                <w:rFonts w:eastAsia="Roboto"/>
                <w:sz w:val="18"/>
                <w:szCs w:val="18"/>
              </w:rPr>
            </w:pPr>
            <w:r w:rsidRPr="002A2EA6">
              <w:rPr>
                <w:iCs/>
                <w:sz w:val="18"/>
                <w:szCs w:val="18"/>
              </w:rPr>
              <w:t xml:space="preserve">- </w:t>
            </w:r>
            <w:r w:rsidR="002A2EA6" w:rsidRPr="002A2EA6">
              <w:rPr>
                <w:sz w:val="18"/>
                <w:szCs w:val="18"/>
              </w:rPr>
              <w:t>Rapports établis au titre de l</w:t>
            </w:r>
            <w:r w:rsidR="00CA4DAC">
              <w:rPr>
                <w:sz w:val="18"/>
                <w:szCs w:val="18"/>
              </w:rPr>
              <w:t>’</w:t>
            </w:r>
            <w:r w:rsidR="002A2EA6" w:rsidRPr="002A2EA6">
              <w:rPr>
                <w:sz w:val="18"/>
                <w:szCs w:val="18"/>
              </w:rPr>
              <w:t>article 21</w:t>
            </w:r>
          </w:p>
        </w:tc>
        <w:tc>
          <w:tcPr>
            <w:tcW w:w="2041" w:type="dxa"/>
            <w:tcBorders>
              <w:top w:val="nil"/>
              <w:left w:val="nil"/>
              <w:bottom w:val="nil"/>
              <w:right w:val="nil"/>
            </w:tcBorders>
            <w:shd w:val="clear" w:color="auto" w:fill="FFFFFF" w:themeFill="background1"/>
          </w:tcPr>
          <w:p w14:paraId="165B87E6"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Nombre dans la première évaluation</w:t>
            </w:r>
          </w:p>
        </w:tc>
      </w:tr>
      <w:tr w:rsidR="002A2EA6" w:rsidRPr="002A2EA6" w14:paraId="74C37B53" w14:textId="77777777" w:rsidTr="00774149">
        <w:trPr>
          <w:trHeight w:val="1077"/>
          <w:jc w:val="right"/>
        </w:trPr>
        <w:tc>
          <w:tcPr>
            <w:tcW w:w="1823" w:type="dxa"/>
            <w:tcBorders>
              <w:top w:val="nil"/>
              <w:left w:val="nil"/>
              <w:bottom w:val="nil"/>
              <w:right w:val="nil"/>
            </w:tcBorders>
            <w:shd w:val="clear" w:color="auto" w:fill="FFFFFF" w:themeFill="background1"/>
          </w:tcPr>
          <w:p w14:paraId="542C0D50" w14:textId="2114956F" w:rsidR="002A2EA6" w:rsidRPr="002A2EA6" w:rsidRDefault="002A2EA6" w:rsidP="002A2EA6">
            <w:pPr>
              <w:spacing w:before="40" w:after="40"/>
              <w:rPr>
                <w:sz w:val="18"/>
                <w:szCs w:val="18"/>
              </w:rPr>
            </w:pPr>
            <w:r w:rsidRPr="002A2EA6">
              <w:rPr>
                <w:sz w:val="18"/>
                <w:szCs w:val="18"/>
              </w:rPr>
              <w:lastRenderedPageBreak/>
              <w:t>E2. Indicateur de méthode pour l</w:t>
            </w:r>
            <w:r w:rsidR="00CA4DAC">
              <w:rPr>
                <w:sz w:val="18"/>
                <w:szCs w:val="18"/>
              </w:rPr>
              <w:t>’</w:t>
            </w:r>
            <w:r w:rsidRPr="002A2EA6">
              <w:rPr>
                <w:sz w:val="18"/>
                <w:szCs w:val="18"/>
              </w:rPr>
              <w:t>article 13</w:t>
            </w:r>
          </w:p>
        </w:tc>
        <w:tc>
          <w:tcPr>
            <w:tcW w:w="2855" w:type="dxa"/>
            <w:tcBorders>
              <w:top w:val="nil"/>
              <w:left w:val="nil"/>
              <w:bottom w:val="nil"/>
              <w:right w:val="nil"/>
            </w:tcBorders>
            <w:shd w:val="clear" w:color="auto" w:fill="FFFFFF" w:themeFill="background1"/>
          </w:tcPr>
          <w:p w14:paraId="39078C3B"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 xml:space="preserve">Montant des ressources fournies par : </w:t>
            </w:r>
          </w:p>
          <w:p w14:paraId="719B88ED" w14:textId="26B7FB58" w:rsidR="002A2EA6" w:rsidRPr="002A2EA6" w:rsidRDefault="002A2EA6" w:rsidP="002A2EA6">
            <w:pPr>
              <w:pStyle w:val="ListParagraph"/>
              <w:numPr>
                <w:ilvl w:val="0"/>
                <w:numId w:val="15"/>
              </w:numPr>
              <w:pBdr>
                <w:top w:val="nil"/>
                <w:left w:val="nil"/>
                <w:bottom w:val="nil"/>
                <w:right w:val="nil"/>
                <w:between w:val="nil"/>
                <w:bar w:val="nil"/>
              </w:pBdr>
              <w:tabs>
                <w:tab w:val="clear" w:pos="1247"/>
                <w:tab w:val="left" w:pos="1163"/>
                <w:tab w:val="left" w:pos="1248"/>
              </w:tabs>
              <w:spacing w:before="40" w:after="40"/>
              <w:ind w:left="417" w:hanging="304"/>
              <w:rPr>
                <w:rFonts w:eastAsia="Roboto"/>
                <w:sz w:val="18"/>
                <w:szCs w:val="18"/>
              </w:rPr>
            </w:pPr>
            <w:r w:rsidRPr="002A2EA6">
              <w:rPr>
                <w:sz w:val="18"/>
                <w:szCs w:val="18"/>
              </w:rPr>
              <w:t>Fonds pour l</w:t>
            </w:r>
            <w:r w:rsidR="00CA4DAC">
              <w:rPr>
                <w:sz w:val="18"/>
                <w:szCs w:val="18"/>
              </w:rPr>
              <w:t>’</w:t>
            </w:r>
            <w:r w:rsidRPr="002A2EA6">
              <w:rPr>
                <w:sz w:val="18"/>
                <w:szCs w:val="18"/>
              </w:rPr>
              <w:t>environnement mondial</w:t>
            </w:r>
          </w:p>
          <w:p w14:paraId="76E0CF99" w14:textId="77777777" w:rsidR="002A2EA6" w:rsidRPr="002A2EA6" w:rsidRDefault="002A2EA6" w:rsidP="002A2EA6">
            <w:pPr>
              <w:pStyle w:val="ListParagraph"/>
              <w:numPr>
                <w:ilvl w:val="0"/>
                <w:numId w:val="15"/>
              </w:numPr>
              <w:pBdr>
                <w:top w:val="nil"/>
                <w:left w:val="nil"/>
                <w:bottom w:val="nil"/>
                <w:right w:val="nil"/>
                <w:between w:val="nil"/>
                <w:bar w:val="nil"/>
              </w:pBdr>
              <w:tabs>
                <w:tab w:val="clear" w:pos="1247"/>
                <w:tab w:val="left" w:pos="1163"/>
                <w:tab w:val="left" w:pos="1248"/>
              </w:tabs>
              <w:spacing w:before="40" w:after="40"/>
              <w:ind w:left="417" w:hanging="304"/>
              <w:rPr>
                <w:rFonts w:eastAsia="Roboto"/>
                <w:sz w:val="18"/>
                <w:szCs w:val="18"/>
              </w:rPr>
            </w:pPr>
            <w:r w:rsidRPr="002A2EA6">
              <w:rPr>
                <w:sz w:val="18"/>
                <w:szCs w:val="18"/>
              </w:rPr>
              <w:t>SIP</w:t>
            </w:r>
          </w:p>
          <w:p w14:paraId="2989292E" w14:textId="77777777" w:rsidR="002A2EA6" w:rsidRPr="002A2EA6" w:rsidRDefault="002A2EA6" w:rsidP="002A2EA6">
            <w:pPr>
              <w:pStyle w:val="ListParagraph"/>
              <w:numPr>
                <w:ilvl w:val="0"/>
                <w:numId w:val="15"/>
              </w:numPr>
              <w:pBdr>
                <w:top w:val="nil"/>
                <w:left w:val="nil"/>
                <w:bottom w:val="nil"/>
                <w:right w:val="nil"/>
                <w:between w:val="nil"/>
                <w:bar w:val="nil"/>
              </w:pBdr>
              <w:tabs>
                <w:tab w:val="clear" w:pos="1247"/>
                <w:tab w:val="left" w:pos="1163"/>
                <w:tab w:val="left" w:pos="1248"/>
              </w:tabs>
              <w:spacing w:before="40" w:after="40"/>
              <w:ind w:left="417" w:hanging="304"/>
              <w:rPr>
                <w:rFonts w:eastAsia="Roboto"/>
                <w:sz w:val="18"/>
                <w:szCs w:val="18"/>
              </w:rPr>
            </w:pPr>
            <w:r w:rsidRPr="002A2EA6">
              <w:rPr>
                <w:sz w:val="18"/>
                <w:szCs w:val="18"/>
              </w:rPr>
              <w:t>Appui bilatéral au cours de la période considérée</w:t>
            </w:r>
          </w:p>
        </w:tc>
        <w:tc>
          <w:tcPr>
            <w:tcW w:w="1559" w:type="dxa"/>
            <w:tcBorders>
              <w:top w:val="nil"/>
              <w:left w:val="nil"/>
              <w:bottom w:val="nil"/>
              <w:right w:val="nil"/>
            </w:tcBorders>
            <w:shd w:val="clear" w:color="auto" w:fill="FFFFFF" w:themeFill="background1"/>
          </w:tcPr>
          <w:p w14:paraId="0DFD8249" w14:textId="4D02B9AD" w:rsidR="002A2EA6" w:rsidRPr="002A2EA6" w:rsidRDefault="002A2EA6" w:rsidP="002A2EA6">
            <w:pPr>
              <w:pBdr>
                <w:top w:val="nil"/>
                <w:left w:val="nil"/>
                <w:bottom w:val="nil"/>
                <w:right w:val="nil"/>
                <w:between w:val="nil"/>
                <w:bar w:val="nil"/>
              </w:pBdr>
              <w:tabs>
                <w:tab w:val="left" w:pos="1163"/>
              </w:tabs>
              <w:spacing w:before="40" w:after="40"/>
              <w:rPr>
                <w:iCs/>
                <w:sz w:val="18"/>
                <w:szCs w:val="18"/>
              </w:rPr>
            </w:pPr>
            <w:r w:rsidRPr="002A2EA6">
              <w:rPr>
                <w:sz w:val="18"/>
                <w:szCs w:val="18"/>
              </w:rPr>
              <w:t>- Rapports établis au titre de l</w:t>
            </w:r>
            <w:r w:rsidR="00CA4DAC">
              <w:rPr>
                <w:sz w:val="18"/>
                <w:szCs w:val="18"/>
              </w:rPr>
              <w:t>’</w:t>
            </w:r>
            <w:r w:rsidRPr="002A2EA6">
              <w:rPr>
                <w:sz w:val="18"/>
                <w:szCs w:val="18"/>
              </w:rPr>
              <w:t>article 21</w:t>
            </w:r>
          </w:p>
          <w:p w14:paraId="517BE350"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 Autres sources publiques</w:t>
            </w:r>
          </w:p>
        </w:tc>
        <w:tc>
          <w:tcPr>
            <w:tcW w:w="2041" w:type="dxa"/>
            <w:tcBorders>
              <w:top w:val="nil"/>
              <w:left w:val="nil"/>
              <w:bottom w:val="nil"/>
              <w:right w:val="nil"/>
            </w:tcBorders>
            <w:shd w:val="clear" w:color="auto" w:fill="FFFFFF" w:themeFill="background1"/>
          </w:tcPr>
          <w:p w14:paraId="18CC6821" w14:textId="467129CA" w:rsidR="002A2EA6" w:rsidRPr="002A2EA6" w:rsidRDefault="00BA037C" w:rsidP="002A2EA6">
            <w:pPr>
              <w:pBdr>
                <w:top w:val="nil"/>
                <w:left w:val="nil"/>
                <w:bottom w:val="nil"/>
                <w:right w:val="nil"/>
                <w:between w:val="nil"/>
                <w:bar w:val="nil"/>
              </w:pBdr>
              <w:tabs>
                <w:tab w:val="left" w:pos="1163"/>
              </w:tabs>
              <w:spacing w:before="40" w:after="40"/>
              <w:rPr>
                <w:rFonts w:eastAsia="Roboto"/>
                <w:sz w:val="18"/>
                <w:szCs w:val="18"/>
              </w:rPr>
            </w:pPr>
            <w:r>
              <w:rPr>
                <w:sz w:val="18"/>
                <w:szCs w:val="18"/>
              </w:rPr>
              <w:t xml:space="preserve">Montant </w:t>
            </w:r>
            <w:r w:rsidR="002A2EA6" w:rsidRPr="002A2EA6">
              <w:rPr>
                <w:sz w:val="18"/>
                <w:szCs w:val="18"/>
              </w:rPr>
              <w:t>dans la première évaluation</w:t>
            </w:r>
          </w:p>
        </w:tc>
      </w:tr>
      <w:tr w:rsidR="002A2EA6" w:rsidRPr="002A2EA6" w14:paraId="6DC619E1" w14:textId="77777777" w:rsidTr="00774149">
        <w:trPr>
          <w:trHeight w:val="454"/>
          <w:jc w:val="right"/>
        </w:trPr>
        <w:tc>
          <w:tcPr>
            <w:tcW w:w="1823" w:type="dxa"/>
            <w:tcBorders>
              <w:top w:val="nil"/>
              <w:left w:val="nil"/>
              <w:bottom w:val="single" w:sz="4" w:space="0" w:color="auto"/>
              <w:right w:val="nil"/>
            </w:tcBorders>
            <w:shd w:val="clear" w:color="auto" w:fill="FFFFFF" w:themeFill="background1"/>
          </w:tcPr>
          <w:p w14:paraId="0A5F07FB" w14:textId="3D7E3C66"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E3. Indicateur de méthode supplémentaire pour l</w:t>
            </w:r>
            <w:r w:rsidR="00CA4DAC">
              <w:rPr>
                <w:sz w:val="18"/>
                <w:szCs w:val="18"/>
              </w:rPr>
              <w:t>’</w:t>
            </w:r>
            <w:r w:rsidRPr="002A2EA6">
              <w:rPr>
                <w:sz w:val="18"/>
                <w:szCs w:val="18"/>
              </w:rPr>
              <w:t>article 13</w:t>
            </w:r>
          </w:p>
        </w:tc>
        <w:tc>
          <w:tcPr>
            <w:tcW w:w="2855" w:type="dxa"/>
            <w:tcBorders>
              <w:top w:val="nil"/>
              <w:left w:val="nil"/>
              <w:bottom w:val="single" w:sz="4" w:space="0" w:color="auto"/>
              <w:right w:val="nil"/>
            </w:tcBorders>
            <w:shd w:val="clear" w:color="auto" w:fill="FFFFFF" w:themeFill="background1"/>
          </w:tcPr>
          <w:p w14:paraId="7AC1E027" w14:textId="44D10527" w:rsidR="002A2EA6" w:rsidRPr="002A2EA6" w:rsidRDefault="002A2EA6" w:rsidP="002A2EA6">
            <w:pPr>
              <w:pBdr>
                <w:top w:val="nil"/>
                <w:left w:val="nil"/>
                <w:bottom w:val="nil"/>
                <w:right w:val="nil"/>
                <w:between w:val="nil"/>
                <w:bar w:val="nil"/>
              </w:pBdr>
              <w:spacing w:before="40" w:after="40"/>
              <w:rPr>
                <w:sz w:val="18"/>
                <w:szCs w:val="18"/>
              </w:rPr>
            </w:pPr>
            <w:r w:rsidRPr="002A2EA6">
              <w:rPr>
                <w:sz w:val="18"/>
                <w:szCs w:val="18"/>
              </w:rPr>
              <w:t>Nombre de recommandations issues de l</w:t>
            </w:r>
            <w:r w:rsidR="00CA4DAC">
              <w:rPr>
                <w:sz w:val="18"/>
                <w:szCs w:val="18"/>
              </w:rPr>
              <w:t>’</w:t>
            </w:r>
            <w:r w:rsidRPr="002A2EA6">
              <w:rPr>
                <w:sz w:val="18"/>
                <w:szCs w:val="18"/>
              </w:rPr>
              <w:t>examen financier reprises dans les documents directifs du Fonds pour l</w:t>
            </w:r>
            <w:r w:rsidR="00CA4DAC">
              <w:rPr>
                <w:sz w:val="18"/>
                <w:szCs w:val="18"/>
              </w:rPr>
              <w:t>’</w:t>
            </w:r>
            <w:r w:rsidRPr="002A2EA6">
              <w:rPr>
                <w:sz w:val="18"/>
                <w:szCs w:val="18"/>
              </w:rPr>
              <w:t>environnement mondial/SIP</w:t>
            </w:r>
          </w:p>
        </w:tc>
        <w:tc>
          <w:tcPr>
            <w:tcW w:w="1559" w:type="dxa"/>
            <w:tcBorders>
              <w:top w:val="nil"/>
              <w:left w:val="nil"/>
              <w:bottom w:val="single" w:sz="4" w:space="0" w:color="auto"/>
              <w:right w:val="nil"/>
            </w:tcBorders>
            <w:shd w:val="clear" w:color="auto" w:fill="FFFFFF" w:themeFill="background1"/>
          </w:tcPr>
          <w:p w14:paraId="7AC12C4E"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Information issue de documents directifs</w:t>
            </w:r>
          </w:p>
        </w:tc>
        <w:tc>
          <w:tcPr>
            <w:tcW w:w="2041" w:type="dxa"/>
            <w:tcBorders>
              <w:top w:val="nil"/>
              <w:left w:val="nil"/>
              <w:bottom w:val="single" w:sz="4" w:space="0" w:color="auto"/>
              <w:right w:val="nil"/>
            </w:tcBorders>
            <w:shd w:val="clear" w:color="auto" w:fill="FFFFFF" w:themeFill="background1"/>
          </w:tcPr>
          <w:p w14:paraId="5FCD9B27"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Zéro</w:t>
            </w:r>
          </w:p>
        </w:tc>
      </w:tr>
      <w:tr w:rsidR="002A2EA6" w:rsidRPr="002A2EA6" w14:paraId="02FBD835" w14:textId="77777777" w:rsidTr="00774149">
        <w:trPr>
          <w:trHeight w:val="227"/>
          <w:jc w:val="right"/>
        </w:trPr>
        <w:tc>
          <w:tcPr>
            <w:tcW w:w="1823" w:type="dxa"/>
            <w:tcBorders>
              <w:top w:val="single" w:sz="4" w:space="0" w:color="auto"/>
              <w:left w:val="nil"/>
              <w:bottom w:val="single" w:sz="4" w:space="0" w:color="auto"/>
              <w:right w:val="nil"/>
            </w:tcBorders>
            <w:shd w:val="clear" w:color="auto" w:fill="FFFFFF" w:themeFill="background1"/>
          </w:tcPr>
          <w:p w14:paraId="63DBD076" w14:textId="77777777" w:rsidR="002A2EA6" w:rsidRPr="002A2EA6" w:rsidRDefault="002A2EA6" w:rsidP="002D2836">
            <w:pPr>
              <w:keepNext/>
              <w:pBdr>
                <w:top w:val="nil"/>
                <w:left w:val="nil"/>
                <w:bottom w:val="nil"/>
                <w:right w:val="nil"/>
                <w:between w:val="nil"/>
                <w:bar w:val="nil"/>
              </w:pBdr>
              <w:tabs>
                <w:tab w:val="left" w:pos="1163"/>
              </w:tabs>
              <w:spacing w:before="120" w:after="120"/>
              <w:rPr>
                <w:b/>
                <w:sz w:val="18"/>
                <w:szCs w:val="18"/>
              </w:rPr>
            </w:pPr>
            <w:r w:rsidRPr="002A2EA6">
              <w:rPr>
                <w:b/>
                <w:bCs/>
                <w:sz w:val="18"/>
                <w:szCs w:val="18"/>
              </w:rPr>
              <w:t>Article 14</w:t>
            </w:r>
          </w:p>
        </w:tc>
        <w:tc>
          <w:tcPr>
            <w:tcW w:w="2855" w:type="dxa"/>
            <w:tcBorders>
              <w:top w:val="single" w:sz="4" w:space="0" w:color="auto"/>
              <w:left w:val="nil"/>
              <w:bottom w:val="single" w:sz="4" w:space="0" w:color="auto"/>
              <w:right w:val="nil"/>
            </w:tcBorders>
            <w:shd w:val="clear" w:color="auto" w:fill="FFFFFF" w:themeFill="background1"/>
          </w:tcPr>
          <w:p w14:paraId="02D9254C" w14:textId="77777777" w:rsidR="002A2EA6" w:rsidRPr="002A2EA6" w:rsidRDefault="002A2EA6" w:rsidP="002D2836">
            <w:pPr>
              <w:keepNext/>
              <w:pBdr>
                <w:top w:val="nil"/>
                <w:left w:val="nil"/>
                <w:bottom w:val="nil"/>
                <w:right w:val="nil"/>
                <w:between w:val="nil"/>
                <w:bar w:val="nil"/>
              </w:pBdr>
              <w:tabs>
                <w:tab w:val="left" w:pos="1163"/>
              </w:tabs>
              <w:spacing w:before="120" w:after="120"/>
              <w:rPr>
                <w:rFonts w:eastAsia="Roboto"/>
                <w:sz w:val="18"/>
                <w:szCs w:val="18"/>
              </w:rPr>
            </w:pPr>
          </w:p>
        </w:tc>
        <w:tc>
          <w:tcPr>
            <w:tcW w:w="1559" w:type="dxa"/>
            <w:tcBorders>
              <w:top w:val="single" w:sz="4" w:space="0" w:color="auto"/>
              <w:left w:val="nil"/>
              <w:bottom w:val="single" w:sz="4" w:space="0" w:color="auto"/>
              <w:right w:val="nil"/>
            </w:tcBorders>
            <w:shd w:val="clear" w:color="auto" w:fill="FFFFFF" w:themeFill="background1"/>
          </w:tcPr>
          <w:p w14:paraId="5F7893B3" w14:textId="77777777" w:rsidR="002A2EA6" w:rsidRPr="002A2EA6" w:rsidRDefault="002A2EA6" w:rsidP="002D2836">
            <w:pPr>
              <w:keepNext/>
              <w:pBdr>
                <w:top w:val="nil"/>
                <w:left w:val="nil"/>
                <w:bottom w:val="nil"/>
                <w:right w:val="nil"/>
                <w:between w:val="nil"/>
                <w:bar w:val="nil"/>
              </w:pBdr>
              <w:tabs>
                <w:tab w:val="left" w:pos="1163"/>
              </w:tabs>
              <w:spacing w:before="120" w:after="120"/>
              <w:rPr>
                <w:rFonts w:eastAsia="Roboto"/>
                <w:sz w:val="18"/>
                <w:szCs w:val="18"/>
              </w:rPr>
            </w:pPr>
          </w:p>
        </w:tc>
        <w:tc>
          <w:tcPr>
            <w:tcW w:w="2041" w:type="dxa"/>
            <w:tcBorders>
              <w:top w:val="single" w:sz="4" w:space="0" w:color="auto"/>
              <w:left w:val="nil"/>
              <w:bottom w:val="single" w:sz="4" w:space="0" w:color="auto"/>
              <w:right w:val="nil"/>
            </w:tcBorders>
            <w:shd w:val="clear" w:color="auto" w:fill="FFFFFF" w:themeFill="background1"/>
          </w:tcPr>
          <w:p w14:paraId="2FC7119F" w14:textId="77777777" w:rsidR="002A2EA6" w:rsidRPr="002A2EA6" w:rsidRDefault="002A2EA6" w:rsidP="002D2836">
            <w:pPr>
              <w:keepNext/>
              <w:pBdr>
                <w:top w:val="nil"/>
                <w:left w:val="nil"/>
                <w:bottom w:val="nil"/>
                <w:right w:val="nil"/>
                <w:between w:val="nil"/>
                <w:bar w:val="nil"/>
              </w:pBdr>
              <w:tabs>
                <w:tab w:val="left" w:pos="1163"/>
              </w:tabs>
              <w:spacing w:before="120" w:after="120"/>
              <w:rPr>
                <w:rFonts w:eastAsia="Roboto"/>
                <w:sz w:val="18"/>
                <w:szCs w:val="18"/>
              </w:rPr>
            </w:pPr>
          </w:p>
        </w:tc>
      </w:tr>
      <w:tr w:rsidR="002A2EA6" w:rsidRPr="002A2EA6" w14:paraId="23A2718E" w14:textId="77777777" w:rsidTr="00774149">
        <w:trPr>
          <w:trHeight w:val="1276"/>
          <w:jc w:val="right"/>
        </w:trPr>
        <w:tc>
          <w:tcPr>
            <w:tcW w:w="1823" w:type="dxa"/>
            <w:tcBorders>
              <w:top w:val="single" w:sz="4" w:space="0" w:color="auto"/>
              <w:left w:val="nil"/>
              <w:bottom w:val="nil"/>
              <w:right w:val="nil"/>
            </w:tcBorders>
            <w:shd w:val="clear" w:color="auto" w:fill="FFFFFF" w:themeFill="background1"/>
          </w:tcPr>
          <w:p w14:paraId="12A21BC2" w14:textId="492ECB20"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E4. Indicateur de méthode pour l</w:t>
            </w:r>
            <w:r w:rsidR="00CA4DAC">
              <w:rPr>
                <w:sz w:val="18"/>
                <w:szCs w:val="18"/>
              </w:rPr>
              <w:t>’</w:t>
            </w:r>
            <w:r w:rsidRPr="002A2EA6">
              <w:rPr>
                <w:sz w:val="18"/>
                <w:szCs w:val="18"/>
              </w:rPr>
              <w:t>article 14</w:t>
            </w:r>
          </w:p>
        </w:tc>
        <w:tc>
          <w:tcPr>
            <w:tcW w:w="2855" w:type="dxa"/>
            <w:tcBorders>
              <w:top w:val="single" w:sz="4" w:space="0" w:color="auto"/>
              <w:left w:val="nil"/>
              <w:bottom w:val="nil"/>
              <w:right w:val="nil"/>
            </w:tcBorders>
            <w:shd w:val="clear" w:color="auto" w:fill="FFFFFF" w:themeFill="background1"/>
          </w:tcPr>
          <w:p w14:paraId="700FA549"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Nombre de Parties ayant :</w:t>
            </w:r>
          </w:p>
          <w:p w14:paraId="2344E120" w14:textId="4A1DCD93" w:rsidR="002A2EA6" w:rsidRPr="002A2EA6" w:rsidRDefault="002A2EA6" w:rsidP="002A2EA6">
            <w:pPr>
              <w:pStyle w:val="ListParagraph"/>
              <w:numPr>
                <w:ilvl w:val="0"/>
                <w:numId w:val="15"/>
              </w:numPr>
              <w:pBdr>
                <w:top w:val="nil"/>
                <w:left w:val="nil"/>
                <w:bottom w:val="nil"/>
                <w:right w:val="nil"/>
                <w:between w:val="nil"/>
                <w:bar w:val="nil"/>
              </w:pBdr>
              <w:tabs>
                <w:tab w:val="left" w:pos="1163"/>
              </w:tabs>
              <w:spacing w:before="40" w:after="40"/>
              <w:ind w:left="417" w:hanging="304"/>
              <w:rPr>
                <w:rFonts w:eastAsia="Roboto"/>
                <w:sz w:val="18"/>
                <w:szCs w:val="18"/>
              </w:rPr>
            </w:pPr>
            <w:r w:rsidRPr="002A2EA6">
              <w:rPr>
                <w:sz w:val="18"/>
                <w:szCs w:val="18"/>
              </w:rPr>
              <w:t>Coopéré à la fourniture à une autre Partie d</w:t>
            </w:r>
            <w:r w:rsidR="00CA4DAC">
              <w:rPr>
                <w:sz w:val="18"/>
                <w:szCs w:val="18"/>
              </w:rPr>
              <w:t>’</w:t>
            </w:r>
            <w:r w:rsidRPr="002A2EA6">
              <w:rPr>
                <w:sz w:val="18"/>
                <w:szCs w:val="18"/>
              </w:rPr>
              <w:t>un appui en matière de renforcement des capacités et d</w:t>
            </w:r>
            <w:r w:rsidR="00CA4DAC">
              <w:rPr>
                <w:sz w:val="18"/>
                <w:szCs w:val="18"/>
              </w:rPr>
              <w:t>’</w:t>
            </w:r>
            <w:r w:rsidRPr="002A2EA6">
              <w:rPr>
                <w:sz w:val="18"/>
                <w:szCs w:val="18"/>
              </w:rPr>
              <w:t>une assistance technique</w:t>
            </w:r>
          </w:p>
          <w:p w14:paraId="247D48FE" w14:textId="77777777" w:rsidR="002A2EA6" w:rsidRPr="002A2EA6" w:rsidRDefault="002A2EA6" w:rsidP="002A2EA6">
            <w:pPr>
              <w:pStyle w:val="ListParagraph"/>
              <w:numPr>
                <w:ilvl w:val="0"/>
                <w:numId w:val="15"/>
              </w:numPr>
              <w:pBdr>
                <w:top w:val="nil"/>
                <w:left w:val="nil"/>
                <w:bottom w:val="nil"/>
                <w:right w:val="nil"/>
                <w:between w:val="nil"/>
                <w:bar w:val="nil"/>
              </w:pBdr>
              <w:tabs>
                <w:tab w:val="left" w:pos="1163"/>
              </w:tabs>
              <w:spacing w:before="40" w:after="40"/>
              <w:ind w:left="417" w:hanging="304"/>
              <w:rPr>
                <w:rFonts w:eastAsia="Roboto"/>
                <w:sz w:val="18"/>
                <w:szCs w:val="18"/>
              </w:rPr>
            </w:pPr>
            <w:r w:rsidRPr="002A2EA6">
              <w:rPr>
                <w:sz w:val="18"/>
                <w:szCs w:val="18"/>
              </w:rPr>
              <w:t>Sollicité une assistance technique</w:t>
            </w:r>
          </w:p>
          <w:p w14:paraId="7565ECDF" w14:textId="3160ACEE" w:rsidR="002A2EA6" w:rsidRPr="002A2EA6" w:rsidRDefault="002A2EA6" w:rsidP="002A2EA6">
            <w:pPr>
              <w:pStyle w:val="ListParagraph"/>
              <w:numPr>
                <w:ilvl w:val="0"/>
                <w:numId w:val="15"/>
              </w:numPr>
              <w:pBdr>
                <w:top w:val="nil"/>
                <w:left w:val="nil"/>
                <w:bottom w:val="nil"/>
                <w:right w:val="nil"/>
                <w:between w:val="nil"/>
                <w:bar w:val="nil"/>
              </w:pBdr>
              <w:tabs>
                <w:tab w:val="left" w:pos="1163"/>
              </w:tabs>
              <w:spacing w:before="40" w:after="40"/>
              <w:ind w:left="417" w:hanging="304"/>
              <w:rPr>
                <w:rFonts w:eastAsia="Roboto"/>
                <w:sz w:val="18"/>
                <w:szCs w:val="18"/>
              </w:rPr>
            </w:pPr>
            <w:r w:rsidRPr="002A2EA6">
              <w:rPr>
                <w:sz w:val="18"/>
                <w:szCs w:val="18"/>
              </w:rPr>
              <w:t>Bénéficié d</w:t>
            </w:r>
            <w:r w:rsidR="00CA4DAC">
              <w:rPr>
                <w:sz w:val="18"/>
                <w:szCs w:val="18"/>
              </w:rPr>
              <w:t>’</w:t>
            </w:r>
            <w:r w:rsidRPr="002A2EA6">
              <w:rPr>
                <w:sz w:val="18"/>
                <w:szCs w:val="18"/>
              </w:rPr>
              <w:t>un appui en matière de renforcement des capacités ou d</w:t>
            </w:r>
            <w:r w:rsidR="00CA4DAC">
              <w:rPr>
                <w:sz w:val="18"/>
                <w:szCs w:val="18"/>
              </w:rPr>
              <w:t>’</w:t>
            </w:r>
            <w:r w:rsidRPr="002A2EA6">
              <w:rPr>
                <w:sz w:val="18"/>
                <w:szCs w:val="18"/>
              </w:rPr>
              <w:t>une assistance technique</w:t>
            </w:r>
          </w:p>
          <w:p w14:paraId="623D147B" w14:textId="77777777" w:rsidR="002A2EA6" w:rsidRPr="002A2EA6" w:rsidRDefault="002A2EA6" w:rsidP="002A2EA6">
            <w:pPr>
              <w:pStyle w:val="ListParagraph"/>
              <w:numPr>
                <w:ilvl w:val="0"/>
                <w:numId w:val="15"/>
              </w:numPr>
              <w:pBdr>
                <w:top w:val="nil"/>
                <w:left w:val="nil"/>
                <w:bottom w:val="nil"/>
                <w:right w:val="nil"/>
                <w:between w:val="nil"/>
                <w:bar w:val="nil"/>
              </w:pBdr>
              <w:tabs>
                <w:tab w:val="left" w:pos="1163"/>
              </w:tabs>
              <w:spacing w:before="40" w:after="40"/>
              <w:ind w:left="417" w:hanging="304"/>
              <w:rPr>
                <w:rFonts w:eastAsia="Roboto"/>
                <w:sz w:val="18"/>
                <w:szCs w:val="18"/>
              </w:rPr>
            </w:pPr>
            <w:r w:rsidRPr="002A2EA6">
              <w:rPr>
                <w:sz w:val="18"/>
                <w:szCs w:val="18"/>
              </w:rPr>
              <w:t xml:space="preserve">Encouragé ou facilité le transfert de technologies </w:t>
            </w:r>
          </w:p>
        </w:tc>
        <w:tc>
          <w:tcPr>
            <w:tcW w:w="1559" w:type="dxa"/>
            <w:tcBorders>
              <w:top w:val="single" w:sz="4" w:space="0" w:color="auto"/>
              <w:left w:val="nil"/>
              <w:bottom w:val="nil"/>
              <w:right w:val="nil"/>
            </w:tcBorders>
            <w:shd w:val="clear" w:color="auto" w:fill="FFFFFF" w:themeFill="background1"/>
          </w:tcPr>
          <w:p w14:paraId="5C479B0F" w14:textId="2813918F" w:rsidR="002A2EA6" w:rsidRPr="002A2EA6" w:rsidRDefault="002A2EA6" w:rsidP="002A2EA6">
            <w:pPr>
              <w:pBdr>
                <w:top w:val="nil"/>
                <w:left w:val="nil"/>
                <w:bottom w:val="nil"/>
                <w:right w:val="nil"/>
                <w:between w:val="nil"/>
                <w:bar w:val="nil"/>
              </w:pBdr>
              <w:tabs>
                <w:tab w:val="left" w:pos="1163"/>
              </w:tabs>
              <w:spacing w:before="40" w:after="40"/>
              <w:rPr>
                <w:iCs/>
                <w:sz w:val="18"/>
                <w:szCs w:val="18"/>
              </w:rPr>
            </w:pPr>
            <w:r w:rsidRPr="002A2EA6">
              <w:rPr>
                <w:sz w:val="18"/>
                <w:szCs w:val="18"/>
              </w:rPr>
              <w:t>- Rapports établis au titre de l</w:t>
            </w:r>
            <w:r w:rsidR="00CA4DAC">
              <w:rPr>
                <w:sz w:val="18"/>
                <w:szCs w:val="18"/>
              </w:rPr>
              <w:t>’</w:t>
            </w:r>
            <w:r w:rsidRPr="002A2EA6">
              <w:rPr>
                <w:sz w:val="18"/>
                <w:szCs w:val="18"/>
              </w:rPr>
              <w:t>article 21</w:t>
            </w:r>
          </w:p>
          <w:p w14:paraId="42146943"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 Autres sources publiques</w:t>
            </w:r>
          </w:p>
        </w:tc>
        <w:tc>
          <w:tcPr>
            <w:tcW w:w="2041" w:type="dxa"/>
            <w:tcBorders>
              <w:top w:val="single" w:sz="4" w:space="0" w:color="auto"/>
              <w:left w:val="nil"/>
              <w:bottom w:val="nil"/>
              <w:right w:val="nil"/>
            </w:tcBorders>
            <w:shd w:val="clear" w:color="auto" w:fill="FFFFFF" w:themeFill="background1"/>
          </w:tcPr>
          <w:p w14:paraId="24170EE0"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Nombre dans la première évaluation</w:t>
            </w:r>
          </w:p>
        </w:tc>
      </w:tr>
      <w:tr w:rsidR="002A2EA6" w:rsidRPr="002A2EA6" w14:paraId="1B0D197C" w14:textId="77777777" w:rsidTr="00774149">
        <w:trPr>
          <w:trHeight w:val="454"/>
          <w:jc w:val="right"/>
        </w:trPr>
        <w:tc>
          <w:tcPr>
            <w:tcW w:w="1823" w:type="dxa"/>
            <w:tcBorders>
              <w:top w:val="nil"/>
              <w:left w:val="nil"/>
              <w:bottom w:val="single" w:sz="12" w:space="0" w:color="auto"/>
              <w:right w:val="nil"/>
            </w:tcBorders>
            <w:shd w:val="clear" w:color="auto" w:fill="FFFFFF" w:themeFill="background1"/>
          </w:tcPr>
          <w:p w14:paraId="29EB27AF" w14:textId="77777777" w:rsidR="002A2EA6" w:rsidRPr="002A2EA6" w:rsidRDefault="002A2EA6" w:rsidP="002A2EA6">
            <w:pPr>
              <w:spacing w:before="40" w:after="40"/>
              <w:rPr>
                <w:b/>
                <w:bCs/>
                <w:sz w:val="18"/>
                <w:szCs w:val="18"/>
              </w:rPr>
            </w:pPr>
            <w:r w:rsidRPr="002A2EA6">
              <w:rPr>
                <w:b/>
                <w:bCs/>
                <w:sz w:val="18"/>
                <w:szCs w:val="18"/>
              </w:rPr>
              <w:t>Notes</w:t>
            </w:r>
          </w:p>
        </w:tc>
        <w:tc>
          <w:tcPr>
            <w:tcW w:w="6455" w:type="dxa"/>
            <w:gridSpan w:val="3"/>
            <w:tcBorders>
              <w:top w:val="nil"/>
              <w:left w:val="nil"/>
              <w:bottom w:val="single" w:sz="12" w:space="0" w:color="auto"/>
              <w:right w:val="nil"/>
            </w:tcBorders>
            <w:shd w:val="clear" w:color="auto" w:fill="FFFFFF" w:themeFill="background1"/>
          </w:tcPr>
          <w:p w14:paraId="3D5E28E9" w14:textId="52F1A6CC" w:rsidR="002A2EA6" w:rsidRPr="002A2EA6" w:rsidRDefault="002A2EA6" w:rsidP="002A2EA6">
            <w:pPr>
              <w:pStyle w:val="ListParagraph"/>
              <w:numPr>
                <w:ilvl w:val="0"/>
                <w:numId w:val="16"/>
              </w:numPr>
              <w:pBdr>
                <w:top w:val="nil"/>
                <w:left w:val="nil"/>
                <w:bottom w:val="nil"/>
                <w:right w:val="nil"/>
                <w:between w:val="nil"/>
                <w:bar w:val="nil"/>
              </w:pBdr>
              <w:tabs>
                <w:tab w:val="left" w:pos="1872"/>
              </w:tabs>
              <w:spacing w:before="40"/>
              <w:ind w:left="357" w:hanging="357"/>
              <w:rPr>
                <w:sz w:val="18"/>
                <w:szCs w:val="18"/>
              </w:rPr>
            </w:pPr>
            <w:r w:rsidRPr="002A2EA6">
              <w:rPr>
                <w:sz w:val="18"/>
                <w:szCs w:val="18"/>
              </w:rPr>
              <w:t>Le cycle d</w:t>
            </w:r>
            <w:r w:rsidR="00CA4DAC">
              <w:rPr>
                <w:sz w:val="18"/>
                <w:szCs w:val="18"/>
              </w:rPr>
              <w:t>’</w:t>
            </w:r>
            <w:r w:rsidRPr="002A2EA6">
              <w:rPr>
                <w:sz w:val="18"/>
                <w:szCs w:val="18"/>
              </w:rPr>
              <w:t>examen du mécanisme de financement peut ne pas correspondre au cycle d</w:t>
            </w:r>
            <w:r w:rsidR="00CA4DAC">
              <w:rPr>
                <w:sz w:val="18"/>
                <w:szCs w:val="18"/>
              </w:rPr>
              <w:t>’</w:t>
            </w:r>
            <w:r w:rsidRPr="002A2EA6">
              <w:rPr>
                <w:sz w:val="18"/>
                <w:szCs w:val="18"/>
              </w:rPr>
              <w:t>évaluation de l</w:t>
            </w:r>
            <w:r w:rsidR="00CA4DAC">
              <w:rPr>
                <w:sz w:val="18"/>
                <w:szCs w:val="18"/>
              </w:rPr>
              <w:t>’</w:t>
            </w:r>
            <w:r w:rsidRPr="002A2EA6">
              <w:rPr>
                <w:sz w:val="18"/>
                <w:szCs w:val="18"/>
              </w:rPr>
              <w:t xml:space="preserve">efficacité. </w:t>
            </w:r>
          </w:p>
          <w:p w14:paraId="60543F4B" w14:textId="7B1DAB1D" w:rsidR="002A2EA6" w:rsidRPr="002A2EA6" w:rsidRDefault="002A2EA6" w:rsidP="002A2EA6">
            <w:pPr>
              <w:pStyle w:val="ListParagraph"/>
              <w:numPr>
                <w:ilvl w:val="0"/>
                <w:numId w:val="16"/>
              </w:numPr>
              <w:pBdr>
                <w:top w:val="nil"/>
                <w:left w:val="nil"/>
                <w:bottom w:val="nil"/>
                <w:right w:val="nil"/>
                <w:between w:val="nil"/>
                <w:bar w:val="nil"/>
              </w:pBdr>
              <w:tabs>
                <w:tab w:val="left" w:pos="1872"/>
              </w:tabs>
              <w:spacing w:after="40"/>
              <w:ind w:left="357" w:hanging="357"/>
              <w:rPr>
                <w:sz w:val="18"/>
                <w:szCs w:val="18"/>
              </w:rPr>
            </w:pPr>
            <w:r w:rsidRPr="002A2EA6">
              <w:rPr>
                <w:sz w:val="18"/>
                <w:szCs w:val="18"/>
              </w:rPr>
              <w:t>Attendu que le modèle de rapport n</w:t>
            </w:r>
            <w:r w:rsidR="00CA4DAC">
              <w:rPr>
                <w:sz w:val="18"/>
                <w:szCs w:val="18"/>
              </w:rPr>
              <w:t>’</w:t>
            </w:r>
            <w:r w:rsidRPr="002A2EA6">
              <w:rPr>
                <w:sz w:val="18"/>
                <w:szCs w:val="18"/>
              </w:rPr>
              <w:t>exige pas que soit indiquée la valeur en dollars des ressources fournies, la consultation d</w:t>
            </w:r>
            <w:r w:rsidR="00CA4DAC">
              <w:rPr>
                <w:sz w:val="18"/>
                <w:szCs w:val="18"/>
              </w:rPr>
              <w:t>’</w:t>
            </w:r>
            <w:r w:rsidRPr="002A2EA6">
              <w:rPr>
                <w:sz w:val="18"/>
                <w:szCs w:val="18"/>
              </w:rPr>
              <w:t>autres sources publiques peut s</w:t>
            </w:r>
            <w:r w:rsidR="00CA4DAC">
              <w:rPr>
                <w:sz w:val="18"/>
                <w:szCs w:val="18"/>
              </w:rPr>
              <w:t>’</w:t>
            </w:r>
            <w:r w:rsidRPr="002A2EA6">
              <w:rPr>
                <w:sz w:val="18"/>
                <w:szCs w:val="18"/>
              </w:rPr>
              <w:t>imposer.</w:t>
            </w:r>
          </w:p>
        </w:tc>
      </w:tr>
    </w:tbl>
    <w:p w14:paraId="6097597A" w14:textId="77777777" w:rsidR="002A2EA6" w:rsidRPr="002321A6" w:rsidRDefault="002A2EA6" w:rsidP="002321A6">
      <w:pPr>
        <w:spacing w:after="120"/>
      </w:pP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28"/>
        <w:gridCol w:w="2867"/>
        <w:gridCol w:w="1564"/>
        <w:gridCol w:w="2048"/>
      </w:tblGrid>
      <w:tr w:rsidR="002A2EA6" w:rsidRPr="002A2EA6" w14:paraId="005B252D" w14:textId="77777777" w:rsidTr="002321A6">
        <w:trPr>
          <w:trHeight w:val="57"/>
          <w:tblHeader/>
          <w:jc w:val="right"/>
        </w:trPr>
        <w:tc>
          <w:tcPr>
            <w:tcW w:w="4678" w:type="dxa"/>
            <w:gridSpan w:val="2"/>
            <w:tcBorders>
              <w:top w:val="single" w:sz="4" w:space="0" w:color="auto"/>
              <w:bottom w:val="single" w:sz="12" w:space="0" w:color="auto"/>
            </w:tcBorders>
            <w:shd w:val="clear" w:color="auto" w:fill="FFFFFF" w:themeFill="background1"/>
          </w:tcPr>
          <w:p w14:paraId="29507656" w14:textId="77777777" w:rsidR="002A2EA6" w:rsidRPr="00314C2D" w:rsidRDefault="002A2EA6" w:rsidP="002A2EA6">
            <w:pPr>
              <w:spacing w:before="40" w:after="40"/>
              <w:rPr>
                <w:rFonts w:asciiTheme="majorBidi" w:hAnsiTheme="majorBidi" w:cstheme="majorBidi"/>
                <w:bCs/>
                <w:i/>
                <w:iCs/>
                <w:sz w:val="18"/>
                <w:szCs w:val="18"/>
              </w:rPr>
            </w:pPr>
            <w:r w:rsidRPr="00314C2D">
              <w:rPr>
                <w:bCs/>
                <w:i/>
                <w:iCs/>
                <w:sz w:val="18"/>
                <w:szCs w:val="18"/>
              </w:rPr>
              <w:t>F : article 15 (Comité de mise en œuvre et du respect des obligations)</w:t>
            </w:r>
          </w:p>
        </w:tc>
        <w:tc>
          <w:tcPr>
            <w:tcW w:w="1559" w:type="dxa"/>
            <w:tcBorders>
              <w:top w:val="single" w:sz="4" w:space="0" w:color="auto"/>
              <w:bottom w:val="single" w:sz="12" w:space="0" w:color="auto"/>
            </w:tcBorders>
            <w:shd w:val="clear" w:color="auto" w:fill="FFFFFF" w:themeFill="background1"/>
          </w:tcPr>
          <w:p w14:paraId="0ED892FE" w14:textId="1C0D4B14" w:rsidR="002A2EA6" w:rsidRPr="00314C2D" w:rsidRDefault="002A2EA6" w:rsidP="002A2EA6">
            <w:pPr>
              <w:spacing w:before="40" w:after="40"/>
              <w:rPr>
                <w:rFonts w:asciiTheme="majorBidi" w:eastAsia="Roboto" w:hAnsiTheme="majorBidi" w:cstheme="majorBidi"/>
                <w:i/>
                <w:iCs/>
                <w:sz w:val="18"/>
                <w:szCs w:val="18"/>
              </w:rPr>
            </w:pPr>
            <w:r w:rsidRPr="00314C2D">
              <w:rPr>
                <w:bCs/>
                <w:i/>
                <w:iCs/>
                <w:sz w:val="18"/>
                <w:szCs w:val="18"/>
              </w:rPr>
              <w:t xml:space="preserve">Source </w:t>
            </w:r>
            <w:r w:rsidR="002321A6">
              <w:rPr>
                <w:bCs/>
                <w:i/>
                <w:iCs/>
                <w:sz w:val="18"/>
                <w:szCs w:val="18"/>
              </w:rPr>
              <w:br/>
            </w:r>
            <w:r w:rsidRPr="00314C2D">
              <w:rPr>
                <w:bCs/>
                <w:i/>
                <w:iCs/>
                <w:sz w:val="18"/>
                <w:szCs w:val="18"/>
              </w:rPr>
              <w:t>d</w:t>
            </w:r>
            <w:r w:rsidR="00CA4DAC">
              <w:rPr>
                <w:bCs/>
                <w:i/>
                <w:iCs/>
                <w:sz w:val="18"/>
                <w:szCs w:val="18"/>
              </w:rPr>
              <w:t>’</w:t>
            </w:r>
            <w:r w:rsidRPr="00314C2D">
              <w:rPr>
                <w:bCs/>
                <w:i/>
                <w:iCs/>
                <w:sz w:val="18"/>
                <w:szCs w:val="18"/>
              </w:rPr>
              <w:t>information concernant l</w:t>
            </w:r>
            <w:r w:rsidR="00CA4DAC">
              <w:rPr>
                <w:bCs/>
                <w:i/>
                <w:iCs/>
                <w:sz w:val="18"/>
                <w:szCs w:val="18"/>
              </w:rPr>
              <w:t>’</w:t>
            </w:r>
            <w:r w:rsidRPr="00314C2D">
              <w:rPr>
                <w:bCs/>
                <w:i/>
                <w:iCs/>
                <w:sz w:val="18"/>
                <w:szCs w:val="18"/>
              </w:rPr>
              <w:t>indicateur</w:t>
            </w:r>
          </w:p>
        </w:tc>
        <w:tc>
          <w:tcPr>
            <w:tcW w:w="2041" w:type="dxa"/>
            <w:tcBorders>
              <w:top w:val="single" w:sz="4" w:space="0" w:color="auto"/>
              <w:bottom w:val="single" w:sz="12" w:space="0" w:color="auto"/>
            </w:tcBorders>
            <w:shd w:val="clear" w:color="auto" w:fill="FFFFFF" w:themeFill="background1"/>
          </w:tcPr>
          <w:p w14:paraId="258BD445" w14:textId="131A350A" w:rsidR="002A2EA6" w:rsidRPr="00314C2D" w:rsidRDefault="002A2EA6" w:rsidP="002A2EA6">
            <w:pPr>
              <w:spacing w:before="40" w:after="40"/>
              <w:rPr>
                <w:rFonts w:asciiTheme="majorBidi" w:eastAsia="Roboto" w:hAnsiTheme="majorBidi" w:cstheme="majorBidi"/>
                <w:i/>
                <w:iCs/>
                <w:sz w:val="18"/>
                <w:szCs w:val="18"/>
              </w:rPr>
            </w:pPr>
            <w:r w:rsidRPr="00314C2D">
              <w:rPr>
                <w:i/>
                <w:iCs/>
                <w:sz w:val="18"/>
                <w:szCs w:val="18"/>
              </w:rPr>
              <w:t>Valeur de référence pour l</w:t>
            </w:r>
            <w:r w:rsidR="00CA4DAC">
              <w:rPr>
                <w:i/>
                <w:iCs/>
                <w:sz w:val="18"/>
                <w:szCs w:val="18"/>
              </w:rPr>
              <w:t>’</w:t>
            </w:r>
            <w:r w:rsidRPr="00314C2D">
              <w:rPr>
                <w:i/>
                <w:iCs/>
                <w:sz w:val="18"/>
                <w:szCs w:val="18"/>
              </w:rPr>
              <w:t>indicateur</w:t>
            </w:r>
          </w:p>
        </w:tc>
      </w:tr>
      <w:tr w:rsidR="002A2EA6" w:rsidRPr="002A2EA6" w14:paraId="5B48982E" w14:textId="77777777" w:rsidTr="002321A6">
        <w:trPr>
          <w:trHeight w:val="624"/>
          <w:jc w:val="right"/>
        </w:trPr>
        <w:tc>
          <w:tcPr>
            <w:tcW w:w="1821" w:type="dxa"/>
            <w:tcBorders>
              <w:top w:val="single" w:sz="12" w:space="0" w:color="auto"/>
              <w:bottom w:val="single" w:sz="4" w:space="0" w:color="auto"/>
            </w:tcBorders>
            <w:shd w:val="clear" w:color="auto" w:fill="FFFFFF" w:themeFill="background1"/>
          </w:tcPr>
          <w:p w14:paraId="43ADD51D"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F1. Indicateur de méthode</w:t>
            </w:r>
          </w:p>
        </w:tc>
        <w:tc>
          <w:tcPr>
            <w:tcW w:w="2857" w:type="dxa"/>
            <w:tcBorders>
              <w:top w:val="single" w:sz="12" w:space="0" w:color="auto"/>
              <w:bottom w:val="single" w:sz="4" w:space="0" w:color="auto"/>
            </w:tcBorders>
            <w:shd w:val="clear" w:color="auto" w:fill="FFFFFF" w:themeFill="background1"/>
          </w:tcPr>
          <w:p w14:paraId="7ED581FD"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Proportion de questions que le Comité de mise en œuvre et du respect des obligations a été en mesure de régler, y compris des indications sur les questions systémiques, le cas échéant</w:t>
            </w:r>
          </w:p>
        </w:tc>
        <w:tc>
          <w:tcPr>
            <w:tcW w:w="1559" w:type="dxa"/>
            <w:tcBorders>
              <w:top w:val="single" w:sz="12" w:space="0" w:color="auto"/>
              <w:bottom w:val="single" w:sz="4" w:space="0" w:color="auto"/>
            </w:tcBorders>
            <w:shd w:val="clear" w:color="auto" w:fill="FFFFFF" w:themeFill="background1"/>
          </w:tcPr>
          <w:p w14:paraId="5FE8C7EF"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 Rapport du Comité de mise en œuvre et du respect des obligations (art. 21)</w:t>
            </w:r>
          </w:p>
        </w:tc>
        <w:tc>
          <w:tcPr>
            <w:tcW w:w="2041" w:type="dxa"/>
            <w:tcBorders>
              <w:top w:val="single" w:sz="12" w:space="0" w:color="auto"/>
              <w:bottom w:val="single" w:sz="4" w:space="0" w:color="auto"/>
            </w:tcBorders>
            <w:shd w:val="clear" w:color="auto" w:fill="FFFFFF" w:themeFill="background1"/>
          </w:tcPr>
          <w:p w14:paraId="004B13F0" w14:textId="50FB358D" w:rsidR="002A2EA6" w:rsidRPr="002A2EA6" w:rsidRDefault="00F042EC" w:rsidP="002A2EA6">
            <w:pPr>
              <w:spacing w:before="40" w:after="40"/>
              <w:rPr>
                <w:rFonts w:asciiTheme="majorBidi" w:hAnsiTheme="majorBidi" w:cstheme="majorBidi"/>
                <w:sz w:val="18"/>
                <w:szCs w:val="18"/>
              </w:rPr>
            </w:pPr>
            <w:r>
              <w:rPr>
                <w:sz w:val="18"/>
                <w:szCs w:val="18"/>
              </w:rPr>
              <w:t xml:space="preserve">Pourcentage </w:t>
            </w:r>
            <w:r w:rsidR="002A2EA6" w:rsidRPr="002A2EA6">
              <w:rPr>
                <w:sz w:val="18"/>
                <w:szCs w:val="18"/>
              </w:rPr>
              <w:t>dans la première</w:t>
            </w:r>
            <w:r w:rsidR="002321A6">
              <w:rPr>
                <w:sz w:val="18"/>
                <w:szCs w:val="18"/>
              </w:rPr>
              <w:t xml:space="preserve"> </w:t>
            </w:r>
            <w:r w:rsidR="002A2EA6" w:rsidRPr="002A2EA6">
              <w:rPr>
                <w:sz w:val="18"/>
                <w:szCs w:val="18"/>
              </w:rPr>
              <w:t>évaluation</w:t>
            </w:r>
          </w:p>
        </w:tc>
      </w:tr>
      <w:tr w:rsidR="002A2EA6" w:rsidRPr="002A2EA6" w14:paraId="789A0CBA" w14:textId="77777777" w:rsidTr="002321A6">
        <w:trPr>
          <w:trHeight w:val="227"/>
          <w:jc w:val="right"/>
        </w:trPr>
        <w:tc>
          <w:tcPr>
            <w:tcW w:w="1821" w:type="dxa"/>
            <w:tcBorders>
              <w:top w:val="single" w:sz="4" w:space="0" w:color="auto"/>
              <w:bottom w:val="single" w:sz="12" w:space="0" w:color="auto"/>
            </w:tcBorders>
            <w:shd w:val="clear" w:color="auto" w:fill="FFFFFF" w:themeFill="background1"/>
          </w:tcPr>
          <w:p w14:paraId="0B030D2F" w14:textId="77777777" w:rsidR="002A2EA6" w:rsidRPr="002A2EA6" w:rsidRDefault="002A2EA6" w:rsidP="002A2EA6">
            <w:pPr>
              <w:spacing w:before="40" w:after="40"/>
              <w:rPr>
                <w:rFonts w:asciiTheme="majorBidi" w:hAnsiTheme="majorBidi" w:cstheme="majorBidi"/>
                <w:b/>
                <w:bCs/>
                <w:sz w:val="18"/>
                <w:szCs w:val="18"/>
              </w:rPr>
            </w:pPr>
            <w:r w:rsidRPr="002A2EA6">
              <w:rPr>
                <w:b/>
                <w:bCs/>
                <w:sz w:val="18"/>
                <w:szCs w:val="18"/>
              </w:rPr>
              <w:t>Notes</w:t>
            </w:r>
          </w:p>
        </w:tc>
        <w:tc>
          <w:tcPr>
            <w:tcW w:w="6457" w:type="dxa"/>
            <w:gridSpan w:val="3"/>
            <w:tcBorders>
              <w:top w:val="single" w:sz="4" w:space="0" w:color="auto"/>
              <w:bottom w:val="single" w:sz="12" w:space="0" w:color="auto"/>
            </w:tcBorders>
            <w:shd w:val="clear" w:color="auto" w:fill="FFFFFF" w:themeFill="background1"/>
          </w:tcPr>
          <w:p w14:paraId="0F1D783A" w14:textId="77777777" w:rsidR="002A2EA6" w:rsidRPr="002A2EA6" w:rsidRDefault="002A2EA6" w:rsidP="002A2EA6">
            <w:pPr>
              <w:pStyle w:val="ListParagraph"/>
              <w:numPr>
                <w:ilvl w:val="0"/>
                <w:numId w:val="16"/>
              </w:numPr>
              <w:pBdr>
                <w:top w:val="nil"/>
                <w:left w:val="nil"/>
                <w:bottom w:val="nil"/>
                <w:right w:val="nil"/>
                <w:between w:val="nil"/>
                <w:bar w:val="nil"/>
              </w:pBdr>
              <w:tabs>
                <w:tab w:val="left" w:pos="1872"/>
              </w:tabs>
              <w:spacing w:before="40" w:after="40"/>
              <w:rPr>
                <w:rFonts w:asciiTheme="majorBidi" w:hAnsiTheme="majorBidi" w:cstheme="majorBidi"/>
                <w:spacing w:val="-2"/>
                <w:sz w:val="18"/>
                <w:szCs w:val="18"/>
              </w:rPr>
            </w:pPr>
            <w:r w:rsidRPr="002A2EA6">
              <w:rPr>
                <w:sz w:val="18"/>
                <w:szCs w:val="18"/>
              </w:rPr>
              <w:t>La Conférence des Parties examinera le mandat du Comité de mise en œuvre et du respect des obligations à sa troisième réunion.</w:t>
            </w:r>
          </w:p>
        </w:tc>
      </w:tr>
    </w:tbl>
    <w:p w14:paraId="48E73C99" w14:textId="77777777" w:rsidR="002A2EA6" w:rsidRPr="002321A6" w:rsidRDefault="002A2EA6" w:rsidP="002321A6">
      <w:pPr>
        <w:spacing w:after="120"/>
        <w:rPr>
          <w:rFonts w:asciiTheme="majorBidi" w:hAnsiTheme="majorBidi" w:cstheme="majorBidi"/>
        </w:rPr>
      </w:pP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27"/>
        <w:gridCol w:w="2851"/>
        <w:gridCol w:w="1559"/>
        <w:gridCol w:w="2070"/>
      </w:tblGrid>
      <w:tr w:rsidR="002A2EA6" w:rsidRPr="002A2EA6" w14:paraId="3B9121F7" w14:textId="77777777" w:rsidTr="002321A6">
        <w:trPr>
          <w:trHeight w:val="57"/>
          <w:tblHeader/>
          <w:jc w:val="right"/>
        </w:trPr>
        <w:tc>
          <w:tcPr>
            <w:tcW w:w="4678" w:type="dxa"/>
            <w:gridSpan w:val="2"/>
            <w:tcBorders>
              <w:top w:val="single" w:sz="4" w:space="0" w:color="auto"/>
              <w:bottom w:val="single" w:sz="12" w:space="0" w:color="auto"/>
            </w:tcBorders>
            <w:shd w:val="clear" w:color="auto" w:fill="FFFFFF" w:themeFill="background1"/>
          </w:tcPr>
          <w:p w14:paraId="6A0C8B54" w14:textId="77777777" w:rsidR="002A2EA6" w:rsidRPr="008178BD" w:rsidRDefault="002A2EA6" w:rsidP="002A2EA6">
            <w:pPr>
              <w:spacing w:before="40" w:after="40"/>
              <w:rPr>
                <w:rFonts w:asciiTheme="majorBidi" w:eastAsia="Roboto" w:hAnsiTheme="majorBidi" w:cstheme="majorBidi"/>
                <w:i/>
                <w:iCs/>
                <w:sz w:val="18"/>
                <w:szCs w:val="18"/>
              </w:rPr>
            </w:pPr>
            <w:r w:rsidRPr="008178BD">
              <w:rPr>
                <w:i/>
                <w:iCs/>
                <w:sz w:val="18"/>
                <w:szCs w:val="18"/>
              </w:rPr>
              <w:t xml:space="preserve">G : article 16 (Aspects sanitaires) </w:t>
            </w:r>
          </w:p>
          <w:p w14:paraId="7E49F5DF" w14:textId="799654E7" w:rsidR="002A2EA6" w:rsidRPr="002A2EA6" w:rsidRDefault="002A2EA6" w:rsidP="002A2EA6">
            <w:pPr>
              <w:spacing w:before="40" w:after="40"/>
              <w:ind w:left="567"/>
              <w:rPr>
                <w:rFonts w:asciiTheme="majorBidi" w:eastAsia="Roboto" w:hAnsiTheme="majorBidi" w:cstheme="majorBidi"/>
                <w:b/>
                <w:sz w:val="18"/>
                <w:szCs w:val="18"/>
              </w:rPr>
            </w:pPr>
            <w:r w:rsidRPr="002A2EA6">
              <w:rPr>
                <w:sz w:val="18"/>
                <w:szCs w:val="18"/>
              </w:rPr>
              <w:t>(L</w:t>
            </w:r>
            <w:r w:rsidR="00CA4DAC">
              <w:rPr>
                <w:sz w:val="18"/>
                <w:szCs w:val="18"/>
              </w:rPr>
              <w:t>’</w:t>
            </w:r>
            <w:r w:rsidRPr="002A2EA6">
              <w:rPr>
                <w:sz w:val="18"/>
                <w:szCs w:val="18"/>
              </w:rPr>
              <w:t>indicateur de l</w:t>
            </w:r>
            <w:r w:rsidR="00CA4DAC">
              <w:rPr>
                <w:sz w:val="18"/>
                <w:szCs w:val="18"/>
              </w:rPr>
              <w:t>’</w:t>
            </w:r>
            <w:r w:rsidRPr="002A2EA6">
              <w:rPr>
                <w:sz w:val="18"/>
                <w:szCs w:val="18"/>
              </w:rPr>
              <w:t>article 16 doit être rapproché des indicateurs de surveillance correspondants du tableau</w:t>
            </w:r>
            <w:r w:rsidR="002321A6">
              <w:rPr>
                <w:sz w:val="18"/>
                <w:szCs w:val="18"/>
              </w:rPr>
              <w:t> </w:t>
            </w:r>
            <w:r w:rsidRPr="002A2EA6">
              <w:rPr>
                <w:sz w:val="18"/>
                <w:szCs w:val="18"/>
              </w:rPr>
              <w:t>4)</w:t>
            </w:r>
          </w:p>
        </w:tc>
        <w:tc>
          <w:tcPr>
            <w:tcW w:w="1559" w:type="dxa"/>
            <w:tcBorders>
              <w:top w:val="single" w:sz="4" w:space="0" w:color="auto"/>
              <w:bottom w:val="single" w:sz="12" w:space="0" w:color="auto"/>
            </w:tcBorders>
            <w:shd w:val="clear" w:color="auto" w:fill="FFFFFF" w:themeFill="background1"/>
          </w:tcPr>
          <w:p w14:paraId="766A5C7A" w14:textId="567FE902" w:rsidR="002A2EA6" w:rsidRPr="008178BD" w:rsidRDefault="002A2EA6" w:rsidP="002A2EA6">
            <w:pPr>
              <w:spacing w:before="40" w:after="40"/>
              <w:rPr>
                <w:rFonts w:asciiTheme="majorBidi" w:eastAsia="Roboto" w:hAnsiTheme="majorBidi" w:cstheme="majorBidi"/>
                <w:i/>
                <w:iCs/>
                <w:sz w:val="18"/>
                <w:szCs w:val="18"/>
              </w:rPr>
            </w:pPr>
            <w:r w:rsidRPr="008178BD">
              <w:rPr>
                <w:i/>
                <w:iCs/>
                <w:sz w:val="18"/>
                <w:szCs w:val="18"/>
              </w:rPr>
              <w:t xml:space="preserve">Source </w:t>
            </w:r>
            <w:r w:rsidR="002321A6">
              <w:rPr>
                <w:i/>
                <w:iCs/>
                <w:sz w:val="18"/>
                <w:szCs w:val="18"/>
              </w:rPr>
              <w:br/>
            </w:r>
            <w:r w:rsidRPr="008178BD">
              <w:rPr>
                <w:i/>
                <w:iCs/>
                <w:sz w:val="18"/>
                <w:szCs w:val="18"/>
              </w:rPr>
              <w:t>d</w:t>
            </w:r>
            <w:r w:rsidR="00CA4DAC">
              <w:rPr>
                <w:i/>
                <w:iCs/>
                <w:sz w:val="18"/>
                <w:szCs w:val="18"/>
              </w:rPr>
              <w:t>’</w:t>
            </w:r>
            <w:r w:rsidRPr="008178BD">
              <w:rPr>
                <w:i/>
                <w:iCs/>
                <w:sz w:val="18"/>
                <w:szCs w:val="18"/>
              </w:rPr>
              <w:t>information concernant l</w:t>
            </w:r>
            <w:r w:rsidR="00CA4DAC">
              <w:rPr>
                <w:i/>
                <w:iCs/>
                <w:sz w:val="18"/>
                <w:szCs w:val="18"/>
              </w:rPr>
              <w:t>’</w:t>
            </w:r>
            <w:r w:rsidRPr="008178BD">
              <w:rPr>
                <w:i/>
                <w:iCs/>
                <w:sz w:val="18"/>
                <w:szCs w:val="18"/>
              </w:rPr>
              <w:t>indicateur</w:t>
            </w:r>
          </w:p>
        </w:tc>
        <w:tc>
          <w:tcPr>
            <w:tcW w:w="2070" w:type="dxa"/>
            <w:tcBorders>
              <w:top w:val="single" w:sz="4" w:space="0" w:color="auto"/>
              <w:bottom w:val="single" w:sz="12" w:space="0" w:color="auto"/>
            </w:tcBorders>
            <w:shd w:val="clear" w:color="auto" w:fill="FFFFFF" w:themeFill="background1"/>
          </w:tcPr>
          <w:p w14:paraId="696AA6E2" w14:textId="15956D9B" w:rsidR="002A2EA6" w:rsidRPr="008178BD" w:rsidRDefault="002A2EA6" w:rsidP="002A2EA6">
            <w:pPr>
              <w:spacing w:before="40" w:after="40"/>
              <w:rPr>
                <w:rFonts w:asciiTheme="majorBidi" w:eastAsia="Roboto" w:hAnsiTheme="majorBidi" w:cstheme="majorBidi"/>
                <w:i/>
                <w:iCs/>
                <w:sz w:val="18"/>
                <w:szCs w:val="18"/>
              </w:rPr>
            </w:pPr>
            <w:r w:rsidRPr="008178BD">
              <w:rPr>
                <w:i/>
                <w:iCs/>
                <w:sz w:val="18"/>
                <w:szCs w:val="18"/>
              </w:rPr>
              <w:t>Valeur de référence pour l</w:t>
            </w:r>
            <w:r w:rsidR="00CA4DAC">
              <w:rPr>
                <w:i/>
                <w:iCs/>
                <w:sz w:val="18"/>
                <w:szCs w:val="18"/>
              </w:rPr>
              <w:t>’</w:t>
            </w:r>
            <w:r w:rsidRPr="008178BD">
              <w:rPr>
                <w:i/>
                <w:iCs/>
                <w:sz w:val="18"/>
                <w:szCs w:val="18"/>
              </w:rPr>
              <w:t>indicateur</w:t>
            </w:r>
          </w:p>
        </w:tc>
      </w:tr>
      <w:tr w:rsidR="002A2EA6" w:rsidRPr="002A2EA6" w14:paraId="032F3021" w14:textId="77777777" w:rsidTr="002321A6">
        <w:trPr>
          <w:trHeight w:val="454"/>
          <w:jc w:val="right"/>
        </w:trPr>
        <w:tc>
          <w:tcPr>
            <w:tcW w:w="1827" w:type="dxa"/>
            <w:tcBorders>
              <w:top w:val="single" w:sz="12" w:space="0" w:color="auto"/>
            </w:tcBorders>
            <w:shd w:val="clear" w:color="auto" w:fill="FFFFFF" w:themeFill="background1"/>
          </w:tcPr>
          <w:p w14:paraId="49D0CFDB"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G1. Indicateur de surveillance</w:t>
            </w:r>
          </w:p>
        </w:tc>
        <w:tc>
          <w:tcPr>
            <w:tcW w:w="2851" w:type="dxa"/>
            <w:tcBorders>
              <w:top w:val="single" w:sz="12" w:space="0" w:color="auto"/>
            </w:tcBorders>
            <w:shd w:val="clear" w:color="auto" w:fill="FFFFFF" w:themeFill="background1"/>
          </w:tcPr>
          <w:p w14:paraId="6AC2D734"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Niveaux de mercure dans certaines populations humaines (comme défini dans les arrangements de surveillance)</w:t>
            </w:r>
          </w:p>
        </w:tc>
        <w:tc>
          <w:tcPr>
            <w:tcW w:w="1559" w:type="dxa"/>
            <w:tcBorders>
              <w:top w:val="single" w:sz="12" w:space="0" w:color="auto"/>
            </w:tcBorders>
            <w:shd w:val="clear" w:color="auto" w:fill="FFFFFF" w:themeFill="background1"/>
          </w:tcPr>
          <w:p w14:paraId="4FC6CD24"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 Données et activités de surveillance existantes</w:t>
            </w:r>
          </w:p>
        </w:tc>
        <w:tc>
          <w:tcPr>
            <w:tcW w:w="2070" w:type="dxa"/>
            <w:tcBorders>
              <w:top w:val="single" w:sz="12" w:space="0" w:color="auto"/>
            </w:tcBorders>
            <w:shd w:val="clear" w:color="auto" w:fill="FFFFFF" w:themeFill="background1"/>
          </w:tcPr>
          <w:p w14:paraId="18B8C375" w14:textId="4FD96F56" w:rsidR="002A2EA6" w:rsidRPr="002A2EA6" w:rsidRDefault="00255FA3" w:rsidP="002A2EA6">
            <w:pPr>
              <w:spacing w:before="40" w:after="40"/>
              <w:rPr>
                <w:rFonts w:asciiTheme="majorBidi" w:hAnsiTheme="majorBidi" w:cstheme="majorBidi"/>
                <w:sz w:val="18"/>
                <w:szCs w:val="18"/>
              </w:rPr>
            </w:pPr>
            <w:r>
              <w:rPr>
                <w:sz w:val="18"/>
                <w:szCs w:val="18"/>
              </w:rPr>
              <w:t xml:space="preserve">Chiffre </w:t>
            </w:r>
            <w:r w:rsidR="002A2EA6" w:rsidRPr="002A2EA6">
              <w:rPr>
                <w:sz w:val="18"/>
                <w:szCs w:val="18"/>
              </w:rPr>
              <w:t>dans la première évaluation</w:t>
            </w:r>
          </w:p>
        </w:tc>
      </w:tr>
      <w:tr w:rsidR="002A2EA6" w:rsidRPr="002A2EA6" w14:paraId="454F826A" w14:textId="77777777" w:rsidTr="002321A6">
        <w:trPr>
          <w:trHeight w:val="624"/>
          <w:jc w:val="right"/>
        </w:trPr>
        <w:tc>
          <w:tcPr>
            <w:tcW w:w="1827" w:type="dxa"/>
            <w:shd w:val="clear" w:color="auto" w:fill="FFFFFF" w:themeFill="background1"/>
          </w:tcPr>
          <w:p w14:paraId="4456268C"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lastRenderedPageBreak/>
              <w:t>G2. Indicateur de méthode</w:t>
            </w:r>
          </w:p>
        </w:tc>
        <w:tc>
          <w:tcPr>
            <w:tcW w:w="2851" w:type="dxa"/>
            <w:shd w:val="clear" w:color="auto" w:fill="FFFFFF" w:themeFill="background1"/>
          </w:tcPr>
          <w:p w14:paraId="3811AA6B" w14:textId="111702BA" w:rsidR="002A2EA6" w:rsidRPr="002A2EA6" w:rsidRDefault="002A2EA6" w:rsidP="002A2EA6">
            <w:pPr>
              <w:spacing w:before="40" w:after="40"/>
              <w:rPr>
                <w:rFonts w:asciiTheme="majorBidi" w:hAnsiTheme="majorBidi" w:cstheme="majorBidi"/>
                <w:sz w:val="18"/>
                <w:szCs w:val="18"/>
              </w:rPr>
            </w:pPr>
            <w:r w:rsidRPr="002A2EA6">
              <w:rPr>
                <w:sz w:val="18"/>
                <w:szCs w:val="18"/>
              </w:rPr>
              <w:t>Nombre de Parties ayant pris des mesures – avis concernant le poisson, par exemple – pour informer le public sur la question de l</w:t>
            </w:r>
            <w:r w:rsidR="00CA4DAC">
              <w:rPr>
                <w:sz w:val="18"/>
                <w:szCs w:val="18"/>
              </w:rPr>
              <w:t>’</w:t>
            </w:r>
            <w:r w:rsidRPr="002A2EA6">
              <w:rPr>
                <w:sz w:val="18"/>
                <w:szCs w:val="18"/>
              </w:rPr>
              <w:t>exposition au mercure, conformément au paragraphe 1 de l</w:t>
            </w:r>
            <w:r w:rsidR="00CA4DAC">
              <w:rPr>
                <w:sz w:val="18"/>
                <w:szCs w:val="18"/>
              </w:rPr>
              <w:t>’</w:t>
            </w:r>
            <w:r w:rsidRPr="002A2EA6">
              <w:rPr>
                <w:sz w:val="18"/>
                <w:szCs w:val="18"/>
              </w:rPr>
              <w:t>article 16</w:t>
            </w:r>
          </w:p>
        </w:tc>
        <w:tc>
          <w:tcPr>
            <w:tcW w:w="1559" w:type="dxa"/>
            <w:shd w:val="clear" w:color="auto" w:fill="FFFFFF" w:themeFill="background1"/>
          </w:tcPr>
          <w:p w14:paraId="18C3A862" w14:textId="6689FB9D" w:rsidR="002A2EA6" w:rsidRPr="002A2EA6" w:rsidRDefault="002A2EA6" w:rsidP="002A2EA6">
            <w:pPr>
              <w:spacing w:before="40" w:after="40"/>
              <w:rPr>
                <w:rFonts w:asciiTheme="majorBidi" w:hAnsiTheme="majorBidi" w:cstheme="majorBidi"/>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shd w:val="clear" w:color="auto" w:fill="FFFFFF" w:themeFill="background1"/>
          </w:tcPr>
          <w:p w14:paraId="251F8574"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Nombre dans la première évaluation</w:t>
            </w:r>
          </w:p>
        </w:tc>
      </w:tr>
      <w:tr w:rsidR="002A2EA6" w:rsidRPr="002A2EA6" w14:paraId="0B22A6B9" w14:textId="77777777" w:rsidTr="002321A6">
        <w:trPr>
          <w:trHeight w:val="454"/>
          <w:jc w:val="right"/>
        </w:trPr>
        <w:tc>
          <w:tcPr>
            <w:tcW w:w="1827" w:type="dxa"/>
            <w:shd w:val="clear" w:color="auto" w:fill="FFFFFF" w:themeFill="background1"/>
          </w:tcPr>
          <w:p w14:paraId="164AFD18"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G3. Indicateur de méthode</w:t>
            </w:r>
          </w:p>
        </w:tc>
        <w:tc>
          <w:tcPr>
            <w:tcW w:w="2851" w:type="dxa"/>
            <w:shd w:val="clear" w:color="auto" w:fill="FFFFFF" w:themeFill="background1"/>
          </w:tcPr>
          <w:p w14:paraId="55DC3A5D" w14:textId="048687D3" w:rsidR="002A2EA6" w:rsidRPr="002A2EA6" w:rsidRDefault="002A2EA6" w:rsidP="002A2EA6">
            <w:pPr>
              <w:spacing w:before="40" w:after="40"/>
              <w:rPr>
                <w:rFonts w:asciiTheme="majorBidi" w:hAnsiTheme="majorBidi" w:cstheme="majorBidi"/>
                <w:sz w:val="18"/>
                <w:szCs w:val="18"/>
              </w:rPr>
            </w:pPr>
            <w:r w:rsidRPr="002A2EA6">
              <w:rPr>
                <w:sz w:val="18"/>
                <w:szCs w:val="18"/>
              </w:rPr>
              <w:t>Nombre de Parties ayant pris des mesures pour protéger la santé humaine, conformément à l</w:t>
            </w:r>
            <w:r w:rsidR="00CA4DAC">
              <w:rPr>
                <w:sz w:val="18"/>
                <w:szCs w:val="18"/>
              </w:rPr>
              <w:t>’</w:t>
            </w:r>
            <w:r w:rsidRPr="002A2EA6">
              <w:rPr>
                <w:sz w:val="18"/>
                <w:szCs w:val="18"/>
              </w:rPr>
              <w:t>article 16</w:t>
            </w:r>
          </w:p>
        </w:tc>
        <w:tc>
          <w:tcPr>
            <w:tcW w:w="1559" w:type="dxa"/>
            <w:shd w:val="clear" w:color="auto" w:fill="FFFFFF" w:themeFill="background1"/>
          </w:tcPr>
          <w:p w14:paraId="7CB7E7E9" w14:textId="279F8148" w:rsidR="002A2EA6" w:rsidRPr="002A2EA6" w:rsidRDefault="002A2EA6" w:rsidP="002A2EA6">
            <w:pPr>
              <w:spacing w:before="40" w:after="40"/>
              <w:rPr>
                <w:rFonts w:asciiTheme="majorBidi" w:hAnsiTheme="majorBidi" w:cstheme="majorBidi"/>
                <w:iCs/>
                <w:sz w:val="18"/>
                <w:szCs w:val="18"/>
              </w:rPr>
            </w:pPr>
            <w:r w:rsidRPr="002A2EA6">
              <w:rPr>
                <w:sz w:val="18"/>
                <w:szCs w:val="18"/>
              </w:rPr>
              <w:t>- Rapports établis au titre de l</w:t>
            </w:r>
            <w:r w:rsidR="00CA4DAC">
              <w:rPr>
                <w:sz w:val="18"/>
                <w:szCs w:val="18"/>
              </w:rPr>
              <w:t>’</w:t>
            </w:r>
            <w:r w:rsidRPr="002A2EA6">
              <w:rPr>
                <w:sz w:val="18"/>
                <w:szCs w:val="18"/>
              </w:rPr>
              <w:t>article 21</w:t>
            </w:r>
          </w:p>
          <w:p w14:paraId="3648C597"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 Communications au secrétariat</w:t>
            </w:r>
          </w:p>
        </w:tc>
        <w:tc>
          <w:tcPr>
            <w:tcW w:w="2070" w:type="dxa"/>
            <w:shd w:val="clear" w:color="auto" w:fill="FFFFFF" w:themeFill="background1"/>
          </w:tcPr>
          <w:p w14:paraId="20D0F3B8"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Nombre dans la première évaluation</w:t>
            </w:r>
          </w:p>
        </w:tc>
      </w:tr>
      <w:tr w:rsidR="002A2EA6" w:rsidRPr="002A2EA6" w14:paraId="3CE642F1" w14:textId="77777777" w:rsidTr="002321A6">
        <w:trPr>
          <w:trHeight w:val="227"/>
          <w:jc w:val="right"/>
        </w:trPr>
        <w:tc>
          <w:tcPr>
            <w:tcW w:w="1827" w:type="dxa"/>
            <w:tcBorders>
              <w:bottom w:val="single" w:sz="12" w:space="0" w:color="auto"/>
            </w:tcBorders>
            <w:shd w:val="clear" w:color="auto" w:fill="FFFFFF" w:themeFill="background1"/>
          </w:tcPr>
          <w:p w14:paraId="4B62C89E" w14:textId="77777777" w:rsidR="002A2EA6" w:rsidRPr="002A2EA6" w:rsidRDefault="002A2EA6" w:rsidP="002A2EA6">
            <w:pPr>
              <w:spacing w:before="40" w:after="40"/>
              <w:rPr>
                <w:rFonts w:asciiTheme="majorBidi" w:hAnsiTheme="majorBidi" w:cstheme="majorBidi"/>
                <w:b/>
                <w:bCs/>
                <w:sz w:val="18"/>
                <w:szCs w:val="18"/>
              </w:rPr>
            </w:pPr>
            <w:r w:rsidRPr="002A2EA6">
              <w:rPr>
                <w:b/>
                <w:bCs/>
                <w:sz w:val="18"/>
                <w:szCs w:val="18"/>
              </w:rPr>
              <w:t>Notes</w:t>
            </w:r>
          </w:p>
        </w:tc>
        <w:tc>
          <w:tcPr>
            <w:tcW w:w="6480" w:type="dxa"/>
            <w:gridSpan w:val="3"/>
            <w:tcBorders>
              <w:bottom w:val="single" w:sz="12" w:space="0" w:color="auto"/>
            </w:tcBorders>
            <w:shd w:val="clear" w:color="auto" w:fill="FFFFFF" w:themeFill="background1"/>
          </w:tcPr>
          <w:p w14:paraId="27B74531" w14:textId="77777777" w:rsidR="002A2EA6" w:rsidRPr="002A2EA6" w:rsidRDefault="002A2EA6" w:rsidP="002A2EA6">
            <w:pPr>
              <w:pStyle w:val="ListParagraph"/>
              <w:numPr>
                <w:ilvl w:val="0"/>
                <w:numId w:val="16"/>
              </w:numPr>
              <w:pBdr>
                <w:top w:val="nil"/>
                <w:left w:val="nil"/>
                <w:bottom w:val="nil"/>
                <w:right w:val="nil"/>
                <w:between w:val="nil"/>
                <w:bar w:val="nil"/>
              </w:pBdr>
              <w:tabs>
                <w:tab w:val="left" w:pos="1872"/>
              </w:tabs>
              <w:spacing w:before="40" w:after="40"/>
              <w:rPr>
                <w:rFonts w:asciiTheme="majorBidi" w:hAnsiTheme="majorBidi" w:cstheme="majorBidi"/>
                <w:sz w:val="18"/>
                <w:szCs w:val="18"/>
              </w:rPr>
            </w:pPr>
            <w:r w:rsidRPr="002A2EA6">
              <w:rPr>
                <w:sz w:val="18"/>
                <w:szCs w:val="18"/>
              </w:rPr>
              <w:t xml:space="preserve">Les concentrations de mercure chez les biotes doivent également être prises en compte. </w:t>
            </w:r>
          </w:p>
        </w:tc>
      </w:tr>
    </w:tbl>
    <w:p w14:paraId="68A2DEBB" w14:textId="77777777" w:rsidR="002A2EA6" w:rsidRPr="002321A6" w:rsidRDefault="002A2EA6" w:rsidP="002321A6">
      <w:pPr>
        <w:spacing w:after="120"/>
        <w:rPr>
          <w:rFonts w:asciiTheme="majorBidi" w:hAnsiTheme="majorBidi" w:cstheme="majorBidi"/>
        </w:rPr>
      </w:pP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27"/>
        <w:gridCol w:w="2851"/>
        <w:gridCol w:w="1559"/>
        <w:gridCol w:w="2070"/>
      </w:tblGrid>
      <w:tr w:rsidR="002A2EA6" w:rsidRPr="002A2EA6" w14:paraId="6FFBCAE0" w14:textId="77777777" w:rsidTr="002321A6">
        <w:trPr>
          <w:trHeight w:val="57"/>
          <w:tblHeader/>
          <w:jc w:val="right"/>
        </w:trPr>
        <w:tc>
          <w:tcPr>
            <w:tcW w:w="4678" w:type="dxa"/>
            <w:gridSpan w:val="2"/>
            <w:tcBorders>
              <w:top w:val="single" w:sz="4" w:space="0" w:color="auto"/>
              <w:bottom w:val="single" w:sz="12" w:space="0" w:color="auto"/>
            </w:tcBorders>
            <w:shd w:val="clear" w:color="auto" w:fill="FFFFFF" w:themeFill="background1"/>
          </w:tcPr>
          <w:p w14:paraId="4B479B34" w14:textId="77777777" w:rsidR="002A2EA6" w:rsidRPr="00467467" w:rsidRDefault="002A2EA6" w:rsidP="002A2EA6">
            <w:pPr>
              <w:pStyle w:val="Normal-pool"/>
              <w:spacing w:before="40" w:after="40"/>
              <w:rPr>
                <w:bCs/>
                <w:i/>
                <w:iCs/>
                <w:sz w:val="18"/>
                <w:szCs w:val="18"/>
                <w:lang w:val="fr-FR"/>
              </w:rPr>
            </w:pPr>
            <w:r w:rsidRPr="00467467">
              <w:rPr>
                <w:bCs/>
                <w:i/>
                <w:iCs/>
                <w:sz w:val="18"/>
                <w:szCs w:val="18"/>
                <w:lang w:val="fr-FR"/>
              </w:rPr>
              <w:t xml:space="preserve">H : groupe Information et recherche </w:t>
            </w:r>
          </w:p>
          <w:p w14:paraId="1519E99E" w14:textId="0FC86717" w:rsidR="002A2EA6" w:rsidRPr="00467467" w:rsidRDefault="002A2EA6" w:rsidP="002A2EA6">
            <w:pPr>
              <w:pStyle w:val="Normal-pool"/>
              <w:spacing w:before="40" w:after="40"/>
              <w:ind w:left="567"/>
              <w:rPr>
                <w:bCs/>
                <w:i/>
                <w:iCs/>
                <w:sz w:val="18"/>
                <w:szCs w:val="18"/>
                <w:lang w:val="fr-FR"/>
              </w:rPr>
            </w:pPr>
            <w:r w:rsidRPr="00467467">
              <w:rPr>
                <w:bCs/>
                <w:i/>
                <w:iCs/>
                <w:sz w:val="18"/>
                <w:szCs w:val="18"/>
                <w:lang w:val="fr-FR"/>
              </w:rPr>
              <w:t>Article 17 (Échange d</w:t>
            </w:r>
            <w:r w:rsidR="00CA4DAC">
              <w:rPr>
                <w:bCs/>
                <w:i/>
                <w:iCs/>
                <w:sz w:val="18"/>
                <w:szCs w:val="18"/>
                <w:lang w:val="fr-FR"/>
              </w:rPr>
              <w:t>’</w:t>
            </w:r>
            <w:r w:rsidRPr="00467467">
              <w:rPr>
                <w:bCs/>
                <w:i/>
                <w:iCs/>
                <w:sz w:val="18"/>
                <w:szCs w:val="18"/>
                <w:lang w:val="fr-FR"/>
              </w:rPr>
              <w:t>informations) ; article 18 (Information, sensibilisation et éducation du public) ; article 19 (Recherche-développement et surveillance)</w:t>
            </w:r>
          </w:p>
        </w:tc>
        <w:tc>
          <w:tcPr>
            <w:tcW w:w="1559" w:type="dxa"/>
            <w:tcBorders>
              <w:top w:val="single" w:sz="4" w:space="0" w:color="auto"/>
              <w:bottom w:val="single" w:sz="12" w:space="0" w:color="auto"/>
            </w:tcBorders>
            <w:shd w:val="clear" w:color="auto" w:fill="FFFFFF" w:themeFill="background1"/>
          </w:tcPr>
          <w:p w14:paraId="1E241011" w14:textId="32517159" w:rsidR="002A2EA6" w:rsidRPr="00467467" w:rsidRDefault="002A2EA6" w:rsidP="002A2EA6">
            <w:pPr>
              <w:pStyle w:val="Normal-pool"/>
              <w:spacing w:before="40" w:after="40"/>
              <w:rPr>
                <w:bCs/>
                <w:i/>
                <w:iCs/>
                <w:sz w:val="18"/>
                <w:szCs w:val="18"/>
                <w:lang w:val="fr-FR"/>
              </w:rPr>
            </w:pPr>
            <w:r w:rsidRPr="00467467">
              <w:rPr>
                <w:bCs/>
                <w:i/>
                <w:iCs/>
                <w:sz w:val="18"/>
                <w:szCs w:val="18"/>
                <w:lang w:val="fr-FR"/>
              </w:rPr>
              <w:t xml:space="preserve">Source </w:t>
            </w:r>
            <w:r w:rsidR="002321A6">
              <w:rPr>
                <w:bCs/>
                <w:i/>
                <w:iCs/>
                <w:sz w:val="18"/>
                <w:szCs w:val="18"/>
                <w:lang w:val="fr-FR"/>
              </w:rPr>
              <w:br/>
            </w:r>
            <w:r w:rsidRPr="00467467">
              <w:rPr>
                <w:bCs/>
                <w:i/>
                <w:iCs/>
                <w:sz w:val="18"/>
                <w:szCs w:val="18"/>
                <w:lang w:val="fr-FR"/>
              </w:rPr>
              <w:t>d</w:t>
            </w:r>
            <w:r w:rsidR="00CA4DAC">
              <w:rPr>
                <w:bCs/>
                <w:i/>
                <w:iCs/>
                <w:sz w:val="18"/>
                <w:szCs w:val="18"/>
                <w:lang w:val="fr-FR"/>
              </w:rPr>
              <w:t>’</w:t>
            </w:r>
            <w:r w:rsidRPr="00467467">
              <w:rPr>
                <w:bCs/>
                <w:i/>
                <w:iCs/>
                <w:sz w:val="18"/>
                <w:szCs w:val="18"/>
                <w:lang w:val="fr-FR"/>
              </w:rPr>
              <w:t>information concernant l</w:t>
            </w:r>
            <w:r w:rsidR="00CA4DAC">
              <w:rPr>
                <w:bCs/>
                <w:i/>
                <w:iCs/>
                <w:sz w:val="18"/>
                <w:szCs w:val="18"/>
                <w:lang w:val="fr-FR"/>
              </w:rPr>
              <w:t>’</w:t>
            </w:r>
            <w:r w:rsidRPr="00467467">
              <w:rPr>
                <w:bCs/>
                <w:i/>
                <w:iCs/>
                <w:sz w:val="18"/>
                <w:szCs w:val="18"/>
                <w:lang w:val="fr-FR"/>
              </w:rPr>
              <w:t>indicateur</w:t>
            </w:r>
          </w:p>
        </w:tc>
        <w:tc>
          <w:tcPr>
            <w:tcW w:w="2070" w:type="dxa"/>
            <w:tcBorders>
              <w:top w:val="single" w:sz="4" w:space="0" w:color="auto"/>
              <w:bottom w:val="single" w:sz="12" w:space="0" w:color="auto"/>
            </w:tcBorders>
            <w:shd w:val="clear" w:color="auto" w:fill="FFFFFF" w:themeFill="background1"/>
          </w:tcPr>
          <w:p w14:paraId="68892275" w14:textId="4591AFA0" w:rsidR="002A2EA6" w:rsidRPr="00467467" w:rsidRDefault="002A2EA6" w:rsidP="002A2EA6">
            <w:pPr>
              <w:pStyle w:val="Normal-pool"/>
              <w:spacing w:before="40" w:after="40"/>
              <w:rPr>
                <w:bCs/>
                <w:i/>
                <w:iCs/>
                <w:sz w:val="18"/>
                <w:szCs w:val="18"/>
                <w:lang w:val="fr-FR"/>
              </w:rPr>
            </w:pPr>
            <w:r w:rsidRPr="00467467">
              <w:rPr>
                <w:bCs/>
                <w:i/>
                <w:iCs/>
                <w:sz w:val="18"/>
                <w:szCs w:val="18"/>
                <w:lang w:val="fr-FR"/>
              </w:rPr>
              <w:t>Valeur de référence pour l</w:t>
            </w:r>
            <w:r w:rsidR="00CA4DAC">
              <w:rPr>
                <w:bCs/>
                <w:i/>
                <w:iCs/>
                <w:sz w:val="18"/>
                <w:szCs w:val="18"/>
                <w:lang w:val="fr-FR"/>
              </w:rPr>
              <w:t>’</w:t>
            </w:r>
            <w:r w:rsidRPr="00467467">
              <w:rPr>
                <w:bCs/>
                <w:i/>
                <w:iCs/>
                <w:sz w:val="18"/>
                <w:szCs w:val="18"/>
                <w:lang w:val="fr-FR"/>
              </w:rPr>
              <w:t>indicateur</w:t>
            </w:r>
          </w:p>
        </w:tc>
      </w:tr>
      <w:tr w:rsidR="002A2EA6" w:rsidRPr="002A2EA6" w14:paraId="210E6611" w14:textId="77777777" w:rsidTr="002321A6">
        <w:trPr>
          <w:trHeight w:val="57"/>
          <w:jc w:val="right"/>
        </w:trPr>
        <w:tc>
          <w:tcPr>
            <w:tcW w:w="1827" w:type="dxa"/>
            <w:tcBorders>
              <w:top w:val="single" w:sz="12" w:space="0" w:color="auto"/>
              <w:bottom w:val="single" w:sz="4" w:space="0" w:color="auto"/>
            </w:tcBorders>
            <w:shd w:val="clear" w:color="auto" w:fill="FFFFFF" w:themeFill="background1"/>
          </w:tcPr>
          <w:p w14:paraId="29A2F48E" w14:textId="77777777" w:rsidR="002A2EA6" w:rsidRPr="002A2EA6" w:rsidRDefault="002A2EA6" w:rsidP="00467467">
            <w:pPr>
              <w:spacing w:before="120" w:after="120"/>
              <w:rPr>
                <w:b/>
                <w:sz w:val="18"/>
                <w:szCs w:val="18"/>
              </w:rPr>
            </w:pPr>
            <w:r w:rsidRPr="002A2EA6">
              <w:rPr>
                <w:b/>
                <w:bCs/>
                <w:sz w:val="18"/>
                <w:szCs w:val="18"/>
              </w:rPr>
              <w:t>Article 17</w:t>
            </w:r>
          </w:p>
        </w:tc>
        <w:tc>
          <w:tcPr>
            <w:tcW w:w="2851" w:type="dxa"/>
            <w:tcBorders>
              <w:top w:val="single" w:sz="12" w:space="0" w:color="auto"/>
              <w:bottom w:val="single" w:sz="4" w:space="0" w:color="auto"/>
            </w:tcBorders>
            <w:shd w:val="clear" w:color="auto" w:fill="FFFFFF" w:themeFill="background1"/>
          </w:tcPr>
          <w:p w14:paraId="6B8CA4C1" w14:textId="77777777" w:rsidR="002A2EA6" w:rsidRPr="002A2EA6" w:rsidRDefault="002A2EA6" w:rsidP="00467467">
            <w:pPr>
              <w:spacing w:before="120" w:after="120"/>
              <w:rPr>
                <w:sz w:val="18"/>
                <w:szCs w:val="18"/>
              </w:rPr>
            </w:pPr>
          </w:p>
        </w:tc>
        <w:tc>
          <w:tcPr>
            <w:tcW w:w="1559" w:type="dxa"/>
            <w:tcBorders>
              <w:top w:val="single" w:sz="12" w:space="0" w:color="auto"/>
              <w:bottom w:val="single" w:sz="4" w:space="0" w:color="auto"/>
            </w:tcBorders>
            <w:shd w:val="clear" w:color="auto" w:fill="FFFFFF" w:themeFill="background1"/>
          </w:tcPr>
          <w:p w14:paraId="0D9970A9" w14:textId="77777777" w:rsidR="002A2EA6" w:rsidRPr="002A2EA6" w:rsidRDefault="002A2EA6" w:rsidP="00467467">
            <w:pPr>
              <w:spacing w:before="120" w:after="120"/>
              <w:rPr>
                <w:sz w:val="18"/>
                <w:szCs w:val="18"/>
              </w:rPr>
            </w:pPr>
          </w:p>
        </w:tc>
        <w:tc>
          <w:tcPr>
            <w:tcW w:w="2070" w:type="dxa"/>
            <w:tcBorders>
              <w:top w:val="single" w:sz="12" w:space="0" w:color="auto"/>
              <w:bottom w:val="single" w:sz="4" w:space="0" w:color="auto"/>
            </w:tcBorders>
            <w:shd w:val="clear" w:color="auto" w:fill="FFFFFF" w:themeFill="background1"/>
          </w:tcPr>
          <w:p w14:paraId="5283B047" w14:textId="77777777" w:rsidR="002A2EA6" w:rsidRPr="002A2EA6" w:rsidRDefault="002A2EA6" w:rsidP="00467467">
            <w:pPr>
              <w:spacing w:before="120" w:after="120"/>
              <w:rPr>
                <w:sz w:val="18"/>
                <w:szCs w:val="18"/>
              </w:rPr>
            </w:pPr>
          </w:p>
        </w:tc>
      </w:tr>
      <w:tr w:rsidR="002A2EA6" w:rsidRPr="002A2EA6" w14:paraId="25FE066F" w14:textId="77777777" w:rsidTr="002321A6">
        <w:trPr>
          <w:trHeight w:val="57"/>
          <w:jc w:val="right"/>
        </w:trPr>
        <w:tc>
          <w:tcPr>
            <w:tcW w:w="1827" w:type="dxa"/>
            <w:tcBorders>
              <w:top w:val="single" w:sz="4" w:space="0" w:color="auto"/>
            </w:tcBorders>
            <w:shd w:val="clear" w:color="auto" w:fill="FFFFFF" w:themeFill="background1"/>
          </w:tcPr>
          <w:p w14:paraId="406E5E96" w14:textId="2DCA5FC8" w:rsidR="002A2EA6" w:rsidRPr="002A2EA6" w:rsidRDefault="002A2EA6" w:rsidP="002A2EA6">
            <w:pPr>
              <w:spacing w:before="40" w:after="40"/>
              <w:rPr>
                <w:sz w:val="18"/>
                <w:szCs w:val="18"/>
              </w:rPr>
            </w:pPr>
            <w:r w:rsidRPr="002A2EA6">
              <w:rPr>
                <w:sz w:val="18"/>
                <w:szCs w:val="18"/>
              </w:rPr>
              <w:t>H1. Indicateur de méthode pour l</w:t>
            </w:r>
            <w:r w:rsidR="00CA4DAC">
              <w:rPr>
                <w:sz w:val="18"/>
                <w:szCs w:val="18"/>
              </w:rPr>
              <w:t>’</w:t>
            </w:r>
            <w:r w:rsidRPr="002A2EA6">
              <w:rPr>
                <w:sz w:val="18"/>
                <w:szCs w:val="18"/>
              </w:rPr>
              <w:t>article 17</w:t>
            </w:r>
          </w:p>
        </w:tc>
        <w:tc>
          <w:tcPr>
            <w:tcW w:w="2851" w:type="dxa"/>
            <w:tcBorders>
              <w:top w:val="single" w:sz="4" w:space="0" w:color="auto"/>
            </w:tcBorders>
            <w:shd w:val="clear" w:color="auto" w:fill="FFFFFF" w:themeFill="background1"/>
          </w:tcPr>
          <w:p w14:paraId="652F741C" w14:textId="77777777" w:rsidR="002A2EA6" w:rsidRPr="002A2EA6" w:rsidRDefault="002A2EA6" w:rsidP="002A2EA6">
            <w:pPr>
              <w:pBdr>
                <w:top w:val="nil"/>
                <w:left w:val="nil"/>
                <w:bottom w:val="nil"/>
                <w:right w:val="nil"/>
                <w:between w:val="nil"/>
                <w:bar w:val="nil"/>
              </w:pBdr>
              <w:spacing w:before="40" w:after="40"/>
              <w:rPr>
                <w:sz w:val="18"/>
                <w:szCs w:val="18"/>
              </w:rPr>
            </w:pPr>
            <w:r w:rsidRPr="002A2EA6">
              <w:rPr>
                <w:sz w:val="18"/>
                <w:szCs w:val="18"/>
              </w:rPr>
              <w:t>Nombre de Parties ayant désigné un correspondant national</w:t>
            </w:r>
          </w:p>
        </w:tc>
        <w:tc>
          <w:tcPr>
            <w:tcW w:w="1559" w:type="dxa"/>
            <w:tcBorders>
              <w:top w:val="single" w:sz="4" w:space="0" w:color="auto"/>
            </w:tcBorders>
            <w:shd w:val="clear" w:color="auto" w:fill="FFFFFF" w:themeFill="background1"/>
          </w:tcPr>
          <w:p w14:paraId="68864B48" w14:textId="11C5079B"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tcBorders>
              <w:top w:val="single" w:sz="4" w:space="0" w:color="auto"/>
            </w:tcBorders>
            <w:shd w:val="clear" w:color="auto" w:fill="FFFFFF" w:themeFill="background1"/>
          </w:tcPr>
          <w:p w14:paraId="030305B1"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dans la première évaluation</w:t>
            </w:r>
          </w:p>
        </w:tc>
      </w:tr>
      <w:tr w:rsidR="002A2EA6" w:rsidRPr="002A2EA6" w14:paraId="011118EA" w14:textId="77777777" w:rsidTr="002321A6">
        <w:trPr>
          <w:trHeight w:val="57"/>
          <w:jc w:val="right"/>
        </w:trPr>
        <w:tc>
          <w:tcPr>
            <w:tcW w:w="1827" w:type="dxa"/>
            <w:tcBorders>
              <w:bottom w:val="single" w:sz="4" w:space="0" w:color="auto"/>
            </w:tcBorders>
            <w:shd w:val="clear" w:color="auto" w:fill="FFFFFF" w:themeFill="background1"/>
          </w:tcPr>
          <w:p w14:paraId="1D498D78" w14:textId="71D00B55" w:rsidR="002A2EA6" w:rsidRPr="002A2EA6" w:rsidRDefault="002A2EA6" w:rsidP="002A2EA6">
            <w:pPr>
              <w:spacing w:before="40" w:after="40"/>
              <w:rPr>
                <w:sz w:val="18"/>
                <w:szCs w:val="18"/>
              </w:rPr>
            </w:pPr>
            <w:r w:rsidRPr="002A2EA6">
              <w:rPr>
                <w:sz w:val="18"/>
                <w:szCs w:val="18"/>
              </w:rPr>
              <w:t>H2. Indicateur de méthode pour l</w:t>
            </w:r>
            <w:r w:rsidR="00CA4DAC">
              <w:rPr>
                <w:sz w:val="18"/>
                <w:szCs w:val="18"/>
              </w:rPr>
              <w:t>’</w:t>
            </w:r>
            <w:r w:rsidRPr="002A2EA6">
              <w:rPr>
                <w:sz w:val="18"/>
                <w:szCs w:val="18"/>
              </w:rPr>
              <w:t>article 17</w:t>
            </w:r>
          </w:p>
        </w:tc>
        <w:tc>
          <w:tcPr>
            <w:tcW w:w="2851" w:type="dxa"/>
            <w:tcBorders>
              <w:bottom w:val="single" w:sz="4" w:space="0" w:color="auto"/>
            </w:tcBorders>
            <w:shd w:val="clear" w:color="auto" w:fill="FFFFFF" w:themeFill="background1"/>
          </w:tcPr>
          <w:p w14:paraId="29C50777" w14:textId="2F77B700"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de Parties ayant facilité l</w:t>
            </w:r>
            <w:r w:rsidR="00CA4DAC">
              <w:rPr>
                <w:sz w:val="18"/>
                <w:szCs w:val="18"/>
              </w:rPr>
              <w:t>’</w:t>
            </w:r>
            <w:r w:rsidRPr="002A2EA6">
              <w:rPr>
                <w:sz w:val="18"/>
                <w:szCs w:val="18"/>
              </w:rPr>
              <w:t>échange d</w:t>
            </w:r>
            <w:r w:rsidR="00CA4DAC">
              <w:rPr>
                <w:sz w:val="18"/>
                <w:szCs w:val="18"/>
              </w:rPr>
              <w:t>’</w:t>
            </w:r>
            <w:r w:rsidRPr="002A2EA6">
              <w:rPr>
                <w:sz w:val="18"/>
                <w:szCs w:val="18"/>
              </w:rPr>
              <w:t xml:space="preserve">informations relatives au mercure </w:t>
            </w:r>
          </w:p>
        </w:tc>
        <w:tc>
          <w:tcPr>
            <w:tcW w:w="1559" w:type="dxa"/>
            <w:tcBorders>
              <w:bottom w:val="single" w:sz="4" w:space="0" w:color="auto"/>
            </w:tcBorders>
            <w:shd w:val="clear" w:color="auto" w:fill="FFFFFF" w:themeFill="background1"/>
          </w:tcPr>
          <w:p w14:paraId="06BC3607" w14:textId="050B2618"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tcBorders>
              <w:bottom w:val="single" w:sz="4" w:space="0" w:color="auto"/>
            </w:tcBorders>
            <w:shd w:val="clear" w:color="auto" w:fill="FFFFFF" w:themeFill="background1"/>
          </w:tcPr>
          <w:p w14:paraId="7D715D31"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dans la première évaluation</w:t>
            </w:r>
          </w:p>
        </w:tc>
      </w:tr>
      <w:tr w:rsidR="002A2EA6" w:rsidRPr="002A2EA6" w14:paraId="38DBAA6D" w14:textId="77777777" w:rsidTr="002321A6">
        <w:trPr>
          <w:trHeight w:val="57"/>
          <w:jc w:val="right"/>
        </w:trPr>
        <w:tc>
          <w:tcPr>
            <w:tcW w:w="1827" w:type="dxa"/>
            <w:tcBorders>
              <w:top w:val="single" w:sz="4" w:space="0" w:color="auto"/>
              <w:bottom w:val="single" w:sz="4" w:space="0" w:color="auto"/>
            </w:tcBorders>
            <w:shd w:val="clear" w:color="auto" w:fill="FFFFFF" w:themeFill="background1"/>
          </w:tcPr>
          <w:p w14:paraId="07F58315" w14:textId="77777777" w:rsidR="002A2EA6" w:rsidRPr="002A2EA6" w:rsidRDefault="002A2EA6" w:rsidP="00467467">
            <w:pPr>
              <w:pBdr>
                <w:top w:val="nil"/>
                <w:left w:val="nil"/>
                <w:bottom w:val="nil"/>
                <w:right w:val="nil"/>
                <w:between w:val="nil"/>
                <w:bar w:val="nil"/>
              </w:pBdr>
              <w:tabs>
                <w:tab w:val="left" w:pos="1163"/>
              </w:tabs>
              <w:spacing w:before="120" w:after="120"/>
              <w:rPr>
                <w:b/>
                <w:sz w:val="18"/>
                <w:szCs w:val="18"/>
              </w:rPr>
            </w:pPr>
            <w:r w:rsidRPr="002A2EA6">
              <w:rPr>
                <w:b/>
                <w:bCs/>
                <w:sz w:val="18"/>
                <w:szCs w:val="18"/>
              </w:rPr>
              <w:t>Article 18</w:t>
            </w:r>
          </w:p>
        </w:tc>
        <w:tc>
          <w:tcPr>
            <w:tcW w:w="2851" w:type="dxa"/>
            <w:tcBorders>
              <w:top w:val="single" w:sz="4" w:space="0" w:color="auto"/>
              <w:bottom w:val="single" w:sz="4" w:space="0" w:color="auto"/>
            </w:tcBorders>
            <w:shd w:val="clear" w:color="auto" w:fill="FFFFFF" w:themeFill="background1"/>
          </w:tcPr>
          <w:p w14:paraId="70B26756" w14:textId="77777777" w:rsidR="002A2EA6" w:rsidRPr="002A2EA6" w:rsidRDefault="002A2EA6" w:rsidP="00467467">
            <w:pPr>
              <w:pBdr>
                <w:top w:val="nil"/>
                <w:left w:val="nil"/>
                <w:bottom w:val="nil"/>
                <w:right w:val="nil"/>
                <w:between w:val="nil"/>
                <w:bar w:val="nil"/>
              </w:pBdr>
              <w:tabs>
                <w:tab w:val="left" w:pos="1163"/>
              </w:tabs>
              <w:spacing w:before="120" w:after="120"/>
              <w:rPr>
                <w:rFonts w:eastAsia="Roboto"/>
                <w:sz w:val="18"/>
                <w:szCs w:val="18"/>
              </w:rPr>
            </w:pPr>
          </w:p>
        </w:tc>
        <w:tc>
          <w:tcPr>
            <w:tcW w:w="1559" w:type="dxa"/>
            <w:tcBorders>
              <w:top w:val="single" w:sz="4" w:space="0" w:color="auto"/>
              <w:bottom w:val="single" w:sz="4" w:space="0" w:color="auto"/>
            </w:tcBorders>
            <w:shd w:val="clear" w:color="auto" w:fill="FFFFFF" w:themeFill="background1"/>
          </w:tcPr>
          <w:p w14:paraId="0733481E" w14:textId="77777777" w:rsidR="002A2EA6" w:rsidRPr="002A2EA6" w:rsidRDefault="002A2EA6" w:rsidP="00467467">
            <w:pPr>
              <w:pBdr>
                <w:top w:val="nil"/>
                <w:left w:val="nil"/>
                <w:bottom w:val="nil"/>
                <w:right w:val="nil"/>
                <w:between w:val="nil"/>
                <w:bar w:val="nil"/>
              </w:pBdr>
              <w:tabs>
                <w:tab w:val="left" w:pos="1163"/>
              </w:tabs>
              <w:spacing w:before="120" w:after="120"/>
              <w:rPr>
                <w:rFonts w:eastAsia="Roboto"/>
                <w:sz w:val="18"/>
                <w:szCs w:val="18"/>
              </w:rPr>
            </w:pPr>
          </w:p>
        </w:tc>
        <w:tc>
          <w:tcPr>
            <w:tcW w:w="2070" w:type="dxa"/>
            <w:tcBorders>
              <w:top w:val="single" w:sz="4" w:space="0" w:color="auto"/>
              <w:bottom w:val="single" w:sz="4" w:space="0" w:color="auto"/>
            </w:tcBorders>
            <w:shd w:val="clear" w:color="auto" w:fill="FFFFFF" w:themeFill="background1"/>
          </w:tcPr>
          <w:p w14:paraId="55625820" w14:textId="77777777" w:rsidR="002A2EA6" w:rsidRPr="002A2EA6" w:rsidRDefault="002A2EA6" w:rsidP="00467467">
            <w:pPr>
              <w:pBdr>
                <w:top w:val="nil"/>
                <w:left w:val="nil"/>
                <w:bottom w:val="nil"/>
                <w:right w:val="nil"/>
                <w:between w:val="nil"/>
                <w:bar w:val="nil"/>
              </w:pBdr>
              <w:tabs>
                <w:tab w:val="left" w:pos="1163"/>
              </w:tabs>
              <w:spacing w:before="120" w:after="120"/>
              <w:rPr>
                <w:rFonts w:eastAsia="Roboto"/>
                <w:sz w:val="18"/>
                <w:szCs w:val="18"/>
              </w:rPr>
            </w:pPr>
          </w:p>
        </w:tc>
      </w:tr>
      <w:tr w:rsidR="002A2EA6" w:rsidRPr="002A2EA6" w14:paraId="735036DB" w14:textId="77777777" w:rsidTr="002321A6">
        <w:trPr>
          <w:trHeight w:val="57"/>
          <w:jc w:val="right"/>
        </w:trPr>
        <w:tc>
          <w:tcPr>
            <w:tcW w:w="1827" w:type="dxa"/>
            <w:tcBorders>
              <w:top w:val="single" w:sz="4" w:space="0" w:color="auto"/>
            </w:tcBorders>
            <w:shd w:val="clear" w:color="auto" w:fill="FFFFFF" w:themeFill="background1"/>
          </w:tcPr>
          <w:p w14:paraId="5E25F987" w14:textId="6724F5AD"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H3. Indicateur de méthode pour l</w:t>
            </w:r>
            <w:r w:rsidR="00CA4DAC">
              <w:rPr>
                <w:sz w:val="18"/>
                <w:szCs w:val="18"/>
              </w:rPr>
              <w:t>’</w:t>
            </w:r>
            <w:r w:rsidRPr="002A2EA6">
              <w:rPr>
                <w:sz w:val="18"/>
                <w:szCs w:val="18"/>
              </w:rPr>
              <w:t>article 18</w:t>
            </w:r>
          </w:p>
        </w:tc>
        <w:tc>
          <w:tcPr>
            <w:tcW w:w="2851" w:type="dxa"/>
            <w:tcBorders>
              <w:top w:val="single" w:sz="4" w:space="0" w:color="auto"/>
            </w:tcBorders>
            <w:shd w:val="clear" w:color="auto" w:fill="FFFFFF" w:themeFill="background1"/>
          </w:tcPr>
          <w:p w14:paraId="71E29964" w14:textId="4EA541A3"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de Parties ayant pris des mesures pour mettre en œuvre l</w:t>
            </w:r>
            <w:r w:rsidR="00CA4DAC">
              <w:rPr>
                <w:sz w:val="18"/>
                <w:szCs w:val="18"/>
              </w:rPr>
              <w:t>’</w:t>
            </w:r>
            <w:r w:rsidRPr="002A2EA6">
              <w:rPr>
                <w:sz w:val="18"/>
                <w:szCs w:val="18"/>
              </w:rPr>
              <w:t>article 18</w:t>
            </w:r>
          </w:p>
        </w:tc>
        <w:tc>
          <w:tcPr>
            <w:tcW w:w="1559" w:type="dxa"/>
            <w:tcBorders>
              <w:top w:val="single" w:sz="4" w:space="0" w:color="auto"/>
            </w:tcBorders>
            <w:shd w:val="clear" w:color="auto" w:fill="FFFFFF" w:themeFill="background1"/>
          </w:tcPr>
          <w:p w14:paraId="1D237A01" w14:textId="3FE67E80"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tcBorders>
              <w:top w:val="single" w:sz="4" w:space="0" w:color="auto"/>
            </w:tcBorders>
            <w:shd w:val="clear" w:color="auto" w:fill="FFFFFF" w:themeFill="background1"/>
          </w:tcPr>
          <w:p w14:paraId="750C48C2"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dans la première évaluation</w:t>
            </w:r>
          </w:p>
        </w:tc>
      </w:tr>
      <w:tr w:rsidR="002A2EA6" w:rsidRPr="002A2EA6" w14:paraId="30EB0C11" w14:textId="77777777" w:rsidTr="002321A6">
        <w:trPr>
          <w:trHeight w:val="57"/>
          <w:jc w:val="right"/>
        </w:trPr>
        <w:tc>
          <w:tcPr>
            <w:tcW w:w="1827" w:type="dxa"/>
            <w:shd w:val="clear" w:color="auto" w:fill="FFFFFF" w:themeFill="background1"/>
          </w:tcPr>
          <w:p w14:paraId="67555D7A" w14:textId="0E9E4048"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H4. Indicateur de méthode pour l</w:t>
            </w:r>
            <w:r w:rsidR="00CA4DAC">
              <w:rPr>
                <w:sz w:val="18"/>
                <w:szCs w:val="18"/>
              </w:rPr>
              <w:t>’</w:t>
            </w:r>
            <w:r w:rsidRPr="002A2EA6">
              <w:rPr>
                <w:sz w:val="18"/>
                <w:szCs w:val="18"/>
              </w:rPr>
              <w:t>article 18</w:t>
            </w:r>
          </w:p>
        </w:tc>
        <w:tc>
          <w:tcPr>
            <w:tcW w:w="2851" w:type="dxa"/>
            <w:shd w:val="clear" w:color="auto" w:fill="FFFFFF" w:themeFill="background1"/>
          </w:tcPr>
          <w:p w14:paraId="50EFFD24" w14:textId="0150E3C8"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moyen de mesures au titre du paragraphe 1 de l</w:t>
            </w:r>
            <w:r w:rsidR="00CA4DAC">
              <w:rPr>
                <w:sz w:val="18"/>
                <w:szCs w:val="18"/>
              </w:rPr>
              <w:t>’</w:t>
            </w:r>
            <w:r w:rsidRPr="002A2EA6">
              <w:rPr>
                <w:sz w:val="18"/>
                <w:szCs w:val="18"/>
              </w:rPr>
              <w:t>article 18 mises en œuvre par les Parties</w:t>
            </w:r>
          </w:p>
        </w:tc>
        <w:tc>
          <w:tcPr>
            <w:tcW w:w="1559" w:type="dxa"/>
            <w:shd w:val="clear" w:color="auto" w:fill="FFFFFF" w:themeFill="background1"/>
          </w:tcPr>
          <w:p w14:paraId="21CF3688" w14:textId="6DD18E66"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Découlant des rapports établis au titre de l</w:t>
            </w:r>
            <w:r w:rsidR="00CA4DAC">
              <w:rPr>
                <w:sz w:val="18"/>
                <w:szCs w:val="18"/>
              </w:rPr>
              <w:t>’</w:t>
            </w:r>
            <w:r w:rsidRPr="002A2EA6">
              <w:rPr>
                <w:sz w:val="18"/>
                <w:szCs w:val="18"/>
              </w:rPr>
              <w:t>article 21</w:t>
            </w:r>
          </w:p>
        </w:tc>
        <w:tc>
          <w:tcPr>
            <w:tcW w:w="2070" w:type="dxa"/>
            <w:shd w:val="clear" w:color="auto" w:fill="FFFFFF" w:themeFill="background1"/>
          </w:tcPr>
          <w:p w14:paraId="256BBAD4"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dans la première évaluation</w:t>
            </w:r>
          </w:p>
        </w:tc>
      </w:tr>
      <w:tr w:rsidR="002A2EA6" w:rsidRPr="002A2EA6" w14:paraId="52B0B0B0" w14:textId="77777777" w:rsidTr="002321A6">
        <w:trPr>
          <w:trHeight w:val="57"/>
          <w:jc w:val="right"/>
        </w:trPr>
        <w:tc>
          <w:tcPr>
            <w:tcW w:w="1827" w:type="dxa"/>
            <w:shd w:val="clear" w:color="auto" w:fill="FFFFFF" w:themeFill="background1"/>
          </w:tcPr>
          <w:p w14:paraId="443AB2BB" w14:textId="0787D4BA"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H5. Indicateur de méthode pour l</w:t>
            </w:r>
            <w:r w:rsidR="00CA4DAC">
              <w:rPr>
                <w:sz w:val="18"/>
                <w:szCs w:val="18"/>
              </w:rPr>
              <w:t>’</w:t>
            </w:r>
            <w:r w:rsidRPr="002A2EA6">
              <w:rPr>
                <w:sz w:val="18"/>
                <w:szCs w:val="18"/>
              </w:rPr>
              <w:t>article 18</w:t>
            </w:r>
          </w:p>
        </w:tc>
        <w:tc>
          <w:tcPr>
            <w:tcW w:w="2851" w:type="dxa"/>
            <w:shd w:val="clear" w:color="auto" w:fill="FFFFFF" w:themeFill="background1"/>
          </w:tcPr>
          <w:p w14:paraId="1AE77F83" w14:textId="6D093EC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de Parties disposant d</w:t>
            </w:r>
            <w:r w:rsidR="00CA4DAC">
              <w:rPr>
                <w:sz w:val="18"/>
                <w:szCs w:val="18"/>
              </w:rPr>
              <w:t>’</w:t>
            </w:r>
            <w:r w:rsidRPr="002A2EA6">
              <w:rPr>
                <w:sz w:val="18"/>
                <w:szCs w:val="18"/>
              </w:rPr>
              <w:t>informations publiques sur les concentrations de mercure dans l</w:t>
            </w:r>
            <w:r w:rsidR="00CA4DAC">
              <w:rPr>
                <w:sz w:val="18"/>
                <w:szCs w:val="18"/>
              </w:rPr>
              <w:t>’</w:t>
            </w:r>
            <w:r w:rsidRPr="002A2EA6">
              <w:rPr>
                <w:sz w:val="18"/>
                <w:szCs w:val="18"/>
              </w:rPr>
              <w:t>air ainsi que chez les êtres humains et les biotes sur leur territoire</w:t>
            </w:r>
          </w:p>
        </w:tc>
        <w:tc>
          <w:tcPr>
            <w:tcW w:w="1559" w:type="dxa"/>
            <w:shd w:val="clear" w:color="auto" w:fill="FFFFFF" w:themeFill="background1"/>
          </w:tcPr>
          <w:p w14:paraId="3E137452" w14:textId="01024A04"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shd w:val="clear" w:color="auto" w:fill="FFFFFF" w:themeFill="background1"/>
          </w:tcPr>
          <w:p w14:paraId="0B623C51"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dans la première évaluation</w:t>
            </w:r>
          </w:p>
        </w:tc>
      </w:tr>
      <w:tr w:rsidR="002A2EA6" w:rsidRPr="002A2EA6" w14:paraId="0C067FA6" w14:textId="77777777" w:rsidTr="002321A6">
        <w:trPr>
          <w:trHeight w:val="57"/>
          <w:jc w:val="right"/>
        </w:trPr>
        <w:tc>
          <w:tcPr>
            <w:tcW w:w="1827" w:type="dxa"/>
            <w:tcBorders>
              <w:bottom w:val="single" w:sz="4" w:space="0" w:color="auto"/>
            </w:tcBorders>
            <w:shd w:val="clear" w:color="auto" w:fill="FFFFFF" w:themeFill="background1"/>
          </w:tcPr>
          <w:p w14:paraId="5F7731CB" w14:textId="18879FF9"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H6. Indicateur de méthode pour l</w:t>
            </w:r>
            <w:r w:rsidR="00CA4DAC">
              <w:rPr>
                <w:sz w:val="18"/>
                <w:szCs w:val="18"/>
              </w:rPr>
              <w:t>’</w:t>
            </w:r>
            <w:r w:rsidRPr="002A2EA6">
              <w:rPr>
                <w:sz w:val="18"/>
                <w:szCs w:val="18"/>
              </w:rPr>
              <w:t>article 18</w:t>
            </w:r>
          </w:p>
        </w:tc>
        <w:tc>
          <w:tcPr>
            <w:tcW w:w="2851" w:type="dxa"/>
            <w:tcBorders>
              <w:bottom w:val="single" w:sz="4" w:space="0" w:color="auto"/>
            </w:tcBorders>
            <w:shd w:val="clear" w:color="auto" w:fill="FFFFFF" w:themeFill="background1"/>
          </w:tcPr>
          <w:p w14:paraId="7ABE1B20" w14:textId="712A5CC3"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Nombre de Parties communiquant les risques relatifs au mercure issus de la consommation de nourriture et d</w:t>
            </w:r>
            <w:r w:rsidR="00CA4DAC">
              <w:rPr>
                <w:sz w:val="18"/>
                <w:szCs w:val="18"/>
              </w:rPr>
              <w:t>’</w:t>
            </w:r>
            <w:r w:rsidRPr="002A2EA6">
              <w:rPr>
                <w:sz w:val="18"/>
                <w:szCs w:val="18"/>
              </w:rPr>
              <w:t>eau sur leur territoire</w:t>
            </w:r>
          </w:p>
        </w:tc>
        <w:tc>
          <w:tcPr>
            <w:tcW w:w="1559" w:type="dxa"/>
            <w:tcBorders>
              <w:bottom w:val="single" w:sz="4" w:space="0" w:color="auto"/>
            </w:tcBorders>
            <w:shd w:val="clear" w:color="auto" w:fill="FFFFFF" w:themeFill="background1"/>
          </w:tcPr>
          <w:p w14:paraId="6A23876B" w14:textId="02262774"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tcBorders>
              <w:bottom w:val="single" w:sz="4" w:space="0" w:color="auto"/>
            </w:tcBorders>
            <w:shd w:val="clear" w:color="auto" w:fill="FFFFFF" w:themeFill="background1"/>
          </w:tcPr>
          <w:p w14:paraId="700F0A2E" w14:textId="77777777" w:rsidR="002A2EA6" w:rsidRPr="002A2EA6" w:rsidRDefault="002A2EA6" w:rsidP="002A2EA6">
            <w:pPr>
              <w:pBdr>
                <w:top w:val="nil"/>
                <w:left w:val="nil"/>
                <w:bottom w:val="nil"/>
                <w:right w:val="nil"/>
                <w:between w:val="nil"/>
                <w:bar w:val="nil"/>
              </w:pBdr>
              <w:tabs>
                <w:tab w:val="left" w:pos="1163"/>
              </w:tabs>
              <w:spacing w:before="40" w:after="40"/>
              <w:rPr>
                <w:rFonts w:eastAsia="Roboto"/>
                <w:sz w:val="18"/>
                <w:szCs w:val="18"/>
              </w:rPr>
            </w:pPr>
            <w:r w:rsidRPr="002A2EA6">
              <w:rPr>
                <w:sz w:val="18"/>
                <w:szCs w:val="18"/>
              </w:rPr>
              <w:t>Nombre dans la première évaluation</w:t>
            </w:r>
          </w:p>
        </w:tc>
      </w:tr>
      <w:tr w:rsidR="002A2EA6" w:rsidRPr="002A2EA6" w14:paraId="6295DC61" w14:textId="77777777" w:rsidTr="002321A6">
        <w:trPr>
          <w:trHeight w:val="57"/>
          <w:jc w:val="right"/>
        </w:trPr>
        <w:tc>
          <w:tcPr>
            <w:tcW w:w="1827" w:type="dxa"/>
            <w:tcBorders>
              <w:top w:val="single" w:sz="4" w:space="0" w:color="auto"/>
              <w:bottom w:val="single" w:sz="4" w:space="0" w:color="auto"/>
            </w:tcBorders>
            <w:shd w:val="clear" w:color="auto" w:fill="FFFFFF" w:themeFill="background1"/>
          </w:tcPr>
          <w:p w14:paraId="705BBD5F" w14:textId="77777777" w:rsidR="002A2EA6" w:rsidRPr="002A2EA6" w:rsidRDefault="002A2EA6" w:rsidP="00467467">
            <w:pPr>
              <w:keepNext/>
              <w:pBdr>
                <w:top w:val="nil"/>
                <w:left w:val="nil"/>
                <w:bottom w:val="nil"/>
                <w:right w:val="nil"/>
                <w:between w:val="nil"/>
                <w:bar w:val="nil"/>
              </w:pBdr>
              <w:tabs>
                <w:tab w:val="left" w:pos="1163"/>
              </w:tabs>
              <w:spacing w:before="120" w:after="120"/>
              <w:rPr>
                <w:b/>
                <w:bCs/>
                <w:sz w:val="18"/>
                <w:szCs w:val="18"/>
              </w:rPr>
            </w:pPr>
            <w:r w:rsidRPr="002A2EA6">
              <w:rPr>
                <w:b/>
                <w:bCs/>
                <w:sz w:val="18"/>
                <w:szCs w:val="18"/>
              </w:rPr>
              <w:t>Article 19</w:t>
            </w:r>
          </w:p>
        </w:tc>
        <w:tc>
          <w:tcPr>
            <w:tcW w:w="2851" w:type="dxa"/>
            <w:tcBorders>
              <w:top w:val="single" w:sz="4" w:space="0" w:color="auto"/>
              <w:bottom w:val="single" w:sz="4" w:space="0" w:color="auto"/>
            </w:tcBorders>
            <w:shd w:val="clear" w:color="auto" w:fill="FFFFFF" w:themeFill="background1"/>
          </w:tcPr>
          <w:p w14:paraId="0A7CDCF3" w14:textId="77777777" w:rsidR="002A2EA6" w:rsidRPr="002A2EA6" w:rsidRDefault="002A2EA6" w:rsidP="00467467">
            <w:pPr>
              <w:keepNext/>
              <w:pBdr>
                <w:top w:val="nil"/>
                <w:left w:val="nil"/>
                <w:bottom w:val="nil"/>
                <w:right w:val="nil"/>
                <w:between w:val="nil"/>
                <w:bar w:val="nil"/>
              </w:pBdr>
              <w:tabs>
                <w:tab w:val="left" w:pos="1163"/>
              </w:tabs>
              <w:spacing w:before="120" w:after="120"/>
              <w:rPr>
                <w:rFonts w:eastAsia="Roboto"/>
                <w:sz w:val="18"/>
                <w:szCs w:val="18"/>
              </w:rPr>
            </w:pPr>
          </w:p>
        </w:tc>
        <w:tc>
          <w:tcPr>
            <w:tcW w:w="1559" w:type="dxa"/>
            <w:tcBorders>
              <w:top w:val="single" w:sz="4" w:space="0" w:color="auto"/>
              <w:bottom w:val="single" w:sz="4" w:space="0" w:color="auto"/>
            </w:tcBorders>
            <w:shd w:val="clear" w:color="auto" w:fill="FFFFFF" w:themeFill="background1"/>
          </w:tcPr>
          <w:p w14:paraId="73351E6E" w14:textId="77777777" w:rsidR="002A2EA6" w:rsidRPr="002A2EA6" w:rsidRDefault="002A2EA6" w:rsidP="00467467">
            <w:pPr>
              <w:keepNext/>
              <w:pBdr>
                <w:top w:val="nil"/>
                <w:left w:val="nil"/>
                <w:bottom w:val="nil"/>
                <w:right w:val="nil"/>
                <w:between w:val="nil"/>
                <w:bar w:val="nil"/>
              </w:pBdr>
              <w:tabs>
                <w:tab w:val="left" w:pos="1163"/>
              </w:tabs>
              <w:spacing w:before="120" w:after="120"/>
              <w:rPr>
                <w:rFonts w:eastAsia="Roboto"/>
                <w:sz w:val="18"/>
                <w:szCs w:val="18"/>
              </w:rPr>
            </w:pPr>
          </w:p>
        </w:tc>
        <w:tc>
          <w:tcPr>
            <w:tcW w:w="2070" w:type="dxa"/>
            <w:tcBorders>
              <w:top w:val="single" w:sz="4" w:space="0" w:color="auto"/>
              <w:bottom w:val="single" w:sz="4" w:space="0" w:color="auto"/>
            </w:tcBorders>
            <w:shd w:val="clear" w:color="auto" w:fill="FFFFFF" w:themeFill="background1"/>
          </w:tcPr>
          <w:p w14:paraId="57DD5F17" w14:textId="77777777" w:rsidR="002A2EA6" w:rsidRPr="002A2EA6" w:rsidRDefault="002A2EA6" w:rsidP="00467467">
            <w:pPr>
              <w:keepNext/>
              <w:pBdr>
                <w:top w:val="nil"/>
                <w:left w:val="nil"/>
                <w:bottom w:val="nil"/>
                <w:right w:val="nil"/>
                <w:between w:val="nil"/>
                <w:bar w:val="nil"/>
              </w:pBdr>
              <w:tabs>
                <w:tab w:val="left" w:pos="1163"/>
              </w:tabs>
              <w:spacing w:before="120" w:after="120"/>
              <w:rPr>
                <w:rFonts w:eastAsia="Roboto"/>
                <w:sz w:val="18"/>
                <w:szCs w:val="18"/>
              </w:rPr>
            </w:pPr>
          </w:p>
        </w:tc>
      </w:tr>
      <w:tr w:rsidR="002A2EA6" w:rsidRPr="002A2EA6" w14:paraId="727F7DD3" w14:textId="77777777" w:rsidTr="002321A6">
        <w:trPr>
          <w:trHeight w:val="57"/>
          <w:jc w:val="right"/>
        </w:trPr>
        <w:tc>
          <w:tcPr>
            <w:tcW w:w="1827" w:type="dxa"/>
            <w:tcBorders>
              <w:top w:val="single" w:sz="4" w:space="0" w:color="auto"/>
            </w:tcBorders>
            <w:shd w:val="clear" w:color="auto" w:fill="FFFFFF" w:themeFill="background1"/>
          </w:tcPr>
          <w:p w14:paraId="2A346C14" w14:textId="607CA43B"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H7. Indicateur de méthode pour l</w:t>
            </w:r>
            <w:r w:rsidR="00CA4DAC">
              <w:rPr>
                <w:sz w:val="18"/>
                <w:szCs w:val="18"/>
              </w:rPr>
              <w:t>’</w:t>
            </w:r>
            <w:r w:rsidRPr="002A2EA6">
              <w:rPr>
                <w:sz w:val="18"/>
                <w:szCs w:val="18"/>
              </w:rPr>
              <w:t>article 19</w:t>
            </w:r>
          </w:p>
        </w:tc>
        <w:tc>
          <w:tcPr>
            <w:tcW w:w="2851" w:type="dxa"/>
            <w:tcBorders>
              <w:top w:val="single" w:sz="4" w:space="0" w:color="auto"/>
            </w:tcBorders>
            <w:shd w:val="clear" w:color="auto" w:fill="FFFFFF" w:themeFill="background1"/>
          </w:tcPr>
          <w:p w14:paraId="3822F1E4" w14:textId="5019AA84"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de Parties ayant mené des activités de recherche-développement et de surveillance, conformément au paragraphe 1 de l</w:t>
            </w:r>
            <w:r w:rsidR="00CA4DAC">
              <w:rPr>
                <w:sz w:val="18"/>
                <w:szCs w:val="18"/>
              </w:rPr>
              <w:t>’</w:t>
            </w:r>
            <w:r w:rsidRPr="002A2EA6">
              <w:rPr>
                <w:sz w:val="18"/>
                <w:szCs w:val="18"/>
              </w:rPr>
              <w:t xml:space="preserve">article 19 </w:t>
            </w:r>
          </w:p>
        </w:tc>
        <w:tc>
          <w:tcPr>
            <w:tcW w:w="1559" w:type="dxa"/>
            <w:tcBorders>
              <w:top w:val="single" w:sz="4" w:space="0" w:color="auto"/>
            </w:tcBorders>
            <w:shd w:val="clear" w:color="auto" w:fill="FFFFFF" w:themeFill="background1"/>
          </w:tcPr>
          <w:p w14:paraId="2FA67B44" w14:textId="7B044F5F"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70" w:type="dxa"/>
            <w:tcBorders>
              <w:top w:val="single" w:sz="4" w:space="0" w:color="auto"/>
            </w:tcBorders>
            <w:shd w:val="clear" w:color="auto" w:fill="FFFFFF" w:themeFill="background1"/>
          </w:tcPr>
          <w:p w14:paraId="20D3A577"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dans la première évaluation</w:t>
            </w:r>
          </w:p>
        </w:tc>
      </w:tr>
      <w:tr w:rsidR="002A2EA6" w:rsidRPr="002A2EA6" w14:paraId="3A0B3DA1" w14:textId="77777777" w:rsidTr="002321A6">
        <w:trPr>
          <w:trHeight w:val="57"/>
          <w:jc w:val="right"/>
        </w:trPr>
        <w:tc>
          <w:tcPr>
            <w:tcW w:w="1827" w:type="dxa"/>
            <w:shd w:val="clear" w:color="auto" w:fill="FFFFFF" w:themeFill="background1"/>
          </w:tcPr>
          <w:p w14:paraId="200AFF51" w14:textId="3381FE79"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H8. Indicateur de méthode pour l</w:t>
            </w:r>
            <w:r w:rsidR="00CA4DAC">
              <w:rPr>
                <w:sz w:val="18"/>
                <w:szCs w:val="18"/>
              </w:rPr>
              <w:t>’</w:t>
            </w:r>
            <w:r w:rsidRPr="002A2EA6">
              <w:rPr>
                <w:sz w:val="18"/>
                <w:szCs w:val="18"/>
              </w:rPr>
              <w:t>article 19</w:t>
            </w:r>
          </w:p>
        </w:tc>
        <w:tc>
          <w:tcPr>
            <w:tcW w:w="2851" w:type="dxa"/>
            <w:shd w:val="clear" w:color="auto" w:fill="FFFFFF" w:themeFill="background1"/>
          </w:tcPr>
          <w:p w14:paraId="60F17D0C"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de Parties fournissant données et connaissances pour des évaluations intégrées</w:t>
            </w:r>
          </w:p>
        </w:tc>
        <w:tc>
          <w:tcPr>
            <w:tcW w:w="1559" w:type="dxa"/>
            <w:shd w:val="clear" w:color="auto" w:fill="FFFFFF" w:themeFill="background1"/>
          </w:tcPr>
          <w:p w14:paraId="2B571F29" w14:textId="77777777" w:rsidR="002A2EA6" w:rsidRPr="002A2EA6" w:rsidRDefault="002A2EA6" w:rsidP="002A2EA6">
            <w:pPr>
              <w:pBdr>
                <w:top w:val="nil"/>
                <w:left w:val="nil"/>
                <w:bottom w:val="nil"/>
                <w:right w:val="nil"/>
                <w:between w:val="nil"/>
                <w:bar w:val="nil"/>
              </w:pBdr>
              <w:spacing w:before="40" w:after="40"/>
              <w:rPr>
                <w:iCs/>
                <w:sz w:val="18"/>
                <w:szCs w:val="18"/>
              </w:rPr>
            </w:pPr>
            <w:r w:rsidRPr="002A2EA6">
              <w:rPr>
                <w:sz w:val="18"/>
                <w:szCs w:val="18"/>
              </w:rPr>
              <w:t xml:space="preserve">- Réseaux de surveillance, bases de données, données et ouvrages </w:t>
            </w:r>
            <w:r w:rsidRPr="002A2EA6">
              <w:rPr>
                <w:sz w:val="18"/>
                <w:szCs w:val="18"/>
              </w:rPr>
              <w:lastRenderedPageBreak/>
              <w:t>scientifiques existants</w:t>
            </w:r>
          </w:p>
        </w:tc>
        <w:tc>
          <w:tcPr>
            <w:tcW w:w="2070" w:type="dxa"/>
            <w:shd w:val="clear" w:color="auto" w:fill="FFFFFF" w:themeFill="background1"/>
          </w:tcPr>
          <w:p w14:paraId="48532DA7" w14:textId="77777777" w:rsidR="002A2EA6" w:rsidRPr="002A2EA6" w:rsidRDefault="002A2EA6" w:rsidP="002A2EA6">
            <w:pPr>
              <w:pBdr>
                <w:top w:val="nil"/>
                <w:left w:val="nil"/>
                <w:bottom w:val="nil"/>
                <w:right w:val="nil"/>
                <w:between w:val="nil"/>
                <w:bar w:val="nil"/>
              </w:pBdr>
              <w:spacing w:before="40" w:after="40"/>
              <w:rPr>
                <w:sz w:val="18"/>
                <w:szCs w:val="18"/>
              </w:rPr>
            </w:pPr>
            <w:r w:rsidRPr="002A2EA6">
              <w:rPr>
                <w:sz w:val="18"/>
                <w:szCs w:val="18"/>
              </w:rPr>
              <w:lastRenderedPageBreak/>
              <w:t>Nombre dans la première évaluation</w:t>
            </w:r>
          </w:p>
        </w:tc>
      </w:tr>
      <w:tr w:rsidR="002A2EA6" w:rsidRPr="002A2EA6" w14:paraId="7E500A5B" w14:textId="77777777" w:rsidTr="002321A6">
        <w:trPr>
          <w:trHeight w:val="57"/>
          <w:jc w:val="right"/>
        </w:trPr>
        <w:tc>
          <w:tcPr>
            <w:tcW w:w="1827" w:type="dxa"/>
            <w:shd w:val="clear" w:color="auto" w:fill="FFFFFF" w:themeFill="background1"/>
          </w:tcPr>
          <w:p w14:paraId="5C481AC9" w14:textId="7A957D28" w:rsidR="002A2EA6" w:rsidRPr="002A2EA6" w:rsidRDefault="002A2EA6" w:rsidP="002A2EA6">
            <w:pPr>
              <w:pBdr>
                <w:top w:val="nil"/>
                <w:left w:val="nil"/>
                <w:bottom w:val="nil"/>
                <w:right w:val="nil"/>
                <w:between w:val="nil"/>
                <w:bar w:val="nil"/>
              </w:pBdr>
              <w:tabs>
                <w:tab w:val="left" w:pos="1163"/>
              </w:tabs>
              <w:spacing w:before="40" w:after="40"/>
              <w:rPr>
                <w:sz w:val="18"/>
                <w:szCs w:val="18"/>
              </w:rPr>
            </w:pPr>
            <w:r w:rsidRPr="002A2EA6">
              <w:rPr>
                <w:sz w:val="18"/>
                <w:szCs w:val="18"/>
              </w:rPr>
              <w:t>H9. Indicateur de méthode pour l</w:t>
            </w:r>
            <w:r w:rsidR="00CA4DAC">
              <w:rPr>
                <w:sz w:val="18"/>
                <w:szCs w:val="18"/>
              </w:rPr>
              <w:t>’</w:t>
            </w:r>
            <w:r w:rsidRPr="002A2EA6">
              <w:rPr>
                <w:sz w:val="18"/>
                <w:szCs w:val="18"/>
              </w:rPr>
              <w:t>article 19</w:t>
            </w:r>
          </w:p>
        </w:tc>
        <w:tc>
          <w:tcPr>
            <w:tcW w:w="2851" w:type="dxa"/>
            <w:shd w:val="clear" w:color="auto" w:fill="FFFFFF" w:themeFill="background1"/>
          </w:tcPr>
          <w:p w14:paraId="55386DEE" w14:textId="77777777" w:rsidR="002A2EA6" w:rsidRPr="002A2EA6" w:rsidRDefault="002A2EA6" w:rsidP="002A2EA6">
            <w:pPr>
              <w:pBdr>
                <w:top w:val="nil"/>
                <w:left w:val="nil"/>
                <w:bottom w:val="nil"/>
                <w:right w:val="nil"/>
                <w:between w:val="nil"/>
                <w:bar w:val="nil"/>
              </w:pBdr>
              <w:spacing w:before="40" w:after="40"/>
              <w:rPr>
                <w:rFonts w:eastAsia="Roboto"/>
                <w:sz w:val="18"/>
                <w:szCs w:val="18"/>
              </w:rPr>
            </w:pPr>
            <w:r w:rsidRPr="002A2EA6">
              <w:rPr>
                <w:sz w:val="18"/>
                <w:szCs w:val="18"/>
              </w:rPr>
              <w:t>Nombre de régions contribuant à un ensemble de données régionales</w:t>
            </w:r>
          </w:p>
        </w:tc>
        <w:tc>
          <w:tcPr>
            <w:tcW w:w="1559" w:type="dxa"/>
            <w:shd w:val="clear" w:color="auto" w:fill="FFFFFF" w:themeFill="background1"/>
          </w:tcPr>
          <w:p w14:paraId="70DE264A" w14:textId="77777777" w:rsidR="002A2EA6" w:rsidRPr="002A2EA6" w:rsidRDefault="002A2EA6" w:rsidP="002A2EA6">
            <w:pPr>
              <w:pBdr>
                <w:top w:val="nil"/>
                <w:left w:val="nil"/>
                <w:bottom w:val="nil"/>
                <w:right w:val="nil"/>
                <w:between w:val="nil"/>
                <w:bar w:val="nil"/>
              </w:pBdr>
              <w:spacing w:before="40" w:after="40"/>
              <w:rPr>
                <w:iCs/>
                <w:sz w:val="18"/>
                <w:szCs w:val="18"/>
              </w:rPr>
            </w:pPr>
            <w:r w:rsidRPr="002A2EA6">
              <w:rPr>
                <w:sz w:val="18"/>
                <w:szCs w:val="18"/>
              </w:rPr>
              <w:t>- Réseaux de surveillance, bases de données, données et ouvrages scientifiques existants</w:t>
            </w:r>
          </w:p>
        </w:tc>
        <w:tc>
          <w:tcPr>
            <w:tcW w:w="2070" w:type="dxa"/>
            <w:shd w:val="clear" w:color="auto" w:fill="FFFFFF" w:themeFill="background1"/>
          </w:tcPr>
          <w:p w14:paraId="156FD521" w14:textId="77777777" w:rsidR="002A2EA6" w:rsidRPr="002A2EA6" w:rsidRDefault="002A2EA6" w:rsidP="002A2EA6">
            <w:pPr>
              <w:pBdr>
                <w:top w:val="nil"/>
                <w:left w:val="nil"/>
                <w:bottom w:val="nil"/>
                <w:right w:val="nil"/>
                <w:between w:val="nil"/>
                <w:bar w:val="nil"/>
              </w:pBdr>
              <w:spacing w:before="40" w:after="40"/>
              <w:rPr>
                <w:sz w:val="18"/>
                <w:szCs w:val="18"/>
              </w:rPr>
            </w:pPr>
            <w:r w:rsidRPr="002A2EA6">
              <w:rPr>
                <w:sz w:val="18"/>
                <w:szCs w:val="18"/>
              </w:rPr>
              <w:t>Nombre dans la première évaluation</w:t>
            </w:r>
          </w:p>
        </w:tc>
      </w:tr>
      <w:tr w:rsidR="002A2EA6" w:rsidRPr="002A2EA6" w14:paraId="66655E35" w14:textId="77777777" w:rsidTr="002321A6">
        <w:trPr>
          <w:trHeight w:val="57"/>
          <w:jc w:val="right"/>
        </w:trPr>
        <w:tc>
          <w:tcPr>
            <w:tcW w:w="1827" w:type="dxa"/>
            <w:tcBorders>
              <w:bottom w:val="single" w:sz="12" w:space="0" w:color="auto"/>
            </w:tcBorders>
            <w:shd w:val="clear" w:color="auto" w:fill="FFFFFF" w:themeFill="background1"/>
          </w:tcPr>
          <w:p w14:paraId="5FAA4E2D" w14:textId="77777777" w:rsidR="002A2EA6" w:rsidRPr="002A2EA6" w:rsidRDefault="002A2EA6" w:rsidP="002A2EA6">
            <w:pPr>
              <w:spacing w:before="40" w:after="40"/>
              <w:rPr>
                <w:b/>
                <w:bCs/>
                <w:sz w:val="18"/>
                <w:szCs w:val="18"/>
              </w:rPr>
            </w:pPr>
            <w:r w:rsidRPr="002A2EA6">
              <w:rPr>
                <w:b/>
                <w:bCs/>
                <w:sz w:val="18"/>
                <w:szCs w:val="18"/>
              </w:rPr>
              <w:t>Notes</w:t>
            </w:r>
          </w:p>
        </w:tc>
        <w:tc>
          <w:tcPr>
            <w:tcW w:w="6480" w:type="dxa"/>
            <w:gridSpan w:val="3"/>
            <w:tcBorders>
              <w:bottom w:val="single" w:sz="12" w:space="0" w:color="auto"/>
            </w:tcBorders>
            <w:shd w:val="clear" w:color="auto" w:fill="FFFFFF" w:themeFill="background1"/>
          </w:tcPr>
          <w:p w14:paraId="2385FDC6" w14:textId="224EAA57" w:rsidR="002A2EA6" w:rsidRPr="002A2EA6" w:rsidRDefault="002A2EA6" w:rsidP="002A2EA6">
            <w:pPr>
              <w:pStyle w:val="ListParagraph"/>
              <w:numPr>
                <w:ilvl w:val="0"/>
                <w:numId w:val="17"/>
              </w:numPr>
              <w:pBdr>
                <w:top w:val="nil"/>
                <w:left w:val="nil"/>
                <w:bottom w:val="nil"/>
                <w:right w:val="nil"/>
                <w:between w:val="nil"/>
                <w:bar w:val="nil"/>
              </w:pBdr>
              <w:tabs>
                <w:tab w:val="clear" w:pos="1247"/>
              </w:tabs>
              <w:spacing w:before="40" w:after="40"/>
              <w:rPr>
                <w:sz w:val="18"/>
                <w:szCs w:val="18"/>
              </w:rPr>
            </w:pPr>
            <w:r w:rsidRPr="002A2EA6">
              <w:rPr>
                <w:sz w:val="18"/>
                <w:szCs w:val="18"/>
              </w:rPr>
              <w:t>Communications au secrétariat qui complètent les rapports établis au titre de l</w:t>
            </w:r>
            <w:r w:rsidR="00CA4DAC">
              <w:rPr>
                <w:sz w:val="18"/>
                <w:szCs w:val="18"/>
              </w:rPr>
              <w:t>’</w:t>
            </w:r>
            <w:r w:rsidRPr="002A2EA6">
              <w:rPr>
                <w:sz w:val="18"/>
                <w:szCs w:val="18"/>
              </w:rPr>
              <w:t xml:space="preserve">article 21 </w:t>
            </w:r>
          </w:p>
        </w:tc>
      </w:tr>
      <w:tr w:rsidR="00467467" w:rsidRPr="002A2EA6" w14:paraId="141BDA4C" w14:textId="77777777" w:rsidTr="002321A6">
        <w:trPr>
          <w:trHeight w:val="57"/>
          <w:jc w:val="right"/>
        </w:trPr>
        <w:tc>
          <w:tcPr>
            <w:tcW w:w="1827" w:type="dxa"/>
            <w:tcBorders>
              <w:top w:val="single" w:sz="12" w:space="0" w:color="auto"/>
            </w:tcBorders>
            <w:shd w:val="clear" w:color="auto" w:fill="FFFFFF" w:themeFill="background1"/>
          </w:tcPr>
          <w:p w14:paraId="187DB1D0" w14:textId="77777777" w:rsidR="00467467" w:rsidRPr="002A2EA6" w:rsidRDefault="00467467" w:rsidP="002A2EA6">
            <w:pPr>
              <w:spacing w:before="40" w:after="40"/>
              <w:rPr>
                <w:b/>
                <w:bCs/>
                <w:sz w:val="18"/>
                <w:szCs w:val="18"/>
              </w:rPr>
            </w:pPr>
          </w:p>
        </w:tc>
        <w:tc>
          <w:tcPr>
            <w:tcW w:w="6480" w:type="dxa"/>
            <w:gridSpan w:val="3"/>
            <w:tcBorders>
              <w:top w:val="single" w:sz="12" w:space="0" w:color="auto"/>
            </w:tcBorders>
            <w:shd w:val="clear" w:color="auto" w:fill="FFFFFF" w:themeFill="background1"/>
          </w:tcPr>
          <w:p w14:paraId="291B370E" w14:textId="77777777" w:rsidR="00467467" w:rsidRPr="002A2EA6" w:rsidRDefault="00467467" w:rsidP="00467467">
            <w:pPr>
              <w:pStyle w:val="ListParagraph"/>
              <w:pBdr>
                <w:top w:val="nil"/>
                <w:left w:val="nil"/>
                <w:bottom w:val="nil"/>
                <w:right w:val="nil"/>
                <w:between w:val="nil"/>
                <w:bar w:val="nil"/>
              </w:pBdr>
              <w:tabs>
                <w:tab w:val="clear" w:pos="1247"/>
              </w:tabs>
              <w:spacing w:before="40" w:after="40"/>
              <w:ind w:left="360"/>
              <w:rPr>
                <w:sz w:val="18"/>
                <w:szCs w:val="18"/>
              </w:rPr>
            </w:pPr>
          </w:p>
        </w:tc>
      </w:tr>
    </w:tbl>
    <w:p w14:paraId="0B3B90B8" w14:textId="77777777" w:rsidR="002A2EA6" w:rsidRPr="002321A6" w:rsidRDefault="002A2EA6" w:rsidP="002321A6">
      <w:pPr>
        <w:spacing w:after="120"/>
      </w:pPr>
    </w:p>
    <w:tbl>
      <w:tblPr>
        <w:tblStyle w:val="TableGrid"/>
        <w:tblW w:w="82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13"/>
        <w:gridCol w:w="2865"/>
        <w:gridCol w:w="1559"/>
        <w:gridCol w:w="2041"/>
      </w:tblGrid>
      <w:tr w:rsidR="002A2EA6" w:rsidRPr="002A2EA6" w14:paraId="753A6B0F" w14:textId="77777777" w:rsidTr="002321A6">
        <w:trPr>
          <w:trHeight w:val="57"/>
          <w:tblHeader/>
          <w:jc w:val="right"/>
        </w:trPr>
        <w:tc>
          <w:tcPr>
            <w:tcW w:w="4678" w:type="dxa"/>
            <w:gridSpan w:val="2"/>
            <w:tcBorders>
              <w:top w:val="single" w:sz="4" w:space="0" w:color="auto"/>
              <w:bottom w:val="single" w:sz="12" w:space="0" w:color="auto"/>
            </w:tcBorders>
            <w:shd w:val="clear" w:color="auto" w:fill="FFFFFF" w:themeFill="background1"/>
          </w:tcPr>
          <w:p w14:paraId="69718CB6" w14:textId="77777777" w:rsidR="002A2EA6" w:rsidRPr="00AF6DE0" w:rsidRDefault="002A2EA6" w:rsidP="002A2EA6">
            <w:pPr>
              <w:spacing w:before="40" w:after="40"/>
              <w:rPr>
                <w:rFonts w:asciiTheme="majorBidi" w:eastAsia="Roboto" w:hAnsiTheme="majorBidi" w:cstheme="majorBidi"/>
                <w:i/>
                <w:iCs/>
                <w:sz w:val="18"/>
                <w:szCs w:val="18"/>
              </w:rPr>
            </w:pPr>
            <w:r w:rsidRPr="00AF6DE0">
              <w:rPr>
                <w:i/>
                <w:iCs/>
                <w:sz w:val="18"/>
                <w:szCs w:val="18"/>
              </w:rPr>
              <w:t>I : article 20 (Plans de mise en œuvre)</w:t>
            </w:r>
          </w:p>
        </w:tc>
        <w:tc>
          <w:tcPr>
            <w:tcW w:w="1559" w:type="dxa"/>
            <w:tcBorders>
              <w:top w:val="single" w:sz="4" w:space="0" w:color="auto"/>
              <w:bottom w:val="single" w:sz="12" w:space="0" w:color="auto"/>
            </w:tcBorders>
            <w:shd w:val="clear" w:color="auto" w:fill="FFFFFF" w:themeFill="background1"/>
          </w:tcPr>
          <w:p w14:paraId="443010A3" w14:textId="5297485B" w:rsidR="002A2EA6" w:rsidRPr="00AF6DE0" w:rsidRDefault="002A2EA6" w:rsidP="002A2EA6">
            <w:pPr>
              <w:pStyle w:val="Normal-pool"/>
              <w:spacing w:before="40" w:after="40"/>
              <w:rPr>
                <w:i/>
                <w:iCs/>
                <w:sz w:val="18"/>
                <w:szCs w:val="18"/>
                <w:lang w:val="fr-FR"/>
              </w:rPr>
            </w:pPr>
            <w:r w:rsidRPr="00AF6DE0">
              <w:rPr>
                <w:i/>
                <w:iCs/>
                <w:sz w:val="18"/>
                <w:szCs w:val="18"/>
                <w:lang w:val="fr-FR"/>
              </w:rPr>
              <w:t xml:space="preserve">Source </w:t>
            </w:r>
            <w:r w:rsidR="002321A6">
              <w:rPr>
                <w:i/>
                <w:iCs/>
                <w:sz w:val="18"/>
                <w:szCs w:val="18"/>
                <w:lang w:val="fr-FR"/>
              </w:rPr>
              <w:br/>
            </w:r>
            <w:r w:rsidRPr="00AF6DE0">
              <w:rPr>
                <w:i/>
                <w:iCs/>
                <w:sz w:val="18"/>
                <w:szCs w:val="18"/>
                <w:lang w:val="fr-FR"/>
              </w:rPr>
              <w:t>d</w:t>
            </w:r>
            <w:r w:rsidR="00CA4DAC">
              <w:rPr>
                <w:i/>
                <w:iCs/>
                <w:sz w:val="18"/>
                <w:szCs w:val="18"/>
                <w:lang w:val="fr-FR"/>
              </w:rPr>
              <w:t>’</w:t>
            </w:r>
            <w:r w:rsidRPr="00AF6DE0">
              <w:rPr>
                <w:i/>
                <w:iCs/>
                <w:sz w:val="18"/>
                <w:szCs w:val="18"/>
                <w:lang w:val="fr-FR"/>
              </w:rPr>
              <w:t>information concernant l</w:t>
            </w:r>
            <w:r w:rsidR="00CA4DAC">
              <w:rPr>
                <w:i/>
                <w:iCs/>
                <w:sz w:val="18"/>
                <w:szCs w:val="18"/>
                <w:lang w:val="fr-FR"/>
              </w:rPr>
              <w:t>’</w:t>
            </w:r>
            <w:r w:rsidRPr="00AF6DE0">
              <w:rPr>
                <w:i/>
                <w:iCs/>
                <w:sz w:val="18"/>
                <w:szCs w:val="18"/>
                <w:lang w:val="fr-FR"/>
              </w:rPr>
              <w:t>indicateur</w:t>
            </w:r>
          </w:p>
        </w:tc>
        <w:tc>
          <w:tcPr>
            <w:tcW w:w="2041" w:type="dxa"/>
            <w:tcBorders>
              <w:top w:val="single" w:sz="4" w:space="0" w:color="auto"/>
              <w:bottom w:val="single" w:sz="12" w:space="0" w:color="auto"/>
            </w:tcBorders>
            <w:shd w:val="clear" w:color="auto" w:fill="FFFFFF" w:themeFill="background1"/>
          </w:tcPr>
          <w:p w14:paraId="02FB13FC" w14:textId="240EB2C1" w:rsidR="002A2EA6" w:rsidRPr="00AF6DE0" w:rsidRDefault="002A2EA6" w:rsidP="002A2EA6">
            <w:pPr>
              <w:pStyle w:val="Normal-pool"/>
              <w:spacing w:before="40" w:after="40"/>
              <w:rPr>
                <w:i/>
                <w:iCs/>
                <w:sz w:val="18"/>
                <w:szCs w:val="18"/>
                <w:lang w:val="fr-FR"/>
              </w:rPr>
            </w:pPr>
            <w:r w:rsidRPr="00AF6DE0">
              <w:rPr>
                <w:i/>
                <w:iCs/>
                <w:sz w:val="18"/>
                <w:szCs w:val="18"/>
                <w:lang w:val="fr-FR"/>
              </w:rPr>
              <w:t>Valeur de référence pour l</w:t>
            </w:r>
            <w:r w:rsidR="00CA4DAC">
              <w:rPr>
                <w:i/>
                <w:iCs/>
                <w:sz w:val="18"/>
                <w:szCs w:val="18"/>
                <w:lang w:val="fr-FR"/>
              </w:rPr>
              <w:t>’</w:t>
            </w:r>
            <w:r w:rsidRPr="00AF6DE0">
              <w:rPr>
                <w:i/>
                <w:iCs/>
                <w:sz w:val="18"/>
                <w:szCs w:val="18"/>
                <w:lang w:val="fr-FR"/>
              </w:rPr>
              <w:t>indicateur</w:t>
            </w:r>
          </w:p>
        </w:tc>
      </w:tr>
      <w:tr w:rsidR="002A2EA6" w:rsidRPr="002A2EA6" w14:paraId="5CD760BB" w14:textId="77777777" w:rsidTr="002321A6">
        <w:trPr>
          <w:trHeight w:val="57"/>
          <w:jc w:val="right"/>
        </w:trPr>
        <w:tc>
          <w:tcPr>
            <w:tcW w:w="1813" w:type="dxa"/>
            <w:tcBorders>
              <w:top w:val="single" w:sz="12" w:space="0" w:color="auto"/>
            </w:tcBorders>
            <w:shd w:val="clear" w:color="auto" w:fill="FFFFFF" w:themeFill="background1"/>
          </w:tcPr>
          <w:p w14:paraId="5D2A075A"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I1. Indicateur de méthode</w:t>
            </w:r>
          </w:p>
        </w:tc>
        <w:tc>
          <w:tcPr>
            <w:tcW w:w="2865" w:type="dxa"/>
            <w:tcBorders>
              <w:top w:val="single" w:sz="12" w:space="0" w:color="auto"/>
            </w:tcBorders>
            <w:shd w:val="clear" w:color="auto" w:fill="FFFFFF" w:themeFill="background1"/>
          </w:tcPr>
          <w:p w14:paraId="3068DDA4" w14:textId="77777777" w:rsidR="002A2EA6" w:rsidRPr="002A2EA6" w:rsidRDefault="002A2EA6" w:rsidP="002A2EA6">
            <w:pPr>
              <w:pBdr>
                <w:top w:val="nil"/>
                <w:left w:val="nil"/>
                <w:bottom w:val="nil"/>
                <w:right w:val="nil"/>
                <w:between w:val="nil"/>
                <w:bar w:val="nil"/>
              </w:pBdr>
              <w:spacing w:before="40" w:after="40"/>
              <w:rPr>
                <w:rFonts w:asciiTheme="majorBidi" w:hAnsiTheme="majorBidi" w:cstheme="majorBidi"/>
                <w:sz w:val="18"/>
                <w:szCs w:val="18"/>
              </w:rPr>
            </w:pPr>
            <w:r w:rsidRPr="002A2EA6">
              <w:rPr>
                <w:sz w:val="18"/>
                <w:szCs w:val="18"/>
              </w:rPr>
              <w:t>Nombre de Parties soumettant des plans de mise en œuvre</w:t>
            </w:r>
          </w:p>
        </w:tc>
        <w:tc>
          <w:tcPr>
            <w:tcW w:w="1559" w:type="dxa"/>
            <w:tcBorders>
              <w:top w:val="single" w:sz="12" w:space="0" w:color="auto"/>
            </w:tcBorders>
            <w:shd w:val="clear" w:color="auto" w:fill="FFFFFF" w:themeFill="background1"/>
          </w:tcPr>
          <w:p w14:paraId="420B9D2B" w14:textId="77777777" w:rsidR="002A2EA6" w:rsidRPr="002A2EA6" w:rsidRDefault="002A2EA6" w:rsidP="002A2EA6">
            <w:pPr>
              <w:tabs>
                <w:tab w:val="clear" w:pos="1247"/>
                <w:tab w:val="clear" w:pos="1814"/>
                <w:tab w:val="clear" w:pos="2381"/>
                <w:tab w:val="clear" w:pos="2948"/>
                <w:tab w:val="clear" w:pos="3515"/>
              </w:tabs>
              <w:spacing w:before="40" w:after="40"/>
              <w:ind w:right="-107"/>
              <w:rPr>
                <w:iCs/>
                <w:sz w:val="18"/>
                <w:szCs w:val="18"/>
              </w:rPr>
            </w:pPr>
            <w:r w:rsidRPr="002A2EA6">
              <w:rPr>
                <w:sz w:val="18"/>
                <w:szCs w:val="18"/>
              </w:rPr>
              <w:t>- Rapport du secrétariat à la Conférence des Parties sur la soumission de plans de mise en œuvre</w:t>
            </w:r>
          </w:p>
        </w:tc>
        <w:tc>
          <w:tcPr>
            <w:tcW w:w="2041" w:type="dxa"/>
            <w:tcBorders>
              <w:top w:val="single" w:sz="12" w:space="0" w:color="auto"/>
            </w:tcBorders>
            <w:shd w:val="clear" w:color="auto" w:fill="FFFFFF" w:themeFill="background1"/>
          </w:tcPr>
          <w:p w14:paraId="52994420" w14:textId="77777777" w:rsidR="002A2EA6" w:rsidRPr="002A2EA6" w:rsidRDefault="002A2EA6" w:rsidP="002A2EA6">
            <w:pPr>
              <w:pBdr>
                <w:top w:val="nil"/>
                <w:left w:val="nil"/>
                <w:bottom w:val="nil"/>
                <w:right w:val="nil"/>
                <w:between w:val="nil"/>
                <w:bar w:val="nil"/>
              </w:pBdr>
              <w:spacing w:before="40" w:after="40"/>
              <w:rPr>
                <w:rFonts w:asciiTheme="majorBidi" w:hAnsiTheme="majorBidi" w:cstheme="majorBidi"/>
                <w:sz w:val="18"/>
                <w:szCs w:val="18"/>
              </w:rPr>
            </w:pPr>
            <w:r w:rsidRPr="002A2EA6">
              <w:rPr>
                <w:sz w:val="18"/>
                <w:szCs w:val="18"/>
              </w:rPr>
              <w:t>Zéro</w:t>
            </w:r>
          </w:p>
        </w:tc>
      </w:tr>
      <w:tr w:rsidR="002A2EA6" w:rsidRPr="002A2EA6" w14:paraId="75465697" w14:textId="77777777" w:rsidTr="002321A6">
        <w:trPr>
          <w:trHeight w:val="454"/>
          <w:jc w:val="right"/>
        </w:trPr>
        <w:tc>
          <w:tcPr>
            <w:tcW w:w="1813" w:type="dxa"/>
            <w:tcBorders>
              <w:bottom w:val="single" w:sz="12" w:space="0" w:color="auto"/>
            </w:tcBorders>
            <w:shd w:val="clear" w:color="auto" w:fill="FFFFFF" w:themeFill="background1"/>
          </w:tcPr>
          <w:p w14:paraId="4DA6CF5B" w14:textId="77777777" w:rsidR="002A2EA6" w:rsidRPr="002A2EA6" w:rsidRDefault="002A2EA6" w:rsidP="002A2EA6">
            <w:pPr>
              <w:spacing w:before="40" w:after="40"/>
              <w:rPr>
                <w:rFonts w:asciiTheme="majorBidi" w:hAnsiTheme="majorBidi" w:cstheme="majorBidi"/>
                <w:b/>
                <w:bCs/>
                <w:sz w:val="18"/>
                <w:szCs w:val="18"/>
              </w:rPr>
            </w:pPr>
            <w:r w:rsidRPr="002A2EA6">
              <w:rPr>
                <w:b/>
                <w:bCs/>
                <w:sz w:val="18"/>
                <w:szCs w:val="18"/>
              </w:rPr>
              <w:t>Notes</w:t>
            </w:r>
          </w:p>
        </w:tc>
        <w:tc>
          <w:tcPr>
            <w:tcW w:w="6465" w:type="dxa"/>
            <w:gridSpan w:val="3"/>
            <w:tcBorders>
              <w:bottom w:val="single" w:sz="12" w:space="0" w:color="auto"/>
            </w:tcBorders>
            <w:shd w:val="clear" w:color="auto" w:fill="FFFFFF" w:themeFill="background1"/>
          </w:tcPr>
          <w:p w14:paraId="136DC5B4" w14:textId="7E8FB15A" w:rsidR="002A2EA6" w:rsidRPr="002A2EA6" w:rsidRDefault="002A2EA6" w:rsidP="002A2EA6">
            <w:pPr>
              <w:pStyle w:val="ListParagraph"/>
              <w:numPr>
                <w:ilvl w:val="0"/>
                <w:numId w:val="18"/>
              </w:numPr>
              <w:pBdr>
                <w:top w:val="nil"/>
                <w:left w:val="nil"/>
                <w:bottom w:val="nil"/>
                <w:right w:val="nil"/>
                <w:between w:val="nil"/>
                <w:bar w:val="nil"/>
              </w:pBdr>
              <w:tabs>
                <w:tab w:val="clear" w:pos="1247"/>
              </w:tabs>
              <w:spacing w:before="40" w:after="40"/>
              <w:rPr>
                <w:rFonts w:eastAsia="Roboto"/>
                <w:sz w:val="18"/>
                <w:szCs w:val="18"/>
              </w:rPr>
            </w:pPr>
            <w:r w:rsidRPr="002A2EA6">
              <w:rPr>
                <w:sz w:val="18"/>
                <w:szCs w:val="18"/>
              </w:rPr>
              <w:t>Les Parties ne sont pas tenues d</w:t>
            </w:r>
            <w:r w:rsidR="00CA4DAC">
              <w:rPr>
                <w:sz w:val="18"/>
                <w:szCs w:val="18"/>
              </w:rPr>
              <w:t>’</w:t>
            </w:r>
            <w:r w:rsidRPr="002A2EA6">
              <w:rPr>
                <w:sz w:val="18"/>
                <w:szCs w:val="18"/>
              </w:rPr>
              <w:t>élaborer un plan de mise en œuvre. Certaines Parties ont néanmoins jugé utile d</w:t>
            </w:r>
            <w:r w:rsidR="00CA4DAC">
              <w:rPr>
                <w:sz w:val="18"/>
                <w:szCs w:val="18"/>
              </w:rPr>
              <w:t>’</w:t>
            </w:r>
            <w:r w:rsidRPr="002A2EA6">
              <w:rPr>
                <w:sz w:val="18"/>
                <w:szCs w:val="18"/>
              </w:rPr>
              <w:t>établir un plan de cette nature et de le soumettre au secrétariat.</w:t>
            </w:r>
          </w:p>
        </w:tc>
      </w:tr>
    </w:tbl>
    <w:p w14:paraId="307FE92F" w14:textId="77777777" w:rsidR="002321A6" w:rsidRDefault="002321A6" w:rsidP="002321A6">
      <w:pPr>
        <w:spacing w:after="120"/>
      </w:pPr>
    </w:p>
    <w:tbl>
      <w:tblPr>
        <w:tblStyle w:val="TableGrid"/>
        <w:tblW w:w="829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20"/>
        <w:gridCol w:w="2858"/>
        <w:gridCol w:w="1559"/>
        <w:gridCol w:w="2058"/>
      </w:tblGrid>
      <w:tr w:rsidR="002A2EA6" w:rsidRPr="002A2EA6" w14:paraId="438E4265" w14:textId="77777777" w:rsidTr="002321A6">
        <w:trPr>
          <w:trHeight w:val="454"/>
          <w:tblHeader/>
          <w:jc w:val="right"/>
        </w:trPr>
        <w:tc>
          <w:tcPr>
            <w:tcW w:w="4678" w:type="dxa"/>
            <w:gridSpan w:val="2"/>
            <w:tcBorders>
              <w:top w:val="single" w:sz="4" w:space="0" w:color="auto"/>
              <w:bottom w:val="single" w:sz="12" w:space="0" w:color="auto"/>
            </w:tcBorders>
            <w:shd w:val="clear" w:color="auto" w:fill="FFFFFF" w:themeFill="background1"/>
          </w:tcPr>
          <w:p w14:paraId="6B0E8618" w14:textId="77777777" w:rsidR="002A2EA6" w:rsidRPr="0054644F" w:rsidRDefault="002A2EA6" w:rsidP="0090074E">
            <w:pPr>
              <w:keepNext/>
              <w:keepLines/>
              <w:spacing w:before="40" w:after="40"/>
              <w:rPr>
                <w:rFonts w:asciiTheme="majorBidi" w:eastAsia="Roboto" w:hAnsiTheme="majorBidi" w:cstheme="majorBidi"/>
                <w:i/>
                <w:iCs/>
                <w:sz w:val="18"/>
                <w:szCs w:val="18"/>
              </w:rPr>
            </w:pPr>
            <w:r w:rsidRPr="0054644F">
              <w:rPr>
                <w:i/>
                <w:iCs/>
                <w:sz w:val="18"/>
                <w:szCs w:val="18"/>
              </w:rPr>
              <w:t>J : article 21 (Établissement de rapports)</w:t>
            </w:r>
          </w:p>
        </w:tc>
        <w:tc>
          <w:tcPr>
            <w:tcW w:w="1559" w:type="dxa"/>
            <w:tcBorders>
              <w:top w:val="single" w:sz="4" w:space="0" w:color="auto"/>
              <w:bottom w:val="single" w:sz="12" w:space="0" w:color="auto"/>
            </w:tcBorders>
            <w:shd w:val="clear" w:color="auto" w:fill="FFFFFF" w:themeFill="background1"/>
          </w:tcPr>
          <w:p w14:paraId="273B43DA" w14:textId="5314EF45" w:rsidR="002A2EA6" w:rsidRPr="0054644F" w:rsidRDefault="002A2EA6" w:rsidP="0090074E">
            <w:pPr>
              <w:pStyle w:val="Normal-pool"/>
              <w:keepNext/>
              <w:keepLines/>
              <w:spacing w:before="40" w:after="40"/>
              <w:rPr>
                <w:i/>
                <w:iCs/>
                <w:sz w:val="18"/>
                <w:szCs w:val="18"/>
                <w:lang w:val="fr-FR"/>
              </w:rPr>
            </w:pPr>
            <w:r w:rsidRPr="0054644F">
              <w:rPr>
                <w:i/>
                <w:iCs/>
                <w:sz w:val="18"/>
                <w:szCs w:val="18"/>
                <w:lang w:val="fr-FR"/>
              </w:rPr>
              <w:t xml:space="preserve">Source </w:t>
            </w:r>
            <w:r w:rsidR="002321A6">
              <w:rPr>
                <w:i/>
                <w:iCs/>
                <w:sz w:val="18"/>
                <w:szCs w:val="18"/>
                <w:lang w:val="fr-FR"/>
              </w:rPr>
              <w:br/>
            </w:r>
            <w:r w:rsidRPr="0054644F">
              <w:rPr>
                <w:i/>
                <w:iCs/>
                <w:sz w:val="18"/>
                <w:szCs w:val="18"/>
                <w:lang w:val="fr-FR"/>
              </w:rPr>
              <w:t>d</w:t>
            </w:r>
            <w:r w:rsidR="00CA4DAC">
              <w:rPr>
                <w:i/>
                <w:iCs/>
                <w:sz w:val="18"/>
                <w:szCs w:val="18"/>
                <w:lang w:val="fr-FR"/>
              </w:rPr>
              <w:t>’</w:t>
            </w:r>
            <w:r w:rsidRPr="0054644F">
              <w:rPr>
                <w:i/>
                <w:iCs/>
                <w:sz w:val="18"/>
                <w:szCs w:val="18"/>
                <w:lang w:val="fr-FR"/>
              </w:rPr>
              <w:t>information concernant l</w:t>
            </w:r>
            <w:r w:rsidR="00CA4DAC">
              <w:rPr>
                <w:i/>
                <w:iCs/>
                <w:sz w:val="18"/>
                <w:szCs w:val="18"/>
                <w:lang w:val="fr-FR"/>
              </w:rPr>
              <w:t>’</w:t>
            </w:r>
            <w:r w:rsidRPr="0054644F">
              <w:rPr>
                <w:i/>
                <w:iCs/>
                <w:sz w:val="18"/>
                <w:szCs w:val="18"/>
                <w:lang w:val="fr-FR"/>
              </w:rPr>
              <w:t>indicateur</w:t>
            </w:r>
          </w:p>
        </w:tc>
        <w:tc>
          <w:tcPr>
            <w:tcW w:w="2058" w:type="dxa"/>
            <w:tcBorders>
              <w:top w:val="single" w:sz="4" w:space="0" w:color="auto"/>
              <w:bottom w:val="single" w:sz="12" w:space="0" w:color="auto"/>
            </w:tcBorders>
            <w:shd w:val="clear" w:color="auto" w:fill="FFFFFF" w:themeFill="background1"/>
          </w:tcPr>
          <w:p w14:paraId="27A6C2DC" w14:textId="65650407" w:rsidR="002A2EA6" w:rsidRPr="0054644F" w:rsidRDefault="002A2EA6" w:rsidP="0090074E">
            <w:pPr>
              <w:pStyle w:val="Normal-pool"/>
              <w:keepNext/>
              <w:keepLines/>
              <w:spacing w:before="40" w:after="40"/>
              <w:rPr>
                <w:i/>
                <w:iCs/>
                <w:sz w:val="18"/>
                <w:szCs w:val="18"/>
                <w:lang w:val="fr-FR"/>
              </w:rPr>
            </w:pPr>
            <w:r w:rsidRPr="0054644F">
              <w:rPr>
                <w:i/>
                <w:iCs/>
                <w:sz w:val="18"/>
                <w:szCs w:val="18"/>
                <w:lang w:val="fr-FR"/>
              </w:rPr>
              <w:t>Valeur de référence pour l</w:t>
            </w:r>
            <w:r w:rsidR="00CA4DAC">
              <w:rPr>
                <w:i/>
                <w:iCs/>
                <w:sz w:val="18"/>
                <w:szCs w:val="18"/>
                <w:lang w:val="fr-FR"/>
              </w:rPr>
              <w:t>’</w:t>
            </w:r>
            <w:r w:rsidRPr="0054644F">
              <w:rPr>
                <w:i/>
                <w:iCs/>
                <w:sz w:val="18"/>
                <w:szCs w:val="18"/>
                <w:lang w:val="fr-FR"/>
              </w:rPr>
              <w:t>indicateur</w:t>
            </w:r>
          </w:p>
        </w:tc>
      </w:tr>
      <w:tr w:rsidR="002A2EA6" w:rsidRPr="002A2EA6" w14:paraId="77BA7505" w14:textId="77777777" w:rsidTr="002321A6">
        <w:trPr>
          <w:trHeight w:val="57"/>
          <w:jc w:val="right"/>
        </w:trPr>
        <w:tc>
          <w:tcPr>
            <w:tcW w:w="1820" w:type="dxa"/>
            <w:tcBorders>
              <w:top w:val="single" w:sz="12" w:space="0" w:color="auto"/>
            </w:tcBorders>
            <w:shd w:val="clear" w:color="auto" w:fill="FFFFFF" w:themeFill="background1"/>
          </w:tcPr>
          <w:p w14:paraId="4395F9AD"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J1. Indicateur de méthode</w:t>
            </w:r>
          </w:p>
        </w:tc>
        <w:tc>
          <w:tcPr>
            <w:tcW w:w="2858" w:type="dxa"/>
            <w:tcBorders>
              <w:top w:val="single" w:sz="12" w:space="0" w:color="auto"/>
            </w:tcBorders>
            <w:shd w:val="clear" w:color="auto" w:fill="FFFFFF" w:themeFill="background1"/>
          </w:tcPr>
          <w:p w14:paraId="4C9AE510" w14:textId="0BD29C7A" w:rsidR="002A2EA6" w:rsidRPr="002A2EA6" w:rsidRDefault="002A2EA6" w:rsidP="002321A6">
            <w:pPr>
              <w:keepNext/>
              <w:keepLines/>
              <w:pBdr>
                <w:top w:val="nil"/>
                <w:left w:val="nil"/>
                <w:bottom w:val="nil"/>
                <w:right w:val="nil"/>
                <w:between w:val="nil"/>
                <w:bar w:val="nil"/>
              </w:pBdr>
              <w:spacing w:before="40" w:after="40"/>
              <w:rPr>
                <w:rFonts w:asciiTheme="majorBidi" w:hAnsiTheme="majorBidi" w:cstheme="majorBidi"/>
                <w:sz w:val="18"/>
                <w:szCs w:val="18"/>
              </w:rPr>
            </w:pPr>
            <w:r w:rsidRPr="002A2EA6">
              <w:rPr>
                <w:sz w:val="18"/>
                <w:szCs w:val="18"/>
              </w:rPr>
              <w:t>Proportion de Parties établissant les rapports dans les délais</w:t>
            </w:r>
          </w:p>
        </w:tc>
        <w:tc>
          <w:tcPr>
            <w:tcW w:w="1559" w:type="dxa"/>
            <w:tcBorders>
              <w:top w:val="single" w:sz="12" w:space="0" w:color="auto"/>
            </w:tcBorders>
            <w:shd w:val="clear" w:color="auto" w:fill="FFFFFF" w:themeFill="background1"/>
          </w:tcPr>
          <w:p w14:paraId="6D5274D8" w14:textId="2EE02D20" w:rsidR="002A2EA6" w:rsidRPr="002A2EA6" w:rsidRDefault="002A2EA6" w:rsidP="0090074E">
            <w:pPr>
              <w:keepNext/>
              <w:keepLines/>
              <w:pBdr>
                <w:top w:val="nil"/>
                <w:left w:val="nil"/>
                <w:bottom w:val="nil"/>
                <w:right w:val="nil"/>
                <w:between w:val="nil"/>
                <w:bar w:val="nil"/>
              </w:pBdr>
              <w:spacing w:before="40" w:after="40"/>
              <w:rPr>
                <w:rFonts w:asciiTheme="majorBidi" w:eastAsia="Roboto" w:hAnsiTheme="majorBidi" w:cstheme="majorBidi"/>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58" w:type="dxa"/>
            <w:tcBorders>
              <w:top w:val="single" w:sz="12" w:space="0" w:color="auto"/>
            </w:tcBorders>
            <w:shd w:val="clear" w:color="auto" w:fill="FFFFFF" w:themeFill="background1"/>
          </w:tcPr>
          <w:p w14:paraId="0F59811A" w14:textId="77777777" w:rsidR="002A2EA6" w:rsidRPr="002A2EA6" w:rsidRDefault="002A2EA6" w:rsidP="0090074E">
            <w:pPr>
              <w:keepNext/>
              <w:keepLines/>
              <w:pBdr>
                <w:top w:val="nil"/>
                <w:left w:val="nil"/>
                <w:bottom w:val="nil"/>
                <w:right w:val="nil"/>
                <w:between w:val="nil"/>
                <w:bar w:val="nil"/>
              </w:pBdr>
              <w:spacing w:before="40" w:after="40"/>
              <w:rPr>
                <w:rFonts w:asciiTheme="majorBidi" w:hAnsiTheme="majorBidi" w:cstheme="majorBidi"/>
                <w:sz w:val="18"/>
                <w:szCs w:val="18"/>
              </w:rPr>
            </w:pPr>
            <w:r w:rsidRPr="002A2EA6">
              <w:rPr>
                <w:sz w:val="18"/>
                <w:szCs w:val="18"/>
              </w:rPr>
              <w:t>Pourcentage de première soumission effectuée dans les délais</w:t>
            </w:r>
          </w:p>
        </w:tc>
      </w:tr>
      <w:tr w:rsidR="002A2EA6" w:rsidRPr="002A2EA6" w14:paraId="57CFADD5" w14:textId="77777777" w:rsidTr="002321A6">
        <w:trPr>
          <w:trHeight w:val="454"/>
          <w:jc w:val="right"/>
        </w:trPr>
        <w:tc>
          <w:tcPr>
            <w:tcW w:w="1820" w:type="dxa"/>
            <w:shd w:val="clear" w:color="auto" w:fill="FFFFFF" w:themeFill="background1"/>
          </w:tcPr>
          <w:p w14:paraId="472831F5"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J2. Indicateur de méthode</w:t>
            </w:r>
          </w:p>
        </w:tc>
        <w:tc>
          <w:tcPr>
            <w:tcW w:w="2858" w:type="dxa"/>
            <w:shd w:val="clear" w:color="auto" w:fill="FFFFFF" w:themeFill="background1"/>
          </w:tcPr>
          <w:p w14:paraId="6C1168A1" w14:textId="77777777" w:rsidR="002A2EA6" w:rsidRPr="002A2EA6" w:rsidRDefault="002A2EA6" w:rsidP="0090074E">
            <w:pPr>
              <w:keepNext/>
              <w:keepLines/>
              <w:pBdr>
                <w:top w:val="nil"/>
                <w:left w:val="nil"/>
                <w:bottom w:val="nil"/>
                <w:right w:val="nil"/>
                <w:between w:val="nil"/>
                <w:bar w:val="nil"/>
              </w:pBdr>
              <w:spacing w:before="40" w:after="40"/>
              <w:rPr>
                <w:rFonts w:asciiTheme="majorBidi" w:eastAsia="Roboto" w:hAnsiTheme="majorBidi" w:cstheme="majorBidi"/>
                <w:sz w:val="18"/>
                <w:szCs w:val="18"/>
              </w:rPr>
            </w:pPr>
            <w:r w:rsidRPr="002A2EA6">
              <w:rPr>
                <w:sz w:val="18"/>
                <w:szCs w:val="18"/>
              </w:rPr>
              <w:t>Proportion de rapports reçus dans les délais</w:t>
            </w:r>
          </w:p>
        </w:tc>
        <w:tc>
          <w:tcPr>
            <w:tcW w:w="1559" w:type="dxa"/>
            <w:shd w:val="clear" w:color="auto" w:fill="FFFFFF" w:themeFill="background1"/>
          </w:tcPr>
          <w:p w14:paraId="72E7E684" w14:textId="6D3CDB33" w:rsidR="002A2EA6" w:rsidRPr="002A2EA6" w:rsidRDefault="002A2EA6" w:rsidP="0090074E">
            <w:pPr>
              <w:keepNext/>
              <w:keepLines/>
              <w:pBdr>
                <w:top w:val="nil"/>
                <w:left w:val="nil"/>
                <w:bottom w:val="nil"/>
                <w:right w:val="nil"/>
                <w:between w:val="nil"/>
                <w:bar w:val="nil"/>
              </w:pBdr>
              <w:spacing w:before="40" w:after="40"/>
              <w:rPr>
                <w:rFonts w:asciiTheme="majorBidi" w:hAnsiTheme="majorBidi" w:cstheme="majorBidi"/>
                <w:iCs/>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58" w:type="dxa"/>
            <w:shd w:val="clear" w:color="auto" w:fill="FFFFFF" w:themeFill="background1"/>
          </w:tcPr>
          <w:p w14:paraId="458343DF" w14:textId="77777777" w:rsidR="002A2EA6" w:rsidRPr="002A2EA6" w:rsidRDefault="002A2EA6" w:rsidP="0090074E">
            <w:pPr>
              <w:keepNext/>
              <w:keepLines/>
              <w:pBdr>
                <w:top w:val="nil"/>
                <w:left w:val="nil"/>
                <w:bottom w:val="nil"/>
                <w:right w:val="nil"/>
                <w:between w:val="nil"/>
                <w:bar w:val="nil"/>
              </w:pBdr>
              <w:spacing w:before="40" w:after="40"/>
              <w:rPr>
                <w:rFonts w:asciiTheme="majorBidi" w:hAnsiTheme="majorBidi" w:cstheme="majorBidi"/>
                <w:sz w:val="18"/>
                <w:szCs w:val="18"/>
              </w:rPr>
            </w:pPr>
            <w:r w:rsidRPr="002A2EA6">
              <w:rPr>
                <w:sz w:val="18"/>
                <w:szCs w:val="18"/>
              </w:rPr>
              <w:t>Pourcentage non disponible dans les premiers rapports</w:t>
            </w:r>
          </w:p>
        </w:tc>
      </w:tr>
      <w:tr w:rsidR="002A2EA6" w:rsidRPr="002A2EA6" w14:paraId="470E0F5F" w14:textId="77777777" w:rsidTr="002321A6">
        <w:trPr>
          <w:trHeight w:val="454"/>
          <w:jc w:val="right"/>
        </w:trPr>
        <w:tc>
          <w:tcPr>
            <w:tcW w:w="1820" w:type="dxa"/>
            <w:shd w:val="clear" w:color="auto" w:fill="FFFFFF" w:themeFill="background1"/>
          </w:tcPr>
          <w:p w14:paraId="554CACD4"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J3. Indicateur de méthode</w:t>
            </w:r>
          </w:p>
        </w:tc>
        <w:tc>
          <w:tcPr>
            <w:tcW w:w="2858" w:type="dxa"/>
            <w:shd w:val="clear" w:color="auto" w:fill="FFFFFF" w:themeFill="background1"/>
          </w:tcPr>
          <w:p w14:paraId="798F22CB" w14:textId="58D0C68E" w:rsidR="002A2EA6" w:rsidRPr="002A2EA6" w:rsidRDefault="002A2EA6" w:rsidP="002A2EA6">
            <w:pPr>
              <w:spacing w:before="40" w:after="40"/>
              <w:rPr>
                <w:rFonts w:asciiTheme="majorBidi" w:hAnsiTheme="majorBidi" w:cstheme="majorBidi"/>
                <w:sz w:val="18"/>
                <w:szCs w:val="18"/>
              </w:rPr>
            </w:pPr>
            <w:r w:rsidRPr="002A2EA6">
              <w:rPr>
                <w:sz w:val="18"/>
                <w:szCs w:val="18"/>
              </w:rPr>
              <w:t>Proportion de Parties indiquant que l</w:t>
            </w:r>
            <w:r w:rsidR="00CA4DAC">
              <w:rPr>
                <w:sz w:val="18"/>
                <w:szCs w:val="18"/>
              </w:rPr>
              <w:t>’</w:t>
            </w:r>
            <w:r w:rsidRPr="002A2EA6">
              <w:rPr>
                <w:sz w:val="18"/>
                <w:szCs w:val="18"/>
              </w:rPr>
              <w:t>information n</w:t>
            </w:r>
            <w:r w:rsidR="00CA4DAC">
              <w:rPr>
                <w:sz w:val="18"/>
                <w:szCs w:val="18"/>
              </w:rPr>
              <w:t>’</w:t>
            </w:r>
            <w:r w:rsidRPr="002A2EA6">
              <w:rPr>
                <w:sz w:val="18"/>
                <w:szCs w:val="18"/>
              </w:rPr>
              <w:t>est pas disponible pour des questions spécifiques</w:t>
            </w:r>
          </w:p>
        </w:tc>
        <w:tc>
          <w:tcPr>
            <w:tcW w:w="1559" w:type="dxa"/>
            <w:shd w:val="clear" w:color="auto" w:fill="FFFFFF" w:themeFill="background1"/>
          </w:tcPr>
          <w:p w14:paraId="0336C787" w14:textId="239BCB11" w:rsidR="002A2EA6" w:rsidRPr="002A2EA6" w:rsidRDefault="002A2EA6" w:rsidP="002A2EA6">
            <w:pPr>
              <w:spacing w:before="40" w:after="40"/>
              <w:rPr>
                <w:rFonts w:asciiTheme="majorBidi" w:eastAsia="Roboto" w:hAnsiTheme="majorBidi" w:cstheme="majorBidi"/>
                <w:sz w:val="18"/>
                <w:szCs w:val="18"/>
              </w:rPr>
            </w:pPr>
            <w:r w:rsidRPr="002A2EA6">
              <w:rPr>
                <w:sz w:val="18"/>
                <w:szCs w:val="18"/>
              </w:rPr>
              <w:t>- Rapports établis au titre de l</w:t>
            </w:r>
            <w:r w:rsidR="00CA4DAC">
              <w:rPr>
                <w:sz w:val="18"/>
                <w:szCs w:val="18"/>
              </w:rPr>
              <w:t>’</w:t>
            </w:r>
            <w:r w:rsidRPr="002A2EA6">
              <w:rPr>
                <w:sz w:val="18"/>
                <w:szCs w:val="18"/>
              </w:rPr>
              <w:t>article 21</w:t>
            </w:r>
          </w:p>
        </w:tc>
        <w:tc>
          <w:tcPr>
            <w:tcW w:w="2058" w:type="dxa"/>
            <w:shd w:val="clear" w:color="auto" w:fill="FFFFFF" w:themeFill="background1"/>
          </w:tcPr>
          <w:p w14:paraId="67912A3B" w14:textId="77777777" w:rsidR="002A2EA6" w:rsidRPr="002A2EA6" w:rsidRDefault="002A2EA6" w:rsidP="002A2EA6">
            <w:pPr>
              <w:spacing w:before="40" w:after="40"/>
              <w:rPr>
                <w:rFonts w:asciiTheme="majorBidi" w:hAnsiTheme="majorBidi" w:cstheme="majorBidi"/>
                <w:sz w:val="18"/>
                <w:szCs w:val="18"/>
              </w:rPr>
            </w:pPr>
            <w:r w:rsidRPr="002A2EA6">
              <w:rPr>
                <w:sz w:val="18"/>
                <w:szCs w:val="18"/>
              </w:rPr>
              <w:t>Pourcentage non disponible dans les premiers rapports</w:t>
            </w:r>
          </w:p>
        </w:tc>
      </w:tr>
      <w:tr w:rsidR="002A2EA6" w:rsidRPr="002A2EA6" w14:paraId="7D6E2470" w14:textId="77777777" w:rsidTr="0090074E">
        <w:trPr>
          <w:trHeight w:val="227"/>
          <w:jc w:val="right"/>
        </w:trPr>
        <w:tc>
          <w:tcPr>
            <w:tcW w:w="1820" w:type="dxa"/>
            <w:tcBorders>
              <w:bottom w:val="single" w:sz="12" w:space="0" w:color="auto"/>
            </w:tcBorders>
            <w:shd w:val="clear" w:color="auto" w:fill="FFFFFF" w:themeFill="background1"/>
          </w:tcPr>
          <w:p w14:paraId="01709C9D" w14:textId="77777777" w:rsidR="002A2EA6" w:rsidRPr="002A2EA6" w:rsidRDefault="002A2EA6" w:rsidP="002A2EA6">
            <w:pPr>
              <w:spacing w:before="40" w:after="40"/>
              <w:rPr>
                <w:rFonts w:asciiTheme="majorBidi" w:hAnsiTheme="majorBidi" w:cstheme="majorBidi"/>
                <w:b/>
                <w:bCs/>
                <w:sz w:val="18"/>
                <w:szCs w:val="18"/>
              </w:rPr>
            </w:pPr>
            <w:r w:rsidRPr="002A2EA6">
              <w:rPr>
                <w:b/>
                <w:bCs/>
                <w:sz w:val="18"/>
                <w:szCs w:val="18"/>
              </w:rPr>
              <w:t>Notes</w:t>
            </w:r>
          </w:p>
        </w:tc>
        <w:tc>
          <w:tcPr>
            <w:tcW w:w="6475" w:type="dxa"/>
            <w:gridSpan w:val="3"/>
            <w:tcBorders>
              <w:bottom w:val="single" w:sz="12" w:space="0" w:color="auto"/>
            </w:tcBorders>
            <w:shd w:val="clear" w:color="auto" w:fill="FFFFFF" w:themeFill="background1"/>
          </w:tcPr>
          <w:p w14:paraId="5834D221" w14:textId="77777777" w:rsidR="002A2EA6" w:rsidRPr="002A2EA6" w:rsidRDefault="002A2EA6" w:rsidP="002A2EA6">
            <w:pPr>
              <w:pStyle w:val="ListParagraph"/>
              <w:numPr>
                <w:ilvl w:val="0"/>
                <w:numId w:val="18"/>
              </w:numPr>
              <w:pBdr>
                <w:top w:val="nil"/>
                <w:left w:val="nil"/>
                <w:bottom w:val="nil"/>
                <w:right w:val="nil"/>
                <w:between w:val="nil"/>
                <w:bar w:val="nil"/>
              </w:pBdr>
              <w:tabs>
                <w:tab w:val="clear" w:pos="1247"/>
              </w:tabs>
              <w:spacing w:before="40" w:after="40"/>
              <w:rPr>
                <w:rFonts w:asciiTheme="majorBidi" w:hAnsiTheme="majorBidi" w:cstheme="majorBidi"/>
                <w:sz w:val="18"/>
                <w:szCs w:val="18"/>
              </w:rPr>
            </w:pPr>
            <w:r w:rsidRPr="002A2EA6">
              <w:rPr>
                <w:sz w:val="18"/>
                <w:szCs w:val="18"/>
              </w:rPr>
              <w:t>Les Parties doivent faire rapport tous les deux ans.</w:t>
            </w:r>
          </w:p>
        </w:tc>
      </w:tr>
    </w:tbl>
    <w:p w14:paraId="0578C9F0" w14:textId="26B60ABE" w:rsidR="002A2EA6" w:rsidRPr="002A2EA6" w:rsidRDefault="002A2EA6" w:rsidP="002321A6">
      <w:pPr>
        <w:spacing w:before="40"/>
        <w:ind w:left="1247"/>
      </w:pPr>
      <w:r w:rsidRPr="002A2EA6">
        <w:rPr>
          <w:i/>
          <w:iCs/>
          <w:sz w:val="17"/>
          <w:szCs w:val="17"/>
        </w:rPr>
        <w:t xml:space="preserve">Abréviations : </w:t>
      </w:r>
      <w:r w:rsidRPr="002A2EA6">
        <w:rPr>
          <w:sz w:val="17"/>
          <w:szCs w:val="17"/>
        </w:rPr>
        <w:t>MTD/MPE, meilleures techniques disponibles et meilleures pratiques environnementales ; SIP, Programme international spécifique visant à soutenir le renforcement des capacités et l</w:t>
      </w:r>
      <w:r w:rsidR="00CA4DAC">
        <w:rPr>
          <w:sz w:val="17"/>
          <w:szCs w:val="17"/>
        </w:rPr>
        <w:t>’</w:t>
      </w:r>
      <w:r w:rsidRPr="002A2EA6">
        <w:rPr>
          <w:sz w:val="17"/>
          <w:szCs w:val="17"/>
        </w:rPr>
        <w:t>assistance technique.</w:t>
      </w:r>
    </w:p>
    <w:p w14:paraId="05E7A960" w14:textId="77777777" w:rsidR="002A2EA6" w:rsidRPr="002A2EA6" w:rsidRDefault="002A2EA6" w:rsidP="002A2EA6">
      <w:pPr>
        <w:tabs>
          <w:tab w:val="clear" w:pos="1247"/>
          <w:tab w:val="clear" w:pos="1814"/>
          <w:tab w:val="clear" w:pos="2381"/>
          <w:tab w:val="clear" w:pos="2948"/>
          <w:tab w:val="clear" w:pos="3515"/>
        </w:tabs>
      </w:pPr>
      <w:r w:rsidRPr="002A2EA6">
        <w:br w:type="page"/>
      </w:r>
    </w:p>
    <w:p w14:paraId="2359694C" w14:textId="77777777" w:rsidR="002A2EA6" w:rsidRPr="002A2EA6" w:rsidRDefault="002A2EA6" w:rsidP="002A2EA6">
      <w:pPr>
        <w:pStyle w:val="ZZAnxheader"/>
        <w:rPr>
          <w:lang w:val="fr-FR"/>
        </w:rPr>
      </w:pPr>
      <w:r w:rsidRPr="002A2EA6">
        <w:rPr>
          <w:lang w:val="fr-FR"/>
        </w:rPr>
        <w:lastRenderedPageBreak/>
        <w:tab/>
        <w:t xml:space="preserve">Annexe II de la décision MC-3/10 </w:t>
      </w:r>
    </w:p>
    <w:p w14:paraId="38293C89" w14:textId="2543A148" w:rsidR="002A2EA6" w:rsidRPr="002A2EA6" w:rsidRDefault="002A2EA6" w:rsidP="002A2EA6">
      <w:pPr>
        <w:pStyle w:val="ZZAnxtitle"/>
        <w:rPr>
          <w:lang w:val="fr-FR"/>
        </w:rPr>
      </w:pPr>
      <w:r w:rsidRPr="002A2EA6">
        <w:rPr>
          <w:lang w:val="fr-FR"/>
        </w:rPr>
        <w:t>Cadre d</w:t>
      </w:r>
      <w:r w:rsidR="00CA4DAC">
        <w:rPr>
          <w:lang w:val="fr-FR"/>
        </w:rPr>
        <w:t>’</w:t>
      </w:r>
      <w:r w:rsidRPr="002A2EA6">
        <w:rPr>
          <w:lang w:val="fr-FR"/>
        </w:rPr>
        <w:t>évaluation de l</w:t>
      </w:r>
      <w:r w:rsidR="00CA4DAC">
        <w:rPr>
          <w:lang w:val="fr-FR"/>
        </w:rPr>
        <w:t>’</w:t>
      </w:r>
      <w:r w:rsidRPr="002A2EA6">
        <w:rPr>
          <w:lang w:val="fr-FR"/>
        </w:rPr>
        <w:t>efficacité de la Convention de Minamata</w:t>
      </w:r>
    </w:p>
    <w:p w14:paraId="210428E4" w14:textId="77777777" w:rsidR="002A2EA6" w:rsidRPr="002A2EA6" w:rsidRDefault="002A2EA6" w:rsidP="002321A6">
      <w:pPr>
        <w:pStyle w:val="CH4"/>
        <w:spacing w:after="240"/>
        <w:rPr>
          <w:lang w:val="fr-FR"/>
        </w:rPr>
      </w:pPr>
      <w:r w:rsidRPr="002A2EA6">
        <w:rPr>
          <w:lang w:val="fr-FR"/>
        </w:rPr>
        <w:tab/>
      </w:r>
      <w:r w:rsidRPr="002A2EA6">
        <w:rPr>
          <w:lang w:val="fr-FR"/>
        </w:rPr>
        <w:tab/>
      </w:r>
      <w:r w:rsidRPr="002A2EA6">
        <w:rPr>
          <w:b w:val="0"/>
          <w:bCs/>
          <w:lang w:val="fr-FR"/>
        </w:rPr>
        <w:t xml:space="preserve">Figure 1 </w:t>
      </w:r>
      <w:r w:rsidRPr="002A2EA6">
        <w:rPr>
          <w:b w:val="0"/>
          <w:bCs/>
          <w:lang w:val="fr-FR"/>
        </w:rPr>
        <w:br/>
      </w:r>
      <w:bookmarkStart w:id="177" w:name="_DV_C1548"/>
      <w:r w:rsidRPr="002A2EA6">
        <w:rPr>
          <w:lang w:val="fr-FR"/>
        </w:rPr>
        <w:t>Flux des informations et analyses</w:t>
      </w:r>
      <w:bookmarkEnd w:id="177"/>
    </w:p>
    <w:p w14:paraId="37A1737E" w14:textId="77777777" w:rsidR="002A2EA6" w:rsidRPr="002A2EA6" w:rsidRDefault="002A2EA6" w:rsidP="002A2EA6">
      <w:pPr>
        <w:pStyle w:val="NormalNonumber"/>
        <w:tabs>
          <w:tab w:val="clear" w:pos="1247"/>
        </w:tabs>
        <w:spacing w:after="0"/>
        <w:ind w:left="1276"/>
        <w:rPr>
          <w:noProof/>
          <w:lang w:val="fr-FR"/>
        </w:rPr>
      </w:pPr>
      <w:r w:rsidRPr="002A2EA6">
        <w:rPr>
          <w:noProof/>
          <w:lang w:val="fr-FR"/>
        </w:rPr>
        <w:drawing>
          <wp:inline distT="0" distB="0" distL="0" distR="0" wp14:anchorId="562CCD12" wp14:editId="0FC42261">
            <wp:extent cx="4397072" cy="3251499"/>
            <wp:effectExtent l="0" t="0" r="3810" b="635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5473D4.tmp"/>
                    <pic:cNvPicPr/>
                  </pic:nvPicPr>
                  <pic:blipFill>
                    <a:blip r:embed="rId24">
                      <a:extLst>
                        <a:ext uri="{28A0092B-C50C-407E-A947-70E740481C1C}">
                          <a14:useLocalDpi xmlns:a14="http://schemas.microsoft.com/office/drawing/2010/main" val="0"/>
                        </a:ext>
                      </a:extLst>
                    </a:blip>
                    <a:stretch>
                      <a:fillRect/>
                    </a:stretch>
                  </pic:blipFill>
                  <pic:spPr>
                    <a:xfrm>
                      <a:off x="0" y="0"/>
                      <a:ext cx="4440793" cy="3283829"/>
                    </a:xfrm>
                    <a:prstGeom prst="rect">
                      <a:avLst/>
                    </a:prstGeom>
                  </pic:spPr>
                </pic:pic>
              </a:graphicData>
            </a:graphic>
          </wp:inline>
        </w:drawing>
      </w:r>
    </w:p>
    <w:p w14:paraId="47D8793F" w14:textId="77777777" w:rsidR="002A2EA6" w:rsidRPr="002321A6" w:rsidRDefault="002A2EA6" w:rsidP="002A2EA6">
      <w:pPr>
        <w:pStyle w:val="NormalNonumber"/>
        <w:tabs>
          <w:tab w:val="clear" w:pos="1247"/>
          <w:tab w:val="clear" w:pos="1814"/>
          <w:tab w:val="left" w:pos="1470"/>
        </w:tabs>
        <w:ind w:left="425"/>
        <w:rPr>
          <w:sz w:val="18"/>
          <w:szCs w:val="18"/>
          <w:lang w:val="fr-FR"/>
        </w:rPr>
      </w:pPr>
      <w:r w:rsidRPr="002A2EA6">
        <w:rPr>
          <w:rFonts w:ascii="Arial" w:hAnsi="Arial" w:cs="Arial"/>
          <w:sz w:val="18"/>
          <w:szCs w:val="18"/>
          <w:lang w:val="fr-FR"/>
        </w:rPr>
        <w:tab/>
      </w:r>
      <w:r w:rsidRPr="002321A6">
        <w:rPr>
          <w:sz w:val="18"/>
          <w:szCs w:val="18"/>
          <w:lang w:val="fr-FR"/>
        </w:rPr>
        <w:t>Sigle : CdP, Conférence des Parties. </w:t>
      </w:r>
    </w:p>
    <w:p w14:paraId="56B042DF" w14:textId="77777777" w:rsidR="002A2EA6" w:rsidRPr="002A2EA6" w:rsidRDefault="002A2EA6" w:rsidP="002321A6">
      <w:pPr>
        <w:pStyle w:val="NormalNonumber"/>
        <w:tabs>
          <w:tab w:val="clear" w:pos="1247"/>
        </w:tabs>
        <w:spacing w:before="360"/>
        <w:rPr>
          <w:b/>
          <w:lang w:val="fr-FR"/>
        </w:rPr>
      </w:pPr>
      <w:r w:rsidRPr="002A2EA6">
        <w:rPr>
          <w:lang w:val="fr-FR"/>
        </w:rPr>
        <w:t xml:space="preserve">Figure 2 </w:t>
      </w:r>
      <w:r w:rsidRPr="002A2EA6">
        <w:rPr>
          <w:lang w:val="fr-FR"/>
        </w:rPr>
        <w:br/>
      </w:r>
      <w:r w:rsidRPr="002A2EA6">
        <w:rPr>
          <w:b/>
          <w:bCs/>
          <w:lang w:val="fr-FR"/>
        </w:rPr>
        <w:t>Organisation des activités institutionnelles</w:t>
      </w:r>
    </w:p>
    <w:p w14:paraId="43024ED0" w14:textId="77777777" w:rsidR="002A2EA6" w:rsidRPr="002A2EA6" w:rsidRDefault="002A2EA6" w:rsidP="002A2EA6">
      <w:r w:rsidRPr="002A2EA6">
        <w:rPr>
          <w:noProof/>
        </w:rPr>
        <w:drawing>
          <wp:inline distT="0" distB="0" distL="0" distR="0" wp14:anchorId="726799DC" wp14:editId="0B8676B9">
            <wp:extent cx="6177517" cy="3420533"/>
            <wp:effectExtent l="0" t="0" r="0" b="8890"/>
            <wp:docPr id="67" name="Picture 6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6CBC7F.tmp"/>
                    <pic:cNvPicPr/>
                  </pic:nvPicPr>
                  <pic:blipFill>
                    <a:blip r:embed="rId25">
                      <a:extLst>
                        <a:ext uri="{28A0092B-C50C-407E-A947-70E740481C1C}">
                          <a14:useLocalDpi xmlns:a14="http://schemas.microsoft.com/office/drawing/2010/main" val="0"/>
                        </a:ext>
                      </a:extLst>
                    </a:blip>
                    <a:stretch>
                      <a:fillRect/>
                    </a:stretch>
                  </pic:blipFill>
                  <pic:spPr>
                    <a:xfrm>
                      <a:off x="0" y="0"/>
                      <a:ext cx="6190016" cy="3427454"/>
                    </a:xfrm>
                    <a:prstGeom prst="rect">
                      <a:avLst/>
                    </a:prstGeom>
                  </pic:spPr>
                </pic:pic>
              </a:graphicData>
            </a:graphic>
          </wp:inline>
        </w:drawing>
      </w:r>
    </w:p>
    <w:p w14:paraId="4A964752" w14:textId="4208FE4B" w:rsidR="002321A6" w:rsidRPr="007759FC" w:rsidRDefault="002A2EA6" w:rsidP="002321A6">
      <w:pPr>
        <w:spacing w:before="40"/>
        <w:rPr>
          <w:rStyle w:val="fr"/>
          <w:sz w:val="17"/>
          <w:szCs w:val="17"/>
        </w:rPr>
      </w:pPr>
      <w:r w:rsidRPr="007759FC">
        <w:rPr>
          <w:sz w:val="17"/>
          <w:szCs w:val="17"/>
        </w:rPr>
        <w:t xml:space="preserve">Abréviations : </w:t>
      </w:r>
      <w:r w:rsidRPr="007759FC">
        <w:rPr>
          <w:noProof/>
          <w:sz w:val="17"/>
          <w:szCs w:val="17"/>
        </w:rPr>
        <w:t>CdP,</w:t>
      </w:r>
      <w:r w:rsidRPr="007759FC">
        <w:rPr>
          <w:sz w:val="17"/>
          <w:szCs w:val="17"/>
        </w:rPr>
        <w:t xml:space="preserve"> Conférence des Parties ; ICC, Comité de mise en œuvre et du respect des obligations ; MIA, </w:t>
      </w:r>
      <w:r w:rsidRPr="007759FC">
        <w:rPr>
          <w:rStyle w:val="fr"/>
          <w:sz w:val="17"/>
          <w:szCs w:val="17"/>
        </w:rPr>
        <w:t xml:space="preserve">évaluations initiales prévues par la Convention de Minamata ; </w:t>
      </w:r>
      <w:r w:rsidRPr="007759FC">
        <w:rPr>
          <w:sz w:val="17"/>
          <w:szCs w:val="17"/>
        </w:rPr>
        <w:t>NAP, plans d</w:t>
      </w:r>
      <w:r w:rsidR="00CA4DAC">
        <w:rPr>
          <w:sz w:val="17"/>
          <w:szCs w:val="17"/>
        </w:rPr>
        <w:t>’</w:t>
      </w:r>
      <w:r w:rsidRPr="007759FC">
        <w:rPr>
          <w:sz w:val="17"/>
          <w:szCs w:val="17"/>
        </w:rPr>
        <w:t>action nationaux ; NIP, plans nationaux de mise en œuvre ;</w:t>
      </w:r>
      <w:r w:rsidRPr="007759FC">
        <w:rPr>
          <w:rStyle w:val="fr"/>
          <w:sz w:val="17"/>
          <w:szCs w:val="17"/>
        </w:rPr>
        <w:t xml:space="preserve"> PIS,</w:t>
      </w:r>
      <w:r w:rsidR="00077F8F" w:rsidRPr="007759FC">
        <w:rPr>
          <w:rStyle w:val="fr"/>
          <w:sz w:val="17"/>
          <w:szCs w:val="17"/>
        </w:rPr>
        <w:t> </w:t>
      </w:r>
      <w:r w:rsidRPr="007759FC">
        <w:rPr>
          <w:rStyle w:val="fr"/>
          <w:sz w:val="17"/>
          <w:szCs w:val="17"/>
        </w:rPr>
        <w:t>Programme international spécifique.</w:t>
      </w:r>
    </w:p>
    <w:p w14:paraId="7C2FFDD4" w14:textId="77777777" w:rsidR="002321A6" w:rsidRDefault="002321A6">
      <w:pPr>
        <w:tabs>
          <w:tab w:val="clear" w:pos="1247"/>
          <w:tab w:val="clear" w:pos="1814"/>
          <w:tab w:val="clear" w:pos="2381"/>
          <w:tab w:val="clear" w:pos="2948"/>
          <w:tab w:val="clear" w:pos="3515"/>
        </w:tabs>
        <w:rPr>
          <w:rStyle w:val="fr"/>
          <w:sz w:val="18"/>
          <w:szCs w:val="18"/>
        </w:rPr>
      </w:pPr>
      <w:r>
        <w:rPr>
          <w:rStyle w:val="fr"/>
          <w:sz w:val="18"/>
          <w:szCs w:val="18"/>
        </w:rPr>
        <w:br w:type="page"/>
      </w:r>
    </w:p>
    <w:p w14:paraId="023AF2C1" w14:textId="6AFBBE52" w:rsidR="002A2EA6" w:rsidRPr="00AC10AF" w:rsidRDefault="002A2EA6" w:rsidP="002A2EA6">
      <w:pPr>
        <w:pStyle w:val="CH2"/>
        <w:rPr>
          <w:sz w:val="28"/>
          <w:szCs w:val="28"/>
          <w:lang w:val="fr-FR"/>
        </w:rPr>
      </w:pPr>
      <w:r w:rsidRPr="00AC10AF">
        <w:rPr>
          <w:sz w:val="28"/>
          <w:szCs w:val="28"/>
          <w:lang w:val="fr-FR"/>
        </w:rPr>
        <w:lastRenderedPageBreak/>
        <w:tab/>
      </w:r>
      <w:r w:rsidRPr="00AC10AF">
        <w:rPr>
          <w:sz w:val="28"/>
          <w:szCs w:val="28"/>
          <w:lang w:val="fr-FR"/>
        </w:rPr>
        <w:tab/>
      </w:r>
      <w:bookmarkStart w:id="178" w:name="_Toc39063364"/>
      <w:r w:rsidRPr="00AC10AF">
        <w:rPr>
          <w:sz w:val="28"/>
          <w:szCs w:val="28"/>
          <w:lang w:val="fr-FR"/>
        </w:rPr>
        <w:t>MC-3/11 : Renforcement de la coopération entre le secrétariat de la Convention de Minamata et le Secrétariat des conventions de</w:t>
      </w:r>
      <w:r w:rsidR="00623DB1">
        <w:rPr>
          <w:sz w:val="28"/>
          <w:szCs w:val="28"/>
          <w:lang w:val="fr-FR"/>
        </w:rPr>
        <w:t> </w:t>
      </w:r>
      <w:r w:rsidRPr="00AC10AF">
        <w:rPr>
          <w:sz w:val="28"/>
          <w:szCs w:val="28"/>
          <w:lang w:val="fr-FR"/>
        </w:rPr>
        <w:t>Bâle, de Rotterdam et de Stockholm</w:t>
      </w:r>
      <w:bookmarkEnd w:id="178"/>
    </w:p>
    <w:p w14:paraId="2A7F810D" w14:textId="77777777" w:rsidR="002A2EA6" w:rsidRPr="00B42066" w:rsidRDefault="002A2EA6" w:rsidP="002A2EA6">
      <w:pPr>
        <w:pStyle w:val="NormalNonumber"/>
        <w:rPr>
          <w:rFonts w:asciiTheme="majorBidi" w:hAnsiTheme="majorBidi" w:cstheme="majorBidi"/>
          <w:i/>
          <w:lang w:val="en-US"/>
        </w:rPr>
      </w:pPr>
      <w:r w:rsidRPr="002A2EA6">
        <w:rPr>
          <w:lang w:val="fr-FR"/>
        </w:rPr>
        <w:tab/>
      </w:r>
      <w:r w:rsidRPr="002A2EA6">
        <w:rPr>
          <w:i/>
          <w:lang w:val="fr-FR"/>
        </w:rPr>
        <w:t>La Conférence des Parties,</w:t>
      </w:r>
    </w:p>
    <w:p w14:paraId="78868645" w14:textId="17A4962F" w:rsidR="002A2EA6" w:rsidRPr="002A2EA6" w:rsidRDefault="002A2EA6" w:rsidP="002A2EA6">
      <w:pPr>
        <w:pStyle w:val="NormalNonumber"/>
        <w:rPr>
          <w:lang w:val="fr-FR"/>
        </w:rPr>
      </w:pPr>
      <w:r w:rsidRPr="002A2EA6">
        <w:rPr>
          <w:i/>
          <w:iCs/>
          <w:lang w:val="fr-FR"/>
        </w:rPr>
        <w:tab/>
        <w:t>Rappelant</w:t>
      </w:r>
      <w:r w:rsidRPr="002A2EA6">
        <w:rPr>
          <w:lang w:val="fr-FR"/>
        </w:rPr>
        <w:t xml:space="preserve"> qu</w:t>
      </w:r>
      <w:r w:rsidR="00CA4DAC">
        <w:rPr>
          <w:lang w:val="fr-FR"/>
        </w:rPr>
        <w:t>’</w:t>
      </w:r>
      <w:r w:rsidRPr="002A2EA6">
        <w:rPr>
          <w:lang w:val="fr-FR"/>
        </w:rPr>
        <w:t>aux termes du paragraphe 4 de l</w:t>
      </w:r>
      <w:r w:rsidR="00CA4DAC">
        <w:rPr>
          <w:lang w:val="fr-FR"/>
        </w:rPr>
        <w:t>’</w:t>
      </w:r>
      <w:r w:rsidRPr="002A2EA6">
        <w:rPr>
          <w:lang w:val="fr-FR"/>
        </w:rPr>
        <w:t>article 24 de la Convention, la Conférence des Parties peut, en consultation avec des organismes internationaux compétents, prévoir une coopération et une coordination renforcées entre le secrétariat et les secrétariats d</w:t>
      </w:r>
      <w:r w:rsidR="00CA4DAC">
        <w:rPr>
          <w:lang w:val="fr-FR"/>
        </w:rPr>
        <w:t>’</w:t>
      </w:r>
      <w:r w:rsidRPr="002A2EA6">
        <w:rPr>
          <w:lang w:val="fr-FR"/>
        </w:rPr>
        <w:t>autres conventions sur les produits chimiques et les déchets et peut énoncer d</w:t>
      </w:r>
      <w:r w:rsidR="00CA4DAC">
        <w:rPr>
          <w:lang w:val="fr-FR"/>
        </w:rPr>
        <w:t>’</w:t>
      </w:r>
      <w:r w:rsidRPr="002A2EA6">
        <w:rPr>
          <w:lang w:val="fr-FR"/>
        </w:rPr>
        <w:t>autres orientations sur ce sujet,</w:t>
      </w:r>
    </w:p>
    <w:p w14:paraId="5BD9FEE6" w14:textId="4CBBCB17" w:rsidR="002A2EA6" w:rsidRPr="002A2EA6" w:rsidRDefault="002A2EA6" w:rsidP="002A2EA6">
      <w:pPr>
        <w:pStyle w:val="NormalNonumber"/>
        <w:rPr>
          <w:rFonts w:asciiTheme="majorBidi" w:hAnsiTheme="majorBidi" w:cstheme="majorBidi"/>
          <w:lang w:val="fr-FR"/>
        </w:rPr>
      </w:pPr>
      <w:r w:rsidRPr="002A2EA6">
        <w:rPr>
          <w:i/>
          <w:iCs/>
          <w:lang w:val="fr-FR"/>
        </w:rPr>
        <w:tab/>
        <w:t>Rappelant également</w:t>
      </w:r>
      <w:r w:rsidRPr="002A2EA6">
        <w:rPr>
          <w:lang w:val="fr-FR"/>
        </w:rPr>
        <w:t xml:space="preserve"> sa décision MC-2/7, ainsi que la décision BC-14/22 de la Conférence des Parties à la Convention de Bâle sur le contrôle des mouvements transfrontières de déchets dangereux et de leur élimination, la décision RC-9/10 de la Conférence des Parties à la Convention de Rotterdam sur la procédure de consentement préalable en connaissance de cause applicable à certains produits chimiques et pesticides dangereux qui font l</w:t>
      </w:r>
      <w:r w:rsidR="00CA4DAC">
        <w:rPr>
          <w:lang w:val="fr-FR"/>
        </w:rPr>
        <w:t>’</w:t>
      </w:r>
      <w:r w:rsidRPr="002A2EA6">
        <w:rPr>
          <w:lang w:val="fr-FR"/>
        </w:rPr>
        <w:t>objet d</w:t>
      </w:r>
      <w:r w:rsidR="00CA4DAC">
        <w:rPr>
          <w:lang w:val="fr-FR"/>
        </w:rPr>
        <w:t>’</w:t>
      </w:r>
      <w:r w:rsidRPr="002A2EA6">
        <w:rPr>
          <w:lang w:val="fr-FR"/>
        </w:rPr>
        <w:t>un commerce international et la décision SC-9/20 de la Conférence des Parties à la Convention de Stockholm sur les polluants organiques persistants, notamment les demandes relatives à un cadre stable de partage de certains services entre les secrétariats de ces conventions formulées dans lesdites décisions,</w:t>
      </w:r>
    </w:p>
    <w:p w14:paraId="5514A4E1" w14:textId="14C47B70" w:rsidR="002A2EA6" w:rsidRPr="002A2EA6" w:rsidRDefault="002A2EA6" w:rsidP="002A2EA6">
      <w:pPr>
        <w:pStyle w:val="NormalNonumber"/>
        <w:rPr>
          <w:rFonts w:asciiTheme="majorBidi" w:hAnsiTheme="majorBidi" w:cstheme="majorBidi"/>
          <w:lang w:val="fr-FR"/>
        </w:rPr>
      </w:pPr>
      <w:r w:rsidRPr="002A2EA6">
        <w:rPr>
          <w:i/>
          <w:iCs/>
          <w:lang w:val="fr-FR"/>
        </w:rPr>
        <w:tab/>
        <w:t>Sachant</w:t>
      </w:r>
      <w:r w:rsidRPr="002A2EA6">
        <w:rPr>
          <w:lang w:val="fr-FR"/>
        </w:rPr>
        <w:t xml:space="preserve"> que le partage de services dans un cadre stable entraînera un renforcement de la coopération et de la coordination s</w:t>
      </w:r>
      <w:r w:rsidR="00CA4DAC">
        <w:rPr>
          <w:lang w:val="fr-FR"/>
        </w:rPr>
        <w:t>’</w:t>
      </w:r>
      <w:r w:rsidRPr="002A2EA6">
        <w:rPr>
          <w:lang w:val="fr-FR"/>
        </w:rPr>
        <w:t>appuyant sur l</w:t>
      </w:r>
      <w:r w:rsidR="00CA4DAC">
        <w:rPr>
          <w:lang w:val="fr-FR"/>
        </w:rPr>
        <w:t>’</w:t>
      </w:r>
      <w:r w:rsidRPr="002A2EA6">
        <w:rPr>
          <w:lang w:val="fr-FR"/>
        </w:rPr>
        <w:t>expérience et la proximité, et peut favoriser l</w:t>
      </w:r>
      <w:r w:rsidR="00CA4DAC">
        <w:rPr>
          <w:lang w:val="fr-FR"/>
        </w:rPr>
        <w:t>’</w:t>
      </w:r>
      <w:r w:rsidRPr="002A2EA6">
        <w:rPr>
          <w:lang w:val="fr-FR"/>
        </w:rPr>
        <w:t>application effective de la Convention de Minamata sans réduire l</w:t>
      </w:r>
      <w:r w:rsidR="00CA4DAC">
        <w:rPr>
          <w:lang w:val="fr-FR"/>
        </w:rPr>
        <w:t>’</w:t>
      </w:r>
      <w:r w:rsidRPr="002A2EA6">
        <w:rPr>
          <w:lang w:val="fr-FR"/>
        </w:rPr>
        <w:t>autonomie des secrétariats et les responsabilités de leurs chefs,</w:t>
      </w:r>
    </w:p>
    <w:p w14:paraId="14063816" w14:textId="2FA330CE" w:rsidR="002A2EA6" w:rsidRPr="002A2EA6" w:rsidRDefault="002A2EA6" w:rsidP="002A2EA6">
      <w:pPr>
        <w:pStyle w:val="NormalNonumber"/>
        <w:rPr>
          <w:rFonts w:asciiTheme="majorBidi" w:hAnsiTheme="majorBidi" w:cstheme="majorBidi"/>
          <w:lang w:val="fr-FR"/>
        </w:rPr>
      </w:pPr>
      <w:r w:rsidRPr="002A2EA6">
        <w:rPr>
          <w:i/>
          <w:iCs/>
          <w:lang w:val="fr-FR"/>
        </w:rPr>
        <w:tab/>
        <w:t>Notant avec gratitude</w:t>
      </w:r>
      <w:r w:rsidRPr="002A2EA6">
        <w:rPr>
          <w:lang w:val="fr-FR"/>
        </w:rPr>
        <w:t xml:space="preserve"> la proposition établie par la Directrice exécutive du Programme des Nations Unies pour l</w:t>
      </w:r>
      <w:r w:rsidR="00CA4DAC">
        <w:rPr>
          <w:lang w:val="fr-FR"/>
        </w:rPr>
        <w:t>’</w:t>
      </w:r>
      <w:r w:rsidRPr="002A2EA6">
        <w:rPr>
          <w:lang w:val="fr-FR"/>
        </w:rPr>
        <w:t>environnement concernant le partage de services entre le secrétariat de la Convention de Minamata et le Secrétariat des conventions de Bâle, de Rotterdam et de Stockholm</w:t>
      </w:r>
      <w:r w:rsidR="00593A9B">
        <w:rPr>
          <w:rStyle w:val="FootnoteReference"/>
          <w:lang w:val="fr-FR"/>
        </w:rPr>
        <w:footnoteReference w:id="12"/>
      </w:r>
      <w:r w:rsidRPr="002A2EA6">
        <w:rPr>
          <w:lang w:val="fr-FR"/>
        </w:rPr>
        <w:t>,</w:t>
      </w:r>
    </w:p>
    <w:p w14:paraId="4DA2707E" w14:textId="77777777" w:rsidR="002A2EA6" w:rsidRPr="002A2EA6" w:rsidRDefault="002A2EA6" w:rsidP="002A2EA6">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lang w:val="fr-FR"/>
        </w:rPr>
      </w:pPr>
      <w:r w:rsidRPr="002A2EA6">
        <w:rPr>
          <w:i/>
          <w:iCs/>
          <w:lang w:val="fr-FR"/>
        </w:rPr>
        <w:t>Prend note</w:t>
      </w:r>
      <w:r w:rsidRPr="002A2EA6">
        <w:rPr>
          <w:lang w:val="fr-FR"/>
        </w:rPr>
        <w:t xml:space="preserve"> du contenu de la proposition de la Directrice exécutive et des diverses options qui y sont prévues ;</w:t>
      </w:r>
    </w:p>
    <w:p w14:paraId="6BC27D12" w14:textId="06727847" w:rsidR="002A2EA6" w:rsidRPr="002A2EA6" w:rsidRDefault="002A2EA6" w:rsidP="002A2EA6">
      <w:pPr>
        <w:pStyle w:val="Normal-pool"/>
        <w:keepNext/>
        <w:keepLines/>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Souligne</w:t>
      </w:r>
      <w:r w:rsidRPr="002A2EA6">
        <w:rPr>
          <w:lang w:val="fr-FR"/>
        </w:rPr>
        <w:t xml:space="preserve"> qu</w:t>
      </w:r>
      <w:r w:rsidR="00CA4DAC">
        <w:rPr>
          <w:lang w:val="fr-FR"/>
        </w:rPr>
        <w:t>’</w:t>
      </w:r>
      <w:r w:rsidRPr="002A2EA6">
        <w:rPr>
          <w:lang w:val="fr-FR"/>
        </w:rPr>
        <w:t>il importe de poursuivre la coopération sur les synergies programmatiques ; l</w:t>
      </w:r>
      <w:r w:rsidR="00CA4DAC">
        <w:rPr>
          <w:lang w:val="fr-FR"/>
        </w:rPr>
        <w:t>’</w:t>
      </w:r>
      <w:r w:rsidRPr="002A2EA6">
        <w:rPr>
          <w:lang w:val="fr-FR"/>
        </w:rPr>
        <w:t>utilisation de l</w:t>
      </w:r>
      <w:r w:rsidR="00CA4DAC">
        <w:rPr>
          <w:lang w:val="fr-FR"/>
        </w:rPr>
        <w:t>’</w:t>
      </w:r>
      <w:r w:rsidRPr="002A2EA6">
        <w:rPr>
          <w:lang w:val="fr-FR"/>
        </w:rPr>
        <w:t>équipe spéciale commune aux deux secrétariats et au Service Produits chimiques et santé du Programme des Nations Unies pour l</w:t>
      </w:r>
      <w:r w:rsidR="00CA4DAC">
        <w:rPr>
          <w:lang w:val="fr-FR"/>
        </w:rPr>
        <w:t>’</w:t>
      </w:r>
      <w:r w:rsidRPr="002A2EA6">
        <w:rPr>
          <w:lang w:val="fr-FR"/>
        </w:rPr>
        <w:t>environnement ; et la possibilité pour le secrétariat de la</w:t>
      </w:r>
      <w:r w:rsidR="002321A6">
        <w:rPr>
          <w:lang w:val="fr-FR"/>
        </w:rPr>
        <w:t> </w:t>
      </w:r>
      <w:r w:rsidRPr="002A2EA6">
        <w:rPr>
          <w:lang w:val="fr-FR"/>
        </w:rPr>
        <w:t>Convention de Minamata d</w:t>
      </w:r>
      <w:r w:rsidR="00CA4DAC">
        <w:rPr>
          <w:lang w:val="fr-FR"/>
        </w:rPr>
        <w:t>’</w:t>
      </w:r>
      <w:r w:rsidRPr="002A2EA6">
        <w:rPr>
          <w:lang w:val="fr-FR"/>
        </w:rPr>
        <w:t>acheter des services au Secrétariat des conventions de Bâle, de Rotterdam et de Stockholm sur la base d</w:t>
      </w:r>
      <w:r w:rsidR="00CA4DAC">
        <w:rPr>
          <w:lang w:val="fr-FR"/>
        </w:rPr>
        <w:t>’</w:t>
      </w:r>
      <w:r w:rsidRPr="002A2EA6">
        <w:rPr>
          <w:lang w:val="fr-FR"/>
        </w:rPr>
        <w:t>un recouvrement des coûts, conformément au programme de travail et budget de la Convention de Minamata pour chaque exercice biennal ;</w:t>
      </w:r>
    </w:p>
    <w:p w14:paraId="1F44F994" w14:textId="2D213947" w:rsidR="002A2EA6" w:rsidRPr="002A2EA6" w:rsidRDefault="002A2EA6" w:rsidP="002A2EA6">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Se félicite</w:t>
      </w:r>
      <w:r w:rsidRPr="002A2EA6">
        <w:rPr>
          <w:lang w:val="fr-FR"/>
        </w:rPr>
        <w:t xml:space="preserve"> de la recommandation du Programme des Nations Unies pour l</w:t>
      </w:r>
      <w:r w:rsidR="00CA4DAC">
        <w:rPr>
          <w:lang w:val="fr-FR"/>
        </w:rPr>
        <w:t>’</w:t>
      </w:r>
      <w:r w:rsidRPr="002A2EA6">
        <w:rPr>
          <w:lang w:val="fr-FR"/>
        </w:rPr>
        <w:t>environnement de créer des groupes de travail intersecrétariats chargés d</w:t>
      </w:r>
      <w:r w:rsidR="00CA4DAC">
        <w:rPr>
          <w:lang w:val="fr-FR"/>
        </w:rPr>
        <w:t>’</w:t>
      </w:r>
      <w:r w:rsidRPr="002A2EA6">
        <w:rPr>
          <w:lang w:val="fr-FR"/>
        </w:rPr>
        <w:t>examiner certains aspects des services pertinents ;</w:t>
      </w:r>
    </w:p>
    <w:p w14:paraId="342754BE" w14:textId="03785469" w:rsidR="002A2EA6" w:rsidRPr="002A2EA6" w:rsidRDefault="002A2EA6" w:rsidP="002A2EA6">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Prie</w:t>
      </w:r>
      <w:r w:rsidRPr="002A2EA6">
        <w:rPr>
          <w:lang w:val="fr-FR"/>
        </w:rPr>
        <w:t xml:space="preserve"> la Directrice exécutive du Programme des Nations Unies pour l</w:t>
      </w:r>
      <w:r w:rsidR="00CA4DAC">
        <w:rPr>
          <w:lang w:val="fr-FR"/>
        </w:rPr>
        <w:t>’</w:t>
      </w:r>
      <w:r w:rsidRPr="002A2EA6">
        <w:rPr>
          <w:lang w:val="fr-FR"/>
        </w:rPr>
        <w:t>environnement, dans l</w:t>
      </w:r>
      <w:r w:rsidR="00CA4DAC">
        <w:rPr>
          <w:lang w:val="fr-FR"/>
        </w:rPr>
        <w:t>’</w:t>
      </w:r>
      <w:r w:rsidRPr="002A2EA6">
        <w:rPr>
          <w:lang w:val="fr-FR"/>
        </w:rPr>
        <w:t>exercice des fonctions de secrétariat de la Convention de Minamata et compte tenu de l</w:t>
      </w:r>
      <w:r w:rsidR="00CA4DAC">
        <w:rPr>
          <w:lang w:val="fr-FR"/>
        </w:rPr>
        <w:t>’</w:t>
      </w:r>
      <w:r w:rsidRPr="002A2EA6">
        <w:rPr>
          <w:lang w:val="fr-FR"/>
        </w:rPr>
        <w:t>autonomie juridique des secrétariats respectifs, d</w:t>
      </w:r>
      <w:r w:rsidR="00CA4DAC">
        <w:rPr>
          <w:lang w:val="fr-FR"/>
        </w:rPr>
        <w:t>’</w:t>
      </w:r>
      <w:r w:rsidRPr="002A2EA6">
        <w:rPr>
          <w:lang w:val="fr-FR"/>
        </w:rPr>
        <w:t>aider le secrétariat de la Convention de Minamata à renforcer sa coopération avec le Secrétariat des conventions de Bâle, Rotterdam et Stockholm, notamment en faisant régulièrement appel à l</w:t>
      </w:r>
      <w:r w:rsidR="00CA4DAC">
        <w:rPr>
          <w:lang w:val="fr-FR"/>
        </w:rPr>
        <w:t>’</w:t>
      </w:r>
      <w:r w:rsidRPr="002A2EA6">
        <w:rPr>
          <w:lang w:val="fr-FR"/>
        </w:rPr>
        <w:t>équipe spéciale commune aux deux secrétariats et au Service Produits chimiques et santé du Programme des Nations Unies pour l</w:t>
      </w:r>
      <w:r w:rsidR="00CA4DAC">
        <w:rPr>
          <w:lang w:val="fr-FR"/>
        </w:rPr>
        <w:t>’</w:t>
      </w:r>
      <w:r w:rsidRPr="002A2EA6">
        <w:rPr>
          <w:lang w:val="fr-FR"/>
        </w:rPr>
        <w:t>environnement en tant que cadre stable pour la coopération et le partage de certains services, conformément à la</w:t>
      </w:r>
      <w:r w:rsidR="002321A6">
        <w:rPr>
          <w:lang w:val="fr-FR"/>
        </w:rPr>
        <w:t> </w:t>
      </w:r>
      <w:r w:rsidRPr="002A2EA6">
        <w:rPr>
          <w:lang w:val="fr-FR"/>
        </w:rPr>
        <w:t>décision MC-2/7 ;</w:t>
      </w:r>
    </w:p>
    <w:p w14:paraId="63EADCC8" w14:textId="77777777" w:rsidR="002A2EA6" w:rsidRPr="002A2EA6" w:rsidRDefault="002A2EA6" w:rsidP="002A2EA6">
      <w:pPr>
        <w:pStyle w:val="Normal-pool"/>
        <w:numPr>
          <w:ilvl w:val="0"/>
          <w:numId w:val="23"/>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i/>
          <w:iCs/>
          <w:lang w:val="fr-FR"/>
        </w:rPr>
        <w:t>Prie</w:t>
      </w:r>
      <w:r w:rsidRPr="002A2EA6">
        <w:rPr>
          <w:lang w:val="fr-FR"/>
        </w:rPr>
        <w:t xml:space="preserve"> la Secrétaire exécutive :</w:t>
      </w:r>
    </w:p>
    <w:p w14:paraId="4424C3BE" w14:textId="698AF1E5" w:rsidR="002A2EA6" w:rsidRPr="002A2EA6" w:rsidRDefault="002A2EA6" w:rsidP="002A2EA6">
      <w:pPr>
        <w:pStyle w:val="Normal-pool"/>
        <w:numPr>
          <w:ilvl w:val="0"/>
          <w:numId w:val="24"/>
        </w:numPr>
        <w:tabs>
          <w:tab w:val="clear" w:pos="1247"/>
          <w:tab w:val="clear" w:pos="1814"/>
          <w:tab w:val="clear" w:pos="2381"/>
          <w:tab w:val="clear" w:pos="2948"/>
          <w:tab w:val="clear" w:pos="3515"/>
          <w:tab w:val="clear" w:pos="4082"/>
          <w:tab w:val="left" w:pos="624"/>
          <w:tab w:val="left" w:pos="2410"/>
        </w:tabs>
        <w:spacing w:after="120"/>
        <w:ind w:left="1247" w:firstLine="624"/>
        <w:rPr>
          <w:lang w:val="fr-FR"/>
        </w:rPr>
      </w:pPr>
      <w:r w:rsidRPr="002A2EA6">
        <w:rPr>
          <w:lang w:val="fr-FR"/>
        </w:rPr>
        <w:t>De créer, avec le Secrétariat des conventions de Bâle, de Rotterdam et de Stockholm et sous la direction générale de l</w:t>
      </w:r>
      <w:r w:rsidR="00CA4DAC">
        <w:rPr>
          <w:lang w:val="fr-FR"/>
        </w:rPr>
        <w:t>’</w:t>
      </w:r>
      <w:r w:rsidRPr="002A2EA6">
        <w:rPr>
          <w:lang w:val="fr-FR"/>
        </w:rPr>
        <w:t>équipe spéciale, des groupes de travail intersecrétariats, selon qu</w:t>
      </w:r>
      <w:r w:rsidR="00CA4DAC">
        <w:rPr>
          <w:lang w:val="fr-FR"/>
        </w:rPr>
        <w:t>’</w:t>
      </w:r>
      <w:r w:rsidRPr="002A2EA6">
        <w:rPr>
          <w:lang w:val="fr-FR"/>
        </w:rPr>
        <w:t>il</w:t>
      </w:r>
      <w:r w:rsidR="00077F8F">
        <w:rPr>
          <w:lang w:val="fr-FR"/>
        </w:rPr>
        <w:t> </w:t>
      </w:r>
      <w:r w:rsidRPr="002A2EA6">
        <w:rPr>
          <w:lang w:val="fr-FR"/>
        </w:rPr>
        <w:t>conviendra, aux fins de la coopération sur les questions administratives, programmatiques, techniques et d</w:t>
      </w:r>
      <w:r w:rsidR="00CA4DAC">
        <w:rPr>
          <w:lang w:val="fr-FR"/>
        </w:rPr>
        <w:t>’</w:t>
      </w:r>
      <w:r w:rsidRPr="002A2EA6">
        <w:rPr>
          <w:lang w:val="fr-FR"/>
        </w:rPr>
        <w:t>assistance technique pertinentes, conformément au programme de travail et budget ;</w:t>
      </w:r>
    </w:p>
    <w:p w14:paraId="517616C1" w14:textId="2819E9C5" w:rsidR="002A2EA6" w:rsidRPr="002A2EA6" w:rsidRDefault="002A2EA6" w:rsidP="002A2EA6">
      <w:pPr>
        <w:pStyle w:val="Normal-pool"/>
        <w:numPr>
          <w:ilvl w:val="0"/>
          <w:numId w:val="24"/>
        </w:numPr>
        <w:tabs>
          <w:tab w:val="clear" w:pos="1247"/>
          <w:tab w:val="clear" w:pos="1814"/>
          <w:tab w:val="clear" w:pos="2381"/>
          <w:tab w:val="clear" w:pos="2948"/>
          <w:tab w:val="clear" w:pos="3515"/>
          <w:tab w:val="clear" w:pos="4082"/>
          <w:tab w:val="left" w:pos="624"/>
          <w:tab w:val="left" w:pos="2410"/>
        </w:tabs>
        <w:spacing w:after="120"/>
        <w:ind w:left="1247" w:firstLine="624"/>
        <w:rPr>
          <w:rFonts w:cstheme="majorBidi"/>
          <w:lang w:val="fr-FR"/>
        </w:rPr>
      </w:pPr>
      <w:r w:rsidRPr="002A2EA6">
        <w:rPr>
          <w:lang w:val="fr-FR"/>
        </w:rPr>
        <w:t>De poursuivre l</w:t>
      </w:r>
      <w:r w:rsidR="00CA4DAC">
        <w:rPr>
          <w:lang w:val="fr-FR"/>
        </w:rPr>
        <w:t>’</w:t>
      </w:r>
      <w:r w:rsidRPr="002A2EA6">
        <w:rPr>
          <w:lang w:val="fr-FR"/>
        </w:rPr>
        <w:t>application du partage de services et l</w:t>
      </w:r>
      <w:r w:rsidR="00CA4DAC">
        <w:rPr>
          <w:lang w:val="fr-FR"/>
        </w:rPr>
        <w:t>’</w:t>
      </w:r>
      <w:r w:rsidRPr="002A2EA6">
        <w:rPr>
          <w:lang w:val="fr-FR"/>
        </w:rPr>
        <w:t>achat de services pertinents auprès du Secrétariat des conventions de Bâle, de Rotterdam et de Stockholm, sur la base d</w:t>
      </w:r>
      <w:r w:rsidR="00CA4DAC">
        <w:rPr>
          <w:lang w:val="fr-FR"/>
        </w:rPr>
        <w:t>’</w:t>
      </w:r>
      <w:r w:rsidRPr="002A2EA6">
        <w:rPr>
          <w:lang w:val="fr-FR"/>
        </w:rPr>
        <w:t>un</w:t>
      </w:r>
      <w:r w:rsidR="00077F8F">
        <w:rPr>
          <w:lang w:val="fr-FR"/>
        </w:rPr>
        <w:t> </w:t>
      </w:r>
      <w:r w:rsidRPr="002A2EA6">
        <w:rPr>
          <w:lang w:val="fr-FR"/>
        </w:rPr>
        <w:t>recouvrement des coûts, selon qu</w:t>
      </w:r>
      <w:r w:rsidR="00CA4DAC">
        <w:rPr>
          <w:lang w:val="fr-FR"/>
        </w:rPr>
        <w:t>’</w:t>
      </w:r>
      <w:r w:rsidRPr="002A2EA6">
        <w:rPr>
          <w:lang w:val="fr-FR"/>
        </w:rPr>
        <w:t>il conviendra et conformément au programme de travail et au</w:t>
      </w:r>
      <w:r w:rsidR="002321A6">
        <w:rPr>
          <w:lang w:val="fr-FR"/>
        </w:rPr>
        <w:t> </w:t>
      </w:r>
      <w:r w:rsidRPr="002A2EA6">
        <w:rPr>
          <w:lang w:val="fr-FR"/>
        </w:rPr>
        <w:t>budget pour chaque exercice biennal ;</w:t>
      </w:r>
    </w:p>
    <w:p w14:paraId="3A53D5F0" w14:textId="797895A1" w:rsidR="002A2EA6" w:rsidRPr="002A2EA6" w:rsidRDefault="002A2EA6" w:rsidP="002A2EA6">
      <w:pPr>
        <w:pStyle w:val="Normal-pool"/>
        <w:keepNext/>
        <w:keepLines/>
        <w:numPr>
          <w:ilvl w:val="0"/>
          <w:numId w:val="24"/>
        </w:numPr>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lang w:val="fr-FR"/>
        </w:rPr>
      </w:pPr>
      <w:r w:rsidRPr="002A2EA6">
        <w:rPr>
          <w:lang w:val="fr-FR"/>
        </w:rPr>
        <w:lastRenderedPageBreak/>
        <w:t>De présenter un rapport sur l</w:t>
      </w:r>
      <w:r w:rsidR="00CA4DAC">
        <w:rPr>
          <w:lang w:val="fr-FR"/>
        </w:rPr>
        <w:t>’</w:t>
      </w:r>
      <w:r w:rsidRPr="002A2EA6">
        <w:rPr>
          <w:lang w:val="fr-FR"/>
        </w:rPr>
        <w:t>application de la présente décision, décrivant notamment un cadre stable de coopération et de partage des services et donnant un aperçu des activités de coopération prévues dans ce cadre pour la période 2022</w:t>
      </w:r>
      <w:r w:rsidRPr="002A2EA6">
        <w:rPr>
          <w:rFonts w:cstheme="majorBidi"/>
          <w:lang w:val="fr-FR"/>
        </w:rPr>
        <w:t>–</w:t>
      </w:r>
      <w:r w:rsidRPr="002A2EA6">
        <w:rPr>
          <w:lang w:val="fr-FR"/>
        </w:rPr>
        <w:t>2023, qu</w:t>
      </w:r>
      <w:r w:rsidR="00CA4DAC">
        <w:rPr>
          <w:lang w:val="fr-FR"/>
        </w:rPr>
        <w:t>’</w:t>
      </w:r>
      <w:r w:rsidRPr="002A2EA6">
        <w:rPr>
          <w:lang w:val="fr-FR"/>
        </w:rPr>
        <w:t>elle examinera à sa</w:t>
      </w:r>
      <w:r w:rsidR="00077F8F">
        <w:rPr>
          <w:lang w:val="fr-FR"/>
        </w:rPr>
        <w:t> </w:t>
      </w:r>
      <w:r w:rsidRPr="002A2EA6">
        <w:rPr>
          <w:lang w:val="fr-FR"/>
        </w:rPr>
        <w:t>quatrième</w:t>
      </w:r>
      <w:r w:rsidR="00077F8F">
        <w:rPr>
          <w:lang w:val="fr-FR"/>
        </w:rPr>
        <w:t> </w:t>
      </w:r>
      <w:r w:rsidRPr="002A2EA6">
        <w:rPr>
          <w:lang w:val="fr-FR"/>
        </w:rPr>
        <w:t>réunion et sur lequel elle donnera des orientations supplémentaires, au besoin.</w:t>
      </w:r>
      <w:r w:rsidRPr="002A2EA6">
        <w:rPr>
          <w:lang w:val="fr-FR"/>
        </w:rPr>
        <w:br w:type="page"/>
      </w:r>
    </w:p>
    <w:p w14:paraId="3D431A46" w14:textId="087FB2BE" w:rsidR="002A2EA6" w:rsidRPr="00DC511F" w:rsidRDefault="002A2EA6" w:rsidP="002A2EA6">
      <w:pPr>
        <w:pStyle w:val="CH2"/>
        <w:rPr>
          <w:sz w:val="28"/>
          <w:szCs w:val="28"/>
          <w:lang w:val="fr-FR"/>
        </w:rPr>
      </w:pPr>
      <w:r w:rsidRPr="00DC511F">
        <w:rPr>
          <w:sz w:val="28"/>
          <w:szCs w:val="28"/>
          <w:lang w:val="fr-FR"/>
        </w:rPr>
        <w:lastRenderedPageBreak/>
        <w:tab/>
      </w:r>
      <w:r w:rsidRPr="00DC511F">
        <w:rPr>
          <w:sz w:val="28"/>
          <w:szCs w:val="28"/>
          <w:lang w:val="fr-FR"/>
        </w:rPr>
        <w:tab/>
      </w:r>
      <w:bookmarkStart w:id="179" w:name="_Toc39063365"/>
      <w:r w:rsidRPr="00DC511F">
        <w:rPr>
          <w:sz w:val="28"/>
          <w:szCs w:val="28"/>
          <w:lang w:val="fr-FR"/>
        </w:rPr>
        <w:t>MC-3/12 : Programme de travail et budget de l</w:t>
      </w:r>
      <w:r w:rsidR="00CA4DAC">
        <w:rPr>
          <w:sz w:val="28"/>
          <w:szCs w:val="28"/>
          <w:lang w:val="fr-FR"/>
        </w:rPr>
        <w:t>’</w:t>
      </w:r>
      <w:r w:rsidRPr="00DC511F">
        <w:rPr>
          <w:sz w:val="28"/>
          <w:szCs w:val="28"/>
          <w:lang w:val="fr-FR"/>
        </w:rPr>
        <w:t>exercice biennal 2020–2021</w:t>
      </w:r>
      <w:bookmarkEnd w:id="179"/>
    </w:p>
    <w:p w14:paraId="5253D136" w14:textId="77777777" w:rsidR="002A2EA6" w:rsidRPr="002A2EA6" w:rsidRDefault="002A2EA6" w:rsidP="002A2EA6">
      <w:pPr>
        <w:pStyle w:val="NormalNonumber"/>
        <w:rPr>
          <w:lang w:val="fr-FR"/>
        </w:rPr>
      </w:pPr>
      <w:r w:rsidRPr="002A2EA6">
        <w:rPr>
          <w:i/>
          <w:lang w:val="fr-FR"/>
        </w:rPr>
        <w:tab/>
        <w:t>La Conférence des Parties</w:t>
      </w:r>
      <w:r w:rsidRPr="002A2EA6">
        <w:rPr>
          <w:lang w:val="fr-FR"/>
        </w:rPr>
        <w:t>,</w:t>
      </w:r>
    </w:p>
    <w:p w14:paraId="748DE007" w14:textId="60BED282" w:rsidR="002A2EA6" w:rsidRPr="002A2EA6" w:rsidRDefault="002A2EA6" w:rsidP="002A2EA6">
      <w:pPr>
        <w:pStyle w:val="NormalNonumber"/>
        <w:rPr>
          <w:lang w:val="fr-FR"/>
        </w:rPr>
      </w:pPr>
      <w:r w:rsidRPr="002A2EA6">
        <w:rPr>
          <w:i/>
          <w:iCs/>
          <w:lang w:val="fr-FR"/>
        </w:rPr>
        <w:tab/>
        <w:t xml:space="preserve">Rappelant </w:t>
      </w:r>
      <w:r w:rsidRPr="002A2EA6">
        <w:rPr>
          <w:lang w:val="fr-FR"/>
        </w:rPr>
        <w:t>sa décision MC-1/15, intitulée « Programme de travail du secrétariat et projet de budget pour l</w:t>
      </w:r>
      <w:r w:rsidR="00CA4DAC">
        <w:rPr>
          <w:lang w:val="fr-FR"/>
        </w:rPr>
        <w:t>’</w:t>
      </w:r>
      <w:r w:rsidRPr="002A2EA6">
        <w:rPr>
          <w:lang w:val="fr-FR"/>
        </w:rPr>
        <w:t>exercice biennal 2018–2019 »,</w:t>
      </w:r>
    </w:p>
    <w:p w14:paraId="01D85D77" w14:textId="77777777" w:rsidR="002A2EA6" w:rsidRPr="002A2EA6" w:rsidRDefault="002A2EA6" w:rsidP="002A2EA6">
      <w:pPr>
        <w:pStyle w:val="NormalNonumber"/>
        <w:rPr>
          <w:lang w:val="fr-FR"/>
        </w:rPr>
      </w:pPr>
      <w:r w:rsidRPr="002A2EA6">
        <w:rPr>
          <w:i/>
          <w:iCs/>
          <w:lang w:val="fr-FR"/>
        </w:rPr>
        <w:tab/>
        <w:t xml:space="preserve">Rappelant également </w:t>
      </w:r>
      <w:r w:rsidRPr="002A2EA6">
        <w:rPr>
          <w:lang w:val="fr-FR"/>
        </w:rPr>
        <w:t>sa décision MC-2/12, intitulée « Informations actualisées sur le budget pour 2019 »,</w:t>
      </w:r>
    </w:p>
    <w:p w14:paraId="64864784" w14:textId="51FE4D07" w:rsidR="002A2EA6" w:rsidRPr="002A2EA6" w:rsidRDefault="002A2EA6" w:rsidP="002A2EA6">
      <w:pPr>
        <w:pStyle w:val="NormalNonumber"/>
        <w:rPr>
          <w:i/>
          <w:iCs/>
          <w:lang w:val="fr-FR"/>
        </w:rPr>
      </w:pPr>
      <w:r w:rsidRPr="002A2EA6">
        <w:rPr>
          <w:i/>
          <w:iCs/>
          <w:lang w:val="fr-FR"/>
        </w:rPr>
        <w:tab/>
        <w:t>Se félicitant</w:t>
      </w:r>
      <w:r w:rsidRPr="002A2EA6">
        <w:rPr>
          <w:lang w:val="fr-FR"/>
        </w:rPr>
        <w:t xml:space="preserve"> des efforts déployés par la Directrice exécutive du Programme des Nations Unies pour l</w:t>
      </w:r>
      <w:r w:rsidR="00CA4DAC">
        <w:rPr>
          <w:lang w:val="fr-FR"/>
        </w:rPr>
        <w:t>’</w:t>
      </w:r>
      <w:r w:rsidRPr="002A2EA6">
        <w:rPr>
          <w:lang w:val="fr-FR"/>
        </w:rPr>
        <w:t>environnement pour proposer, ainsi qu</w:t>
      </w:r>
      <w:r w:rsidR="00CA4DAC">
        <w:rPr>
          <w:lang w:val="fr-FR"/>
        </w:rPr>
        <w:t>’</w:t>
      </w:r>
      <w:r w:rsidRPr="002A2EA6">
        <w:rPr>
          <w:lang w:val="fr-FR"/>
        </w:rPr>
        <w:t>elle en avait été priée au paragraphe 1 de la</w:t>
      </w:r>
      <w:r w:rsidR="002321A6">
        <w:rPr>
          <w:lang w:val="fr-FR"/>
        </w:rPr>
        <w:t> </w:t>
      </w:r>
      <w:r w:rsidRPr="002A2EA6">
        <w:rPr>
          <w:lang w:val="fr-FR"/>
        </w:rPr>
        <w:t>décision MC-2/7, des moyens d</w:t>
      </w:r>
      <w:r w:rsidR="00CA4DAC">
        <w:rPr>
          <w:lang w:val="fr-FR"/>
        </w:rPr>
        <w:t>’</w:t>
      </w:r>
      <w:r w:rsidRPr="002A2EA6">
        <w:rPr>
          <w:lang w:val="fr-FR"/>
        </w:rPr>
        <w:t>utiliser les ressources de la Convention de Minamata de la manière la plus rationnelle possible,</w:t>
      </w:r>
    </w:p>
    <w:p w14:paraId="0E727005" w14:textId="10D16DB3" w:rsidR="002A2EA6" w:rsidRPr="002A2EA6" w:rsidRDefault="002A2EA6" w:rsidP="002A2EA6">
      <w:pPr>
        <w:pStyle w:val="NormalNonumber"/>
        <w:rPr>
          <w:lang w:val="fr-FR"/>
        </w:rPr>
      </w:pPr>
      <w:r w:rsidRPr="002A2EA6">
        <w:rPr>
          <w:i/>
          <w:iCs/>
          <w:lang w:val="fr-FR"/>
        </w:rPr>
        <w:tab/>
        <w:t xml:space="preserve">Se félicitant également </w:t>
      </w:r>
      <w:r w:rsidRPr="002A2EA6">
        <w:rPr>
          <w:lang w:val="fr-FR"/>
        </w:rPr>
        <w:t>de la contribution annuelle de la Suisse, qui accueille le secrétariat, d</w:t>
      </w:r>
      <w:r w:rsidR="00CA4DAC">
        <w:rPr>
          <w:lang w:val="fr-FR"/>
        </w:rPr>
        <w:t>’</w:t>
      </w:r>
      <w:r w:rsidRPr="002A2EA6">
        <w:rPr>
          <w:lang w:val="fr-FR"/>
        </w:rPr>
        <w:t>un montant d</w:t>
      </w:r>
      <w:r w:rsidR="00CA4DAC">
        <w:rPr>
          <w:lang w:val="fr-FR"/>
        </w:rPr>
        <w:t>’</w:t>
      </w:r>
      <w:r w:rsidRPr="002A2EA6">
        <w:rPr>
          <w:lang w:val="fr-FR"/>
        </w:rPr>
        <w:t>un million de francs suisses, qui est réparti à raison de 60 % au Fonds général d</w:t>
      </w:r>
      <w:r w:rsidR="00CA4DAC">
        <w:rPr>
          <w:lang w:val="fr-FR"/>
        </w:rPr>
        <w:t>’</w:t>
      </w:r>
      <w:r w:rsidRPr="002A2EA6">
        <w:rPr>
          <w:lang w:val="fr-FR"/>
        </w:rPr>
        <w:t>affectation spéciale et de 40 % au Fonds d</w:t>
      </w:r>
      <w:r w:rsidR="00CA4DAC">
        <w:rPr>
          <w:lang w:val="fr-FR"/>
        </w:rPr>
        <w:t>’</w:t>
      </w:r>
      <w:r w:rsidRPr="002A2EA6">
        <w:rPr>
          <w:lang w:val="fr-FR"/>
        </w:rPr>
        <w:t>affectation spéciale à des fins déterminées et qui doit servir en priorité à faciliter la participation de représentants de pays en développement à ses réunions,</w:t>
      </w:r>
    </w:p>
    <w:p w14:paraId="57402ADC" w14:textId="7D30138C" w:rsidR="002A2EA6" w:rsidRPr="002A2EA6" w:rsidRDefault="002A2EA6" w:rsidP="002A2EA6">
      <w:pPr>
        <w:pStyle w:val="NormalNonumber"/>
        <w:rPr>
          <w:lang w:val="fr-FR"/>
        </w:rPr>
      </w:pPr>
      <w:r w:rsidRPr="002A2EA6">
        <w:rPr>
          <w:i/>
          <w:iCs/>
          <w:lang w:val="fr-FR"/>
        </w:rPr>
        <w:tab/>
        <w:t>Prenant note</w:t>
      </w:r>
      <w:r w:rsidRPr="002A2EA6">
        <w:rPr>
          <w:lang w:val="fr-FR"/>
        </w:rPr>
        <w:t xml:space="preserve"> des contributions au Fonds général d</w:t>
      </w:r>
      <w:r w:rsidR="00CA4DAC">
        <w:rPr>
          <w:lang w:val="fr-FR"/>
        </w:rPr>
        <w:t>’</w:t>
      </w:r>
      <w:r w:rsidRPr="002A2EA6">
        <w:rPr>
          <w:lang w:val="fr-FR"/>
        </w:rPr>
        <w:t>affectation spéciale versées par les Parties,</w:t>
      </w:r>
    </w:p>
    <w:p w14:paraId="53B918DB" w14:textId="75DCE3A9" w:rsidR="002A2EA6" w:rsidRPr="002A2EA6" w:rsidRDefault="002A2EA6" w:rsidP="002A2EA6">
      <w:pPr>
        <w:pStyle w:val="NormalNonumber"/>
        <w:rPr>
          <w:lang w:val="fr-FR"/>
        </w:rPr>
      </w:pPr>
      <w:r w:rsidRPr="002A2EA6">
        <w:rPr>
          <w:i/>
          <w:iCs/>
          <w:lang w:val="fr-FR"/>
        </w:rPr>
        <w:tab/>
        <w:t xml:space="preserve">Rappelant </w:t>
      </w:r>
      <w:r w:rsidRPr="002A2EA6">
        <w:rPr>
          <w:lang w:val="fr-FR"/>
        </w:rPr>
        <w:t>que le montant total de la réserve de trésorerie de la Convention dans le Fonds général d</w:t>
      </w:r>
      <w:r w:rsidR="00CA4DAC">
        <w:rPr>
          <w:lang w:val="fr-FR"/>
        </w:rPr>
        <w:t>’</w:t>
      </w:r>
      <w:r w:rsidRPr="002A2EA6">
        <w:rPr>
          <w:lang w:val="fr-FR"/>
        </w:rPr>
        <w:t>affectation spéciale a été constitué en 2018 et réaffirmant que la réserve de trésorerie est maintenue à 15 % du budget annuel,</w:t>
      </w:r>
    </w:p>
    <w:p w14:paraId="7EFB68B7" w14:textId="758ACA09" w:rsidR="002A2EA6" w:rsidRPr="002A2EA6" w:rsidRDefault="002A2EA6" w:rsidP="002A2EA6">
      <w:pPr>
        <w:pStyle w:val="NormalNonumber"/>
        <w:rPr>
          <w:lang w:val="fr-FR"/>
        </w:rPr>
      </w:pPr>
      <w:r w:rsidRPr="002A2EA6">
        <w:rPr>
          <w:i/>
          <w:iCs/>
          <w:lang w:val="fr-FR"/>
        </w:rPr>
        <w:tab/>
        <w:t>Constatant avec satisfaction</w:t>
      </w:r>
      <w:r w:rsidRPr="002A2EA6">
        <w:rPr>
          <w:lang w:val="fr-FR"/>
        </w:rPr>
        <w:t xml:space="preserve"> les contributions et les annonces de contributions au Fonds d</w:t>
      </w:r>
      <w:r w:rsidR="00CA4DAC">
        <w:rPr>
          <w:lang w:val="fr-FR"/>
        </w:rPr>
        <w:t>’</w:t>
      </w:r>
      <w:r w:rsidRPr="002A2EA6">
        <w:rPr>
          <w:lang w:val="fr-FR"/>
        </w:rPr>
        <w:t>affectation spéciale à des fins déterminées faites par l</w:t>
      </w:r>
      <w:r w:rsidR="00CA4DAC">
        <w:rPr>
          <w:lang w:val="fr-FR"/>
        </w:rPr>
        <w:t>’</w:t>
      </w:r>
      <w:r w:rsidRPr="002A2EA6">
        <w:rPr>
          <w:lang w:val="fr-FR"/>
        </w:rPr>
        <w:t>Autriche, la Finlande, la France, le Japon, la Norvège, les Philippines, la Suède, la Suisse et l</w:t>
      </w:r>
      <w:r w:rsidR="00CA4DAC">
        <w:rPr>
          <w:lang w:val="fr-FR"/>
        </w:rPr>
        <w:t>’</w:t>
      </w:r>
      <w:r w:rsidRPr="002A2EA6">
        <w:rPr>
          <w:lang w:val="fr-FR"/>
        </w:rPr>
        <w:t>Union européenne au cours de l</w:t>
      </w:r>
      <w:r w:rsidR="00CA4DAC">
        <w:rPr>
          <w:lang w:val="fr-FR"/>
        </w:rPr>
        <w:t>’</w:t>
      </w:r>
      <w:r w:rsidRPr="002A2EA6">
        <w:rPr>
          <w:lang w:val="fr-FR"/>
        </w:rPr>
        <w:t>exercice biennal 2018–2019,</w:t>
      </w:r>
    </w:p>
    <w:p w14:paraId="0DED288C" w14:textId="1C672449" w:rsidR="002A2EA6" w:rsidRPr="002A2EA6" w:rsidRDefault="002A2EA6" w:rsidP="002A2EA6">
      <w:pPr>
        <w:pStyle w:val="NormalNonumber"/>
        <w:rPr>
          <w:lang w:val="fr-FR"/>
        </w:rPr>
      </w:pPr>
      <w:r w:rsidRPr="002A2EA6">
        <w:rPr>
          <w:i/>
          <w:iCs/>
          <w:lang w:val="fr-FR"/>
        </w:rPr>
        <w:tab/>
        <w:t>Constatant également avec satisfaction</w:t>
      </w:r>
      <w:r w:rsidRPr="002A2EA6">
        <w:rPr>
          <w:lang w:val="fr-FR"/>
        </w:rPr>
        <w:t xml:space="preserve"> les contributions et les annonces de contributions au Fonds d</w:t>
      </w:r>
      <w:r w:rsidR="00CA4DAC">
        <w:rPr>
          <w:lang w:val="fr-FR"/>
        </w:rPr>
        <w:t>’</w:t>
      </w:r>
      <w:r w:rsidRPr="002A2EA6">
        <w:rPr>
          <w:lang w:val="fr-FR"/>
        </w:rPr>
        <w:t>affectation spéciale particulier faites par l</w:t>
      </w:r>
      <w:r w:rsidR="00CA4DAC">
        <w:rPr>
          <w:lang w:val="fr-FR"/>
        </w:rPr>
        <w:t>’</w:t>
      </w:r>
      <w:r w:rsidRPr="002A2EA6">
        <w:rPr>
          <w:lang w:val="fr-FR"/>
        </w:rPr>
        <w:t>Allemagne, l</w:t>
      </w:r>
      <w:r w:rsidR="00CA4DAC">
        <w:rPr>
          <w:lang w:val="fr-FR"/>
        </w:rPr>
        <w:t>’</w:t>
      </w:r>
      <w:r w:rsidRPr="002A2EA6">
        <w:rPr>
          <w:lang w:val="fr-FR"/>
        </w:rPr>
        <w:t>Autriche, le Danemark, les États-Unis d</w:t>
      </w:r>
      <w:r w:rsidR="00CA4DAC">
        <w:rPr>
          <w:lang w:val="fr-FR"/>
        </w:rPr>
        <w:t>’</w:t>
      </w:r>
      <w:r w:rsidRPr="002A2EA6">
        <w:rPr>
          <w:lang w:val="fr-FR"/>
        </w:rPr>
        <w:t>Amérique, la Norvège, les Pays-Bas, le Royaume-Uni de Grande-Bretagne et d</w:t>
      </w:r>
      <w:r w:rsidR="00CA4DAC">
        <w:rPr>
          <w:lang w:val="fr-FR"/>
        </w:rPr>
        <w:t>’</w:t>
      </w:r>
      <w:r w:rsidRPr="002A2EA6">
        <w:rPr>
          <w:lang w:val="fr-FR"/>
        </w:rPr>
        <w:t>Irlande du Nord, la</w:t>
      </w:r>
      <w:r w:rsidR="002321A6">
        <w:rPr>
          <w:lang w:val="fr-FR"/>
        </w:rPr>
        <w:t> </w:t>
      </w:r>
      <w:r w:rsidRPr="002A2EA6">
        <w:rPr>
          <w:lang w:val="fr-FR"/>
        </w:rPr>
        <w:t>Suède et la Suisse au cours de l</w:t>
      </w:r>
      <w:r w:rsidR="00CA4DAC">
        <w:rPr>
          <w:lang w:val="fr-FR"/>
        </w:rPr>
        <w:t>’</w:t>
      </w:r>
      <w:r w:rsidRPr="002A2EA6">
        <w:rPr>
          <w:lang w:val="fr-FR"/>
        </w:rPr>
        <w:t>exercice biennal 2018–2019,</w:t>
      </w:r>
    </w:p>
    <w:p w14:paraId="5E394445" w14:textId="2175D9E6" w:rsidR="002A2EA6" w:rsidRPr="002A2EA6" w:rsidRDefault="002A2EA6" w:rsidP="002A2EA6">
      <w:pPr>
        <w:pStyle w:val="NormalNonumber"/>
        <w:rPr>
          <w:i/>
          <w:iCs/>
          <w:lang w:val="fr-FR"/>
        </w:rPr>
      </w:pPr>
      <w:r w:rsidRPr="002A2EA6">
        <w:rPr>
          <w:i/>
          <w:iCs/>
          <w:lang w:val="fr-FR"/>
        </w:rPr>
        <w:tab/>
        <w:t xml:space="preserve">Rappelant </w:t>
      </w:r>
      <w:r w:rsidRPr="002A2EA6">
        <w:rPr>
          <w:lang w:val="fr-FR"/>
        </w:rPr>
        <w:t>qu</w:t>
      </w:r>
      <w:r w:rsidR="00CA4DAC">
        <w:rPr>
          <w:lang w:val="fr-FR"/>
        </w:rPr>
        <w:t>’</w:t>
      </w:r>
      <w:r w:rsidRPr="002A2EA6">
        <w:rPr>
          <w:lang w:val="fr-FR"/>
        </w:rPr>
        <w:t>elle a prié la Secrétaire exécutive d</w:t>
      </w:r>
      <w:r w:rsidR="00CA4DAC">
        <w:rPr>
          <w:lang w:val="fr-FR"/>
        </w:rPr>
        <w:t>’</w:t>
      </w:r>
      <w:r w:rsidRPr="002A2EA6">
        <w:rPr>
          <w:lang w:val="fr-FR"/>
        </w:rPr>
        <w:t>établir le budget de l</w:t>
      </w:r>
      <w:r w:rsidR="00CA4DAC">
        <w:rPr>
          <w:lang w:val="fr-FR"/>
        </w:rPr>
        <w:t>’</w:t>
      </w:r>
      <w:r w:rsidRPr="002A2EA6">
        <w:rPr>
          <w:lang w:val="fr-FR"/>
        </w:rPr>
        <w:t xml:space="preserve">exercice </w:t>
      </w:r>
      <w:r w:rsidR="00754D43">
        <w:rPr>
          <w:lang w:val="fr-FR"/>
        </w:rPr>
        <w:br/>
      </w:r>
      <w:r w:rsidRPr="002A2EA6">
        <w:rPr>
          <w:lang w:val="fr-FR"/>
        </w:rPr>
        <w:t>biennal </w:t>
      </w:r>
      <w:r w:rsidR="00F20074">
        <w:rPr>
          <w:lang w:val="fr-FR"/>
        </w:rPr>
        <w:t>2020–2021</w:t>
      </w:r>
      <w:r w:rsidRPr="002A2EA6">
        <w:rPr>
          <w:lang w:val="fr-FR"/>
        </w:rPr>
        <w:t>, qu</w:t>
      </w:r>
      <w:r w:rsidR="00CA4DAC">
        <w:rPr>
          <w:lang w:val="fr-FR"/>
        </w:rPr>
        <w:t>’</w:t>
      </w:r>
      <w:r w:rsidRPr="002A2EA6">
        <w:rPr>
          <w:lang w:val="fr-FR"/>
        </w:rPr>
        <w:t>elle devait examiner à sa troisième réunion en 2019, en expliquant les</w:t>
      </w:r>
      <w:r w:rsidR="00754D43">
        <w:rPr>
          <w:lang w:val="fr-FR"/>
        </w:rPr>
        <w:t> </w:t>
      </w:r>
      <w:r w:rsidRPr="002A2EA6">
        <w:rPr>
          <w:lang w:val="fr-FR"/>
        </w:rPr>
        <w:t>principes fondamentaux, les hypothèses et la stratégie de programmation sur lesquels repose ce</w:t>
      </w:r>
      <w:r w:rsidR="00754D43">
        <w:rPr>
          <w:lang w:val="fr-FR"/>
        </w:rPr>
        <w:t> </w:t>
      </w:r>
      <w:r w:rsidRPr="002A2EA6">
        <w:rPr>
          <w:lang w:val="fr-FR"/>
        </w:rPr>
        <w:t>budget et en présentant les dépenses pour cet exercice biennal par programme et par activité inscrite au budget, chaque activité étant accompagnée d</w:t>
      </w:r>
      <w:r w:rsidR="00CA4DAC">
        <w:rPr>
          <w:lang w:val="fr-FR"/>
        </w:rPr>
        <w:t>’</w:t>
      </w:r>
      <w:r w:rsidRPr="002A2EA6">
        <w:rPr>
          <w:lang w:val="fr-FR"/>
        </w:rPr>
        <w:t>une fiche d</w:t>
      </w:r>
      <w:r w:rsidR="00CA4DAC">
        <w:rPr>
          <w:lang w:val="fr-FR"/>
        </w:rPr>
        <w:t>’</w:t>
      </w:r>
      <w:r w:rsidRPr="002A2EA6">
        <w:rPr>
          <w:lang w:val="fr-FR"/>
        </w:rPr>
        <w:t>information,</w:t>
      </w:r>
    </w:p>
    <w:p w14:paraId="55FCFADC" w14:textId="49872D17" w:rsidR="002A2EA6" w:rsidRPr="002A2EA6" w:rsidRDefault="002A2EA6" w:rsidP="002A2EA6">
      <w:pPr>
        <w:pStyle w:val="NormalNonumber"/>
        <w:rPr>
          <w:i/>
          <w:iCs/>
          <w:lang w:val="fr-FR"/>
        </w:rPr>
      </w:pPr>
      <w:r w:rsidRPr="002A2EA6">
        <w:rPr>
          <w:i/>
          <w:iCs/>
          <w:lang w:val="fr-FR"/>
        </w:rPr>
        <w:tab/>
        <w:t xml:space="preserve">Rappelant également </w:t>
      </w:r>
      <w:r w:rsidRPr="002A2EA6">
        <w:rPr>
          <w:lang w:val="fr-FR"/>
        </w:rPr>
        <w:t>qu</w:t>
      </w:r>
      <w:r w:rsidR="00CA4DAC">
        <w:rPr>
          <w:lang w:val="fr-FR"/>
        </w:rPr>
        <w:t>’</w:t>
      </w:r>
      <w:r w:rsidRPr="002A2EA6">
        <w:rPr>
          <w:lang w:val="fr-FR"/>
        </w:rPr>
        <w:t>elle a prié la Secrétaire exécutive, dans le cadre de l</w:t>
      </w:r>
      <w:r w:rsidR="00CA4DAC">
        <w:rPr>
          <w:lang w:val="fr-FR"/>
        </w:rPr>
        <w:t>’</w:t>
      </w:r>
      <w:r w:rsidRPr="002A2EA6">
        <w:rPr>
          <w:lang w:val="fr-FR"/>
        </w:rPr>
        <w:t>établissement du budget et du programme de travail de l</w:t>
      </w:r>
      <w:r w:rsidR="00CA4DAC">
        <w:rPr>
          <w:lang w:val="fr-FR"/>
        </w:rPr>
        <w:t>’</w:t>
      </w:r>
      <w:r w:rsidRPr="002A2EA6">
        <w:rPr>
          <w:lang w:val="fr-FR"/>
        </w:rPr>
        <w:t>exercice biennal 2020–2021, de présenter deux scénarios</w:t>
      </w:r>
      <w:r w:rsidR="00754D43">
        <w:rPr>
          <w:lang w:val="fr-FR"/>
        </w:rPr>
        <w:t> </w:t>
      </w:r>
      <w:r w:rsidRPr="002A2EA6">
        <w:rPr>
          <w:lang w:val="fr-FR"/>
        </w:rPr>
        <w:t>dont :</w:t>
      </w:r>
    </w:p>
    <w:p w14:paraId="6530A40F" w14:textId="77777777" w:rsidR="002A2EA6" w:rsidRPr="002A2EA6" w:rsidRDefault="002A2EA6" w:rsidP="002A2EA6">
      <w:pPr>
        <w:pStyle w:val="NormalNonumber"/>
        <w:rPr>
          <w:lang w:val="fr-FR"/>
        </w:rPr>
      </w:pPr>
      <w:r w:rsidRPr="002A2EA6">
        <w:rPr>
          <w:lang w:val="fr-FR"/>
        </w:rPr>
        <w:tab/>
        <w:t>a)</w:t>
      </w:r>
      <w:r w:rsidRPr="002A2EA6">
        <w:rPr>
          <w:lang w:val="fr-FR"/>
        </w:rPr>
        <w:tab/>
        <w:t>Un présentant le budget opérationnel maintenu à son niveau de 2019 en valeur nominale ;</w:t>
      </w:r>
    </w:p>
    <w:p w14:paraId="1612C0FF" w14:textId="782CE39B" w:rsidR="002A2EA6" w:rsidRPr="002A2EA6" w:rsidRDefault="002A2EA6" w:rsidP="002A2EA6">
      <w:pPr>
        <w:pStyle w:val="NormalNonumber"/>
        <w:rPr>
          <w:lang w:val="fr-FR"/>
        </w:rPr>
      </w:pPr>
      <w:r w:rsidRPr="002A2EA6">
        <w:rPr>
          <w:lang w:val="fr-FR"/>
        </w:rPr>
        <w:tab/>
        <w:t>b)</w:t>
      </w:r>
      <w:r w:rsidRPr="002A2EA6">
        <w:rPr>
          <w:lang w:val="fr-FR"/>
        </w:rPr>
        <w:tab/>
        <w:t>Un faisant apparaître les changements qu</w:t>
      </w:r>
      <w:r w:rsidR="00CA4DAC">
        <w:rPr>
          <w:lang w:val="fr-FR"/>
        </w:rPr>
        <w:t>’</w:t>
      </w:r>
      <w:r w:rsidRPr="002A2EA6">
        <w:rPr>
          <w:lang w:val="fr-FR"/>
        </w:rPr>
        <w:t>il faudrait apporter au scénario visé ci-dessus pour répondre aux besoins prévus ainsi que les coûts ou économies correspondants ;</w:t>
      </w:r>
    </w:p>
    <w:p w14:paraId="6882BF8A" w14:textId="3BA534AB" w:rsidR="002A2EA6" w:rsidRPr="002A2EA6" w:rsidRDefault="002A2EA6" w:rsidP="002A2EA6">
      <w:pPr>
        <w:pStyle w:val="NormalNonumber"/>
        <w:rPr>
          <w:lang w:val="fr-FR"/>
        </w:rPr>
      </w:pPr>
      <w:r w:rsidRPr="002A2EA6">
        <w:rPr>
          <w:i/>
          <w:iCs/>
          <w:lang w:val="fr-FR"/>
        </w:rPr>
        <w:tab/>
        <w:t>Rappelant en outre</w:t>
      </w:r>
      <w:r w:rsidRPr="002A2EA6">
        <w:rPr>
          <w:lang w:val="fr-FR"/>
        </w:rPr>
        <w:t xml:space="preserve"> qu</w:t>
      </w:r>
      <w:r w:rsidR="00CA4DAC">
        <w:rPr>
          <w:lang w:val="fr-FR"/>
        </w:rPr>
        <w:t>’</w:t>
      </w:r>
      <w:r w:rsidRPr="002A2EA6">
        <w:rPr>
          <w:lang w:val="fr-FR"/>
        </w:rPr>
        <w:t>elle a prié la Secrétaire exécutive de tenir compte de la proposition de modalités permanentes de partage de certains services présentée par la Directrice exécutive du Programme des Nations Unies pour l</w:t>
      </w:r>
      <w:r w:rsidR="00CA4DAC">
        <w:rPr>
          <w:lang w:val="fr-FR"/>
        </w:rPr>
        <w:t>’</w:t>
      </w:r>
      <w:r w:rsidRPr="002A2EA6">
        <w:rPr>
          <w:lang w:val="fr-FR"/>
        </w:rPr>
        <w:t>environnement, y compris les différents options, lors de l</w:t>
      </w:r>
      <w:r w:rsidR="00CA4DAC">
        <w:rPr>
          <w:lang w:val="fr-FR"/>
        </w:rPr>
        <w:t>’</w:t>
      </w:r>
      <w:r w:rsidRPr="002A2EA6">
        <w:rPr>
          <w:lang w:val="fr-FR"/>
        </w:rPr>
        <w:t>élaboration du programme de travail et du budget de l</w:t>
      </w:r>
      <w:r w:rsidR="00CA4DAC">
        <w:rPr>
          <w:lang w:val="fr-FR"/>
        </w:rPr>
        <w:t>’</w:t>
      </w:r>
      <w:r w:rsidRPr="002A2EA6">
        <w:rPr>
          <w:lang w:val="fr-FR"/>
        </w:rPr>
        <w:t>exercice biennal 2020–2021, conformément au paragraphe 2 de la décision MC-2/7,</w:t>
      </w:r>
    </w:p>
    <w:p w14:paraId="7AFB0737" w14:textId="7F4C1100" w:rsidR="002A2EA6" w:rsidRPr="002A2EA6" w:rsidRDefault="00214D00" w:rsidP="002321A6">
      <w:pPr>
        <w:pStyle w:val="NormalNonumber"/>
        <w:rPr>
          <w:rFonts w:eastAsia="SimSun"/>
        </w:rPr>
      </w:pPr>
      <w:r w:rsidRPr="00214D00">
        <w:rPr>
          <w:iCs/>
        </w:rPr>
        <w:tab/>
        <w:t>1.</w:t>
      </w:r>
      <w:r w:rsidR="002321A6">
        <w:rPr>
          <w:i/>
          <w:iCs/>
        </w:rPr>
        <w:tab/>
      </w:r>
      <w:r w:rsidR="002A2EA6" w:rsidRPr="002A2EA6">
        <w:rPr>
          <w:i/>
          <w:iCs/>
        </w:rPr>
        <w:t>Invite</w:t>
      </w:r>
      <w:r w:rsidR="002A2EA6" w:rsidRPr="002A2EA6">
        <w:t xml:space="preserve"> les Parties et autres parties prenantes en mesure de le faire à apporter une contribution en</w:t>
      </w:r>
      <w:r w:rsidR="002321A6">
        <w:t> </w:t>
      </w:r>
      <w:r w:rsidR="002A2EA6" w:rsidRPr="002A2EA6">
        <w:t>nature, sous la forme d</w:t>
      </w:r>
      <w:r w:rsidR="00CA4DAC">
        <w:t>’</w:t>
      </w:r>
      <w:r w:rsidR="002A2EA6" w:rsidRPr="002A2EA6">
        <w:t>un détachement ou d</w:t>
      </w:r>
      <w:r w:rsidR="00CA4DAC">
        <w:t>’</w:t>
      </w:r>
      <w:r w:rsidR="002A2EA6" w:rsidRPr="002A2EA6">
        <w:t>un administrateur auxiliaire, pour faciliter le</w:t>
      </w:r>
      <w:r w:rsidR="002321A6">
        <w:t> </w:t>
      </w:r>
      <w:r w:rsidR="002A2EA6" w:rsidRPr="002A2EA6">
        <w:t>fonctionnement du Programme international spécifique au cours de l</w:t>
      </w:r>
      <w:r w:rsidR="00CA4DAC">
        <w:t>’</w:t>
      </w:r>
      <w:r w:rsidR="002A2EA6" w:rsidRPr="002A2EA6">
        <w:t>exercice biennal 2020–2021 ;</w:t>
      </w:r>
    </w:p>
    <w:p w14:paraId="0B50D360" w14:textId="77777777" w:rsidR="002A2EA6" w:rsidRPr="002A2EA6" w:rsidRDefault="002A2EA6" w:rsidP="002A2EA6">
      <w:pPr>
        <w:pStyle w:val="CH2"/>
        <w:spacing w:before="240"/>
        <w:ind w:firstLine="0"/>
        <w:jc w:val="center"/>
        <w:rPr>
          <w:lang w:val="fr-FR"/>
        </w:rPr>
      </w:pPr>
      <w:bookmarkStart w:id="180" w:name="_Toc38526650"/>
      <w:bookmarkStart w:id="181" w:name="_Toc38526787"/>
      <w:bookmarkStart w:id="182" w:name="_Toc39063366"/>
      <w:r w:rsidRPr="002A2EA6">
        <w:rPr>
          <w:bCs/>
          <w:lang w:val="fr-FR"/>
        </w:rPr>
        <w:lastRenderedPageBreak/>
        <w:t>I</w:t>
      </w:r>
      <w:bookmarkEnd w:id="180"/>
      <w:bookmarkEnd w:id="181"/>
      <w:bookmarkEnd w:id="182"/>
    </w:p>
    <w:p w14:paraId="36C9D03C" w14:textId="24E92EAD" w:rsidR="002A2EA6" w:rsidRPr="002A2EA6" w:rsidRDefault="002A2EA6" w:rsidP="002A2EA6">
      <w:pPr>
        <w:pStyle w:val="CH2"/>
        <w:ind w:firstLine="0"/>
        <w:jc w:val="center"/>
        <w:rPr>
          <w:lang w:val="fr-FR"/>
        </w:rPr>
      </w:pPr>
      <w:bookmarkStart w:id="183" w:name="_Toc38526651"/>
      <w:bookmarkStart w:id="184" w:name="_Toc38526788"/>
      <w:bookmarkStart w:id="185" w:name="_Toc39063367"/>
      <w:r w:rsidRPr="002A2EA6">
        <w:rPr>
          <w:bCs/>
          <w:lang w:val="fr-FR"/>
        </w:rPr>
        <w:t>Fonds général d</w:t>
      </w:r>
      <w:r w:rsidR="00CA4DAC">
        <w:rPr>
          <w:bCs/>
          <w:lang w:val="fr-FR"/>
        </w:rPr>
        <w:t>’</w:t>
      </w:r>
      <w:r w:rsidRPr="002A2EA6">
        <w:rPr>
          <w:bCs/>
          <w:lang w:val="fr-FR"/>
        </w:rPr>
        <w:t>affectation spéciale pour la Convention de Minamata sur le mercure</w:t>
      </w:r>
      <w:bookmarkEnd w:id="183"/>
      <w:bookmarkEnd w:id="184"/>
      <w:bookmarkEnd w:id="185"/>
    </w:p>
    <w:p w14:paraId="774656C6" w14:textId="229C666C" w:rsidR="002A2EA6" w:rsidRPr="002A2EA6" w:rsidRDefault="002A2EA6" w:rsidP="002A2EA6">
      <w:pPr>
        <w:pStyle w:val="NormalNonumber"/>
        <w:rPr>
          <w:lang w:val="fr-FR"/>
        </w:rPr>
      </w:pPr>
      <w:r w:rsidRPr="002A2EA6">
        <w:rPr>
          <w:iCs/>
          <w:lang w:val="fr-FR"/>
        </w:rPr>
        <w:tab/>
      </w:r>
      <w:r w:rsidR="00214D00" w:rsidRPr="00FA6C76">
        <w:rPr>
          <w:lang w:val="fr-FR"/>
        </w:rPr>
        <w:t>2</w:t>
      </w:r>
      <w:r w:rsidRPr="002A2EA6">
        <w:rPr>
          <w:iCs/>
          <w:lang w:val="fr-FR"/>
        </w:rPr>
        <w:t>.</w:t>
      </w:r>
      <w:r w:rsidRPr="002A2EA6">
        <w:rPr>
          <w:iCs/>
          <w:lang w:val="fr-FR"/>
        </w:rPr>
        <w:tab/>
      </w:r>
      <w:r w:rsidRPr="002A2EA6">
        <w:rPr>
          <w:i/>
          <w:iCs/>
          <w:lang w:val="fr-FR"/>
        </w:rPr>
        <w:t>Prend note</w:t>
      </w:r>
      <w:r w:rsidRPr="002A2EA6">
        <w:rPr>
          <w:lang w:val="fr-FR"/>
        </w:rPr>
        <w:t xml:space="preserve"> du rapport fourni par la Secrétaire exécutive sur les principales activités du secrétariat pendant l</w:t>
      </w:r>
      <w:r w:rsidR="00CA4DAC">
        <w:rPr>
          <w:lang w:val="fr-FR"/>
        </w:rPr>
        <w:t>’</w:t>
      </w:r>
      <w:r w:rsidRPr="002A2EA6">
        <w:rPr>
          <w:lang w:val="fr-FR"/>
        </w:rPr>
        <w:t>intersession</w:t>
      </w:r>
      <w:r w:rsidR="00593A9B">
        <w:rPr>
          <w:rStyle w:val="FootnoteReference"/>
          <w:lang w:val="fr-FR"/>
        </w:rPr>
        <w:footnoteReference w:id="13"/>
      </w:r>
      <w:r w:rsidRPr="002A2EA6">
        <w:rPr>
          <w:lang w:val="fr-FR"/>
        </w:rPr>
        <w:t xml:space="preserve"> ainsi que du rapport sur les dépenses encourues pendant l</w:t>
      </w:r>
      <w:r w:rsidR="00CA4DAC">
        <w:rPr>
          <w:lang w:val="fr-FR"/>
        </w:rPr>
        <w:t>’</w:t>
      </w:r>
      <w:r w:rsidRPr="002A2EA6">
        <w:rPr>
          <w:lang w:val="fr-FR"/>
        </w:rPr>
        <w:t>exercice biennal 2018–2019 communiqué dans le cadre de la publication de l</w:t>
      </w:r>
      <w:r w:rsidR="00CA4DAC">
        <w:rPr>
          <w:lang w:val="fr-FR"/>
        </w:rPr>
        <w:t>’</w:t>
      </w:r>
      <w:r w:rsidRPr="002A2EA6">
        <w:rPr>
          <w:lang w:val="fr-FR"/>
        </w:rPr>
        <w:t>information financière</w:t>
      </w:r>
      <w:r w:rsidR="00593A9B">
        <w:rPr>
          <w:rStyle w:val="FootnoteReference"/>
          <w:lang w:val="fr-FR"/>
        </w:rPr>
        <w:footnoteReference w:id="14"/>
      </w:r>
      <w:r w:rsidRPr="002A2EA6">
        <w:rPr>
          <w:lang w:val="fr-FR"/>
        </w:rPr>
        <w:t> ;</w:t>
      </w:r>
    </w:p>
    <w:p w14:paraId="607BE6FC" w14:textId="08B8AC4E" w:rsidR="002A2EA6" w:rsidRPr="002A2EA6" w:rsidRDefault="002A2EA6" w:rsidP="002A2EA6">
      <w:pPr>
        <w:pStyle w:val="NormalNonumber"/>
        <w:rPr>
          <w:lang w:val="fr-FR"/>
        </w:rPr>
      </w:pPr>
      <w:r w:rsidRPr="002A2EA6">
        <w:rPr>
          <w:iCs/>
          <w:lang w:val="fr-FR"/>
        </w:rPr>
        <w:tab/>
      </w:r>
      <w:r w:rsidR="00214D00">
        <w:rPr>
          <w:iCs/>
          <w:lang w:val="fr-FR"/>
        </w:rPr>
        <w:t>3</w:t>
      </w:r>
      <w:r w:rsidRPr="002A2EA6">
        <w:rPr>
          <w:iCs/>
          <w:lang w:val="fr-FR"/>
        </w:rPr>
        <w:t>.</w:t>
      </w:r>
      <w:r w:rsidRPr="002A2EA6">
        <w:rPr>
          <w:iCs/>
          <w:lang w:val="fr-FR"/>
        </w:rPr>
        <w:tab/>
      </w:r>
      <w:r w:rsidRPr="002A2EA6">
        <w:rPr>
          <w:i/>
          <w:iCs/>
          <w:lang w:val="fr-FR"/>
        </w:rPr>
        <w:t>Prend également note</w:t>
      </w:r>
      <w:r w:rsidRPr="002A2EA6">
        <w:rPr>
          <w:lang w:val="fr-FR"/>
        </w:rPr>
        <w:t xml:space="preserve"> du projet de programme de travail et de budget pour l</w:t>
      </w:r>
      <w:r w:rsidR="00CA4DAC">
        <w:rPr>
          <w:lang w:val="fr-FR"/>
        </w:rPr>
        <w:t>’</w:t>
      </w:r>
      <w:r w:rsidRPr="002A2EA6">
        <w:rPr>
          <w:lang w:val="fr-FR"/>
        </w:rPr>
        <w:t xml:space="preserve">exercice biennal </w:t>
      </w:r>
      <w:r w:rsidR="00F20074">
        <w:rPr>
          <w:lang w:val="fr-FR"/>
        </w:rPr>
        <w:t>2020–2021</w:t>
      </w:r>
      <w:r w:rsidR="00593A9B">
        <w:rPr>
          <w:rStyle w:val="FootnoteReference"/>
          <w:lang w:val="fr-FR"/>
        </w:rPr>
        <w:footnoteReference w:id="15"/>
      </w:r>
      <w:r w:rsidRPr="002A2EA6">
        <w:rPr>
          <w:lang w:val="fr-FR"/>
        </w:rPr>
        <w:t>, ainsi que des informations supplémentaires sur les questions financières</w:t>
      </w:r>
      <w:r w:rsidR="00593A9B">
        <w:rPr>
          <w:rStyle w:val="FootnoteReference"/>
          <w:lang w:val="fr-FR"/>
        </w:rPr>
        <w:footnoteReference w:id="16"/>
      </w:r>
      <w:r w:rsidRPr="002A2EA6">
        <w:rPr>
          <w:lang w:val="fr-FR"/>
        </w:rPr>
        <w:t>, des projets de budget opérationnel correspondant aux deux scénarios de financement</w:t>
      </w:r>
      <w:r w:rsidR="00593A9B">
        <w:rPr>
          <w:rStyle w:val="FootnoteReference"/>
          <w:lang w:val="fr-FR"/>
        </w:rPr>
        <w:footnoteReference w:id="17"/>
      </w:r>
      <w:r w:rsidRPr="002A2EA6">
        <w:rPr>
          <w:lang w:val="fr-FR"/>
        </w:rPr>
        <w:t xml:space="preserve"> et des fiches d</w:t>
      </w:r>
      <w:r w:rsidR="00CA4DAC">
        <w:rPr>
          <w:lang w:val="fr-FR"/>
        </w:rPr>
        <w:t>’</w:t>
      </w:r>
      <w:r w:rsidRPr="002A2EA6">
        <w:rPr>
          <w:lang w:val="fr-FR"/>
        </w:rPr>
        <w:t>information sur les activités inscrites au budget</w:t>
      </w:r>
      <w:r w:rsidR="00071797">
        <w:rPr>
          <w:rStyle w:val="FootnoteReference"/>
          <w:lang w:val="fr-FR"/>
        </w:rPr>
        <w:footnoteReference w:id="18"/>
      </w:r>
      <w:r w:rsidRPr="002A2EA6">
        <w:rPr>
          <w:lang w:val="fr-FR"/>
        </w:rPr>
        <w:t> ;</w:t>
      </w:r>
    </w:p>
    <w:p w14:paraId="0C593189" w14:textId="79A20E77" w:rsidR="002A2EA6" w:rsidRPr="002A2EA6" w:rsidRDefault="002A2EA6" w:rsidP="002A2EA6">
      <w:pPr>
        <w:pStyle w:val="NormalNonumber"/>
        <w:rPr>
          <w:lang w:val="fr-FR"/>
        </w:rPr>
      </w:pPr>
      <w:r w:rsidRPr="002A2EA6">
        <w:rPr>
          <w:iCs/>
          <w:lang w:val="fr-FR"/>
        </w:rPr>
        <w:tab/>
      </w:r>
      <w:r w:rsidR="00680C6B">
        <w:rPr>
          <w:iCs/>
          <w:lang w:val="fr-FR"/>
        </w:rPr>
        <w:t>4</w:t>
      </w:r>
      <w:r w:rsidRPr="002A2EA6">
        <w:rPr>
          <w:iCs/>
          <w:lang w:val="fr-FR"/>
        </w:rPr>
        <w:t>.</w:t>
      </w:r>
      <w:r w:rsidRPr="002A2EA6">
        <w:rPr>
          <w:iCs/>
          <w:lang w:val="fr-FR"/>
        </w:rPr>
        <w:tab/>
      </w:r>
      <w:r w:rsidRPr="002A2EA6">
        <w:rPr>
          <w:i/>
          <w:iCs/>
          <w:lang w:val="fr-FR"/>
        </w:rPr>
        <w:t xml:space="preserve">Approuve </w:t>
      </w:r>
      <w:r w:rsidRPr="002A2EA6">
        <w:rPr>
          <w:lang w:val="fr-FR"/>
        </w:rPr>
        <w:t>le budget du Fonds général d</w:t>
      </w:r>
      <w:r w:rsidR="00CA4DAC">
        <w:rPr>
          <w:lang w:val="fr-FR"/>
        </w:rPr>
        <w:t>’</w:t>
      </w:r>
      <w:r w:rsidRPr="002A2EA6">
        <w:rPr>
          <w:lang w:val="fr-FR"/>
        </w:rPr>
        <w:t>affectation spéciale de l</w:t>
      </w:r>
      <w:r w:rsidR="00CA4DAC">
        <w:rPr>
          <w:lang w:val="fr-FR"/>
        </w:rPr>
        <w:t>’</w:t>
      </w:r>
      <w:r w:rsidRPr="002A2EA6">
        <w:rPr>
          <w:lang w:val="fr-FR"/>
        </w:rPr>
        <w:t xml:space="preserve">exercice </w:t>
      </w:r>
      <w:r w:rsidR="006D5100">
        <w:rPr>
          <w:lang w:val="fr-FR"/>
        </w:rPr>
        <w:br/>
      </w:r>
      <w:r w:rsidRPr="002A2EA6">
        <w:rPr>
          <w:lang w:val="fr-FR"/>
        </w:rPr>
        <w:t>biennal </w:t>
      </w:r>
      <w:r w:rsidR="00F20074">
        <w:rPr>
          <w:lang w:val="fr-FR"/>
        </w:rPr>
        <w:t>2020–2021</w:t>
      </w:r>
      <w:r w:rsidRPr="002A2EA6">
        <w:rPr>
          <w:lang w:val="fr-FR"/>
        </w:rPr>
        <w:t>, qui s</w:t>
      </w:r>
      <w:r w:rsidR="00CA4DAC">
        <w:rPr>
          <w:lang w:val="fr-FR"/>
        </w:rPr>
        <w:t>’</w:t>
      </w:r>
      <w:r w:rsidRPr="002A2EA6">
        <w:rPr>
          <w:lang w:val="fr-FR"/>
        </w:rPr>
        <w:t>élève à 7 579 959 dollars des États-Unis ;</w:t>
      </w:r>
    </w:p>
    <w:p w14:paraId="54CDFC08" w14:textId="20D84CF9" w:rsidR="002A2EA6" w:rsidRPr="002A2EA6" w:rsidRDefault="002A2EA6" w:rsidP="002A2EA6">
      <w:pPr>
        <w:pStyle w:val="NormalNonumber"/>
        <w:rPr>
          <w:lang w:val="fr-FR"/>
        </w:rPr>
      </w:pPr>
      <w:bookmarkStart w:id="186" w:name="_Hlk15257842"/>
      <w:r w:rsidRPr="002A2EA6">
        <w:rPr>
          <w:iCs/>
          <w:lang w:val="fr-FR"/>
        </w:rPr>
        <w:tab/>
      </w:r>
      <w:bookmarkEnd w:id="186"/>
      <w:r w:rsidR="00680C6B">
        <w:rPr>
          <w:iCs/>
          <w:lang w:val="fr-FR"/>
        </w:rPr>
        <w:t>5</w:t>
      </w:r>
      <w:r w:rsidRPr="002A2EA6">
        <w:rPr>
          <w:iCs/>
          <w:lang w:val="fr-FR"/>
        </w:rPr>
        <w:t>.</w:t>
      </w:r>
      <w:r w:rsidRPr="002A2EA6">
        <w:rPr>
          <w:iCs/>
          <w:lang w:val="fr-FR"/>
        </w:rPr>
        <w:tab/>
      </w:r>
      <w:r w:rsidRPr="002A2EA6">
        <w:rPr>
          <w:i/>
          <w:iCs/>
          <w:lang w:val="fr-FR"/>
        </w:rPr>
        <w:t xml:space="preserve">Adopte </w:t>
      </w:r>
      <w:r w:rsidRPr="002A2EA6">
        <w:rPr>
          <w:lang w:val="fr-FR"/>
        </w:rPr>
        <w:t>le barème indicatif des quotes-parts pour la répartition des dépenses de l</w:t>
      </w:r>
      <w:r w:rsidR="00CA4DAC">
        <w:rPr>
          <w:lang w:val="fr-FR"/>
        </w:rPr>
        <w:t>’</w:t>
      </w:r>
      <w:r w:rsidRPr="002A2EA6">
        <w:rPr>
          <w:lang w:val="fr-FR"/>
        </w:rPr>
        <w:t>exercice 2020–2021 figurant dans le tableau 2 de la présente décision et autorise la Secrétaire exécutive, conformément au Règlement financier et aux règles de gestion financière de l</w:t>
      </w:r>
      <w:r w:rsidR="00CA4DAC">
        <w:rPr>
          <w:lang w:val="fr-FR"/>
        </w:rPr>
        <w:t>’</w:t>
      </w:r>
      <w:r w:rsidRPr="002A2EA6">
        <w:rPr>
          <w:lang w:val="fr-FR"/>
        </w:rPr>
        <w:t>Organisation des Nations Unies, à ajuster ce barème afin d</w:t>
      </w:r>
      <w:r w:rsidR="00CA4DAC">
        <w:rPr>
          <w:lang w:val="fr-FR"/>
        </w:rPr>
        <w:t>’</w:t>
      </w:r>
      <w:r w:rsidRPr="002A2EA6">
        <w:rPr>
          <w:lang w:val="fr-FR"/>
        </w:rPr>
        <w:t>y inclure toutes les Parties à l</w:t>
      </w:r>
      <w:r w:rsidR="00CA4DAC">
        <w:rPr>
          <w:lang w:val="fr-FR"/>
        </w:rPr>
        <w:t>’</w:t>
      </w:r>
      <w:r w:rsidRPr="002A2EA6">
        <w:rPr>
          <w:lang w:val="fr-FR"/>
        </w:rPr>
        <w:t>égard desquelles la Convention entrera en vigueur avant le 1</w:t>
      </w:r>
      <w:r w:rsidRPr="002A2EA6">
        <w:rPr>
          <w:vertAlign w:val="superscript"/>
          <w:lang w:val="fr-FR"/>
        </w:rPr>
        <w:t>er</w:t>
      </w:r>
      <w:r w:rsidRPr="002A2EA6">
        <w:rPr>
          <w:lang w:val="fr-FR"/>
        </w:rPr>
        <w:t> janvier 2020 ;</w:t>
      </w:r>
    </w:p>
    <w:p w14:paraId="7D4A9FA3" w14:textId="6DBA6B2B" w:rsidR="002A2EA6" w:rsidRPr="002A2EA6" w:rsidRDefault="002A2EA6" w:rsidP="002A2EA6">
      <w:pPr>
        <w:pStyle w:val="NormalNonumber"/>
        <w:rPr>
          <w:lang w:val="fr-FR"/>
        </w:rPr>
      </w:pPr>
      <w:r w:rsidRPr="002A2EA6">
        <w:rPr>
          <w:iCs/>
          <w:lang w:val="fr-FR"/>
        </w:rPr>
        <w:tab/>
      </w:r>
      <w:r w:rsidR="00680C6B">
        <w:rPr>
          <w:iCs/>
          <w:lang w:val="fr-FR"/>
        </w:rPr>
        <w:t>6</w:t>
      </w:r>
      <w:r w:rsidRPr="002A2EA6">
        <w:rPr>
          <w:iCs/>
          <w:lang w:val="fr-FR"/>
        </w:rPr>
        <w:t>.</w:t>
      </w:r>
      <w:r w:rsidRPr="002A2EA6">
        <w:rPr>
          <w:iCs/>
          <w:lang w:val="fr-FR"/>
        </w:rPr>
        <w:tab/>
      </w:r>
      <w:r w:rsidRPr="002A2EA6">
        <w:rPr>
          <w:i/>
          <w:iCs/>
          <w:lang w:val="fr-FR"/>
        </w:rPr>
        <w:t xml:space="preserve">Rappelle </w:t>
      </w:r>
      <w:r w:rsidRPr="002A2EA6">
        <w:rPr>
          <w:lang w:val="fr-FR"/>
        </w:rPr>
        <w:t>que les contributions au Fonds général d</w:t>
      </w:r>
      <w:r w:rsidR="00CA4DAC">
        <w:rPr>
          <w:lang w:val="fr-FR"/>
        </w:rPr>
        <w:t>’</w:t>
      </w:r>
      <w:r w:rsidRPr="002A2EA6">
        <w:rPr>
          <w:lang w:val="fr-FR"/>
        </w:rPr>
        <w:t>affectation spéciale sont dues le 1</w:t>
      </w:r>
      <w:r w:rsidRPr="002A2EA6">
        <w:rPr>
          <w:vertAlign w:val="superscript"/>
          <w:lang w:val="fr-FR"/>
        </w:rPr>
        <w:t>er</w:t>
      </w:r>
      <w:r w:rsidRPr="002A2EA6">
        <w:rPr>
          <w:lang w:val="fr-FR"/>
        </w:rPr>
        <w:t> janvier de l</w:t>
      </w:r>
      <w:r w:rsidR="00CA4DAC">
        <w:rPr>
          <w:lang w:val="fr-FR"/>
        </w:rPr>
        <w:t>’</w:t>
      </w:r>
      <w:r w:rsidRPr="002A2EA6">
        <w:rPr>
          <w:lang w:val="fr-FR"/>
        </w:rPr>
        <w:t>année pour laquelle ces contributions ont été budgétisées et au plus tard le 31 décembre de l</w:t>
      </w:r>
      <w:r w:rsidR="00CA4DAC">
        <w:rPr>
          <w:lang w:val="fr-FR"/>
        </w:rPr>
        <w:t>’</w:t>
      </w:r>
      <w:r w:rsidRPr="002A2EA6">
        <w:rPr>
          <w:lang w:val="fr-FR"/>
        </w:rPr>
        <w:t>année en question et prie les Parties de payer promptement leurs contributions afin de permettre au secrétariat d</w:t>
      </w:r>
      <w:r w:rsidR="00CA4DAC">
        <w:rPr>
          <w:lang w:val="fr-FR"/>
        </w:rPr>
        <w:t>’</w:t>
      </w:r>
      <w:r w:rsidRPr="002A2EA6">
        <w:rPr>
          <w:lang w:val="fr-FR"/>
        </w:rPr>
        <w:t>effectuer ses travaux ;</w:t>
      </w:r>
    </w:p>
    <w:p w14:paraId="32DB1D29" w14:textId="77777777" w:rsidR="002A2EA6" w:rsidRPr="002A2EA6" w:rsidRDefault="002A2EA6" w:rsidP="002A2EA6">
      <w:pPr>
        <w:pStyle w:val="CH2"/>
        <w:spacing w:before="240"/>
        <w:ind w:firstLine="0"/>
        <w:jc w:val="center"/>
        <w:rPr>
          <w:lang w:val="fr-FR"/>
        </w:rPr>
      </w:pPr>
      <w:bookmarkStart w:id="187" w:name="_Toc38526652"/>
      <w:bookmarkStart w:id="188" w:name="_Toc38526789"/>
      <w:bookmarkStart w:id="189" w:name="_Toc39063368"/>
      <w:r w:rsidRPr="002A2EA6">
        <w:rPr>
          <w:bCs/>
          <w:lang w:val="fr-FR"/>
        </w:rPr>
        <w:t>II</w:t>
      </w:r>
      <w:bookmarkEnd w:id="187"/>
      <w:bookmarkEnd w:id="188"/>
      <w:bookmarkEnd w:id="189"/>
    </w:p>
    <w:p w14:paraId="1AFA8BEF" w14:textId="6EF57C20" w:rsidR="002A2EA6" w:rsidRPr="002A2EA6" w:rsidRDefault="002A2EA6" w:rsidP="002A2EA6">
      <w:pPr>
        <w:pStyle w:val="CH2"/>
        <w:ind w:firstLine="0"/>
        <w:jc w:val="center"/>
        <w:rPr>
          <w:lang w:val="fr-FR"/>
        </w:rPr>
      </w:pPr>
      <w:bookmarkStart w:id="190" w:name="_Toc38526653"/>
      <w:bookmarkStart w:id="191" w:name="_Toc38526790"/>
      <w:bookmarkStart w:id="192" w:name="_Toc39063369"/>
      <w:r w:rsidRPr="002A2EA6">
        <w:rPr>
          <w:bCs/>
          <w:lang w:val="fr-FR"/>
        </w:rPr>
        <w:t>Fonds d</w:t>
      </w:r>
      <w:r w:rsidR="00CA4DAC">
        <w:rPr>
          <w:bCs/>
          <w:lang w:val="fr-FR"/>
        </w:rPr>
        <w:t>’</w:t>
      </w:r>
      <w:r w:rsidRPr="002A2EA6">
        <w:rPr>
          <w:bCs/>
          <w:lang w:val="fr-FR"/>
        </w:rPr>
        <w:t>affectation spéciale à des fins déterminées pour la Convention de Minamata sur le mercure</w:t>
      </w:r>
      <w:bookmarkEnd w:id="190"/>
      <w:bookmarkEnd w:id="191"/>
      <w:bookmarkEnd w:id="192"/>
    </w:p>
    <w:p w14:paraId="18D701BB" w14:textId="131A40A4" w:rsidR="002A2EA6" w:rsidRPr="002A2EA6" w:rsidRDefault="002A2EA6" w:rsidP="002A2EA6">
      <w:pPr>
        <w:pStyle w:val="NormalNonumber"/>
        <w:rPr>
          <w:lang w:val="fr-FR"/>
        </w:rPr>
      </w:pPr>
      <w:r w:rsidRPr="002A2EA6">
        <w:rPr>
          <w:iCs/>
          <w:lang w:val="fr-FR"/>
        </w:rPr>
        <w:tab/>
      </w:r>
      <w:r w:rsidR="00680C6B">
        <w:rPr>
          <w:iCs/>
          <w:lang w:val="fr-FR"/>
        </w:rPr>
        <w:t>7</w:t>
      </w:r>
      <w:r w:rsidRPr="002A2EA6">
        <w:rPr>
          <w:iCs/>
          <w:lang w:val="fr-FR"/>
        </w:rPr>
        <w:t>.</w:t>
      </w:r>
      <w:r w:rsidRPr="002A2EA6">
        <w:rPr>
          <w:iCs/>
          <w:lang w:val="fr-FR"/>
        </w:rPr>
        <w:tab/>
      </w:r>
      <w:r w:rsidRPr="002A2EA6">
        <w:rPr>
          <w:i/>
          <w:iCs/>
          <w:lang w:val="fr-FR"/>
        </w:rPr>
        <w:t>Prend note</w:t>
      </w:r>
      <w:r w:rsidRPr="002A2EA6">
        <w:rPr>
          <w:lang w:val="fr-FR"/>
        </w:rPr>
        <w:t xml:space="preserve"> des informations actualisées fournies par la Secrétaire exécutive sur les activités de 2019 et les dépenses de l</w:t>
      </w:r>
      <w:r w:rsidR="00CA4DAC">
        <w:rPr>
          <w:lang w:val="fr-FR"/>
        </w:rPr>
        <w:t>’</w:t>
      </w:r>
      <w:r w:rsidRPr="002A2EA6">
        <w:rPr>
          <w:lang w:val="fr-FR"/>
        </w:rPr>
        <w:t>exercice 2018–2019 financées au moyen du Fonds d</w:t>
      </w:r>
      <w:r w:rsidR="00CA4DAC">
        <w:rPr>
          <w:lang w:val="fr-FR"/>
        </w:rPr>
        <w:t>’</w:t>
      </w:r>
      <w:r w:rsidRPr="002A2EA6">
        <w:rPr>
          <w:lang w:val="fr-FR"/>
        </w:rPr>
        <w:t>affectation spéciale à des fins déterminées, telles qu</w:t>
      </w:r>
      <w:r w:rsidR="00CA4DAC">
        <w:rPr>
          <w:lang w:val="fr-FR"/>
        </w:rPr>
        <w:t>’</w:t>
      </w:r>
      <w:r w:rsidRPr="002A2EA6">
        <w:rPr>
          <w:lang w:val="fr-FR"/>
        </w:rPr>
        <w:t>elles figurent dans l</w:t>
      </w:r>
      <w:r w:rsidR="00CA4DAC">
        <w:rPr>
          <w:lang w:val="fr-FR"/>
        </w:rPr>
        <w:t>’</w:t>
      </w:r>
      <w:r w:rsidRPr="002A2EA6">
        <w:rPr>
          <w:lang w:val="fr-FR"/>
        </w:rPr>
        <w:t>information financière</w:t>
      </w:r>
      <w:r w:rsidR="00071797">
        <w:rPr>
          <w:rStyle w:val="FootnoteReference"/>
          <w:lang w:val="fr-FR"/>
        </w:rPr>
        <w:footnoteReference w:id="19"/>
      </w:r>
      <w:r w:rsidRPr="002A2EA6">
        <w:rPr>
          <w:lang w:val="fr-FR"/>
        </w:rPr>
        <w:t>, ainsi que du rapport sur les principales activités menées par le secrétariat pendant l</w:t>
      </w:r>
      <w:r w:rsidR="00CA4DAC">
        <w:rPr>
          <w:lang w:val="fr-FR"/>
        </w:rPr>
        <w:t>’</w:t>
      </w:r>
      <w:r w:rsidRPr="002A2EA6">
        <w:rPr>
          <w:lang w:val="fr-FR"/>
        </w:rPr>
        <w:t>intersession</w:t>
      </w:r>
      <w:r w:rsidR="00071797">
        <w:rPr>
          <w:rStyle w:val="FootnoteReference"/>
          <w:lang w:val="fr-FR"/>
        </w:rPr>
        <w:footnoteReference w:id="20"/>
      </w:r>
      <w:r w:rsidRPr="002A2EA6">
        <w:rPr>
          <w:lang w:val="fr-FR"/>
        </w:rPr>
        <w:t> ;</w:t>
      </w:r>
    </w:p>
    <w:p w14:paraId="0B6A155D" w14:textId="0021E48D" w:rsidR="002A2EA6" w:rsidRPr="002A2EA6" w:rsidRDefault="002A2EA6" w:rsidP="002A2EA6">
      <w:pPr>
        <w:pStyle w:val="NormalNonumber"/>
        <w:rPr>
          <w:lang w:val="fr-FR"/>
        </w:rPr>
      </w:pPr>
      <w:r w:rsidRPr="002A2EA6">
        <w:rPr>
          <w:iCs/>
          <w:lang w:val="fr-FR"/>
        </w:rPr>
        <w:tab/>
      </w:r>
      <w:r w:rsidR="00680C6B">
        <w:rPr>
          <w:iCs/>
          <w:lang w:val="fr-FR"/>
        </w:rPr>
        <w:t>8</w:t>
      </w:r>
      <w:r w:rsidRPr="002A2EA6">
        <w:rPr>
          <w:iCs/>
          <w:lang w:val="fr-FR"/>
        </w:rPr>
        <w:t>.</w:t>
      </w:r>
      <w:r w:rsidRPr="002A2EA6">
        <w:rPr>
          <w:iCs/>
          <w:lang w:val="fr-FR"/>
        </w:rPr>
        <w:tab/>
      </w:r>
      <w:r w:rsidRPr="002A2EA6">
        <w:rPr>
          <w:i/>
          <w:iCs/>
          <w:lang w:val="fr-FR"/>
        </w:rPr>
        <w:t>Prend également note</w:t>
      </w:r>
      <w:r w:rsidRPr="002A2EA6">
        <w:rPr>
          <w:lang w:val="fr-FR"/>
        </w:rPr>
        <w:t xml:space="preserve"> du projet de programme de travail et de budget pour l</w:t>
      </w:r>
      <w:r w:rsidR="00CA4DAC">
        <w:rPr>
          <w:lang w:val="fr-FR"/>
        </w:rPr>
        <w:t>’</w:t>
      </w:r>
      <w:r w:rsidRPr="002A2EA6">
        <w:rPr>
          <w:lang w:val="fr-FR"/>
        </w:rPr>
        <w:t xml:space="preserve">exercice biennal </w:t>
      </w:r>
      <w:r w:rsidR="00F20074">
        <w:rPr>
          <w:lang w:val="fr-FR"/>
        </w:rPr>
        <w:t>2020–2021</w:t>
      </w:r>
      <w:r w:rsidR="00071797">
        <w:rPr>
          <w:rStyle w:val="FootnoteReference"/>
          <w:lang w:val="fr-FR"/>
        </w:rPr>
        <w:footnoteReference w:id="21"/>
      </w:r>
      <w:r w:rsidRPr="002A2EA6">
        <w:rPr>
          <w:lang w:val="fr-FR"/>
        </w:rPr>
        <w:t>, ainsi que des informations supplémentaires sur les questions financières</w:t>
      </w:r>
      <w:r w:rsidR="00071797">
        <w:rPr>
          <w:rStyle w:val="FootnoteReference"/>
          <w:lang w:val="fr-FR"/>
        </w:rPr>
        <w:footnoteReference w:id="22"/>
      </w:r>
      <w:r w:rsidRPr="002A2EA6">
        <w:rPr>
          <w:lang w:val="fr-FR"/>
        </w:rPr>
        <w:t>, des projets de budget opérationnel correspondant aux deux scénarios de financement</w:t>
      </w:r>
      <w:r w:rsidR="00071797">
        <w:rPr>
          <w:rStyle w:val="FootnoteReference"/>
          <w:lang w:val="fr-FR"/>
        </w:rPr>
        <w:footnoteReference w:id="23"/>
      </w:r>
      <w:r w:rsidRPr="002A2EA6">
        <w:rPr>
          <w:lang w:val="fr-FR"/>
        </w:rPr>
        <w:t xml:space="preserve"> et des fiches d</w:t>
      </w:r>
      <w:r w:rsidR="00CA4DAC">
        <w:rPr>
          <w:lang w:val="fr-FR"/>
        </w:rPr>
        <w:t>’</w:t>
      </w:r>
      <w:r w:rsidRPr="002A2EA6">
        <w:rPr>
          <w:lang w:val="fr-FR"/>
        </w:rPr>
        <w:t>information sur les activités inscrites au budget</w:t>
      </w:r>
      <w:r w:rsidR="00071797">
        <w:rPr>
          <w:rStyle w:val="FootnoteReference"/>
          <w:lang w:val="fr-FR"/>
        </w:rPr>
        <w:footnoteReference w:id="24"/>
      </w:r>
      <w:r w:rsidRPr="002A2EA6">
        <w:rPr>
          <w:lang w:val="fr-FR"/>
        </w:rPr>
        <w:t> ;</w:t>
      </w:r>
    </w:p>
    <w:p w14:paraId="7FC24DA0" w14:textId="10AA128C" w:rsidR="002A2EA6" w:rsidRPr="002A2EA6" w:rsidRDefault="002A2EA6" w:rsidP="002A2EA6">
      <w:pPr>
        <w:pStyle w:val="NormalNonumber"/>
        <w:rPr>
          <w:lang w:val="fr-FR"/>
        </w:rPr>
      </w:pPr>
      <w:r w:rsidRPr="002A2EA6">
        <w:rPr>
          <w:iCs/>
          <w:lang w:val="fr-FR"/>
        </w:rPr>
        <w:tab/>
      </w:r>
      <w:r w:rsidR="00680C6B">
        <w:rPr>
          <w:iCs/>
          <w:lang w:val="fr-FR"/>
        </w:rPr>
        <w:t>9</w:t>
      </w:r>
      <w:r w:rsidRPr="002A2EA6">
        <w:rPr>
          <w:iCs/>
          <w:lang w:val="fr-FR"/>
        </w:rPr>
        <w:t>.</w:t>
      </w:r>
      <w:r w:rsidRPr="002A2EA6">
        <w:rPr>
          <w:iCs/>
          <w:lang w:val="fr-FR"/>
        </w:rPr>
        <w:tab/>
      </w:r>
      <w:r w:rsidRPr="002A2EA6">
        <w:rPr>
          <w:i/>
          <w:lang w:val="fr-FR"/>
        </w:rPr>
        <w:t xml:space="preserve">Prend en outre note </w:t>
      </w:r>
      <w:r w:rsidRPr="002A2EA6">
        <w:rPr>
          <w:lang w:val="fr-FR"/>
        </w:rPr>
        <w:t>des estimations concernant le Fonds d</w:t>
      </w:r>
      <w:r w:rsidR="00CA4DAC">
        <w:rPr>
          <w:lang w:val="fr-FR"/>
        </w:rPr>
        <w:t>’</w:t>
      </w:r>
      <w:r w:rsidRPr="002A2EA6">
        <w:rPr>
          <w:lang w:val="fr-FR"/>
        </w:rPr>
        <w:t>affectation spéciale à des fins déterminées de l</w:t>
      </w:r>
      <w:r w:rsidR="00CA4DAC">
        <w:rPr>
          <w:lang w:val="fr-FR"/>
        </w:rPr>
        <w:t>’</w:t>
      </w:r>
      <w:r w:rsidRPr="002A2EA6">
        <w:rPr>
          <w:lang w:val="fr-FR"/>
        </w:rPr>
        <w:t>exercice biennal 2020–2021, qui s</w:t>
      </w:r>
      <w:r w:rsidR="00CA4DAC">
        <w:rPr>
          <w:lang w:val="fr-FR"/>
        </w:rPr>
        <w:t>’</w:t>
      </w:r>
      <w:r w:rsidRPr="002A2EA6">
        <w:rPr>
          <w:lang w:val="fr-FR"/>
        </w:rPr>
        <w:t>élèvent à 4 377 620 dollars des États-Unis ;</w:t>
      </w:r>
    </w:p>
    <w:p w14:paraId="5C28DFD8" w14:textId="0721C242" w:rsidR="002A2EA6" w:rsidRPr="002A2EA6" w:rsidRDefault="002A2EA6" w:rsidP="002A2EA6">
      <w:pPr>
        <w:pStyle w:val="NormalNonumber"/>
        <w:rPr>
          <w:lang w:val="fr-FR"/>
        </w:rPr>
      </w:pPr>
      <w:r w:rsidRPr="002A2EA6">
        <w:rPr>
          <w:iCs/>
          <w:lang w:val="fr-FR"/>
        </w:rPr>
        <w:tab/>
      </w:r>
      <w:r w:rsidR="00680C6B">
        <w:rPr>
          <w:iCs/>
          <w:lang w:val="fr-FR"/>
        </w:rPr>
        <w:t>10</w:t>
      </w:r>
      <w:r w:rsidRPr="002A2EA6">
        <w:rPr>
          <w:iCs/>
          <w:lang w:val="fr-FR"/>
        </w:rPr>
        <w:t>.</w:t>
      </w:r>
      <w:r w:rsidRPr="002A2EA6">
        <w:rPr>
          <w:iCs/>
          <w:lang w:val="fr-FR"/>
        </w:rPr>
        <w:tab/>
      </w:r>
      <w:r w:rsidRPr="002A2EA6">
        <w:rPr>
          <w:i/>
          <w:iCs/>
          <w:lang w:val="fr-FR"/>
        </w:rPr>
        <w:t xml:space="preserve">Note </w:t>
      </w:r>
      <w:r w:rsidRPr="002A2EA6">
        <w:rPr>
          <w:lang w:val="fr-FR"/>
        </w:rPr>
        <w:t>que la mise en œuvre des activités prévues est subordonnée au versement de ressources au Fonds d</w:t>
      </w:r>
      <w:r w:rsidR="00CA4DAC">
        <w:rPr>
          <w:lang w:val="fr-FR"/>
        </w:rPr>
        <w:t>’</w:t>
      </w:r>
      <w:r w:rsidRPr="002A2EA6">
        <w:rPr>
          <w:lang w:val="fr-FR"/>
        </w:rPr>
        <w:t>affectation spéciale à des fins déterminées ;</w:t>
      </w:r>
    </w:p>
    <w:p w14:paraId="272050E4" w14:textId="448AE226" w:rsidR="002A2EA6" w:rsidRPr="002A2EA6" w:rsidRDefault="002A2EA6" w:rsidP="002A2EA6">
      <w:pPr>
        <w:pStyle w:val="NormalNonumber"/>
        <w:keepLines/>
        <w:rPr>
          <w:lang w:val="fr-FR"/>
        </w:rPr>
      </w:pPr>
      <w:r w:rsidRPr="002A2EA6">
        <w:rPr>
          <w:i/>
          <w:iCs/>
          <w:lang w:val="fr-FR"/>
        </w:rPr>
        <w:lastRenderedPageBreak/>
        <w:tab/>
      </w:r>
      <w:r w:rsidRPr="002A2EA6">
        <w:rPr>
          <w:iCs/>
          <w:lang w:val="fr-FR"/>
        </w:rPr>
        <w:t>1</w:t>
      </w:r>
      <w:r w:rsidR="00796DCC">
        <w:rPr>
          <w:iCs/>
          <w:lang w:val="fr-FR"/>
        </w:rPr>
        <w:t>1</w:t>
      </w:r>
      <w:r w:rsidRPr="002A2EA6">
        <w:rPr>
          <w:iCs/>
          <w:lang w:val="fr-FR"/>
        </w:rPr>
        <w:t>.</w:t>
      </w:r>
      <w:r w:rsidRPr="002A2EA6">
        <w:rPr>
          <w:iCs/>
          <w:lang w:val="fr-FR"/>
        </w:rPr>
        <w:tab/>
      </w:r>
      <w:r w:rsidRPr="002A2EA6">
        <w:rPr>
          <w:i/>
          <w:iCs/>
          <w:lang w:val="fr-FR"/>
        </w:rPr>
        <w:t>Prie</w:t>
      </w:r>
      <w:r w:rsidRPr="002A2EA6">
        <w:rPr>
          <w:lang w:val="fr-FR"/>
        </w:rPr>
        <w:t xml:space="preserve"> les Parties et invite les non-Parties à la Convention et les autres intéressés en mesure de le faire à contribuer au Fonds d</w:t>
      </w:r>
      <w:r w:rsidR="00CA4DAC">
        <w:rPr>
          <w:lang w:val="fr-FR"/>
        </w:rPr>
        <w:t>’</w:t>
      </w:r>
      <w:r w:rsidRPr="002A2EA6">
        <w:rPr>
          <w:lang w:val="fr-FR"/>
        </w:rPr>
        <w:t>affectation spéciale à des fins déterminées pour appuyer les activités de renforcement des capacités et d</w:t>
      </w:r>
      <w:r w:rsidR="00CA4DAC">
        <w:rPr>
          <w:lang w:val="fr-FR"/>
        </w:rPr>
        <w:t>’</w:t>
      </w:r>
      <w:r w:rsidRPr="002A2EA6">
        <w:rPr>
          <w:lang w:val="fr-FR"/>
        </w:rPr>
        <w:t>assistance technique du secrétariat de la Convention de Minamata conformément à l</w:t>
      </w:r>
      <w:r w:rsidR="00CA4DAC">
        <w:rPr>
          <w:lang w:val="fr-FR"/>
        </w:rPr>
        <w:t>’</w:t>
      </w:r>
      <w:r w:rsidRPr="002A2EA6">
        <w:rPr>
          <w:lang w:val="fr-FR"/>
        </w:rPr>
        <w:t>article 14 de la Convention ;</w:t>
      </w:r>
    </w:p>
    <w:p w14:paraId="1DCBF221" w14:textId="29721C3A" w:rsidR="002A2EA6" w:rsidRPr="002A2EA6" w:rsidRDefault="002A2EA6" w:rsidP="002A2EA6">
      <w:pPr>
        <w:pStyle w:val="NormalNonumber"/>
        <w:rPr>
          <w:lang w:val="fr-FR"/>
        </w:rPr>
      </w:pPr>
      <w:r w:rsidRPr="002A2EA6">
        <w:rPr>
          <w:iCs/>
          <w:lang w:val="fr-FR"/>
        </w:rPr>
        <w:tab/>
        <w:t>1</w:t>
      </w:r>
      <w:r w:rsidR="00796DCC">
        <w:rPr>
          <w:iCs/>
          <w:lang w:val="fr-FR"/>
        </w:rPr>
        <w:t>2</w:t>
      </w:r>
      <w:r w:rsidRPr="002A2EA6">
        <w:rPr>
          <w:iCs/>
          <w:lang w:val="fr-FR"/>
        </w:rPr>
        <w:t>.</w:t>
      </w:r>
      <w:r w:rsidRPr="002A2EA6">
        <w:rPr>
          <w:iCs/>
          <w:lang w:val="fr-FR"/>
        </w:rPr>
        <w:tab/>
      </w:r>
      <w:r w:rsidRPr="002A2EA6">
        <w:rPr>
          <w:i/>
          <w:iCs/>
          <w:lang w:val="fr-FR"/>
        </w:rPr>
        <w:t xml:space="preserve">Invite </w:t>
      </w:r>
      <w:r w:rsidRPr="002A2EA6">
        <w:rPr>
          <w:lang w:val="fr-FR"/>
        </w:rPr>
        <w:t>les Parties et les non-Parties à la Convention et les autres intéressés en mesure de le faire à verser des contributions au Fonds d</w:t>
      </w:r>
      <w:r w:rsidR="00CA4DAC">
        <w:rPr>
          <w:lang w:val="fr-FR"/>
        </w:rPr>
        <w:t>’</w:t>
      </w:r>
      <w:r w:rsidRPr="002A2EA6">
        <w:rPr>
          <w:lang w:val="fr-FR"/>
        </w:rPr>
        <w:t>affectation spéciale à des fins déterminées afin de faciliter la participation à ses réunions et à celles de ses organes subsidiaires de représentants de Parties qui sont des pays en développement et en transition ;</w:t>
      </w:r>
    </w:p>
    <w:p w14:paraId="3414916A" w14:textId="77777777" w:rsidR="002A2EA6" w:rsidRPr="002A2EA6" w:rsidRDefault="002A2EA6" w:rsidP="002A2EA6">
      <w:pPr>
        <w:pStyle w:val="CH2"/>
        <w:spacing w:before="240"/>
        <w:ind w:firstLine="0"/>
        <w:jc w:val="center"/>
        <w:rPr>
          <w:lang w:val="fr-FR"/>
        </w:rPr>
      </w:pPr>
      <w:bookmarkStart w:id="193" w:name="_Toc38526654"/>
      <w:bookmarkStart w:id="194" w:name="_Toc38526791"/>
      <w:bookmarkStart w:id="195" w:name="_Toc39063370"/>
      <w:r w:rsidRPr="002A2EA6">
        <w:rPr>
          <w:bCs/>
          <w:lang w:val="fr-FR"/>
        </w:rPr>
        <w:t>III</w:t>
      </w:r>
      <w:bookmarkEnd w:id="193"/>
      <w:bookmarkEnd w:id="194"/>
      <w:bookmarkEnd w:id="195"/>
    </w:p>
    <w:p w14:paraId="141B568B" w14:textId="4FD7506E" w:rsidR="002A2EA6" w:rsidRPr="002A2EA6" w:rsidRDefault="002A2EA6" w:rsidP="002A2EA6">
      <w:pPr>
        <w:pStyle w:val="CH2"/>
        <w:ind w:firstLine="0"/>
        <w:jc w:val="center"/>
        <w:rPr>
          <w:lang w:val="fr-FR"/>
        </w:rPr>
      </w:pPr>
      <w:bookmarkStart w:id="196" w:name="_Toc38526655"/>
      <w:bookmarkStart w:id="197" w:name="_Toc38526792"/>
      <w:bookmarkStart w:id="198" w:name="_Toc39063371"/>
      <w:r w:rsidRPr="002A2EA6">
        <w:rPr>
          <w:bCs/>
          <w:lang w:val="fr-FR"/>
        </w:rPr>
        <w:t>Fonds d</w:t>
      </w:r>
      <w:r w:rsidR="00CA4DAC">
        <w:rPr>
          <w:bCs/>
          <w:lang w:val="fr-FR"/>
        </w:rPr>
        <w:t>’</w:t>
      </w:r>
      <w:r w:rsidRPr="002A2EA6">
        <w:rPr>
          <w:bCs/>
          <w:lang w:val="fr-FR"/>
        </w:rPr>
        <w:t>affectation spéciale particulier pour la Convention de Minamata sur le mercure</w:t>
      </w:r>
      <w:bookmarkEnd w:id="196"/>
      <w:bookmarkEnd w:id="197"/>
      <w:bookmarkEnd w:id="198"/>
    </w:p>
    <w:p w14:paraId="77D3CD76" w14:textId="271FBF93" w:rsidR="002A2EA6" w:rsidRPr="002A2EA6" w:rsidRDefault="002A2EA6" w:rsidP="002A2EA6">
      <w:pPr>
        <w:pStyle w:val="NormalNonumber"/>
        <w:rPr>
          <w:lang w:val="fr-FR"/>
        </w:rPr>
      </w:pPr>
      <w:r w:rsidRPr="002A2EA6">
        <w:rPr>
          <w:iCs/>
          <w:lang w:val="fr-FR"/>
        </w:rPr>
        <w:tab/>
        <w:t>1</w:t>
      </w:r>
      <w:r w:rsidR="00796DCC">
        <w:rPr>
          <w:iCs/>
          <w:lang w:val="fr-FR"/>
        </w:rPr>
        <w:t>3</w:t>
      </w:r>
      <w:r w:rsidRPr="002A2EA6">
        <w:rPr>
          <w:iCs/>
          <w:lang w:val="fr-FR"/>
        </w:rPr>
        <w:t>.</w:t>
      </w:r>
      <w:r w:rsidRPr="002A2EA6">
        <w:rPr>
          <w:iCs/>
          <w:lang w:val="fr-FR"/>
        </w:rPr>
        <w:tab/>
      </w:r>
      <w:r w:rsidRPr="002A2EA6">
        <w:rPr>
          <w:i/>
          <w:iCs/>
          <w:lang w:val="fr-FR"/>
        </w:rPr>
        <w:t>Prend note</w:t>
      </w:r>
      <w:r w:rsidRPr="002A2EA6">
        <w:rPr>
          <w:lang w:val="fr-FR"/>
        </w:rPr>
        <w:t xml:space="preserve"> du rapport d</w:t>
      </w:r>
      <w:r w:rsidR="00CA4DAC">
        <w:rPr>
          <w:lang w:val="fr-FR"/>
        </w:rPr>
        <w:t>’</w:t>
      </w:r>
      <w:r w:rsidRPr="002A2EA6">
        <w:rPr>
          <w:lang w:val="fr-FR"/>
        </w:rPr>
        <w:t>ensemble sur le Programme international spécifique visant à soutenir le renforcement des capacités et l</w:t>
      </w:r>
      <w:r w:rsidR="00CA4DAC">
        <w:rPr>
          <w:lang w:val="fr-FR"/>
        </w:rPr>
        <w:t>’</w:t>
      </w:r>
      <w:r w:rsidRPr="002A2EA6">
        <w:rPr>
          <w:lang w:val="fr-FR"/>
        </w:rPr>
        <w:t>assistance technique et sur le Fonds d</w:t>
      </w:r>
      <w:r w:rsidR="00CA4DAC">
        <w:rPr>
          <w:lang w:val="fr-FR"/>
        </w:rPr>
        <w:t>’</w:t>
      </w:r>
      <w:r w:rsidRPr="002A2EA6">
        <w:rPr>
          <w:lang w:val="fr-FR"/>
        </w:rPr>
        <w:t>affectation spéciale particulier consacré à ces activités</w:t>
      </w:r>
      <w:r w:rsidR="008A5658">
        <w:rPr>
          <w:rStyle w:val="FootnoteReference"/>
          <w:lang w:val="fr-FR"/>
        </w:rPr>
        <w:footnoteReference w:id="25"/>
      </w:r>
      <w:r w:rsidRPr="002A2EA6">
        <w:rPr>
          <w:lang w:val="fr-FR"/>
        </w:rPr>
        <w:t> ;</w:t>
      </w:r>
    </w:p>
    <w:p w14:paraId="137E2633" w14:textId="2F58B0C8" w:rsidR="002A2EA6" w:rsidRPr="002A2EA6" w:rsidRDefault="002A2EA6" w:rsidP="002A2EA6">
      <w:pPr>
        <w:pStyle w:val="NormalNonumber"/>
        <w:rPr>
          <w:lang w:val="fr-FR"/>
        </w:rPr>
      </w:pPr>
      <w:r w:rsidRPr="002A2EA6">
        <w:rPr>
          <w:iCs/>
          <w:lang w:val="fr-FR"/>
        </w:rPr>
        <w:tab/>
        <w:t>1</w:t>
      </w:r>
      <w:r w:rsidR="00796DCC">
        <w:rPr>
          <w:iCs/>
          <w:lang w:val="fr-FR"/>
        </w:rPr>
        <w:t>4</w:t>
      </w:r>
      <w:r w:rsidRPr="002A2EA6">
        <w:rPr>
          <w:iCs/>
          <w:lang w:val="fr-FR"/>
        </w:rPr>
        <w:t>.</w:t>
      </w:r>
      <w:r w:rsidRPr="002A2EA6">
        <w:rPr>
          <w:iCs/>
          <w:lang w:val="fr-FR"/>
        </w:rPr>
        <w:tab/>
      </w:r>
      <w:r w:rsidRPr="002A2EA6">
        <w:rPr>
          <w:i/>
          <w:iCs/>
          <w:lang w:val="fr-FR"/>
        </w:rPr>
        <w:t xml:space="preserve">Invite </w:t>
      </w:r>
      <w:r w:rsidRPr="002A2EA6">
        <w:rPr>
          <w:lang w:val="fr-FR"/>
        </w:rPr>
        <w:t>les Parties et les non-Parties à la Convention et les autres intéressés en mesure de le faire à contribuer au Fonds d</w:t>
      </w:r>
      <w:r w:rsidR="00CA4DAC">
        <w:rPr>
          <w:lang w:val="fr-FR"/>
        </w:rPr>
        <w:t>’</w:t>
      </w:r>
      <w:r w:rsidRPr="002A2EA6">
        <w:rPr>
          <w:lang w:val="fr-FR"/>
        </w:rPr>
        <w:t>affectation spéciale particulier pour appuyer les activités de renforcement des capacités et d</w:t>
      </w:r>
      <w:r w:rsidR="00CA4DAC">
        <w:rPr>
          <w:lang w:val="fr-FR"/>
        </w:rPr>
        <w:t>’</w:t>
      </w:r>
      <w:r w:rsidRPr="002A2EA6">
        <w:rPr>
          <w:lang w:val="fr-FR"/>
        </w:rPr>
        <w:t>assistance technique conformément à l</w:t>
      </w:r>
      <w:r w:rsidR="00CA4DAC">
        <w:rPr>
          <w:lang w:val="fr-FR"/>
        </w:rPr>
        <w:t>’</w:t>
      </w:r>
      <w:r w:rsidRPr="002A2EA6">
        <w:rPr>
          <w:lang w:val="fr-FR"/>
        </w:rPr>
        <w:t>article 13 de la Convention ;</w:t>
      </w:r>
    </w:p>
    <w:p w14:paraId="698C2F97" w14:textId="77777777" w:rsidR="002A2EA6" w:rsidRPr="002A2EA6" w:rsidRDefault="002A2EA6" w:rsidP="002A2EA6">
      <w:pPr>
        <w:pStyle w:val="CH2"/>
        <w:spacing w:before="240"/>
        <w:ind w:firstLine="0"/>
        <w:jc w:val="center"/>
        <w:rPr>
          <w:lang w:val="fr-FR"/>
        </w:rPr>
      </w:pPr>
      <w:bookmarkStart w:id="199" w:name="_Toc38526656"/>
      <w:bookmarkStart w:id="200" w:name="_Toc38526793"/>
      <w:bookmarkStart w:id="201" w:name="_Toc39063372"/>
      <w:r w:rsidRPr="002A2EA6">
        <w:rPr>
          <w:bCs/>
          <w:lang w:val="fr-FR"/>
        </w:rPr>
        <w:t>IV</w:t>
      </w:r>
      <w:bookmarkEnd w:id="199"/>
      <w:bookmarkEnd w:id="200"/>
      <w:bookmarkEnd w:id="201"/>
    </w:p>
    <w:p w14:paraId="420AB57B" w14:textId="4BA5D139" w:rsidR="002A2EA6" w:rsidRPr="002A2EA6" w:rsidRDefault="002A2EA6" w:rsidP="002A2EA6">
      <w:pPr>
        <w:pStyle w:val="CH2"/>
        <w:ind w:firstLine="0"/>
        <w:jc w:val="center"/>
        <w:rPr>
          <w:lang w:val="fr-FR"/>
        </w:rPr>
      </w:pPr>
      <w:bookmarkStart w:id="202" w:name="_Toc38526657"/>
      <w:bookmarkStart w:id="203" w:name="_Toc38526794"/>
      <w:bookmarkStart w:id="204" w:name="_Toc39063373"/>
      <w:r w:rsidRPr="002A2EA6">
        <w:rPr>
          <w:bCs/>
          <w:lang w:val="fr-FR"/>
        </w:rPr>
        <w:t>Préparatifs pour l</w:t>
      </w:r>
      <w:r w:rsidR="00CA4DAC">
        <w:rPr>
          <w:bCs/>
          <w:lang w:val="fr-FR"/>
        </w:rPr>
        <w:t>’</w:t>
      </w:r>
      <w:r w:rsidRPr="002A2EA6">
        <w:rPr>
          <w:bCs/>
          <w:lang w:val="fr-FR"/>
        </w:rPr>
        <w:t>exercice biennal 2022–2023</w:t>
      </w:r>
      <w:bookmarkEnd w:id="202"/>
      <w:bookmarkEnd w:id="203"/>
      <w:bookmarkEnd w:id="204"/>
    </w:p>
    <w:p w14:paraId="2FE112AA" w14:textId="3F081002" w:rsidR="002A2EA6" w:rsidRPr="002A2EA6" w:rsidRDefault="002A2EA6" w:rsidP="002A2EA6">
      <w:pPr>
        <w:pStyle w:val="NormalNonumber"/>
        <w:rPr>
          <w:i/>
          <w:iCs/>
          <w:lang w:val="fr-FR"/>
        </w:rPr>
      </w:pPr>
      <w:r w:rsidRPr="002A2EA6">
        <w:rPr>
          <w:iCs/>
          <w:lang w:val="fr-FR"/>
        </w:rPr>
        <w:tab/>
        <w:t>1</w:t>
      </w:r>
      <w:r w:rsidR="00796DCC">
        <w:rPr>
          <w:iCs/>
          <w:lang w:val="fr-FR"/>
        </w:rPr>
        <w:t>5</w:t>
      </w:r>
      <w:r w:rsidRPr="002A2EA6">
        <w:rPr>
          <w:iCs/>
          <w:lang w:val="fr-FR"/>
        </w:rPr>
        <w:t>.</w:t>
      </w:r>
      <w:r w:rsidRPr="002A2EA6">
        <w:rPr>
          <w:iCs/>
          <w:lang w:val="fr-FR"/>
        </w:rPr>
        <w:tab/>
      </w:r>
      <w:r w:rsidRPr="002A2EA6">
        <w:rPr>
          <w:i/>
          <w:iCs/>
          <w:lang w:val="fr-FR"/>
        </w:rPr>
        <w:t xml:space="preserve">Prie </w:t>
      </w:r>
      <w:r w:rsidRPr="002A2EA6">
        <w:rPr>
          <w:lang w:val="fr-FR"/>
        </w:rPr>
        <w:t>la Secrétaire exécutive d</w:t>
      </w:r>
      <w:r w:rsidR="00CA4DAC">
        <w:rPr>
          <w:lang w:val="fr-FR"/>
        </w:rPr>
        <w:t>’</w:t>
      </w:r>
      <w:r w:rsidRPr="002A2EA6">
        <w:rPr>
          <w:lang w:val="fr-FR"/>
        </w:rPr>
        <w:t>établir un projet de budget pour l</w:t>
      </w:r>
      <w:r w:rsidR="00CA4DAC">
        <w:rPr>
          <w:lang w:val="fr-FR"/>
        </w:rPr>
        <w:t>’</w:t>
      </w:r>
      <w:r w:rsidRPr="002A2EA6">
        <w:rPr>
          <w:lang w:val="fr-FR"/>
        </w:rPr>
        <w:t>exercic</w:t>
      </w:r>
      <w:r w:rsidR="002321A6">
        <w:rPr>
          <w:lang w:val="fr-FR"/>
        </w:rPr>
        <w:t xml:space="preserve">e </w:t>
      </w:r>
      <w:r w:rsidR="002321A6">
        <w:rPr>
          <w:lang w:val="fr-FR"/>
        </w:rPr>
        <w:br/>
      </w:r>
      <w:r w:rsidRPr="002A2EA6">
        <w:rPr>
          <w:lang w:val="fr-FR"/>
        </w:rPr>
        <w:t>biennal 2022–2023, qu</w:t>
      </w:r>
      <w:r w:rsidR="00CA4DAC">
        <w:rPr>
          <w:lang w:val="fr-FR"/>
        </w:rPr>
        <w:t>’</w:t>
      </w:r>
      <w:r w:rsidRPr="002A2EA6">
        <w:rPr>
          <w:lang w:val="fr-FR"/>
        </w:rPr>
        <w:t>elle examinera à sa quatrième réunion en 2021, en expliquant les principes fondamentaux, les hypothèses et la stratégie de programmation sur lesquels repose ce budget et en présentant les dépenses pour cet exercice biennal par programme et par activité inscrite au budget, chaque activité étant accompagnée d</w:t>
      </w:r>
      <w:r w:rsidR="00CA4DAC">
        <w:rPr>
          <w:lang w:val="fr-FR"/>
        </w:rPr>
        <w:t>’</w:t>
      </w:r>
      <w:r w:rsidRPr="002A2EA6">
        <w:rPr>
          <w:lang w:val="fr-FR"/>
        </w:rPr>
        <w:t>une fiche d</w:t>
      </w:r>
      <w:r w:rsidR="00CA4DAC">
        <w:rPr>
          <w:lang w:val="fr-FR"/>
        </w:rPr>
        <w:t>’</w:t>
      </w:r>
      <w:r w:rsidRPr="002A2EA6">
        <w:rPr>
          <w:lang w:val="fr-FR"/>
        </w:rPr>
        <w:t>information ;</w:t>
      </w:r>
    </w:p>
    <w:p w14:paraId="6895DB92" w14:textId="0CA7CDFC" w:rsidR="002A2EA6" w:rsidRPr="002A2EA6" w:rsidRDefault="002A2EA6" w:rsidP="002A2EA6">
      <w:pPr>
        <w:pStyle w:val="NormalNonumber"/>
        <w:rPr>
          <w:lang w:val="fr-FR"/>
        </w:rPr>
      </w:pPr>
      <w:r w:rsidRPr="002A2EA6">
        <w:rPr>
          <w:iCs/>
          <w:lang w:val="fr-FR"/>
        </w:rPr>
        <w:tab/>
        <w:t>1</w:t>
      </w:r>
      <w:r w:rsidR="00796DCC">
        <w:rPr>
          <w:iCs/>
          <w:lang w:val="fr-FR"/>
        </w:rPr>
        <w:t>6</w:t>
      </w:r>
      <w:r w:rsidRPr="002A2EA6">
        <w:rPr>
          <w:iCs/>
          <w:lang w:val="fr-FR"/>
        </w:rPr>
        <w:t>.</w:t>
      </w:r>
      <w:r w:rsidRPr="002A2EA6">
        <w:rPr>
          <w:iCs/>
          <w:lang w:val="fr-FR"/>
        </w:rPr>
        <w:tab/>
      </w:r>
      <w:r w:rsidRPr="002A2EA6">
        <w:rPr>
          <w:i/>
          <w:iCs/>
          <w:lang w:val="fr-FR"/>
        </w:rPr>
        <w:t>Prie</w:t>
      </w:r>
      <w:r w:rsidRPr="002A2EA6">
        <w:rPr>
          <w:i/>
          <w:lang w:val="fr-FR"/>
        </w:rPr>
        <w:t xml:space="preserve"> également</w:t>
      </w:r>
      <w:r w:rsidRPr="002A2EA6">
        <w:rPr>
          <w:lang w:val="fr-FR"/>
        </w:rPr>
        <w:t xml:space="preserve"> la Secrétaire exécutive, lors de l</w:t>
      </w:r>
      <w:r w:rsidR="00CA4DAC">
        <w:rPr>
          <w:lang w:val="fr-FR"/>
        </w:rPr>
        <w:t>’</w:t>
      </w:r>
      <w:r w:rsidRPr="002A2EA6">
        <w:rPr>
          <w:lang w:val="fr-FR"/>
        </w:rPr>
        <w:t>établissement du budget et du programme de travail pour l</w:t>
      </w:r>
      <w:r w:rsidR="00CA4DAC">
        <w:rPr>
          <w:lang w:val="fr-FR"/>
        </w:rPr>
        <w:t>’</w:t>
      </w:r>
      <w:r w:rsidRPr="002A2EA6">
        <w:rPr>
          <w:lang w:val="fr-FR"/>
        </w:rPr>
        <w:t>exercice biennal 2022–2023, de présenter deux scénarios dont :</w:t>
      </w:r>
    </w:p>
    <w:p w14:paraId="58156BBF" w14:textId="77777777" w:rsidR="002A2EA6" w:rsidRPr="002A2EA6" w:rsidRDefault="002A2EA6" w:rsidP="002A2EA6">
      <w:pPr>
        <w:pStyle w:val="NormalNonumber"/>
        <w:rPr>
          <w:lang w:val="fr-FR"/>
        </w:rPr>
      </w:pPr>
      <w:r w:rsidRPr="002A2EA6">
        <w:rPr>
          <w:lang w:val="fr-FR"/>
        </w:rPr>
        <w:tab/>
        <w:t>a)</w:t>
      </w:r>
      <w:r w:rsidRPr="002A2EA6">
        <w:rPr>
          <w:lang w:val="fr-FR"/>
        </w:rPr>
        <w:tab/>
        <w:t>Un maintenant le budget opérationnel à son niveau de 2020–2021 en valeur nominale ;</w:t>
      </w:r>
    </w:p>
    <w:p w14:paraId="48D353F4" w14:textId="15B4429D" w:rsidR="002A2EA6" w:rsidRPr="002A2EA6" w:rsidRDefault="002A2EA6" w:rsidP="002A2EA6">
      <w:pPr>
        <w:pStyle w:val="NormalNonumber"/>
        <w:rPr>
          <w:lang w:val="fr-FR"/>
        </w:rPr>
      </w:pPr>
      <w:r w:rsidRPr="002A2EA6">
        <w:rPr>
          <w:lang w:val="fr-FR"/>
        </w:rPr>
        <w:tab/>
        <w:t>b)</w:t>
      </w:r>
      <w:r w:rsidRPr="002A2EA6">
        <w:rPr>
          <w:lang w:val="fr-FR"/>
        </w:rPr>
        <w:tab/>
        <w:t>Un faisant apparaître les changements qu</w:t>
      </w:r>
      <w:r w:rsidR="00CA4DAC">
        <w:rPr>
          <w:lang w:val="fr-FR"/>
        </w:rPr>
        <w:t>’</w:t>
      </w:r>
      <w:r w:rsidRPr="002A2EA6">
        <w:rPr>
          <w:lang w:val="fr-FR"/>
        </w:rPr>
        <w:t>il faudrait apporter au scénario visé ci-dessus pour répondre aux besoins prévus ainsi que les coûts ou économies correspondants, qui ne devraient pas représenter, en valeur nominale, une hausse de plus de 5 % par rapport au budget de l</w:t>
      </w:r>
      <w:r w:rsidR="00CA4DAC">
        <w:rPr>
          <w:lang w:val="fr-FR"/>
        </w:rPr>
        <w:t>’</w:t>
      </w:r>
      <w:r w:rsidRPr="002A2EA6">
        <w:rPr>
          <w:lang w:val="fr-FR"/>
        </w:rPr>
        <w:t>exercice biennal 2020–2021 ;</w:t>
      </w:r>
    </w:p>
    <w:p w14:paraId="6E48A21C" w14:textId="17CB3FC6" w:rsidR="002A2EA6" w:rsidRPr="002A2EA6" w:rsidRDefault="002A2EA6" w:rsidP="002A2EA6">
      <w:pPr>
        <w:pStyle w:val="NormalNonumber"/>
        <w:rPr>
          <w:lang w:val="fr-FR"/>
        </w:rPr>
      </w:pPr>
      <w:r w:rsidRPr="002A2EA6">
        <w:rPr>
          <w:lang w:val="fr-FR"/>
        </w:rPr>
        <w:tab/>
        <w:t>1</w:t>
      </w:r>
      <w:r w:rsidR="008E66E5">
        <w:rPr>
          <w:lang w:val="fr-FR"/>
        </w:rPr>
        <w:t>7</w:t>
      </w:r>
      <w:r w:rsidRPr="002A2EA6">
        <w:rPr>
          <w:lang w:val="fr-FR"/>
        </w:rPr>
        <w:t>.</w:t>
      </w:r>
      <w:r w:rsidRPr="002A2EA6">
        <w:rPr>
          <w:lang w:val="fr-FR"/>
        </w:rPr>
        <w:tab/>
      </w:r>
      <w:r w:rsidRPr="002A2EA6">
        <w:rPr>
          <w:i/>
          <w:iCs/>
          <w:lang w:val="fr-FR"/>
        </w:rPr>
        <w:t xml:space="preserve">Souligne </w:t>
      </w:r>
      <w:r w:rsidRPr="002A2EA6">
        <w:rPr>
          <w:lang w:val="fr-FR"/>
        </w:rPr>
        <w:t>qu</w:t>
      </w:r>
      <w:r w:rsidR="00CA4DAC">
        <w:rPr>
          <w:lang w:val="fr-FR"/>
        </w:rPr>
        <w:t>’</w:t>
      </w:r>
      <w:r w:rsidRPr="002A2EA6">
        <w:rPr>
          <w:lang w:val="fr-FR"/>
        </w:rPr>
        <w:t>il faut veiller à ce que les propositions budgétaires soient réalistes et reflètent les priorités déterminées par l</w:t>
      </w:r>
      <w:r w:rsidR="00CA4DAC">
        <w:rPr>
          <w:lang w:val="fr-FR"/>
        </w:rPr>
        <w:t>’</w:t>
      </w:r>
      <w:r w:rsidRPr="002A2EA6">
        <w:rPr>
          <w:lang w:val="fr-FR"/>
        </w:rPr>
        <w:t>ensemble des Parties dans le but d</w:t>
      </w:r>
      <w:r w:rsidR="00CA4DAC">
        <w:rPr>
          <w:lang w:val="fr-FR"/>
        </w:rPr>
        <w:t>’</w:t>
      </w:r>
      <w:r w:rsidRPr="002A2EA6">
        <w:rPr>
          <w:lang w:val="fr-FR"/>
        </w:rPr>
        <w:t>assurer la viabilité et la stabilité du Fonds ainsi que du solde de trésorerie, y compris les contributions</w:t>
      </w:r>
      <w:r w:rsidR="00A90268">
        <w:rPr>
          <w:lang w:val="fr-FR"/>
        </w:rPr>
        <w:t xml:space="preserve"> reçues</w:t>
      </w:r>
      <w:r w:rsidRPr="002A2EA6">
        <w:rPr>
          <w:lang w:val="fr-FR"/>
        </w:rPr>
        <w:t> ;</w:t>
      </w:r>
    </w:p>
    <w:p w14:paraId="738010A4" w14:textId="5589CF6C" w:rsidR="002A2EA6" w:rsidRPr="002A2EA6" w:rsidRDefault="002A2EA6" w:rsidP="002A2EA6">
      <w:pPr>
        <w:pStyle w:val="NormalNonumber"/>
        <w:rPr>
          <w:lang w:val="fr-FR"/>
        </w:rPr>
      </w:pPr>
      <w:r w:rsidRPr="002A2EA6">
        <w:rPr>
          <w:lang w:val="fr-FR"/>
        </w:rPr>
        <w:tab/>
        <w:t>1</w:t>
      </w:r>
      <w:r w:rsidR="008E66E5">
        <w:rPr>
          <w:lang w:val="fr-FR"/>
        </w:rPr>
        <w:t>8</w:t>
      </w:r>
      <w:r w:rsidRPr="002A2EA6">
        <w:rPr>
          <w:lang w:val="fr-FR"/>
        </w:rPr>
        <w:t>.</w:t>
      </w:r>
      <w:r w:rsidRPr="002A2EA6">
        <w:rPr>
          <w:lang w:val="fr-FR"/>
        </w:rPr>
        <w:tab/>
      </w:r>
      <w:r w:rsidRPr="002A2EA6">
        <w:rPr>
          <w:i/>
          <w:iCs/>
          <w:lang w:val="fr-FR"/>
        </w:rPr>
        <w:t>Prie</w:t>
      </w:r>
      <w:r w:rsidRPr="002A2EA6">
        <w:rPr>
          <w:lang w:val="fr-FR"/>
        </w:rPr>
        <w:t xml:space="preserve"> la Secrétaire exécutive, agissant en application du paragraphe 8 de l</w:t>
      </w:r>
      <w:r w:rsidR="00CA4DAC">
        <w:rPr>
          <w:lang w:val="fr-FR"/>
        </w:rPr>
        <w:t>’</w:t>
      </w:r>
      <w:r w:rsidRPr="002A2EA6">
        <w:rPr>
          <w:lang w:val="fr-FR"/>
        </w:rPr>
        <w:t>article 5 des Règles de gestion financière, d</w:t>
      </w:r>
      <w:r w:rsidR="00CA4DAC">
        <w:rPr>
          <w:lang w:val="fr-FR"/>
        </w:rPr>
        <w:t>’</w:t>
      </w:r>
      <w:r w:rsidRPr="002A2EA6">
        <w:rPr>
          <w:lang w:val="fr-FR"/>
        </w:rPr>
        <w:t>accuser réception sans retard de toutes les annonces de contributions et de toutes les contributions acquittées et d</w:t>
      </w:r>
      <w:r w:rsidR="00CA4DAC">
        <w:rPr>
          <w:lang w:val="fr-FR"/>
        </w:rPr>
        <w:t>’</w:t>
      </w:r>
      <w:r w:rsidRPr="002A2EA6">
        <w:rPr>
          <w:lang w:val="fr-FR"/>
        </w:rPr>
        <w:t>en informer les Parties par la publication d</w:t>
      </w:r>
      <w:r w:rsidR="00CA4DAC">
        <w:rPr>
          <w:lang w:val="fr-FR"/>
        </w:rPr>
        <w:t>’</w:t>
      </w:r>
      <w:r w:rsidRPr="002A2EA6">
        <w:rPr>
          <w:lang w:val="fr-FR"/>
        </w:rPr>
        <w:t>informations actualisées sur l</w:t>
      </w:r>
      <w:r w:rsidR="00CA4DAC">
        <w:rPr>
          <w:lang w:val="fr-FR"/>
        </w:rPr>
        <w:t>’</w:t>
      </w:r>
      <w:r w:rsidRPr="002A2EA6">
        <w:rPr>
          <w:lang w:val="fr-FR"/>
        </w:rPr>
        <w:t>état des contributions annoncées et acquittées sur le site Web de la Convention, et la prie également de fournir des informations détaillées et actualisées sur les recettes et les dépenses effectives des trois fonds ;</w:t>
      </w:r>
    </w:p>
    <w:p w14:paraId="130B692E" w14:textId="70B0EF75" w:rsidR="002A2EA6" w:rsidRPr="002A2EA6" w:rsidRDefault="002A2EA6" w:rsidP="002A2EA6">
      <w:pPr>
        <w:ind w:left="1260"/>
      </w:pPr>
      <w:r w:rsidRPr="002A2EA6">
        <w:tab/>
        <w:t>1</w:t>
      </w:r>
      <w:r w:rsidR="008E66E5">
        <w:t>9</w:t>
      </w:r>
      <w:r w:rsidRPr="002A2EA6">
        <w:t>.</w:t>
      </w:r>
      <w:r w:rsidRPr="002A2EA6">
        <w:tab/>
      </w:r>
      <w:r w:rsidRPr="002A2EA6">
        <w:rPr>
          <w:i/>
          <w:iCs/>
        </w:rPr>
        <w:t xml:space="preserve">Prie également </w:t>
      </w:r>
      <w:r w:rsidRPr="002A2EA6">
        <w:t>la Secrétaire exécutive de lui communiquer, à ses réunions, s</w:t>
      </w:r>
      <w:r w:rsidR="00CA4DAC">
        <w:t>’</w:t>
      </w:r>
      <w:r w:rsidRPr="002A2EA6">
        <w:t>il y a lieu, une estimation du coût des activités ayant des incidences budgétaires qui ne sont pas prévues dans le projet de programme de travail mais qui figurent dans les projets de décision proposés, avant qu</w:t>
      </w:r>
      <w:r w:rsidR="00CA4DAC">
        <w:t>’</w:t>
      </w:r>
      <w:r w:rsidRPr="002A2EA6">
        <w:t>elle n</w:t>
      </w:r>
      <w:r w:rsidR="00CA4DAC">
        <w:t>’</w:t>
      </w:r>
      <w:r w:rsidRPr="002A2EA6">
        <w:t>adopte ces décisions.</w:t>
      </w:r>
    </w:p>
    <w:p w14:paraId="107934E8" w14:textId="67C2D809" w:rsidR="002A2EA6" w:rsidRPr="002A2EA6" w:rsidRDefault="002A2EA6" w:rsidP="00077F8F">
      <w:pPr>
        <w:pStyle w:val="Titletable"/>
        <w:tabs>
          <w:tab w:val="clear" w:pos="1247"/>
        </w:tabs>
        <w:rPr>
          <w:rFonts w:eastAsia="SimSun"/>
        </w:rPr>
      </w:pPr>
      <w:bookmarkStart w:id="205" w:name="_Toc38526658"/>
      <w:bookmarkStart w:id="206" w:name="_Toc38526795"/>
      <w:r w:rsidRPr="00077F8F">
        <w:rPr>
          <w:b w:val="0"/>
          <w:bCs w:val="0"/>
        </w:rPr>
        <w:lastRenderedPageBreak/>
        <w:t>Tableau 1</w:t>
      </w:r>
      <w:bookmarkEnd w:id="205"/>
      <w:bookmarkEnd w:id="206"/>
      <w:r w:rsidR="00077F8F" w:rsidRPr="00077F8F">
        <w:rPr>
          <w:b w:val="0"/>
          <w:bCs w:val="0"/>
        </w:rPr>
        <w:t xml:space="preserve"> </w:t>
      </w:r>
      <w:r w:rsidR="00077F8F" w:rsidRPr="00077F8F">
        <w:rPr>
          <w:b w:val="0"/>
          <w:bCs w:val="0"/>
        </w:rPr>
        <w:br/>
      </w:r>
      <w:bookmarkStart w:id="207" w:name="_Toc38526659"/>
      <w:bookmarkStart w:id="208" w:name="_Toc38526796"/>
      <w:r w:rsidRPr="002A2EA6">
        <w:t>Programme de travail et budget de l</w:t>
      </w:r>
      <w:r w:rsidR="00CA4DAC">
        <w:t>’</w:t>
      </w:r>
      <w:r w:rsidRPr="002A2EA6">
        <w:t>exercice biennal 2020–2021</w:t>
      </w:r>
      <w:bookmarkEnd w:id="207"/>
      <w:bookmarkEnd w:id="208"/>
    </w:p>
    <w:p w14:paraId="14EF6700" w14:textId="77777777" w:rsidR="002A2EA6" w:rsidRPr="002321A6" w:rsidRDefault="002A2EA6" w:rsidP="002321A6">
      <w:pPr>
        <w:pStyle w:val="Titletable"/>
        <w:rPr>
          <w:rFonts w:eastAsia="SimSun"/>
          <w:b w:val="0"/>
          <w:bCs w:val="0"/>
          <w:sz w:val="18"/>
          <w:szCs w:val="18"/>
          <w:lang w:val="fr-FR"/>
        </w:rPr>
      </w:pPr>
      <w:bookmarkStart w:id="209" w:name="_DV_C1717"/>
      <w:r w:rsidRPr="002321A6">
        <w:rPr>
          <w:b w:val="0"/>
          <w:bCs w:val="0"/>
          <w:sz w:val="18"/>
          <w:szCs w:val="18"/>
          <w:lang w:val="fr-FR"/>
        </w:rPr>
        <w:t>(En dollars des États-Unis)</w:t>
      </w:r>
      <w:bookmarkEnd w:id="209"/>
    </w:p>
    <w:tbl>
      <w:tblPr>
        <w:tblW w:w="5000" w:type="pct"/>
        <w:jc w:val="right"/>
        <w:shd w:val="clear" w:color="auto" w:fill="FFFFFF" w:themeFill="background1"/>
        <w:tblLook w:val="0000" w:firstRow="0" w:lastRow="0" w:firstColumn="0" w:lastColumn="0" w:noHBand="0" w:noVBand="0"/>
      </w:tblPr>
      <w:tblGrid>
        <w:gridCol w:w="1109"/>
        <w:gridCol w:w="3430"/>
        <w:gridCol w:w="1266"/>
        <w:gridCol w:w="1397"/>
        <w:gridCol w:w="1158"/>
        <w:gridCol w:w="1136"/>
      </w:tblGrid>
      <w:tr w:rsidR="002A2EA6" w:rsidRPr="002A2EA6" w14:paraId="121D9393" w14:textId="77777777" w:rsidTr="002321A6">
        <w:trPr>
          <w:trHeight w:val="358"/>
          <w:tblHeader/>
          <w:jc w:val="right"/>
        </w:trPr>
        <w:tc>
          <w:tcPr>
            <w:tcW w:w="1134" w:type="dxa"/>
            <w:tcBorders>
              <w:top w:val="single" w:sz="4" w:space="0" w:color="000000"/>
              <w:left w:val="nil"/>
              <w:bottom w:val="nil"/>
              <w:right w:val="nil"/>
            </w:tcBorders>
            <w:shd w:val="clear" w:color="auto" w:fill="FFFFFF" w:themeFill="background1"/>
          </w:tcPr>
          <w:p w14:paraId="3F4F1FC0" w14:textId="79EA561E" w:rsidR="002A2EA6" w:rsidRPr="002321A6" w:rsidRDefault="002A2EA6" w:rsidP="002A2EA6">
            <w:pPr>
              <w:tabs>
                <w:tab w:val="clear" w:pos="1247"/>
                <w:tab w:val="clear" w:pos="1814"/>
                <w:tab w:val="clear" w:pos="2381"/>
                <w:tab w:val="clear" w:pos="2948"/>
                <w:tab w:val="clear" w:pos="3515"/>
              </w:tabs>
              <w:spacing w:before="40" w:after="40"/>
              <w:ind w:left="-105"/>
              <w:rPr>
                <w:rFonts w:eastAsia="SimSun"/>
                <w:i/>
                <w:noProof/>
                <w:sz w:val="18"/>
                <w:szCs w:val="18"/>
              </w:rPr>
            </w:pPr>
            <w:r w:rsidRPr="002321A6">
              <w:rPr>
                <w:rFonts w:eastAsia="SimSun"/>
                <w:i/>
                <w:noProof/>
                <w:sz w:val="18"/>
                <w:szCs w:val="18"/>
              </w:rPr>
              <w:t>No. d</w:t>
            </w:r>
            <w:r w:rsidR="00CA4DAC">
              <w:rPr>
                <w:rFonts w:eastAsia="SimSun"/>
                <w:i/>
                <w:noProof/>
                <w:sz w:val="18"/>
                <w:szCs w:val="18"/>
              </w:rPr>
              <w:t>’</w:t>
            </w:r>
            <w:r w:rsidRPr="002321A6">
              <w:rPr>
                <w:rFonts w:eastAsia="SimSun"/>
                <w:i/>
                <w:noProof/>
                <w:sz w:val="18"/>
                <w:szCs w:val="18"/>
              </w:rPr>
              <w:t xml:space="preserve">activité </w:t>
            </w:r>
          </w:p>
        </w:tc>
        <w:tc>
          <w:tcPr>
            <w:tcW w:w="3543" w:type="dxa"/>
            <w:tcBorders>
              <w:top w:val="single" w:sz="4" w:space="0" w:color="000000"/>
              <w:left w:val="nil"/>
              <w:bottom w:val="nil"/>
              <w:right w:val="nil"/>
            </w:tcBorders>
            <w:shd w:val="clear" w:color="auto" w:fill="FFFFFF" w:themeFill="background1"/>
          </w:tcPr>
          <w:p w14:paraId="5981DDCB"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0" w:name="_DV_C1719"/>
            <w:r w:rsidRPr="002321A6">
              <w:rPr>
                <w:i/>
                <w:iCs/>
                <w:sz w:val="18"/>
                <w:szCs w:val="18"/>
              </w:rPr>
              <w:t>Activité</w:t>
            </w:r>
            <w:bookmarkEnd w:id="210"/>
          </w:p>
        </w:tc>
        <w:tc>
          <w:tcPr>
            <w:tcW w:w="2694" w:type="dxa"/>
            <w:gridSpan w:val="2"/>
            <w:tcBorders>
              <w:top w:val="single" w:sz="4" w:space="0" w:color="000000"/>
              <w:left w:val="nil"/>
              <w:bottom w:val="nil"/>
              <w:right w:val="nil"/>
            </w:tcBorders>
            <w:shd w:val="clear" w:color="auto" w:fill="FFFFFF" w:themeFill="background1"/>
          </w:tcPr>
          <w:p w14:paraId="662694C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1" w:name="_DV_C1720"/>
            <w:r w:rsidRPr="002321A6">
              <w:rPr>
                <w:i/>
                <w:iCs/>
                <w:sz w:val="18"/>
                <w:szCs w:val="18"/>
              </w:rPr>
              <w:t>(2020)</w:t>
            </w:r>
            <w:bookmarkEnd w:id="211"/>
          </w:p>
        </w:tc>
        <w:tc>
          <w:tcPr>
            <w:tcW w:w="2260" w:type="dxa"/>
            <w:gridSpan w:val="2"/>
            <w:tcBorders>
              <w:top w:val="single" w:sz="4" w:space="0" w:color="000000"/>
              <w:left w:val="nil"/>
              <w:bottom w:val="nil"/>
              <w:right w:val="nil"/>
            </w:tcBorders>
            <w:shd w:val="clear" w:color="auto" w:fill="FFFFFF" w:themeFill="background1"/>
          </w:tcPr>
          <w:p w14:paraId="7127776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2" w:name="_DV_C1721"/>
            <w:r w:rsidRPr="002321A6">
              <w:rPr>
                <w:i/>
                <w:iCs/>
                <w:sz w:val="18"/>
                <w:szCs w:val="18"/>
              </w:rPr>
              <w:t>(2021)</w:t>
            </w:r>
            <w:bookmarkEnd w:id="212"/>
          </w:p>
        </w:tc>
      </w:tr>
      <w:tr w:rsidR="002A2EA6" w:rsidRPr="002A2EA6" w14:paraId="0AD32F40" w14:textId="77777777" w:rsidTr="002321A6">
        <w:trPr>
          <w:trHeight w:val="57"/>
          <w:tblHeader/>
          <w:jc w:val="right"/>
        </w:trPr>
        <w:tc>
          <w:tcPr>
            <w:tcW w:w="1134" w:type="dxa"/>
            <w:tcBorders>
              <w:top w:val="nil"/>
              <w:left w:val="nil"/>
              <w:bottom w:val="single" w:sz="12" w:space="0" w:color="000000"/>
              <w:right w:val="nil"/>
            </w:tcBorders>
            <w:shd w:val="clear" w:color="auto" w:fill="FFFFFF" w:themeFill="background1"/>
          </w:tcPr>
          <w:p w14:paraId="13B3355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nil"/>
              <w:left w:val="nil"/>
              <w:bottom w:val="single" w:sz="12" w:space="0" w:color="000000"/>
              <w:right w:val="nil"/>
            </w:tcBorders>
            <w:shd w:val="clear" w:color="auto" w:fill="FFFFFF" w:themeFill="background1"/>
          </w:tcPr>
          <w:p w14:paraId="5D12E4C9"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rFonts w:eastAsia="SimSun"/>
                <w:b/>
                <w:sz w:val="18"/>
                <w:szCs w:val="18"/>
              </w:rPr>
              <w:t xml:space="preserve"> </w:t>
            </w:r>
          </w:p>
        </w:tc>
        <w:tc>
          <w:tcPr>
            <w:tcW w:w="1276" w:type="dxa"/>
            <w:tcBorders>
              <w:top w:val="nil"/>
              <w:left w:val="nil"/>
              <w:bottom w:val="single" w:sz="12" w:space="0" w:color="000000"/>
              <w:right w:val="nil"/>
            </w:tcBorders>
            <w:shd w:val="clear" w:color="auto" w:fill="FFFFFF" w:themeFill="background1"/>
          </w:tcPr>
          <w:p w14:paraId="38DFCF1B" w14:textId="6EE0D342"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3" w:name="_DV_C1722"/>
            <w:r w:rsidRPr="002321A6">
              <w:rPr>
                <w:i/>
                <w:iCs/>
                <w:sz w:val="18"/>
                <w:szCs w:val="18"/>
              </w:rPr>
              <w:t>Fonds d</w:t>
            </w:r>
            <w:r w:rsidR="00CA4DAC">
              <w:rPr>
                <w:i/>
                <w:iCs/>
                <w:sz w:val="18"/>
                <w:szCs w:val="18"/>
              </w:rPr>
              <w:t>’</w:t>
            </w:r>
            <w:r w:rsidRPr="002321A6">
              <w:rPr>
                <w:i/>
                <w:iCs/>
                <w:sz w:val="18"/>
                <w:szCs w:val="18"/>
              </w:rPr>
              <w:t>affectation spéciale général</w:t>
            </w:r>
            <w:bookmarkEnd w:id="213"/>
          </w:p>
        </w:tc>
        <w:tc>
          <w:tcPr>
            <w:tcW w:w="1418" w:type="dxa"/>
            <w:tcBorders>
              <w:top w:val="nil"/>
              <w:left w:val="nil"/>
              <w:bottom w:val="single" w:sz="12" w:space="0" w:color="000000"/>
              <w:right w:val="nil"/>
            </w:tcBorders>
            <w:shd w:val="clear" w:color="auto" w:fill="FFFFFF" w:themeFill="background1"/>
          </w:tcPr>
          <w:p w14:paraId="7D1921B6" w14:textId="25E766DA"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4" w:name="_DV_C1723"/>
            <w:r w:rsidRPr="002321A6">
              <w:rPr>
                <w:i/>
                <w:iCs/>
                <w:sz w:val="18"/>
                <w:szCs w:val="18"/>
              </w:rPr>
              <w:t>Fonds d</w:t>
            </w:r>
            <w:r w:rsidR="00CA4DAC">
              <w:rPr>
                <w:i/>
                <w:iCs/>
                <w:sz w:val="18"/>
                <w:szCs w:val="18"/>
              </w:rPr>
              <w:t>’</w:t>
            </w:r>
            <w:r w:rsidRPr="002321A6">
              <w:rPr>
                <w:i/>
                <w:iCs/>
                <w:sz w:val="18"/>
                <w:szCs w:val="18"/>
              </w:rPr>
              <w:t xml:space="preserve">affectation spéciale </w:t>
            </w:r>
            <w:bookmarkEnd w:id="214"/>
            <w:r w:rsidRPr="002321A6">
              <w:rPr>
                <w:i/>
                <w:iCs/>
                <w:sz w:val="18"/>
                <w:szCs w:val="18"/>
              </w:rPr>
              <w:t>à des</w:t>
            </w:r>
            <w:r w:rsidR="002321A6">
              <w:rPr>
                <w:i/>
                <w:iCs/>
                <w:sz w:val="18"/>
                <w:szCs w:val="18"/>
              </w:rPr>
              <w:t> </w:t>
            </w:r>
            <w:r w:rsidRPr="002321A6">
              <w:rPr>
                <w:i/>
                <w:iCs/>
                <w:sz w:val="18"/>
                <w:szCs w:val="18"/>
              </w:rPr>
              <w:t>fins déterminées</w:t>
            </w:r>
          </w:p>
        </w:tc>
        <w:tc>
          <w:tcPr>
            <w:tcW w:w="1160" w:type="dxa"/>
            <w:tcBorders>
              <w:top w:val="nil"/>
              <w:left w:val="nil"/>
              <w:bottom w:val="single" w:sz="12" w:space="0" w:color="000000"/>
              <w:right w:val="nil"/>
            </w:tcBorders>
            <w:shd w:val="clear" w:color="auto" w:fill="FFFFFF" w:themeFill="background1"/>
          </w:tcPr>
          <w:p w14:paraId="482F3A54" w14:textId="7098EF81"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5" w:name="_DV_C1724"/>
            <w:r w:rsidRPr="002321A6">
              <w:rPr>
                <w:i/>
                <w:iCs/>
                <w:sz w:val="18"/>
                <w:szCs w:val="18"/>
              </w:rPr>
              <w:t>Fonds d</w:t>
            </w:r>
            <w:r w:rsidR="00CA4DAC">
              <w:rPr>
                <w:i/>
                <w:iCs/>
                <w:sz w:val="18"/>
                <w:szCs w:val="18"/>
              </w:rPr>
              <w:t>’</w:t>
            </w:r>
            <w:r w:rsidRPr="002321A6">
              <w:rPr>
                <w:i/>
                <w:iCs/>
                <w:sz w:val="18"/>
                <w:szCs w:val="18"/>
              </w:rPr>
              <w:t>affectation spéciale général</w:t>
            </w:r>
            <w:bookmarkEnd w:id="215"/>
          </w:p>
        </w:tc>
        <w:tc>
          <w:tcPr>
            <w:tcW w:w="1100" w:type="dxa"/>
            <w:tcBorders>
              <w:top w:val="nil"/>
              <w:left w:val="nil"/>
              <w:bottom w:val="single" w:sz="12" w:space="0" w:color="000000"/>
              <w:right w:val="nil"/>
            </w:tcBorders>
            <w:shd w:val="clear" w:color="auto" w:fill="FFFFFF" w:themeFill="background1"/>
          </w:tcPr>
          <w:p w14:paraId="56DD820E" w14:textId="448EB068"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i/>
                <w:sz w:val="18"/>
                <w:szCs w:val="18"/>
              </w:rPr>
            </w:pPr>
            <w:bookmarkStart w:id="216" w:name="_DV_C1725"/>
            <w:r w:rsidRPr="002321A6">
              <w:rPr>
                <w:i/>
                <w:iCs/>
                <w:sz w:val="18"/>
                <w:szCs w:val="18"/>
              </w:rPr>
              <w:t>Fonds d</w:t>
            </w:r>
            <w:r w:rsidR="00CA4DAC">
              <w:rPr>
                <w:i/>
                <w:iCs/>
                <w:sz w:val="18"/>
                <w:szCs w:val="18"/>
              </w:rPr>
              <w:t>’</w:t>
            </w:r>
            <w:r w:rsidRPr="002321A6">
              <w:rPr>
                <w:i/>
                <w:iCs/>
                <w:sz w:val="18"/>
                <w:szCs w:val="18"/>
              </w:rPr>
              <w:t>affectation spéciale à des fins déterminées</w:t>
            </w:r>
            <w:bookmarkEnd w:id="216"/>
          </w:p>
        </w:tc>
      </w:tr>
      <w:tr w:rsidR="002A2EA6" w:rsidRPr="002A2EA6" w14:paraId="6A85F076" w14:textId="77777777" w:rsidTr="002321A6">
        <w:trPr>
          <w:trHeight w:val="57"/>
          <w:jc w:val="right"/>
        </w:trPr>
        <w:tc>
          <w:tcPr>
            <w:tcW w:w="1134" w:type="dxa"/>
            <w:tcBorders>
              <w:top w:val="single" w:sz="12" w:space="0" w:color="000000"/>
              <w:left w:val="nil"/>
              <w:bottom w:val="nil"/>
              <w:right w:val="nil"/>
            </w:tcBorders>
            <w:shd w:val="clear" w:color="auto" w:fill="FFFFFF" w:themeFill="background1"/>
          </w:tcPr>
          <w:p w14:paraId="62C86DC2"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17" w:name="_DV_C1726"/>
            <w:r w:rsidRPr="002321A6">
              <w:rPr>
                <w:b/>
                <w:bCs/>
                <w:sz w:val="18"/>
                <w:szCs w:val="18"/>
              </w:rPr>
              <w:t>A.</w:t>
            </w:r>
            <w:bookmarkEnd w:id="217"/>
          </w:p>
        </w:tc>
        <w:tc>
          <w:tcPr>
            <w:tcW w:w="3543" w:type="dxa"/>
            <w:tcBorders>
              <w:top w:val="single" w:sz="12" w:space="0" w:color="000000"/>
              <w:left w:val="nil"/>
              <w:bottom w:val="nil"/>
              <w:right w:val="nil"/>
            </w:tcBorders>
            <w:shd w:val="clear" w:color="auto" w:fill="FFFFFF" w:themeFill="background1"/>
          </w:tcPr>
          <w:p w14:paraId="3E279E9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18" w:name="_DV_C1727"/>
            <w:r w:rsidRPr="002321A6">
              <w:rPr>
                <w:b/>
                <w:bCs/>
                <w:sz w:val="18"/>
                <w:szCs w:val="18"/>
              </w:rPr>
              <w:t>Conférences et réunions</w:t>
            </w:r>
            <w:bookmarkEnd w:id="218"/>
          </w:p>
        </w:tc>
        <w:tc>
          <w:tcPr>
            <w:tcW w:w="1276" w:type="dxa"/>
            <w:tcBorders>
              <w:top w:val="single" w:sz="12" w:space="0" w:color="000000"/>
              <w:left w:val="nil"/>
              <w:bottom w:val="nil"/>
              <w:right w:val="nil"/>
            </w:tcBorders>
            <w:shd w:val="clear" w:color="auto" w:fill="FFFFFF" w:themeFill="background1"/>
          </w:tcPr>
          <w:p w14:paraId="10FAFA8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12" w:space="0" w:color="000000"/>
              <w:left w:val="nil"/>
              <w:bottom w:val="nil"/>
              <w:right w:val="nil"/>
            </w:tcBorders>
            <w:shd w:val="clear" w:color="auto" w:fill="FFFFFF" w:themeFill="background1"/>
          </w:tcPr>
          <w:p w14:paraId="07696BA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12" w:space="0" w:color="000000"/>
              <w:left w:val="nil"/>
              <w:bottom w:val="nil"/>
              <w:right w:val="nil"/>
            </w:tcBorders>
            <w:shd w:val="clear" w:color="auto" w:fill="FFFFFF" w:themeFill="background1"/>
          </w:tcPr>
          <w:p w14:paraId="7252B28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12" w:space="0" w:color="000000"/>
              <w:left w:val="nil"/>
              <w:bottom w:val="nil"/>
              <w:right w:val="nil"/>
            </w:tcBorders>
            <w:shd w:val="clear" w:color="auto" w:fill="FFFFFF" w:themeFill="background1"/>
          </w:tcPr>
          <w:p w14:paraId="6997402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2C7E542C" w14:textId="77777777" w:rsidTr="002321A6">
        <w:trPr>
          <w:trHeight w:val="57"/>
          <w:jc w:val="right"/>
        </w:trPr>
        <w:tc>
          <w:tcPr>
            <w:tcW w:w="1134" w:type="dxa"/>
            <w:tcBorders>
              <w:top w:val="nil"/>
              <w:left w:val="nil"/>
              <w:bottom w:val="nil"/>
              <w:right w:val="nil"/>
            </w:tcBorders>
            <w:shd w:val="clear" w:color="auto" w:fill="FFFFFF" w:themeFill="background1"/>
          </w:tcPr>
          <w:p w14:paraId="2F66D136"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19" w:name="_DV_C1728"/>
            <w:r w:rsidRPr="002321A6">
              <w:rPr>
                <w:b/>
                <w:bCs/>
                <w:sz w:val="18"/>
                <w:szCs w:val="18"/>
              </w:rPr>
              <w:t>1</w:t>
            </w:r>
            <w:bookmarkEnd w:id="219"/>
          </w:p>
        </w:tc>
        <w:tc>
          <w:tcPr>
            <w:tcW w:w="3543" w:type="dxa"/>
            <w:tcBorders>
              <w:top w:val="nil"/>
              <w:left w:val="nil"/>
              <w:bottom w:val="nil"/>
              <w:right w:val="nil"/>
            </w:tcBorders>
            <w:shd w:val="clear" w:color="auto" w:fill="FFFFFF" w:themeFill="background1"/>
          </w:tcPr>
          <w:p w14:paraId="1674BF24"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20" w:name="_DV_C1729"/>
            <w:r w:rsidRPr="002321A6">
              <w:rPr>
                <w:b/>
                <w:bCs/>
                <w:sz w:val="18"/>
                <w:szCs w:val="18"/>
              </w:rPr>
              <w:t>Quatrième réunion de la Conférence des Parties</w:t>
            </w:r>
            <w:bookmarkEnd w:id="220"/>
          </w:p>
        </w:tc>
        <w:tc>
          <w:tcPr>
            <w:tcW w:w="1276" w:type="dxa"/>
            <w:tcBorders>
              <w:top w:val="nil"/>
              <w:left w:val="nil"/>
              <w:bottom w:val="nil"/>
              <w:right w:val="nil"/>
            </w:tcBorders>
            <w:shd w:val="clear" w:color="auto" w:fill="FFFFFF" w:themeFill="background1"/>
          </w:tcPr>
          <w:p w14:paraId="17D5763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7325B17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815072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29BF572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3A57B63A" w14:textId="77777777" w:rsidTr="002321A6">
        <w:trPr>
          <w:trHeight w:val="57"/>
          <w:jc w:val="right"/>
        </w:trPr>
        <w:tc>
          <w:tcPr>
            <w:tcW w:w="1134" w:type="dxa"/>
            <w:tcBorders>
              <w:top w:val="nil"/>
              <w:left w:val="nil"/>
              <w:bottom w:val="nil"/>
              <w:right w:val="nil"/>
            </w:tcBorders>
            <w:shd w:val="clear" w:color="auto" w:fill="FFFFFF" w:themeFill="background1"/>
          </w:tcPr>
          <w:p w14:paraId="056FE4E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30ACCE8E"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21" w:name="_DV_C1730"/>
            <w:r w:rsidRPr="002321A6">
              <w:rPr>
                <w:sz w:val="18"/>
                <w:szCs w:val="18"/>
                <w:lang w:val="fr-FR"/>
              </w:rPr>
              <w:t>1.1 Quatrième réunion</w:t>
            </w:r>
            <w:bookmarkEnd w:id="221"/>
          </w:p>
        </w:tc>
        <w:tc>
          <w:tcPr>
            <w:tcW w:w="1276" w:type="dxa"/>
            <w:tcBorders>
              <w:top w:val="nil"/>
              <w:left w:val="nil"/>
              <w:bottom w:val="nil"/>
              <w:right w:val="nil"/>
            </w:tcBorders>
            <w:shd w:val="clear" w:color="auto" w:fill="FFFFFF" w:themeFill="background1"/>
          </w:tcPr>
          <w:p w14:paraId="707CDB4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00F412E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2E85C3B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22" w:name="_DV_C1731"/>
            <w:r w:rsidRPr="002321A6">
              <w:rPr>
                <w:sz w:val="18"/>
                <w:szCs w:val="18"/>
              </w:rPr>
              <w:t xml:space="preserve">1 055 000 </w:t>
            </w:r>
            <w:bookmarkEnd w:id="222"/>
          </w:p>
        </w:tc>
        <w:tc>
          <w:tcPr>
            <w:tcW w:w="1100" w:type="dxa"/>
            <w:tcBorders>
              <w:top w:val="nil"/>
              <w:left w:val="nil"/>
              <w:bottom w:val="nil"/>
              <w:right w:val="nil"/>
            </w:tcBorders>
            <w:shd w:val="clear" w:color="auto" w:fill="FFFFFF" w:themeFill="background1"/>
          </w:tcPr>
          <w:p w14:paraId="5CB22C3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23" w:name="_DV_C1732"/>
            <w:r w:rsidRPr="002321A6">
              <w:rPr>
                <w:sz w:val="18"/>
                <w:szCs w:val="18"/>
              </w:rPr>
              <w:t xml:space="preserve">425 000 </w:t>
            </w:r>
            <w:bookmarkEnd w:id="223"/>
          </w:p>
        </w:tc>
      </w:tr>
      <w:tr w:rsidR="002A2EA6" w:rsidRPr="002A2EA6" w14:paraId="188E36F2" w14:textId="77777777" w:rsidTr="002321A6">
        <w:trPr>
          <w:trHeight w:val="57"/>
          <w:jc w:val="right"/>
        </w:trPr>
        <w:tc>
          <w:tcPr>
            <w:tcW w:w="1134" w:type="dxa"/>
            <w:tcBorders>
              <w:top w:val="nil"/>
              <w:left w:val="nil"/>
              <w:bottom w:val="nil"/>
              <w:right w:val="nil"/>
            </w:tcBorders>
            <w:shd w:val="clear" w:color="auto" w:fill="FFFFFF" w:themeFill="background1"/>
          </w:tcPr>
          <w:p w14:paraId="51F6A8AF"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7EB224B3"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24" w:name="_DV_C1733"/>
            <w:r w:rsidRPr="002321A6">
              <w:rPr>
                <w:sz w:val="18"/>
                <w:szCs w:val="18"/>
                <w:lang w:val="fr-FR"/>
              </w:rPr>
              <w:t>1.2 Réunions préparatoires régionales</w:t>
            </w:r>
            <w:bookmarkEnd w:id="224"/>
          </w:p>
        </w:tc>
        <w:tc>
          <w:tcPr>
            <w:tcW w:w="1276" w:type="dxa"/>
            <w:tcBorders>
              <w:top w:val="nil"/>
              <w:left w:val="nil"/>
              <w:bottom w:val="nil"/>
              <w:right w:val="nil"/>
            </w:tcBorders>
            <w:shd w:val="clear" w:color="auto" w:fill="FFFFFF" w:themeFill="background1"/>
          </w:tcPr>
          <w:p w14:paraId="1336F32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3E1A9FB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1E6D2D8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5D797BC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25" w:name="_DV_C1734"/>
            <w:r w:rsidRPr="002321A6">
              <w:rPr>
                <w:sz w:val="18"/>
                <w:szCs w:val="18"/>
              </w:rPr>
              <w:t xml:space="preserve">420 000 </w:t>
            </w:r>
            <w:bookmarkEnd w:id="225"/>
          </w:p>
        </w:tc>
      </w:tr>
      <w:tr w:rsidR="002A2EA6" w:rsidRPr="002A2EA6" w14:paraId="3029E356"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22DE977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0666B61" w14:textId="75B8A2E0"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26" w:name="_DV_C1735"/>
            <w:r w:rsidRPr="002321A6">
              <w:rPr>
                <w:sz w:val="18"/>
                <w:szCs w:val="18"/>
                <w:lang w:val="fr-FR"/>
              </w:rPr>
              <w:t>1.3 Groupes d</w:t>
            </w:r>
            <w:r w:rsidR="00CA4DAC">
              <w:rPr>
                <w:sz w:val="18"/>
                <w:szCs w:val="18"/>
                <w:lang w:val="fr-FR"/>
              </w:rPr>
              <w:t>’</w:t>
            </w:r>
            <w:r w:rsidRPr="002321A6">
              <w:rPr>
                <w:sz w:val="18"/>
                <w:szCs w:val="18"/>
                <w:lang w:val="fr-FR"/>
              </w:rPr>
              <w:t>experts intersessions dotés d</w:t>
            </w:r>
            <w:r w:rsidR="00CA4DAC">
              <w:rPr>
                <w:sz w:val="18"/>
                <w:szCs w:val="18"/>
                <w:lang w:val="fr-FR"/>
              </w:rPr>
              <w:t>’</w:t>
            </w:r>
            <w:r w:rsidRPr="002321A6">
              <w:rPr>
                <w:sz w:val="18"/>
                <w:szCs w:val="18"/>
                <w:lang w:val="fr-FR"/>
              </w:rPr>
              <w:t>un mandat à durée déterminée prescrit par la Conférence des Parties</w:t>
            </w:r>
            <w:bookmarkEnd w:id="226"/>
          </w:p>
        </w:tc>
        <w:tc>
          <w:tcPr>
            <w:tcW w:w="1276" w:type="dxa"/>
            <w:tcBorders>
              <w:top w:val="nil"/>
              <w:left w:val="nil"/>
              <w:bottom w:val="single" w:sz="4" w:space="0" w:color="000000"/>
              <w:right w:val="nil"/>
            </w:tcBorders>
            <w:shd w:val="clear" w:color="auto" w:fill="FFFFFF" w:themeFill="background1"/>
          </w:tcPr>
          <w:p w14:paraId="0432415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27" w:name="_DV_C1736"/>
            <w:r w:rsidRPr="002321A6">
              <w:rPr>
                <w:sz w:val="18"/>
                <w:szCs w:val="18"/>
              </w:rPr>
              <w:t xml:space="preserve">100 000 </w:t>
            </w:r>
            <w:bookmarkEnd w:id="227"/>
          </w:p>
        </w:tc>
        <w:tc>
          <w:tcPr>
            <w:tcW w:w="1418" w:type="dxa"/>
            <w:tcBorders>
              <w:top w:val="nil"/>
              <w:left w:val="nil"/>
              <w:bottom w:val="single" w:sz="4" w:space="0" w:color="000000"/>
              <w:right w:val="nil"/>
            </w:tcBorders>
            <w:shd w:val="clear" w:color="auto" w:fill="FFFFFF" w:themeFill="background1"/>
          </w:tcPr>
          <w:p w14:paraId="17010C3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28" w:name="_DV_C1737"/>
            <w:r w:rsidRPr="002321A6">
              <w:rPr>
                <w:sz w:val="18"/>
                <w:szCs w:val="18"/>
              </w:rPr>
              <w:t xml:space="preserve">85 000 </w:t>
            </w:r>
            <w:bookmarkEnd w:id="228"/>
          </w:p>
        </w:tc>
        <w:tc>
          <w:tcPr>
            <w:tcW w:w="1160" w:type="dxa"/>
            <w:tcBorders>
              <w:top w:val="nil"/>
              <w:left w:val="nil"/>
              <w:bottom w:val="single" w:sz="4" w:space="0" w:color="000000"/>
              <w:right w:val="nil"/>
            </w:tcBorders>
            <w:shd w:val="clear" w:color="auto" w:fill="FFFFFF" w:themeFill="background1"/>
          </w:tcPr>
          <w:p w14:paraId="1E3F0FA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744903F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29" w:name="_DV_C1738"/>
            <w:r w:rsidRPr="002321A6">
              <w:rPr>
                <w:sz w:val="18"/>
                <w:szCs w:val="18"/>
              </w:rPr>
              <w:t xml:space="preserve">100 000 </w:t>
            </w:r>
            <w:bookmarkEnd w:id="229"/>
          </w:p>
        </w:tc>
      </w:tr>
      <w:tr w:rsidR="002A2EA6" w:rsidRPr="002A2EA6" w14:paraId="526962E0"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52033488"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60031A86"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721D6DB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30" w:name="_DV_C1740"/>
            <w:r w:rsidRPr="002321A6">
              <w:rPr>
                <w:b/>
                <w:bCs/>
                <w:sz w:val="18"/>
                <w:szCs w:val="18"/>
              </w:rPr>
              <w:t>100 000</w:t>
            </w:r>
            <w:r w:rsidRPr="002321A6">
              <w:rPr>
                <w:sz w:val="18"/>
                <w:szCs w:val="18"/>
              </w:rPr>
              <w:t xml:space="preserve"> </w:t>
            </w:r>
            <w:bookmarkEnd w:id="230"/>
          </w:p>
        </w:tc>
        <w:tc>
          <w:tcPr>
            <w:tcW w:w="1418" w:type="dxa"/>
            <w:tcBorders>
              <w:top w:val="single" w:sz="4" w:space="0" w:color="000000"/>
              <w:left w:val="nil"/>
              <w:bottom w:val="single" w:sz="4" w:space="0" w:color="000000"/>
              <w:right w:val="nil"/>
            </w:tcBorders>
            <w:shd w:val="clear" w:color="auto" w:fill="FFFFFF" w:themeFill="background1"/>
          </w:tcPr>
          <w:p w14:paraId="6E06893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31" w:name="_DV_C1741"/>
            <w:r w:rsidRPr="002321A6">
              <w:rPr>
                <w:b/>
                <w:bCs/>
                <w:sz w:val="18"/>
                <w:szCs w:val="18"/>
              </w:rPr>
              <w:t>85 000</w:t>
            </w:r>
            <w:r w:rsidRPr="002321A6">
              <w:rPr>
                <w:sz w:val="18"/>
                <w:szCs w:val="18"/>
              </w:rPr>
              <w:t xml:space="preserve"> </w:t>
            </w:r>
            <w:bookmarkEnd w:id="231"/>
          </w:p>
        </w:tc>
        <w:tc>
          <w:tcPr>
            <w:tcW w:w="1160" w:type="dxa"/>
            <w:tcBorders>
              <w:top w:val="single" w:sz="4" w:space="0" w:color="000000"/>
              <w:left w:val="nil"/>
              <w:bottom w:val="single" w:sz="4" w:space="0" w:color="000000"/>
              <w:right w:val="nil"/>
            </w:tcBorders>
            <w:shd w:val="clear" w:color="auto" w:fill="FFFFFF" w:themeFill="background1"/>
          </w:tcPr>
          <w:p w14:paraId="0BCB533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32" w:name="_DV_C1742"/>
            <w:r w:rsidRPr="002321A6">
              <w:rPr>
                <w:b/>
                <w:bCs/>
                <w:sz w:val="18"/>
                <w:szCs w:val="18"/>
              </w:rPr>
              <w:t>1 055 000</w:t>
            </w:r>
            <w:r w:rsidRPr="002321A6">
              <w:rPr>
                <w:sz w:val="18"/>
                <w:szCs w:val="18"/>
              </w:rPr>
              <w:t xml:space="preserve"> </w:t>
            </w:r>
            <w:bookmarkEnd w:id="232"/>
          </w:p>
        </w:tc>
        <w:tc>
          <w:tcPr>
            <w:tcW w:w="1100" w:type="dxa"/>
            <w:tcBorders>
              <w:top w:val="single" w:sz="4" w:space="0" w:color="000000"/>
              <w:left w:val="nil"/>
              <w:bottom w:val="single" w:sz="4" w:space="0" w:color="000000"/>
              <w:right w:val="nil"/>
            </w:tcBorders>
            <w:shd w:val="clear" w:color="auto" w:fill="FFFFFF" w:themeFill="background1"/>
          </w:tcPr>
          <w:p w14:paraId="1243E9B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33" w:name="_DV_C1743"/>
            <w:r w:rsidRPr="002321A6">
              <w:rPr>
                <w:b/>
                <w:bCs/>
                <w:sz w:val="18"/>
                <w:szCs w:val="18"/>
              </w:rPr>
              <w:t>945 000</w:t>
            </w:r>
            <w:r w:rsidRPr="002321A6">
              <w:rPr>
                <w:sz w:val="18"/>
                <w:szCs w:val="18"/>
              </w:rPr>
              <w:t xml:space="preserve"> </w:t>
            </w:r>
            <w:bookmarkEnd w:id="233"/>
          </w:p>
        </w:tc>
      </w:tr>
      <w:tr w:rsidR="002A2EA6" w:rsidRPr="002A2EA6" w14:paraId="2C0A0C5E"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300305F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34" w:name="_DV_C1744"/>
            <w:r w:rsidRPr="002321A6">
              <w:rPr>
                <w:b/>
                <w:bCs/>
                <w:sz w:val="18"/>
                <w:szCs w:val="18"/>
              </w:rPr>
              <w:t>2</w:t>
            </w:r>
            <w:bookmarkEnd w:id="234"/>
          </w:p>
        </w:tc>
        <w:tc>
          <w:tcPr>
            <w:tcW w:w="3543" w:type="dxa"/>
            <w:tcBorders>
              <w:top w:val="single" w:sz="4" w:space="0" w:color="000000"/>
              <w:left w:val="nil"/>
              <w:bottom w:val="nil"/>
              <w:right w:val="nil"/>
            </w:tcBorders>
            <w:shd w:val="clear" w:color="auto" w:fill="FFFFFF" w:themeFill="background1"/>
          </w:tcPr>
          <w:p w14:paraId="7F089F5B"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35" w:name="_DV_C1745"/>
            <w:r w:rsidRPr="002321A6">
              <w:rPr>
                <w:b/>
                <w:bCs/>
                <w:sz w:val="18"/>
                <w:szCs w:val="18"/>
              </w:rPr>
              <w:t>Bureau de la Conférence des Parties</w:t>
            </w:r>
            <w:bookmarkEnd w:id="235"/>
          </w:p>
        </w:tc>
        <w:tc>
          <w:tcPr>
            <w:tcW w:w="1276" w:type="dxa"/>
            <w:tcBorders>
              <w:top w:val="single" w:sz="4" w:space="0" w:color="000000"/>
              <w:left w:val="nil"/>
              <w:bottom w:val="nil"/>
              <w:right w:val="nil"/>
            </w:tcBorders>
            <w:shd w:val="clear" w:color="auto" w:fill="FFFFFF" w:themeFill="background1"/>
          </w:tcPr>
          <w:p w14:paraId="08D662F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239F6FC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368FFB2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4CA333E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75EC315"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18892C8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617DB0E6"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883" w:hanging="883"/>
              <w:rPr>
                <w:rFonts w:eastAsia="SimSun"/>
                <w:sz w:val="18"/>
                <w:szCs w:val="18"/>
                <w:lang w:val="fr-FR"/>
              </w:rPr>
            </w:pPr>
            <w:bookmarkStart w:id="236" w:name="_DV_C1746"/>
            <w:r w:rsidRPr="002321A6">
              <w:rPr>
                <w:sz w:val="18"/>
                <w:szCs w:val="18"/>
                <w:lang w:val="fr-FR"/>
              </w:rPr>
              <w:t>2.1 Réunion du Bureau</w:t>
            </w:r>
            <w:bookmarkEnd w:id="236"/>
          </w:p>
        </w:tc>
        <w:tc>
          <w:tcPr>
            <w:tcW w:w="1276" w:type="dxa"/>
            <w:tcBorders>
              <w:top w:val="nil"/>
              <w:left w:val="nil"/>
              <w:bottom w:val="single" w:sz="4" w:space="0" w:color="000000"/>
              <w:right w:val="nil"/>
            </w:tcBorders>
            <w:shd w:val="clear" w:color="auto" w:fill="FFFFFF" w:themeFill="background1"/>
          </w:tcPr>
          <w:p w14:paraId="2DF8457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p>
        </w:tc>
        <w:tc>
          <w:tcPr>
            <w:tcW w:w="1418" w:type="dxa"/>
            <w:tcBorders>
              <w:top w:val="nil"/>
              <w:left w:val="nil"/>
              <w:bottom w:val="single" w:sz="4" w:space="0" w:color="000000"/>
              <w:right w:val="nil"/>
            </w:tcBorders>
            <w:shd w:val="clear" w:color="auto" w:fill="FFFFFF" w:themeFill="background1"/>
          </w:tcPr>
          <w:p w14:paraId="288CCA6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3C3CCC4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37" w:name="_DV_C1747"/>
            <w:r w:rsidRPr="002321A6">
              <w:rPr>
                <w:sz w:val="18"/>
                <w:szCs w:val="18"/>
              </w:rPr>
              <w:t xml:space="preserve">26 000 </w:t>
            </w:r>
            <w:bookmarkEnd w:id="237"/>
          </w:p>
        </w:tc>
        <w:tc>
          <w:tcPr>
            <w:tcW w:w="1100" w:type="dxa"/>
            <w:tcBorders>
              <w:top w:val="nil"/>
              <w:left w:val="nil"/>
              <w:bottom w:val="single" w:sz="4" w:space="0" w:color="000000"/>
              <w:right w:val="nil"/>
            </w:tcBorders>
            <w:shd w:val="clear" w:color="auto" w:fill="FFFFFF" w:themeFill="background1"/>
          </w:tcPr>
          <w:p w14:paraId="0375558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85D86F9"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196EC876"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4A0D0373"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704A2F8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690E960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6F9E5CB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38" w:name="_DV_C1749"/>
            <w:r w:rsidRPr="002321A6">
              <w:rPr>
                <w:b/>
                <w:bCs/>
                <w:sz w:val="18"/>
                <w:szCs w:val="18"/>
              </w:rPr>
              <w:t>26 000</w:t>
            </w:r>
            <w:r w:rsidRPr="002321A6">
              <w:rPr>
                <w:sz w:val="18"/>
                <w:szCs w:val="18"/>
              </w:rPr>
              <w:t xml:space="preserve"> </w:t>
            </w:r>
            <w:bookmarkEnd w:id="238"/>
          </w:p>
        </w:tc>
        <w:tc>
          <w:tcPr>
            <w:tcW w:w="1100" w:type="dxa"/>
            <w:tcBorders>
              <w:top w:val="single" w:sz="4" w:space="0" w:color="000000"/>
              <w:left w:val="nil"/>
              <w:bottom w:val="single" w:sz="4" w:space="0" w:color="000000"/>
              <w:right w:val="nil"/>
            </w:tcBorders>
            <w:shd w:val="clear" w:color="auto" w:fill="FFFFFF" w:themeFill="background1"/>
          </w:tcPr>
          <w:p w14:paraId="2958A27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5C37CFC7"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470FCCD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39" w:name="_DV_C1750"/>
            <w:r w:rsidRPr="002321A6">
              <w:rPr>
                <w:b/>
                <w:bCs/>
                <w:sz w:val="18"/>
                <w:szCs w:val="18"/>
              </w:rPr>
              <w:t>3</w:t>
            </w:r>
            <w:bookmarkEnd w:id="239"/>
          </w:p>
        </w:tc>
        <w:tc>
          <w:tcPr>
            <w:tcW w:w="3543" w:type="dxa"/>
            <w:tcBorders>
              <w:top w:val="single" w:sz="4" w:space="0" w:color="000000"/>
              <w:left w:val="nil"/>
              <w:bottom w:val="nil"/>
              <w:right w:val="nil"/>
            </w:tcBorders>
            <w:shd w:val="clear" w:color="auto" w:fill="FFFFFF" w:themeFill="background1"/>
          </w:tcPr>
          <w:p w14:paraId="4431E11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40" w:name="_DV_C1751"/>
            <w:r w:rsidRPr="002321A6">
              <w:rPr>
                <w:b/>
                <w:bCs/>
                <w:sz w:val="18"/>
                <w:szCs w:val="18"/>
              </w:rPr>
              <w:t>Comité de mise en œuvre et du respect des obligations</w:t>
            </w:r>
            <w:bookmarkEnd w:id="240"/>
          </w:p>
        </w:tc>
        <w:tc>
          <w:tcPr>
            <w:tcW w:w="1276" w:type="dxa"/>
            <w:tcBorders>
              <w:top w:val="single" w:sz="4" w:space="0" w:color="000000"/>
              <w:left w:val="nil"/>
              <w:bottom w:val="nil"/>
              <w:right w:val="nil"/>
            </w:tcBorders>
            <w:shd w:val="clear" w:color="auto" w:fill="FFFFFF" w:themeFill="background1"/>
          </w:tcPr>
          <w:p w14:paraId="4894334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787FE60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5DA9C14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546906D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2A1C83F"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642ADA2F"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B01358F"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883" w:hanging="883"/>
              <w:rPr>
                <w:rFonts w:eastAsia="SimSun"/>
                <w:sz w:val="18"/>
                <w:szCs w:val="18"/>
                <w:lang w:val="fr-FR"/>
              </w:rPr>
            </w:pPr>
            <w:bookmarkStart w:id="241" w:name="_DV_C1752"/>
            <w:r w:rsidRPr="002321A6">
              <w:rPr>
                <w:sz w:val="18"/>
                <w:szCs w:val="18"/>
                <w:lang w:val="fr-FR"/>
              </w:rPr>
              <w:t>3.1 Réunion du Comité</w:t>
            </w:r>
            <w:bookmarkEnd w:id="241"/>
          </w:p>
        </w:tc>
        <w:tc>
          <w:tcPr>
            <w:tcW w:w="1276" w:type="dxa"/>
            <w:tcBorders>
              <w:top w:val="nil"/>
              <w:left w:val="nil"/>
              <w:bottom w:val="single" w:sz="4" w:space="0" w:color="000000"/>
              <w:right w:val="nil"/>
            </w:tcBorders>
            <w:shd w:val="clear" w:color="auto" w:fill="FFFFFF" w:themeFill="background1"/>
          </w:tcPr>
          <w:p w14:paraId="58708BC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70AF79E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16E3A11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42" w:name="_DV_C1753"/>
            <w:r w:rsidRPr="002321A6">
              <w:rPr>
                <w:sz w:val="18"/>
                <w:szCs w:val="18"/>
              </w:rPr>
              <w:t xml:space="preserve">53 000 </w:t>
            </w:r>
            <w:bookmarkEnd w:id="242"/>
          </w:p>
        </w:tc>
        <w:tc>
          <w:tcPr>
            <w:tcW w:w="1100" w:type="dxa"/>
            <w:tcBorders>
              <w:top w:val="nil"/>
              <w:left w:val="nil"/>
              <w:bottom w:val="single" w:sz="4" w:space="0" w:color="000000"/>
              <w:right w:val="nil"/>
            </w:tcBorders>
            <w:shd w:val="clear" w:color="auto" w:fill="FFFFFF" w:themeFill="background1"/>
          </w:tcPr>
          <w:p w14:paraId="35A83FB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CC89109"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638BCE29"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0570DA5B"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5575984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1B5F664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35E3C27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43" w:name="_DV_C1755"/>
            <w:r w:rsidRPr="002321A6">
              <w:rPr>
                <w:b/>
                <w:bCs/>
                <w:sz w:val="18"/>
                <w:szCs w:val="18"/>
              </w:rPr>
              <w:t>53 000</w:t>
            </w:r>
            <w:r w:rsidRPr="002321A6">
              <w:rPr>
                <w:sz w:val="18"/>
                <w:szCs w:val="18"/>
              </w:rPr>
              <w:t xml:space="preserve"> </w:t>
            </w:r>
            <w:bookmarkEnd w:id="243"/>
          </w:p>
        </w:tc>
        <w:tc>
          <w:tcPr>
            <w:tcW w:w="1100" w:type="dxa"/>
            <w:tcBorders>
              <w:top w:val="single" w:sz="4" w:space="0" w:color="000000"/>
              <w:left w:val="nil"/>
              <w:bottom w:val="single" w:sz="4" w:space="0" w:color="000000"/>
              <w:right w:val="nil"/>
            </w:tcBorders>
            <w:shd w:val="clear" w:color="auto" w:fill="FFFFFF" w:themeFill="background1"/>
          </w:tcPr>
          <w:p w14:paraId="7DA8B8D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68291EEE"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4570DA4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15722DEF"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44" w:name="_DV_C1756"/>
            <w:r w:rsidRPr="002321A6">
              <w:rPr>
                <w:b/>
                <w:bCs/>
                <w:sz w:val="18"/>
                <w:szCs w:val="18"/>
              </w:rPr>
              <w:t>Total (A)</w:t>
            </w:r>
            <w:bookmarkEnd w:id="244"/>
          </w:p>
        </w:tc>
        <w:tc>
          <w:tcPr>
            <w:tcW w:w="1276" w:type="dxa"/>
            <w:tcBorders>
              <w:top w:val="single" w:sz="4" w:space="0" w:color="000000"/>
              <w:left w:val="nil"/>
              <w:bottom w:val="single" w:sz="4" w:space="0" w:color="000000"/>
              <w:right w:val="nil"/>
            </w:tcBorders>
            <w:shd w:val="clear" w:color="auto" w:fill="FFFFFF" w:themeFill="background1"/>
          </w:tcPr>
          <w:p w14:paraId="5858EB6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45" w:name="_DV_C1757"/>
            <w:r w:rsidRPr="002321A6">
              <w:rPr>
                <w:b/>
                <w:bCs/>
                <w:sz w:val="18"/>
                <w:szCs w:val="18"/>
              </w:rPr>
              <w:t>100 000</w:t>
            </w:r>
            <w:r w:rsidRPr="002321A6">
              <w:rPr>
                <w:sz w:val="18"/>
                <w:szCs w:val="18"/>
              </w:rPr>
              <w:t xml:space="preserve"> </w:t>
            </w:r>
            <w:bookmarkEnd w:id="245"/>
          </w:p>
        </w:tc>
        <w:tc>
          <w:tcPr>
            <w:tcW w:w="1418" w:type="dxa"/>
            <w:tcBorders>
              <w:top w:val="single" w:sz="4" w:space="0" w:color="000000"/>
              <w:left w:val="nil"/>
              <w:bottom w:val="single" w:sz="4" w:space="0" w:color="000000"/>
              <w:right w:val="nil"/>
            </w:tcBorders>
            <w:shd w:val="clear" w:color="auto" w:fill="FFFFFF" w:themeFill="background1"/>
          </w:tcPr>
          <w:p w14:paraId="664B0C5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46" w:name="_DV_C1758"/>
            <w:r w:rsidRPr="002321A6">
              <w:rPr>
                <w:b/>
                <w:bCs/>
                <w:sz w:val="18"/>
                <w:szCs w:val="18"/>
              </w:rPr>
              <w:t>85 000</w:t>
            </w:r>
            <w:r w:rsidRPr="002321A6">
              <w:rPr>
                <w:sz w:val="18"/>
                <w:szCs w:val="18"/>
              </w:rPr>
              <w:t xml:space="preserve"> </w:t>
            </w:r>
            <w:bookmarkEnd w:id="246"/>
          </w:p>
        </w:tc>
        <w:tc>
          <w:tcPr>
            <w:tcW w:w="1160" w:type="dxa"/>
            <w:tcBorders>
              <w:top w:val="single" w:sz="4" w:space="0" w:color="000000"/>
              <w:left w:val="nil"/>
              <w:bottom w:val="single" w:sz="4" w:space="0" w:color="000000"/>
              <w:right w:val="nil"/>
            </w:tcBorders>
            <w:shd w:val="clear" w:color="auto" w:fill="FFFFFF" w:themeFill="background1"/>
          </w:tcPr>
          <w:p w14:paraId="6824EAC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47" w:name="_DV_C1759"/>
            <w:r w:rsidRPr="002321A6">
              <w:rPr>
                <w:b/>
                <w:bCs/>
                <w:sz w:val="18"/>
                <w:szCs w:val="18"/>
              </w:rPr>
              <w:t>1 134 000</w:t>
            </w:r>
            <w:r w:rsidRPr="002321A6">
              <w:rPr>
                <w:sz w:val="18"/>
                <w:szCs w:val="18"/>
              </w:rPr>
              <w:t xml:space="preserve"> </w:t>
            </w:r>
            <w:bookmarkEnd w:id="247"/>
          </w:p>
        </w:tc>
        <w:tc>
          <w:tcPr>
            <w:tcW w:w="1100" w:type="dxa"/>
            <w:tcBorders>
              <w:top w:val="single" w:sz="4" w:space="0" w:color="000000"/>
              <w:left w:val="nil"/>
              <w:bottom w:val="single" w:sz="4" w:space="0" w:color="000000"/>
              <w:right w:val="nil"/>
            </w:tcBorders>
            <w:shd w:val="clear" w:color="auto" w:fill="FFFFFF" w:themeFill="background1"/>
          </w:tcPr>
          <w:p w14:paraId="6B4F9C3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48" w:name="_DV_C1760"/>
            <w:r w:rsidRPr="002321A6">
              <w:rPr>
                <w:b/>
                <w:bCs/>
                <w:sz w:val="18"/>
                <w:szCs w:val="18"/>
              </w:rPr>
              <w:t>945 000</w:t>
            </w:r>
            <w:r w:rsidRPr="002321A6">
              <w:rPr>
                <w:sz w:val="18"/>
                <w:szCs w:val="18"/>
              </w:rPr>
              <w:t xml:space="preserve"> </w:t>
            </w:r>
            <w:bookmarkEnd w:id="248"/>
          </w:p>
        </w:tc>
      </w:tr>
      <w:tr w:rsidR="002A2EA6" w:rsidRPr="002A2EA6" w14:paraId="0A402E49"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0C9483C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49" w:name="_DV_C1761"/>
            <w:r w:rsidRPr="002321A6">
              <w:rPr>
                <w:b/>
                <w:bCs/>
                <w:sz w:val="18"/>
                <w:szCs w:val="18"/>
              </w:rPr>
              <w:t>B.</w:t>
            </w:r>
            <w:bookmarkEnd w:id="249"/>
          </w:p>
        </w:tc>
        <w:tc>
          <w:tcPr>
            <w:tcW w:w="3543" w:type="dxa"/>
            <w:tcBorders>
              <w:top w:val="single" w:sz="4" w:space="0" w:color="000000"/>
              <w:left w:val="nil"/>
              <w:bottom w:val="nil"/>
              <w:right w:val="nil"/>
            </w:tcBorders>
            <w:shd w:val="clear" w:color="auto" w:fill="FFFFFF" w:themeFill="background1"/>
          </w:tcPr>
          <w:p w14:paraId="389031AD"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50" w:name="_DV_C1762"/>
            <w:r w:rsidRPr="002321A6">
              <w:rPr>
                <w:b/>
                <w:bCs/>
                <w:sz w:val="18"/>
                <w:szCs w:val="18"/>
              </w:rPr>
              <w:t>Renforcement des capacités et assistance technique</w:t>
            </w:r>
            <w:bookmarkEnd w:id="250"/>
          </w:p>
        </w:tc>
        <w:tc>
          <w:tcPr>
            <w:tcW w:w="1276" w:type="dxa"/>
            <w:tcBorders>
              <w:top w:val="single" w:sz="4" w:space="0" w:color="000000"/>
              <w:left w:val="nil"/>
              <w:bottom w:val="nil"/>
              <w:right w:val="nil"/>
            </w:tcBorders>
            <w:shd w:val="clear" w:color="auto" w:fill="FFFFFF" w:themeFill="background1"/>
          </w:tcPr>
          <w:p w14:paraId="0ECE7F2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22F0FC0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12021C0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75F9C67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1ED46CB" w14:textId="77777777" w:rsidTr="002321A6">
        <w:trPr>
          <w:trHeight w:val="57"/>
          <w:jc w:val="right"/>
        </w:trPr>
        <w:tc>
          <w:tcPr>
            <w:tcW w:w="1134" w:type="dxa"/>
            <w:tcBorders>
              <w:top w:val="nil"/>
              <w:left w:val="nil"/>
              <w:bottom w:val="nil"/>
              <w:right w:val="nil"/>
            </w:tcBorders>
            <w:shd w:val="clear" w:color="auto" w:fill="FFFFFF" w:themeFill="background1"/>
          </w:tcPr>
          <w:p w14:paraId="5B3C52A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51" w:name="_DV_C1763"/>
            <w:r w:rsidRPr="002321A6">
              <w:rPr>
                <w:b/>
                <w:bCs/>
                <w:sz w:val="18"/>
                <w:szCs w:val="18"/>
              </w:rPr>
              <w:t>4</w:t>
            </w:r>
            <w:bookmarkEnd w:id="251"/>
          </w:p>
        </w:tc>
        <w:tc>
          <w:tcPr>
            <w:tcW w:w="3543" w:type="dxa"/>
            <w:tcBorders>
              <w:top w:val="nil"/>
              <w:left w:val="nil"/>
              <w:bottom w:val="nil"/>
              <w:right w:val="nil"/>
            </w:tcBorders>
            <w:shd w:val="clear" w:color="auto" w:fill="FFFFFF" w:themeFill="background1"/>
          </w:tcPr>
          <w:p w14:paraId="343BA9FC" w14:textId="22433AD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52" w:name="_DV_C1764"/>
            <w:r w:rsidRPr="002321A6">
              <w:rPr>
                <w:b/>
                <w:bCs/>
                <w:sz w:val="18"/>
                <w:szCs w:val="18"/>
              </w:rPr>
              <w:t>Programme de renforcement des</w:t>
            </w:r>
            <w:r w:rsidR="002321A6">
              <w:rPr>
                <w:b/>
                <w:bCs/>
                <w:sz w:val="18"/>
                <w:szCs w:val="18"/>
              </w:rPr>
              <w:t> </w:t>
            </w:r>
            <w:r w:rsidRPr="002321A6">
              <w:rPr>
                <w:b/>
                <w:bCs/>
                <w:sz w:val="18"/>
                <w:szCs w:val="18"/>
              </w:rPr>
              <w:t>capacités et d</w:t>
            </w:r>
            <w:r w:rsidR="00CA4DAC">
              <w:rPr>
                <w:b/>
                <w:bCs/>
                <w:sz w:val="18"/>
                <w:szCs w:val="18"/>
              </w:rPr>
              <w:t>’</w:t>
            </w:r>
            <w:r w:rsidRPr="002321A6">
              <w:rPr>
                <w:b/>
                <w:bCs/>
                <w:sz w:val="18"/>
                <w:szCs w:val="18"/>
              </w:rPr>
              <w:t>assistance technique de la Convention de Minamata</w:t>
            </w:r>
            <w:bookmarkEnd w:id="252"/>
          </w:p>
        </w:tc>
        <w:tc>
          <w:tcPr>
            <w:tcW w:w="1276" w:type="dxa"/>
            <w:tcBorders>
              <w:top w:val="nil"/>
              <w:left w:val="nil"/>
              <w:bottom w:val="nil"/>
              <w:right w:val="nil"/>
            </w:tcBorders>
            <w:shd w:val="clear" w:color="auto" w:fill="FFFFFF" w:themeFill="background1"/>
          </w:tcPr>
          <w:p w14:paraId="6FF4EFC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22A081B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29CEEE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5984ACF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2B69659" w14:textId="77777777" w:rsidTr="002321A6">
        <w:trPr>
          <w:trHeight w:val="57"/>
          <w:jc w:val="right"/>
        </w:trPr>
        <w:tc>
          <w:tcPr>
            <w:tcW w:w="1134" w:type="dxa"/>
            <w:tcBorders>
              <w:top w:val="nil"/>
              <w:left w:val="nil"/>
              <w:bottom w:val="nil"/>
              <w:right w:val="nil"/>
            </w:tcBorders>
            <w:shd w:val="clear" w:color="auto" w:fill="FFFFFF" w:themeFill="background1"/>
          </w:tcPr>
          <w:p w14:paraId="16C1C54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2B9B4A5"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253" w:name="_DV_C1765"/>
            <w:r w:rsidRPr="002321A6">
              <w:rPr>
                <w:sz w:val="18"/>
                <w:szCs w:val="18"/>
                <w:lang w:val="fr-FR"/>
              </w:rPr>
              <w:t>4.1 Outils et méthodes</w:t>
            </w:r>
            <w:bookmarkEnd w:id="253"/>
          </w:p>
        </w:tc>
        <w:tc>
          <w:tcPr>
            <w:tcW w:w="1276" w:type="dxa"/>
            <w:tcBorders>
              <w:top w:val="nil"/>
              <w:left w:val="nil"/>
              <w:bottom w:val="nil"/>
              <w:right w:val="nil"/>
            </w:tcBorders>
            <w:shd w:val="clear" w:color="auto" w:fill="FFFFFF" w:themeFill="background1"/>
          </w:tcPr>
          <w:p w14:paraId="4953E9D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333EDD6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54" w:name="_DV_C1766"/>
            <w:r w:rsidRPr="002321A6">
              <w:rPr>
                <w:sz w:val="18"/>
                <w:szCs w:val="18"/>
              </w:rPr>
              <w:t xml:space="preserve">40 000 </w:t>
            </w:r>
            <w:bookmarkEnd w:id="254"/>
          </w:p>
        </w:tc>
        <w:tc>
          <w:tcPr>
            <w:tcW w:w="1160" w:type="dxa"/>
            <w:tcBorders>
              <w:top w:val="nil"/>
              <w:left w:val="nil"/>
              <w:bottom w:val="nil"/>
              <w:right w:val="nil"/>
            </w:tcBorders>
            <w:shd w:val="clear" w:color="auto" w:fill="FFFFFF" w:themeFill="background1"/>
          </w:tcPr>
          <w:p w14:paraId="0DBFD13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12CB0CC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55" w:name="_DV_C1767"/>
            <w:r w:rsidRPr="002321A6">
              <w:rPr>
                <w:sz w:val="18"/>
                <w:szCs w:val="18"/>
              </w:rPr>
              <w:t xml:space="preserve">60 000 </w:t>
            </w:r>
            <w:bookmarkEnd w:id="255"/>
          </w:p>
        </w:tc>
      </w:tr>
      <w:tr w:rsidR="002A2EA6" w:rsidRPr="002A2EA6" w14:paraId="091D947F" w14:textId="77777777" w:rsidTr="002321A6">
        <w:trPr>
          <w:trHeight w:val="57"/>
          <w:jc w:val="right"/>
        </w:trPr>
        <w:tc>
          <w:tcPr>
            <w:tcW w:w="1134" w:type="dxa"/>
            <w:tcBorders>
              <w:top w:val="nil"/>
              <w:left w:val="nil"/>
              <w:bottom w:val="nil"/>
              <w:right w:val="nil"/>
            </w:tcBorders>
            <w:shd w:val="clear" w:color="auto" w:fill="FFFFFF" w:themeFill="background1"/>
          </w:tcPr>
          <w:p w14:paraId="01B29C91"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3C2D1E0C"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256" w:name="_DV_C1768"/>
            <w:r w:rsidRPr="002321A6">
              <w:rPr>
                <w:sz w:val="18"/>
                <w:szCs w:val="18"/>
                <w:lang w:val="fr-FR"/>
              </w:rPr>
              <w:t xml:space="preserve">4.2 Activités spécifiques de renforcement des capacités </w:t>
            </w:r>
            <w:bookmarkEnd w:id="256"/>
          </w:p>
        </w:tc>
        <w:tc>
          <w:tcPr>
            <w:tcW w:w="1276" w:type="dxa"/>
            <w:tcBorders>
              <w:top w:val="nil"/>
              <w:left w:val="nil"/>
              <w:bottom w:val="nil"/>
              <w:right w:val="nil"/>
            </w:tcBorders>
            <w:shd w:val="clear" w:color="auto" w:fill="FFFFFF" w:themeFill="background1"/>
          </w:tcPr>
          <w:p w14:paraId="29E6951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0DF379D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57" w:name="_DV_C1769"/>
            <w:r w:rsidRPr="002321A6">
              <w:rPr>
                <w:sz w:val="18"/>
                <w:szCs w:val="18"/>
              </w:rPr>
              <w:t xml:space="preserve">270 000 </w:t>
            </w:r>
            <w:bookmarkEnd w:id="257"/>
          </w:p>
        </w:tc>
        <w:tc>
          <w:tcPr>
            <w:tcW w:w="1160" w:type="dxa"/>
            <w:tcBorders>
              <w:top w:val="nil"/>
              <w:left w:val="nil"/>
              <w:bottom w:val="nil"/>
              <w:right w:val="nil"/>
            </w:tcBorders>
            <w:shd w:val="clear" w:color="auto" w:fill="FFFFFF" w:themeFill="background1"/>
          </w:tcPr>
          <w:p w14:paraId="5094F93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7E29152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58" w:name="_DV_C1770"/>
            <w:r w:rsidRPr="002321A6">
              <w:rPr>
                <w:sz w:val="18"/>
                <w:szCs w:val="18"/>
              </w:rPr>
              <w:t xml:space="preserve">270 000 </w:t>
            </w:r>
            <w:bookmarkEnd w:id="258"/>
          </w:p>
        </w:tc>
      </w:tr>
      <w:tr w:rsidR="002A2EA6" w:rsidRPr="002A2EA6" w14:paraId="378EB984" w14:textId="77777777" w:rsidTr="002321A6">
        <w:trPr>
          <w:trHeight w:val="157"/>
          <w:jc w:val="right"/>
        </w:trPr>
        <w:tc>
          <w:tcPr>
            <w:tcW w:w="1134" w:type="dxa"/>
            <w:tcBorders>
              <w:top w:val="nil"/>
              <w:left w:val="nil"/>
              <w:bottom w:val="nil"/>
              <w:right w:val="nil"/>
            </w:tcBorders>
            <w:shd w:val="clear" w:color="auto" w:fill="FFFFFF" w:themeFill="background1"/>
          </w:tcPr>
          <w:p w14:paraId="4ED69471"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190997C2"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259" w:name="_DV_C1771"/>
            <w:r w:rsidRPr="002321A6">
              <w:rPr>
                <w:sz w:val="18"/>
                <w:szCs w:val="18"/>
                <w:lang w:val="fr-FR"/>
              </w:rPr>
              <w:t>4.3 Activités de renforcement des capacités sur demande</w:t>
            </w:r>
            <w:bookmarkEnd w:id="259"/>
          </w:p>
        </w:tc>
        <w:tc>
          <w:tcPr>
            <w:tcW w:w="1276" w:type="dxa"/>
            <w:tcBorders>
              <w:top w:val="nil"/>
              <w:left w:val="nil"/>
              <w:bottom w:val="nil"/>
              <w:right w:val="nil"/>
            </w:tcBorders>
            <w:shd w:val="clear" w:color="auto" w:fill="FFFFFF" w:themeFill="background1"/>
          </w:tcPr>
          <w:p w14:paraId="200FA5C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3567A0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60" w:name="_DV_C1772"/>
            <w:r w:rsidRPr="002321A6">
              <w:rPr>
                <w:sz w:val="18"/>
                <w:szCs w:val="18"/>
              </w:rPr>
              <w:t xml:space="preserve">45 000 </w:t>
            </w:r>
            <w:bookmarkEnd w:id="260"/>
          </w:p>
        </w:tc>
        <w:tc>
          <w:tcPr>
            <w:tcW w:w="1160" w:type="dxa"/>
            <w:tcBorders>
              <w:top w:val="nil"/>
              <w:left w:val="nil"/>
              <w:bottom w:val="nil"/>
              <w:right w:val="nil"/>
            </w:tcBorders>
            <w:shd w:val="clear" w:color="auto" w:fill="FFFFFF" w:themeFill="background1"/>
          </w:tcPr>
          <w:p w14:paraId="7794897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186A0D5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61" w:name="_DV_C1773"/>
            <w:r w:rsidRPr="002321A6">
              <w:rPr>
                <w:sz w:val="18"/>
                <w:szCs w:val="18"/>
              </w:rPr>
              <w:t xml:space="preserve">90 000 </w:t>
            </w:r>
            <w:bookmarkEnd w:id="261"/>
          </w:p>
        </w:tc>
      </w:tr>
      <w:tr w:rsidR="002A2EA6" w:rsidRPr="002A2EA6" w14:paraId="304D1E71"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796FE0E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41409F5"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262" w:name="_DV_C1774"/>
            <w:r w:rsidRPr="002321A6">
              <w:rPr>
                <w:sz w:val="18"/>
                <w:szCs w:val="18"/>
                <w:lang w:val="fr-FR"/>
              </w:rPr>
              <w:t>4.4 Activités intersectorielles</w:t>
            </w:r>
            <w:bookmarkEnd w:id="262"/>
          </w:p>
        </w:tc>
        <w:tc>
          <w:tcPr>
            <w:tcW w:w="1276" w:type="dxa"/>
            <w:tcBorders>
              <w:top w:val="nil"/>
              <w:left w:val="nil"/>
              <w:bottom w:val="single" w:sz="4" w:space="0" w:color="000000"/>
              <w:right w:val="nil"/>
            </w:tcBorders>
            <w:shd w:val="clear" w:color="auto" w:fill="FFFFFF" w:themeFill="background1"/>
          </w:tcPr>
          <w:p w14:paraId="1FCEE89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5FBD30C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63" w:name="_DV_C1775"/>
            <w:r w:rsidRPr="002321A6">
              <w:rPr>
                <w:sz w:val="18"/>
                <w:szCs w:val="18"/>
              </w:rPr>
              <w:t xml:space="preserve">230 000 </w:t>
            </w:r>
            <w:bookmarkEnd w:id="263"/>
          </w:p>
        </w:tc>
        <w:tc>
          <w:tcPr>
            <w:tcW w:w="1160" w:type="dxa"/>
            <w:tcBorders>
              <w:top w:val="nil"/>
              <w:left w:val="nil"/>
              <w:bottom w:val="single" w:sz="4" w:space="0" w:color="000000"/>
              <w:right w:val="nil"/>
            </w:tcBorders>
            <w:shd w:val="clear" w:color="auto" w:fill="FFFFFF" w:themeFill="background1"/>
          </w:tcPr>
          <w:p w14:paraId="7806542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25D67B8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64" w:name="_DV_C1776"/>
            <w:r w:rsidRPr="002321A6">
              <w:rPr>
                <w:sz w:val="18"/>
                <w:szCs w:val="18"/>
              </w:rPr>
              <w:t xml:space="preserve">230 000 </w:t>
            </w:r>
            <w:bookmarkEnd w:id="264"/>
          </w:p>
        </w:tc>
      </w:tr>
      <w:tr w:rsidR="002A2EA6" w:rsidRPr="002A2EA6" w14:paraId="0B9086BC"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1995A45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1CCDE4BD"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1CCDF4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4B9F997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65" w:name="_DV_C1778"/>
            <w:r w:rsidRPr="002321A6">
              <w:rPr>
                <w:b/>
                <w:bCs/>
                <w:sz w:val="18"/>
                <w:szCs w:val="18"/>
              </w:rPr>
              <w:t>585 000</w:t>
            </w:r>
            <w:r w:rsidRPr="002321A6">
              <w:rPr>
                <w:sz w:val="18"/>
                <w:szCs w:val="18"/>
              </w:rPr>
              <w:t xml:space="preserve"> </w:t>
            </w:r>
            <w:bookmarkEnd w:id="265"/>
          </w:p>
        </w:tc>
        <w:tc>
          <w:tcPr>
            <w:tcW w:w="1160" w:type="dxa"/>
            <w:tcBorders>
              <w:top w:val="single" w:sz="4" w:space="0" w:color="000000"/>
              <w:left w:val="nil"/>
              <w:bottom w:val="single" w:sz="4" w:space="0" w:color="000000"/>
              <w:right w:val="nil"/>
            </w:tcBorders>
            <w:shd w:val="clear" w:color="auto" w:fill="FFFFFF" w:themeFill="background1"/>
          </w:tcPr>
          <w:p w14:paraId="44CF33C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5C03744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66" w:name="_DV_C1779"/>
            <w:r w:rsidRPr="002321A6">
              <w:rPr>
                <w:b/>
                <w:bCs/>
                <w:sz w:val="18"/>
                <w:szCs w:val="18"/>
              </w:rPr>
              <w:t>650 000</w:t>
            </w:r>
            <w:r w:rsidRPr="002321A6">
              <w:rPr>
                <w:sz w:val="18"/>
                <w:szCs w:val="18"/>
              </w:rPr>
              <w:t xml:space="preserve"> </w:t>
            </w:r>
            <w:bookmarkEnd w:id="266"/>
          </w:p>
        </w:tc>
      </w:tr>
      <w:tr w:rsidR="002A2EA6" w:rsidRPr="002A2EA6" w14:paraId="6EB2EE4C"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428DA3F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4ED79052"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67" w:name="_DV_C1780"/>
            <w:r w:rsidRPr="002321A6">
              <w:rPr>
                <w:b/>
                <w:bCs/>
                <w:sz w:val="18"/>
                <w:szCs w:val="18"/>
              </w:rPr>
              <w:t>Total (B)</w:t>
            </w:r>
            <w:bookmarkEnd w:id="267"/>
          </w:p>
        </w:tc>
        <w:tc>
          <w:tcPr>
            <w:tcW w:w="1276" w:type="dxa"/>
            <w:tcBorders>
              <w:top w:val="single" w:sz="4" w:space="0" w:color="000000"/>
              <w:left w:val="nil"/>
              <w:bottom w:val="single" w:sz="4" w:space="0" w:color="000000"/>
              <w:right w:val="nil"/>
            </w:tcBorders>
            <w:shd w:val="clear" w:color="auto" w:fill="FFFFFF" w:themeFill="background1"/>
          </w:tcPr>
          <w:p w14:paraId="3EC87AF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2C226C7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68" w:name="_DV_C1781"/>
            <w:r w:rsidRPr="002321A6">
              <w:rPr>
                <w:b/>
                <w:bCs/>
                <w:sz w:val="18"/>
                <w:szCs w:val="18"/>
              </w:rPr>
              <w:t>585 000</w:t>
            </w:r>
            <w:r w:rsidRPr="002321A6">
              <w:rPr>
                <w:sz w:val="18"/>
                <w:szCs w:val="18"/>
              </w:rPr>
              <w:t xml:space="preserve"> </w:t>
            </w:r>
            <w:bookmarkEnd w:id="268"/>
          </w:p>
        </w:tc>
        <w:tc>
          <w:tcPr>
            <w:tcW w:w="1160" w:type="dxa"/>
            <w:tcBorders>
              <w:top w:val="single" w:sz="4" w:space="0" w:color="000000"/>
              <w:left w:val="nil"/>
              <w:bottom w:val="single" w:sz="4" w:space="0" w:color="000000"/>
              <w:right w:val="nil"/>
            </w:tcBorders>
            <w:shd w:val="clear" w:color="auto" w:fill="FFFFFF" w:themeFill="background1"/>
          </w:tcPr>
          <w:p w14:paraId="3FA8BC9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4756F99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69" w:name="_DV_C1782"/>
            <w:r w:rsidRPr="002321A6">
              <w:rPr>
                <w:b/>
                <w:bCs/>
                <w:sz w:val="18"/>
                <w:szCs w:val="18"/>
              </w:rPr>
              <w:t>650 000</w:t>
            </w:r>
            <w:r w:rsidRPr="002321A6">
              <w:rPr>
                <w:sz w:val="18"/>
                <w:szCs w:val="18"/>
              </w:rPr>
              <w:t xml:space="preserve"> </w:t>
            </w:r>
            <w:bookmarkEnd w:id="269"/>
          </w:p>
        </w:tc>
      </w:tr>
      <w:tr w:rsidR="002A2EA6" w:rsidRPr="002A2EA6" w14:paraId="04920DB7"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616CD9E3"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70" w:name="_DV_C1783"/>
            <w:r w:rsidRPr="002321A6">
              <w:rPr>
                <w:b/>
                <w:bCs/>
                <w:sz w:val="18"/>
                <w:szCs w:val="18"/>
              </w:rPr>
              <w:t>C.</w:t>
            </w:r>
            <w:bookmarkEnd w:id="270"/>
          </w:p>
        </w:tc>
        <w:tc>
          <w:tcPr>
            <w:tcW w:w="3543" w:type="dxa"/>
            <w:tcBorders>
              <w:top w:val="single" w:sz="4" w:space="0" w:color="000000"/>
              <w:left w:val="nil"/>
              <w:bottom w:val="nil"/>
              <w:right w:val="nil"/>
            </w:tcBorders>
            <w:shd w:val="clear" w:color="auto" w:fill="FFFFFF" w:themeFill="background1"/>
          </w:tcPr>
          <w:p w14:paraId="27EFB21B"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71" w:name="_DV_C1784"/>
            <w:r w:rsidRPr="002321A6">
              <w:rPr>
                <w:b/>
                <w:bCs/>
                <w:sz w:val="18"/>
                <w:szCs w:val="18"/>
              </w:rPr>
              <w:t>Activités scientifiques et techniques</w:t>
            </w:r>
            <w:bookmarkEnd w:id="271"/>
          </w:p>
        </w:tc>
        <w:tc>
          <w:tcPr>
            <w:tcW w:w="1276" w:type="dxa"/>
            <w:tcBorders>
              <w:top w:val="single" w:sz="4" w:space="0" w:color="000000"/>
              <w:left w:val="nil"/>
              <w:bottom w:val="nil"/>
              <w:right w:val="nil"/>
            </w:tcBorders>
            <w:shd w:val="clear" w:color="auto" w:fill="FFFFFF" w:themeFill="background1"/>
          </w:tcPr>
          <w:p w14:paraId="31908B1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11344CD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1E75A8E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22DC9D7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3FAEE7FD" w14:textId="77777777" w:rsidTr="002321A6">
        <w:trPr>
          <w:trHeight w:val="57"/>
          <w:jc w:val="right"/>
        </w:trPr>
        <w:tc>
          <w:tcPr>
            <w:tcW w:w="1134" w:type="dxa"/>
            <w:tcBorders>
              <w:top w:val="nil"/>
              <w:left w:val="nil"/>
              <w:bottom w:val="nil"/>
              <w:right w:val="nil"/>
            </w:tcBorders>
            <w:shd w:val="clear" w:color="auto" w:fill="FFFFFF" w:themeFill="background1"/>
          </w:tcPr>
          <w:p w14:paraId="7224E86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72" w:name="_DV_C1785"/>
            <w:r w:rsidRPr="002321A6">
              <w:rPr>
                <w:b/>
                <w:bCs/>
                <w:sz w:val="18"/>
                <w:szCs w:val="18"/>
              </w:rPr>
              <w:t>5</w:t>
            </w:r>
            <w:bookmarkEnd w:id="272"/>
          </w:p>
        </w:tc>
        <w:tc>
          <w:tcPr>
            <w:tcW w:w="3543" w:type="dxa"/>
            <w:tcBorders>
              <w:top w:val="nil"/>
              <w:left w:val="nil"/>
              <w:bottom w:val="nil"/>
              <w:right w:val="nil"/>
            </w:tcBorders>
            <w:shd w:val="clear" w:color="auto" w:fill="FFFFFF" w:themeFill="background1"/>
          </w:tcPr>
          <w:p w14:paraId="0CF4260A" w14:textId="334C9AAF"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73" w:name="_DV_C1786"/>
            <w:r w:rsidRPr="002321A6">
              <w:rPr>
                <w:b/>
                <w:bCs/>
                <w:sz w:val="18"/>
                <w:szCs w:val="18"/>
              </w:rPr>
              <w:t>Appui scientifique aux États parties à</w:t>
            </w:r>
            <w:r w:rsidR="002321A6">
              <w:rPr>
                <w:b/>
                <w:bCs/>
                <w:sz w:val="18"/>
                <w:szCs w:val="18"/>
              </w:rPr>
              <w:t> </w:t>
            </w:r>
            <w:r w:rsidRPr="002321A6">
              <w:rPr>
                <w:b/>
                <w:bCs/>
                <w:sz w:val="18"/>
                <w:szCs w:val="18"/>
              </w:rPr>
              <w:t>la</w:t>
            </w:r>
            <w:r w:rsidR="002321A6">
              <w:rPr>
                <w:b/>
                <w:bCs/>
                <w:sz w:val="18"/>
                <w:szCs w:val="18"/>
              </w:rPr>
              <w:t> </w:t>
            </w:r>
            <w:r w:rsidRPr="002321A6">
              <w:rPr>
                <w:b/>
                <w:bCs/>
                <w:sz w:val="18"/>
                <w:szCs w:val="18"/>
              </w:rPr>
              <w:t>Convention de Minamata</w:t>
            </w:r>
            <w:bookmarkEnd w:id="273"/>
          </w:p>
        </w:tc>
        <w:tc>
          <w:tcPr>
            <w:tcW w:w="1276" w:type="dxa"/>
            <w:tcBorders>
              <w:top w:val="nil"/>
              <w:left w:val="nil"/>
              <w:bottom w:val="nil"/>
              <w:right w:val="nil"/>
            </w:tcBorders>
            <w:shd w:val="clear" w:color="auto" w:fill="FFFFFF" w:themeFill="background1"/>
          </w:tcPr>
          <w:p w14:paraId="0D63FBB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4FBC6A2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A414FB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069C928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22EBAD3" w14:textId="77777777" w:rsidTr="002321A6">
        <w:trPr>
          <w:trHeight w:val="57"/>
          <w:jc w:val="right"/>
        </w:trPr>
        <w:tc>
          <w:tcPr>
            <w:tcW w:w="1134" w:type="dxa"/>
            <w:tcBorders>
              <w:top w:val="nil"/>
              <w:left w:val="nil"/>
              <w:bottom w:val="nil"/>
              <w:right w:val="nil"/>
            </w:tcBorders>
            <w:shd w:val="clear" w:color="auto" w:fill="FFFFFF" w:themeFill="background1"/>
          </w:tcPr>
          <w:p w14:paraId="3406BAAA"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0133D8DD" w14:textId="7A1DB4B1"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74" w:name="_DV_C1787"/>
            <w:r w:rsidRPr="002321A6">
              <w:rPr>
                <w:sz w:val="18"/>
                <w:szCs w:val="18"/>
                <w:lang w:val="fr-FR"/>
              </w:rPr>
              <w:t>5.1 Collecte et analyse d</w:t>
            </w:r>
            <w:r w:rsidR="00CA4DAC">
              <w:rPr>
                <w:sz w:val="18"/>
                <w:szCs w:val="18"/>
                <w:lang w:val="fr-FR"/>
              </w:rPr>
              <w:t>’</w:t>
            </w:r>
            <w:r w:rsidRPr="002321A6">
              <w:rPr>
                <w:sz w:val="18"/>
                <w:szCs w:val="18"/>
                <w:lang w:val="fr-FR"/>
              </w:rPr>
              <w:t>informations sur les codes/produits et processus</w:t>
            </w:r>
            <w:bookmarkEnd w:id="274"/>
            <w:r w:rsidRPr="002321A6">
              <w:rPr>
                <w:sz w:val="18"/>
                <w:szCs w:val="18"/>
                <w:lang w:val="fr-FR"/>
              </w:rPr>
              <w:t xml:space="preserve"> douaniers</w:t>
            </w:r>
          </w:p>
        </w:tc>
        <w:tc>
          <w:tcPr>
            <w:tcW w:w="1276" w:type="dxa"/>
            <w:tcBorders>
              <w:top w:val="nil"/>
              <w:left w:val="nil"/>
              <w:bottom w:val="nil"/>
              <w:right w:val="nil"/>
            </w:tcBorders>
            <w:shd w:val="clear" w:color="auto" w:fill="FFFFFF" w:themeFill="background1"/>
          </w:tcPr>
          <w:p w14:paraId="3D13463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75" w:name="_DV_C1788"/>
            <w:r w:rsidRPr="002321A6">
              <w:rPr>
                <w:sz w:val="18"/>
                <w:szCs w:val="18"/>
              </w:rPr>
              <w:t xml:space="preserve">30 000 </w:t>
            </w:r>
            <w:bookmarkEnd w:id="275"/>
          </w:p>
        </w:tc>
        <w:tc>
          <w:tcPr>
            <w:tcW w:w="1418" w:type="dxa"/>
            <w:tcBorders>
              <w:top w:val="nil"/>
              <w:left w:val="nil"/>
              <w:bottom w:val="nil"/>
              <w:right w:val="nil"/>
            </w:tcBorders>
            <w:shd w:val="clear" w:color="auto" w:fill="FFFFFF" w:themeFill="background1"/>
          </w:tcPr>
          <w:p w14:paraId="277A759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1FFE089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76" w:name="_DV_C1789"/>
            <w:r w:rsidRPr="002321A6">
              <w:rPr>
                <w:sz w:val="18"/>
                <w:szCs w:val="18"/>
              </w:rPr>
              <w:t xml:space="preserve">30 000 </w:t>
            </w:r>
            <w:bookmarkEnd w:id="276"/>
          </w:p>
        </w:tc>
        <w:tc>
          <w:tcPr>
            <w:tcW w:w="1100" w:type="dxa"/>
            <w:tcBorders>
              <w:top w:val="nil"/>
              <w:left w:val="nil"/>
              <w:bottom w:val="nil"/>
              <w:right w:val="nil"/>
            </w:tcBorders>
            <w:shd w:val="clear" w:color="auto" w:fill="FFFFFF" w:themeFill="background1"/>
          </w:tcPr>
          <w:p w14:paraId="6F9C171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57EEC62" w14:textId="77777777" w:rsidTr="002321A6">
        <w:trPr>
          <w:trHeight w:val="57"/>
          <w:jc w:val="right"/>
        </w:trPr>
        <w:tc>
          <w:tcPr>
            <w:tcW w:w="1134" w:type="dxa"/>
            <w:tcBorders>
              <w:top w:val="nil"/>
              <w:left w:val="nil"/>
              <w:bottom w:val="nil"/>
              <w:right w:val="nil"/>
            </w:tcBorders>
            <w:shd w:val="clear" w:color="auto" w:fill="FFFFFF" w:themeFill="background1"/>
          </w:tcPr>
          <w:p w14:paraId="65C2190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6246FC5B" w14:textId="1EE5FA5C"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77" w:name="_DV_C1790"/>
            <w:r w:rsidRPr="002321A6">
              <w:rPr>
                <w:sz w:val="18"/>
                <w:szCs w:val="18"/>
                <w:lang w:val="fr-FR"/>
              </w:rPr>
              <w:t>5.2 Mise à jour des orientations relatives aux plans d</w:t>
            </w:r>
            <w:r w:rsidR="00CA4DAC">
              <w:rPr>
                <w:sz w:val="18"/>
                <w:szCs w:val="18"/>
                <w:lang w:val="fr-FR"/>
              </w:rPr>
              <w:t>’</w:t>
            </w:r>
            <w:r w:rsidRPr="002321A6">
              <w:rPr>
                <w:sz w:val="18"/>
                <w:szCs w:val="18"/>
                <w:lang w:val="fr-FR"/>
              </w:rPr>
              <w:t>action nationaux en matière d</w:t>
            </w:r>
            <w:r w:rsidR="00CA4DAC">
              <w:rPr>
                <w:sz w:val="18"/>
                <w:szCs w:val="18"/>
                <w:lang w:val="fr-FR"/>
              </w:rPr>
              <w:t>’</w:t>
            </w:r>
            <w:r w:rsidRPr="002321A6">
              <w:rPr>
                <w:sz w:val="18"/>
                <w:szCs w:val="18"/>
                <w:lang w:val="fr-FR"/>
              </w:rPr>
              <w:t>extraction artisanale et à petite échelle d</w:t>
            </w:r>
            <w:r w:rsidR="00CA4DAC">
              <w:rPr>
                <w:sz w:val="18"/>
                <w:szCs w:val="18"/>
                <w:lang w:val="fr-FR"/>
              </w:rPr>
              <w:t>’</w:t>
            </w:r>
            <w:r w:rsidRPr="002321A6">
              <w:rPr>
                <w:sz w:val="18"/>
                <w:szCs w:val="18"/>
                <w:lang w:val="fr-FR"/>
              </w:rPr>
              <w:t>or</w:t>
            </w:r>
            <w:bookmarkEnd w:id="277"/>
          </w:p>
        </w:tc>
        <w:tc>
          <w:tcPr>
            <w:tcW w:w="1276" w:type="dxa"/>
            <w:tcBorders>
              <w:top w:val="nil"/>
              <w:left w:val="nil"/>
              <w:bottom w:val="nil"/>
              <w:right w:val="nil"/>
            </w:tcBorders>
            <w:shd w:val="clear" w:color="auto" w:fill="FFFFFF" w:themeFill="background1"/>
          </w:tcPr>
          <w:p w14:paraId="584C0E9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78D8A76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78" w:name="_DV_C1791"/>
            <w:r w:rsidRPr="002321A6">
              <w:rPr>
                <w:sz w:val="18"/>
                <w:szCs w:val="18"/>
              </w:rPr>
              <w:t xml:space="preserve">50 000 </w:t>
            </w:r>
            <w:bookmarkEnd w:id="278"/>
          </w:p>
        </w:tc>
        <w:tc>
          <w:tcPr>
            <w:tcW w:w="1160" w:type="dxa"/>
            <w:tcBorders>
              <w:top w:val="nil"/>
              <w:left w:val="nil"/>
              <w:bottom w:val="nil"/>
              <w:right w:val="nil"/>
            </w:tcBorders>
            <w:shd w:val="clear" w:color="auto" w:fill="FFFFFF" w:themeFill="background1"/>
          </w:tcPr>
          <w:p w14:paraId="2A9AC72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0ED6E79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79" w:name="_DV_C1792"/>
            <w:r w:rsidRPr="002321A6">
              <w:rPr>
                <w:sz w:val="18"/>
                <w:szCs w:val="18"/>
              </w:rPr>
              <w:t xml:space="preserve">50 000 </w:t>
            </w:r>
            <w:bookmarkEnd w:id="279"/>
          </w:p>
        </w:tc>
      </w:tr>
      <w:tr w:rsidR="002A2EA6" w:rsidRPr="002A2EA6" w14:paraId="24A2D881" w14:textId="77777777" w:rsidTr="002321A6">
        <w:trPr>
          <w:trHeight w:val="57"/>
          <w:jc w:val="right"/>
        </w:trPr>
        <w:tc>
          <w:tcPr>
            <w:tcW w:w="1134" w:type="dxa"/>
            <w:tcBorders>
              <w:top w:val="nil"/>
              <w:left w:val="nil"/>
              <w:bottom w:val="nil"/>
              <w:right w:val="nil"/>
            </w:tcBorders>
            <w:shd w:val="clear" w:color="auto" w:fill="FFFFFF" w:themeFill="background1"/>
          </w:tcPr>
          <w:p w14:paraId="513F60B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076E22A7" w14:textId="06E017CA"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80" w:name="_DV_C1793"/>
            <w:r w:rsidRPr="002321A6">
              <w:rPr>
                <w:sz w:val="18"/>
                <w:szCs w:val="18"/>
                <w:lang w:val="fr-FR"/>
              </w:rPr>
              <w:t>5.3 Mise à jour/élaboration d</w:t>
            </w:r>
            <w:r w:rsidR="00CA4DAC">
              <w:rPr>
                <w:sz w:val="18"/>
                <w:szCs w:val="18"/>
                <w:lang w:val="fr-FR"/>
              </w:rPr>
              <w:t>’</w:t>
            </w:r>
            <w:r w:rsidRPr="002321A6">
              <w:rPr>
                <w:sz w:val="18"/>
                <w:szCs w:val="18"/>
                <w:lang w:val="fr-FR"/>
              </w:rPr>
              <w:t>orientations sur les émissions/rejets de mercure</w:t>
            </w:r>
            <w:bookmarkEnd w:id="280"/>
          </w:p>
        </w:tc>
        <w:tc>
          <w:tcPr>
            <w:tcW w:w="1276" w:type="dxa"/>
            <w:tcBorders>
              <w:top w:val="nil"/>
              <w:left w:val="nil"/>
              <w:bottom w:val="nil"/>
              <w:right w:val="nil"/>
            </w:tcBorders>
            <w:shd w:val="clear" w:color="auto" w:fill="FFFFFF" w:themeFill="background1"/>
          </w:tcPr>
          <w:p w14:paraId="27340FC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34EE89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1" w:name="_DV_C1794"/>
            <w:r w:rsidRPr="002321A6">
              <w:rPr>
                <w:sz w:val="18"/>
                <w:szCs w:val="18"/>
              </w:rPr>
              <w:t xml:space="preserve">50 000 </w:t>
            </w:r>
            <w:bookmarkEnd w:id="281"/>
          </w:p>
        </w:tc>
        <w:tc>
          <w:tcPr>
            <w:tcW w:w="1160" w:type="dxa"/>
            <w:tcBorders>
              <w:top w:val="nil"/>
              <w:left w:val="nil"/>
              <w:bottom w:val="nil"/>
              <w:right w:val="nil"/>
            </w:tcBorders>
            <w:shd w:val="clear" w:color="auto" w:fill="FFFFFF" w:themeFill="background1"/>
          </w:tcPr>
          <w:p w14:paraId="553EB14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1235C9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2" w:name="_DV_C1795"/>
            <w:r w:rsidRPr="002321A6">
              <w:rPr>
                <w:sz w:val="18"/>
                <w:szCs w:val="18"/>
              </w:rPr>
              <w:t xml:space="preserve">50 000 </w:t>
            </w:r>
            <w:bookmarkEnd w:id="282"/>
          </w:p>
        </w:tc>
      </w:tr>
      <w:tr w:rsidR="002A2EA6" w:rsidRPr="002A2EA6" w14:paraId="7BC53F4B" w14:textId="77777777" w:rsidTr="002321A6">
        <w:trPr>
          <w:trHeight w:val="57"/>
          <w:jc w:val="right"/>
        </w:trPr>
        <w:tc>
          <w:tcPr>
            <w:tcW w:w="1134" w:type="dxa"/>
            <w:tcBorders>
              <w:top w:val="nil"/>
              <w:left w:val="nil"/>
              <w:bottom w:val="nil"/>
              <w:right w:val="nil"/>
            </w:tcBorders>
            <w:shd w:val="clear" w:color="auto" w:fill="FFFFFF" w:themeFill="background1"/>
          </w:tcPr>
          <w:p w14:paraId="16589EB0"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60CC86E6" w14:textId="5C36CCDF"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83" w:name="_DV_C1796"/>
            <w:r w:rsidRPr="002321A6">
              <w:rPr>
                <w:sz w:val="18"/>
                <w:szCs w:val="18"/>
                <w:lang w:val="fr-FR"/>
              </w:rPr>
              <w:t>5.4 Collecte et analyse d</w:t>
            </w:r>
            <w:r w:rsidR="00CA4DAC">
              <w:rPr>
                <w:sz w:val="18"/>
                <w:szCs w:val="18"/>
                <w:lang w:val="fr-FR"/>
              </w:rPr>
              <w:t>’</w:t>
            </w:r>
            <w:r w:rsidRPr="002321A6">
              <w:rPr>
                <w:sz w:val="18"/>
                <w:szCs w:val="18"/>
                <w:lang w:val="fr-FR"/>
              </w:rPr>
              <w:t>informations sur les déchets de mercure et les sites contaminés</w:t>
            </w:r>
            <w:bookmarkEnd w:id="283"/>
          </w:p>
        </w:tc>
        <w:tc>
          <w:tcPr>
            <w:tcW w:w="1276" w:type="dxa"/>
            <w:tcBorders>
              <w:top w:val="nil"/>
              <w:left w:val="nil"/>
              <w:bottom w:val="nil"/>
              <w:right w:val="nil"/>
            </w:tcBorders>
            <w:shd w:val="clear" w:color="auto" w:fill="FFFFFF" w:themeFill="background1"/>
          </w:tcPr>
          <w:p w14:paraId="216011E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4" w:name="_DV_C1797"/>
            <w:r w:rsidRPr="002321A6">
              <w:rPr>
                <w:sz w:val="18"/>
                <w:szCs w:val="18"/>
              </w:rPr>
              <w:t xml:space="preserve">30 000 </w:t>
            </w:r>
            <w:bookmarkEnd w:id="284"/>
          </w:p>
        </w:tc>
        <w:tc>
          <w:tcPr>
            <w:tcW w:w="1418" w:type="dxa"/>
            <w:tcBorders>
              <w:top w:val="nil"/>
              <w:left w:val="nil"/>
              <w:bottom w:val="nil"/>
              <w:right w:val="nil"/>
            </w:tcBorders>
            <w:shd w:val="clear" w:color="auto" w:fill="FFFFFF" w:themeFill="background1"/>
          </w:tcPr>
          <w:p w14:paraId="7D9B976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5" w:name="_DV_C1798"/>
            <w:r w:rsidRPr="002321A6">
              <w:rPr>
                <w:sz w:val="18"/>
                <w:szCs w:val="18"/>
              </w:rPr>
              <w:t xml:space="preserve">20 000 </w:t>
            </w:r>
            <w:bookmarkEnd w:id="285"/>
          </w:p>
        </w:tc>
        <w:tc>
          <w:tcPr>
            <w:tcW w:w="1160" w:type="dxa"/>
            <w:tcBorders>
              <w:top w:val="nil"/>
              <w:left w:val="nil"/>
              <w:bottom w:val="nil"/>
              <w:right w:val="nil"/>
            </w:tcBorders>
            <w:shd w:val="clear" w:color="auto" w:fill="FFFFFF" w:themeFill="background1"/>
          </w:tcPr>
          <w:p w14:paraId="550CCF2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6" w:name="_DV_C1799"/>
            <w:r w:rsidRPr="002321A6">
              <w:rPr>
                <w:sz w:val="18"/>
                <w:szCs w:val="18"/>
              </w:rPr>
              <w:t xml:space="preserve">30 000 </w:t>
            </w:r>
            <w:bookmarkEnd w:id="286"/>
          </w:p>
        </w:tc>
        <w:tc>
          <w:tcPr>
            <w:tcW w:w="1100" w:type="dxa"/>
            <w:tcBorders>
              <w:top w:val="nil"/>
              <w:left w:val="nil"/>
              <w:bottom w:val="nil"/>
              <w:right w:val="nil"/>
            </w:tcBorders>
            <w:shd w:val="clear" w:color="auto" w:fill="FFFFFF" w:themeFill="background1"/>
          </w:tcPr>
          <w:p w14:paraId="677482A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7" w:name="_DV_C1800"/>
            <w:r w:rsidRPr="002321A6">
              <w:rPr>
                <w:sz w:val="18"/>
                <w:szCs w:val="18"/>
              </w:rPr>
              <w:t xml:space="preserve">20 000 </w:t>
            </w:r>
            <w:bookmarkEnd w:id="287"/>
          </w:p>
        </w:tc>
      </w:tr>
      <w:tr w:rsidR="002A2EA6" w:rsidRPr="002A2EA6" w14:paraId="2A32DC85"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591A1F66"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A336F55"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288" w:name="_DV_C1801"/>
            <w:r w:rsidRPr="002321A6">
              <w:rPr>
                <w:sz w:val="18"/>
                <w:szCs w:val="18"/>
                <w:lang w:val="fr-FR"/>
              </w:rPr>
              <w:t>5.5 Activités scientifiques et techniques intersectorielles</w:t>
            </w:r>
            <w:bookmarkEnd w:id="288"/>
          </w:p>
        </w:tc>
        <w:tc>
          <w:tcPr>
            <w:tcW w:w="1276" w:type="dxa"/>
            <w:tcBorders>
              <w:top w:val="nil"/>
              <w:left w:val="nil"/>
              <w:bottom w:val="single" w:sz="4" w:space="0" w:color="000000"/>
              <w:right w:val="nil"/>
            </w:tcBorders>
            <w:shd w:val="clear" w:color="auto" w:fill="FFFFFF" w:themeFill="background1"/>
          </w:tcPr>
          <w:p w14:paraId="0243039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5FECBCE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89" w:name="_DV_C1802"/>
            <w:r w:rsidRPr="002321A6">
              <w:rPr>
                <w:sz w:val="18"/>
                <w:szCs w:val="18"/>
              </w:rPr>
              <w:t xml:space="preserve">500 000 </w:t>
            </w:r>
            <w:bookmarkEnd w:id="289"/>
          </w:p>
        </w:tc>
        <w:tc>
          <w:tcPr>
            <w:tcW w:w="1160" w:type="dxa"/>
            <w:tcBorders>
              <w:top w:val="nil"/>
              <w:left w:val="nil"/>
              <w:bottom w:val="single" w:sz="4" w:space="0" w:color="000000"/>
              <w:right w:val="nil"/>
            </w:tcBorders>
            <w:shd w:val="clear" w:color="auto" w:fill="FFFFFF" w:themeFill="background1"/>
          </w:tcPr>
          <w:p w14:paraId="18179AA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5C93B92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90" w:name="_DV_C1803"/>
            <w:r w:rsidRPr="002321A6">
              <w:rPr>
                <w:sz w:val="18"/>
                <w:szCs w:val="18"/>
              </w:rPr>
              <w:t xml:space="preserve">400 000 </w:t>
            </w:r>
            <w:bookmarkEnd w:id="290"/>
          </w:p>
        </w:tc>
      </w:tr>
      <w:tr w:rsidR="002A2EA6" w:rsidRPr="002A2EA6" w14:paraId="52751317"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7C429B80"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lastRenderedPageBreak/>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22547EC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1E8F725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91" w:name="_DV_C1805"/>
            <w:r w:rsidRPr="002321A6">
              <w:rPr>
                <w:b/>
                <w:bCs/>
                <w:sz w:val="18"/>
                <w:szCs w:val="18"/>
              </w:rPr>
              <w:t>60 000</w:t>
            </w:r>
            <w:r w:rsidRPr="002321A6">
              <w:rPr>
                <w:sz w:val="18"/>
                <w:szCs w:val="18"/>
              </w:rPr>
              <w:t xml:space="preserve"> </w:t>
            </w:r>
            <w:bookmarkEnd w:id="291"/>
          </w:p>
        </w:tc>
        <w:tc>
          <w:tcPr>
            <w:tcW w:w="1418" w:type="dxa"/>
            <w:tcBorders>
              <w:top w:val="single" w:sz="4" w:space="0" w:color="000000"/>
              <w:left w:val="nil"/>
              <w:bottom w:val="single" w:sz="4" w:space="0" w:color="000000"/>
              <w:right w:val="nil"/>
            </w:tcBorders>
            <w:shd w:val="clear" w:color="auto" w:fill="FFFFFF" w:themeFill="background1"/>
          </w:tcPr>
          <w:p w14:paraId="0021CD8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92" w:name="_DV_C1806"/>
            <w:r w:rsidRPr="002321A6">
              <w:rPr>
                <w:b/>
                <w:bCs/>
                <w:sz w:val="18"/>
                <w:szCs w:val="18"/>
              </w:rPr>
              <w:t>620 000</w:t>
            </w:r>
            <w:r w:rsidRPr="002321A6">
              <w:rPr>
                <w:sz w:val="18"/>
                <w:szCs w:val="18"/>
              </w:rPr>
              <w:t xml:space="preserve"> </w:t>
            </w:r>
            <w:bookmarkEnd w:id="292"/>
          </w:p>
        </w:tc>
        <w:tc>
          <w:tcPr>
            <w:tcW w:w="1160" w:type="dxa"/>
            <w:tcBorders>
              <w:top w:val="single" w:sz="4" w:space="0" w:color="000000"/>
              <w:left w:val="nil"/>
              <w:bottom w:val="single" w:sz="4" w:space="0" w:color="000000"/>
              <w:right w:val="nil"/>
            </w:tcBorders>
            <w:shd w:val="clear" w:color="auto" w:fill="FFFFFF" w:themeFill="background1"/>
          </w:tcPr>
          <w:p w14:paraId="2BD71CD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93" w:name="_DV_C1807"/>
            <w:r w:rsidRPr="002321A6">
              <w:rPr>
                <w:b/>
                <w:bCs/>
                <w:sz w:val="18"/>
                <w:szCs w:val="18"/>
              </w:rPr>
              <w:t>60 000</w:t>
            </w:r>
            <w:r w:rsidRPr="002321A6">
              <w:rPr>
                <w:sz w:val="18"/>
                <w:szCs w:val="18"/>
              </w:rPr>
              <w:t xml:space="preserve"> </w:t>
            </w:r>
            <w:bookmarkEnd w:id="293"/>
          </w:p>
        </w:tc>
        <w:tc>
          <w:tcPr>
            <w:tcW w:w="1100" w:type="dxa"/>
            <w:tcBorders>
              <w:top w:val="single" w:sz="4" w:space="0" w:color="000000"/>
              <w:left w:val="nil"/>
              <w:bottom w:val="single" w:sz="4" w:space="0" w:color="000000"/>
              <w:right w:val="nil"/>
            </w:tcBorders>
            <w:shd w:val="clear" w:color="auto" w:fill="FFFFFF" w:themeFill="background1"/>
          </w:tcPr>
          <w:p w14:paraId="767A720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294" w:name="_DV_C1808"/>
            <w:r w:rsidRPr="002321A6">
              <w:rPr>
                <w:b/>
                <w:bCs/>
                <w:sz w:val="18"/>
                <w:szCs w:val="18"/>
              </w:rPr>
              <w:t>520 000</w:t>
            </w:r>
            <w:r w:rsidRPr="002321A6">
              <w:rPr>
                <w:sz w:val="18"/>
                <w:szCs w:val="18"/>
              </w:rPr>
              <w:t xml:space="preserve"> </w:t>
            </w:r>
            <w:bookmarkEnd w:id="294"/>
          </w:p>
        </w:tc>
      </w:tr>
      <w:tr w:rsidR="002A2EA6" w:rsidRPr="002A2EA6" w14:paraId="575C3880"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706A3B22"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295" w:name="_DV_C1809"/>
            <w:r w:rsidRPr="002321A6">
              <w:rPr>
                <w:b/>
                <w:bCs/>
                <w:sz w:val="18"/>
                <w:szCs w:val="18"/>
              </w:rPr>
              <w:t>6</w:t>
            </w:r>
            <w:bookmarkEnd w:id="295"/>
          </w:p>
        </w:tc>
        <w:tc>
          <w:tcPr>
            <w:tcW w:w="3543" w:type="dxa"/>
            <w:tcBorders>
              <w:top w:val="single" w:sz="4" w:space="0" w:color="000000"/>
              <w:left w:val="nil"/>
              <w:bottom w:val="nil"/>
              <w:right w:val="nil"/>
            </w:tcBorders>
            <w:shd w:val="clear" w:color="auto" w:fill="FFFFFF" w:themeFill="background1"/>
          </w:tcPr>
          <w:p w14:paraId="366B8921" w14:textId="08052A65"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296" w:name="_DV_C1810"/>
            <w:r w:rsidRPr="002321A6">
              <w:rPr>
                <w:b/>
                <w:bCs/>
                <w:sz w:val="18"/>
                <w:szCs w:val="18"/>
              </w:rPr>
              <w:t>Évaluation de l</w:t>
            </w:r>
            <w:r w:rsidR="00CA4DAC">
              <w:rPr>
                <w:b/>
                <w:bCs/>
                <w:sz w:val="18"/>
                <w:szCs w:val="18"/>
              </w:rPr>
              <w:t>’</w:t>
            </w:r>
            <w:r w:rsidRPr="002321A6">
              <w:rPr>
                <w:b/>
                <w:bCs/>
                <w:sz w:val="18"/>
                <w:szCs w:val="18"/>
              </w:rPr>
              <w:t>efficacité</w:t>
            </w:r>
            <w:r w:rsidR="003456B7" w:rsidRPr="008A5658">
              <w:rPr>
                <w:b/>
                <w:bCs/>
                <w:vertAlign w:val="superscript"/>
              </w:rPr>
              <w:t>a</w:t>
            </w:r>
            <w:r w:rsidRPr="002321A6">
              <w:rPr>
                <w:sz w:val="18"/>
                <w:szCs w:val="18"/>
              </w:rPr>
              <w:t xml:space="preserve"> </w:t>
            </w:r>
            <w:bookmarkStart w:id="297" w:name="_DV_C1811"/>
            <w:bookmarkEnd w:id="296"/>
            <w:bookmarkEnd w:id="297"/>
          </w:p>
        </w:tc>
        <w:tc>
          <w:tcPr>
            <w:tcW w:w="1276" w:type="dxa"/>
            <w:tcBorders>
              <w:top w:val="single" w:sz="4" w:space="0" w:color="000000"/>
              <w:left w:val="nil"/>
              <w:bottom w:val="nil"/>
              <w:right w:val="nil"/>
            </w:tcBorders>
            <w:shd w:val="clear" w:color="auto" w:fill="FFFFFF" w:themeFill="background1"/>
          </w:tcPr>
          <w:p w14:paraId="5678818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680E811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0F7A65A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6599C66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3727159" w14:textId="77777777" w:rsidTr="002321A6">
        <w:trPr>
          <w:trHeight w:val="57"/>
          <w:jc w:val="right"/>
        </w:trPr>
        <w:tc>
          <w:tcPr>
            <w:tcW w:w="1134" w:type="dxa"/>
            <w:tcBorders>
              <w:top w:val="nil"/>
              <w:left w:val="nil"/>
              <w:bottom w:val="nil"/>
              <w:right w:val="nil"/>
            </w:tcBorders>
            <w:shd w:val="clear" w:color="auto" w:fill="FFFFFF" w:themeFill="background1"/>
          </w:tcPr>
          <w:p w14:paraId="07F0685C"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CE04D71" w14:textId="4DE77E8D"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280" w:hanging="280"/>
              <w:rPr>
                <w:rFonts w:eastAsia="SimSun"/>
                <w:sz w:val="18"/>
                <w:szCs w:val="18"/>
                <w:lang w:val="fr-FR"/>
              </w:rPr>
            </w:pPr>
            <w:bookmarkStart w:id="298" w:name="_DV_C1813"/>
            <w:r w:rsidRPr="002321A6">
              <w:rPr>
                <w:sz w:val="18"/>
                <w:szCs w:val="18"/>
                <w:lang w:val="fr-FR"/>
              </w:rPr>
              <w:t>6.1 Élaboration d</w:t>
            </w:r>
            <w:r w:rsidR="00CA4DAC">
              <w:rPr>
                <w:sz w:val="18"/>
                <w:szCs w:val="18"/>
                <w:lang w:val="fr-FR"/>
              </w:rPr>
              <w:t>’</w:t>
            </w:r>
            <w:r w:rsidRPr="002321A6">
              <w:rPr>
                <w:sz w:val="18"/>
                <w:szCs w:val="18"/>
                <w:lang w:val="fr-FR"/>
              </w:rPr>
              <w:t>un projet de document d</w:t>
            </w:r>
            <w:r w:rsidR="00CA4DAC">
              <w:rPr>
                <w:sz w:val="18"/>
                <w:szCs w:val="18"/>
                <w:lang w:val="fr-FR"/>
              </w:rPr>
              <w:t>’</w:t>
            </w:r>
            <w:r w:rsidRPr="002321A6">
              <w:rPr>
                <w:sz w:val="18"/>
                <w:szCs w:val="18"/>
                <w:lang w:val="fr-FR"/>
              </w:rPr>
              <w:t xml:space="preserve">orientation sur la surveillance </w:t>
            </w:r>
            <w:bookmarkEnd w:id="298"/>
          </w:p>
        </w:tc>
        <w:tc>
          <w:tcPr>
            <w:tcW w:w="1276" w:type="dxa"/>
            <w:tcBorders>
              <w:top w:val="nil"/>
              <w:left w:val="nil"/>
              <w:bottom w:val="nil"/>
              <w:right w:val="nil"/>
            </w:tcBorders>
            <w:shd w:val="clear" w:color="auto" w:fill="FFFFFF" w:themeFill="background1"/>
          </w:tcPr>
          <w:p w14:paraId="3407AE7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299" w:name="_DV_C1814"/>
            <w:r w:rsidRPr="002321A6">
              <w:rPr>
                <w:sz w:val="18"/>
                <w:szCs w:val="18"/>
              </w:rPr>
              <w:t>85 000</w:t>
            </w:r>
            <w:bookmarkEnd w:id="299"/>
          </w:p>
        </w:tc>
        <w:tc>
          <w:tcPr>
            <w:tcW w:w="1418" w:type="dxa"/>
            <w:tcBorders>
              <w:top w:val="nil"/>
              <w:left w:val="nil"/>
              <w:bottom w:val="nil"/>
              <w:right w:val="nil"/>
            </w:tcBorders>
            <w:shd w:val="clear" w:color="auto" w:fill="FFFFFF" w:themeFill="background1"/>
          </w:tcPr>
          <w:p w14:paraId="25BD9AF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00" w:name="_DV_C1815"/>
            <w:r w:rsidRPr="002321A6">
              <w:rPr>
                <w:sz w:val="18"/>
                <w:szCs w:val="18"/>
              </w:rPr>
              <w:t xml:space="preserve">150 000 </w:t>
            </w:r>
            <w:bookmarkEnd w:id="300"/>
          </w:p>
        </w:tc>
        <w:tc>
          <w:tcPr>
            <w:tcW w:w="1160" w:type="dxa"/>
            <w:tcBorders>
              <w:top w:val="nil"/>
              <w:left w:val="nil"/>
              <w:bottom w:val="nil"/>
              <w:right w:val="nil"/>
            </w:tcBorders>
            <w:shd w:val="clear" w:color="auto" w:fill="FFFFFF" w:themeFill="background1"/>
          </w:tcPr>
          <w:p w14:paraId="75EFFB3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01" w:name="_DV_C1816"/>
            <w:r w:rsidRPr="002321A6">
              <w:rPr>
                <w:sz w:val="18"/>
                <w:szCs w:val="18"/>
              </w:rPr>
              <w:t xml:space="preserve">85 000 </w:t>
            </w:r>
            <w:bookmarkEnd w:id="301"/>
          </w:p>
        </w:tc>
        <w:tc>
          <w:tcPr>
            <w:tcW w:w="1100" w:type="dxa"/>
            <w:tcBorders>
              <w:top w:val="nil"/>
              <w:left w:val="nil"/>
              <w:bottom w:val="nil"/>
              <w:right w:val="nil"/>
            </w:tcBorders>
            <w:shd w:val="clear" w:color="auto" w:fill="FFFFFF" w:themeFill="background1"/>
          </w:tcPr>
          <w:p w14:paraId="1285008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B4D2D0F" w14:textId="77777777" w:rsidTr="002321A6">
        <w:trPr>
          <w:trHeight w:val="57"/>
          <w:jc w:val="right"/>
        </w:trPr>
        <w:tc>
          <w:tcPr>
            <w:tcW w:w="1134" w:type="dxa"/>
            <w:tcBorders>
              <w:top w:val="nil"/>
              <w:left w:val="nil"/>
              <w:bottom w:val="nil"/>
              <w:right w:val="nil"/>
            </w:tcBorders>
            <w:shd w:val="clear" w:color="auto" w:fill="FFFFFF" w:themeFill="background1"/>
          </w:tcPr>
          <w:p w14:paraId="28731430"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61DA3965" w14:textId="00138AEE"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280" w:hanging="280"/>
              <w:rPr>
                <w:rFonts w:eastAsia="SimSun"/>
                <w:sz w:val="18"/>
                <w:szCs w:val="18"/>
                <w:lang w:val="fr-FR"/>
              </w:rPr>
            </w:pPr>
            <w:bookmarkStart w:id="302" w:name="_DV_C1817"/>
            <w:r w:rsidRPr="002321A6">
              <w:rPr>
                <w:sz w:val="18"/>
                <w:szCs w:val="18"/>
                <w:lang w:val="fr-FR"/>
              </w:rPr>
              <w:t>6.2 Élaboration d</w:t>
            </w:r>
            <w:r w:rsidR="00CA4DAC">
              <w:rPr>
                <w:sz w:val="18"/>
                <w:szCs w:val="18"/>
                <w:lang w:val="fr-FR"/>
              </w:rPr>
              <w:t>’</w:t>
            </w:r>
            <w:r w:rsidRPr="002321A6">
              <w:rPr>
                <w:sz w:val="18"/>
                <w:szCs w:val="18"/>
                <w:lang w:val="fr-FR"/>
              </w:rPr>
              <w:t>un rapport sur le</w:t>
            </w:r>
            <w:r w:rsidR="002321A6">
              <w:rPr>
                <w:sz w:val="18"/>
                <w:szCs w:val="18"/>
                <w:lang w:val="fr-FR"/>
              </w:rPr>
              <w:t> </w:t>
            </w:r>
            <w:r w:rsidRPr="002321A6">
              <w:rPr>
                <w:sz w:val="18"/>
                <w:szCs w:val="18"/>
                <w:lang w:val="fr-FR"/>
              </w:rPr>
              <w:t>commerce, l</w:t>
            </w:r>
            <w:r w:rsidR="00CA4DAC">
              <w:rPr>
                <w:sz w:val="18"/>
                <w:szCs w:val="18"/>
                <w:lang w:val="fr-FR"/>
              </w:rPr>
              <w:t>’</w:t>
            </w:r>
            <w:r w:rsidRPr="002321A6">
              <w:rPr>
                <w:sz w:val="18"/>
                <w:szCs w:val="18"/>
                <w:lang w:val="fr-FR"/>
              </w:rPr>
              <w:t>approvisionnement et la</w:t>
            </w:r>
            <w:r w:rsidR="002321A6">
              <w:rPr>
                <w:sz w:val="18"/>
                <w:szCs w:val="18"/>
                <w:lang w:val="fr-FR"/>
              </w:rPr>
              <w:t> </w:t>
            </w:r>
            <w:r w:rsidRPr="002321A6">
              <w:rPr>
                <w:sz w:val="18"/>
                <w:szCs w:val="18"/>
                <w:lang w:val="fr-FR"/>
              </w:rPr>
              <w:t xml:space="preserve">demande </w:t>
            </w:r>
            <w:bookmarkEnd w:id="302"/>
          </w:p>
        </w:tc>
        <w:tc>
          <w:tcPr>
            <w:tcW w:w="1276" w:type="dxa"/>
            <w:tcBorders>
              <w:top w:val="nil"/>
              <w:left w:val="nil"/>
              <w:bottom w:val="nil"/>
              <w:right w:val="nil"/>
            </w:tcBorders>
            <w:shd w:val="clear" w:color="auto" w:fill="FFFFFF" w:themeFill="background1"/>
          </w:tcPr>
          <w:p w14:paraId="0BD8CE3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76C6E8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35D9C4C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03" w:name="_DV_C1818"/>
            <w:r w:rsidRPr="002321A6">
              <w:rPr>
                <w:sz w:val="18"/>
                <w:szCs w:val="18"/>
              </w:rPr>
              <w:t xml:space="preserve">200 000 </w:t>
            </w:r>
            <w:bookmarkEnd w:id="303"/>
          </w:p>
        </w:tc>
        <w:tc>
          <w:tcPr>
            <w:tcW w:w="1100" w:type="dxa"/>
            <w:tcBorders>
              <w:top w:val="nil"/>
              <w:left w:val="nil"/>
              <w:bottom w:val="nil"/>
              <w:right w:val="nil"/>
            </w:tcBorders>
            <w:shd w:val="clear" w:color="auto" w:fill="FFFFFF" w:themeFill="background1"/>
          </w:tcPr>
          <w:p w14:paraId="7E5EF0E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358AB91" w14:textId="77777777" w:rsidTr="002321A6">
        <w:trPr>
          <w:trHeight w:val="57"/>
          <w:jc w:val="right"/>
        </w:trPr>
        <w:tc>
          <w:tcPr>
            <w:tcW w:w="1134" w:type="dxa"/>
            <w:tcBorders>
              <w:top w:val="nil"/>
              <w:left w:val="nil"/>
              <w:bottom w:val="nil"/>
              <w:right w:val="nil"/>
            </w:tcBorders>
            <w:shd w:val="clear" w:color="auto" w:fill="FFFFFF" w:themeFill="background1"/>
          </w:tcPr>
          <w:p w14:paraId="7AC64939"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3F4196D"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nil"/>
              <w:left w:val="nil"/>
              <w:bottom w:val="nil"/>
              <w:right w:val="nil"/>
            </w:tcBorders>
            <w:shd w:val="clear" w:color="auto" w:fill="FFFFFF" w:themeFill="background1"/>
          </w:tcPr>
          <w:p w14:paraId="66803F0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04" w:name="_DV_C1820"/>
            <w:r w:rsidRPr="002321A6">
              <w:rPr>
                <w:b/>
                <w:bCs/>
                <w:sz w:val="18"/>
                <w:szCs w:val="18"/>
              </w:rPr>
              <w:t>85 000</w:t>
            </w:r>
            <w:r w:rsidRPr="002321A6">
              <w:rPr>
                <w:sz w:val="18"/>
                <w:szCs w:val="18"/>
              </w:rPr>
              <w:t xml:space="preserve"> </w:t>
            </w:r>
            <w:bookmarkEnd w:id="304"/>
          </w:p>
        </w:tc>
        <w:tc>
          <w:tcPr>
            <w:tcW w:w="1418" w:type="dxa"/>
            <w:tcBorders>
              <w:top w:val="nil"/>
              <w:left w:val="nil"/>
              <w:bottom w:val="nil"/>
              <w:right w:val="nil"/>
            </w:tcBorders>
            <w:shd w:val="clear" w:color="auto" w:fill="FFFFFF" w:themeFill="background1"/>
          </w:tcPr>
          <w:p w14:paraId="60FF57A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05" w:name="_DV_C1821"/>
            <w:r w:rsidRPr="002321A6">
              <w:rPr>
                <w:b/>
                <w:bCs/>
                <w:sz w:val="18"/>
                <w:szCs w:val="18"/>
              </w:rPr>
              <w:t>150 000</w:t>
            </w:r>
            <w:r w:rsidRPr="002321A6">
              <w:rPr>
                <w:sz w:val="18"/>
                <w:szCs w:val="18"/>
              </w:rPr>
              <w:t xml:space="preserve"> </w:t>
            </w:r>
            <w:bookmarkEnd w:id="305"/>
          </w:p>
        </w:tc>
        <w:tc>
          <w:tcPr>
            <w:tcW w:w="1160" w:type="dxa"/>
            <w:tcBorders>
              <w:top w:val="nil"/>
              <w:left w:val="nil"/>
              <w:bottom w:val="nil"/>
              <w:right w:val="nil"/>
            </w:tcBorders>
            <w:shd w:val="clear" w:color="auto" w:fill="FFFFFF" w:themeFill="background1"/>
          </w:tcPr>
          <w:p w14:paraId="3ED330A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06" w:name="_DV_C1822"/>
            <w:r w:rsidRPr="002321A6">
              <w:rPr>
                <w:b/>
                <w:bCs/>
                <w:sz w:val="18"/>
                <w:szCs w:val="18"/>
              </w:rPr>
              <w:t>285 000</w:t>
            </w:r>
            <w:r w:rsidRPr="002321A6">
              <w:rPr>
                <w:sz w:val="18"/>
                <w:szCs w:val="18"/>
              </w:rPr>
              <w:t xml:space="preserve"> </w:t>
            </w:r>
            <w:bookmarkEnd w:id="306"/>
          </w:p>
        </w:tc>
        <w:tc>
          <w:tcPr>
            <w:tcW w:w="1100" w:type="dxa"/>
            <w:tcBorders>
              <w:top w:val="nil"/>
              <w:left w:val="nil"/>
              <w:bottom w:val="nil"/>
              <w:right w:val="nil"/>
            </w:tcBorders>
            <w:shd w:val="clear" w:color="auto" w:fill="FFFFFF" w:themeFill="background1"/>
          </w:tcPr>
          <w:p w14:paraId="46FF833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686128B2" w14:textId="77777777" w:rsidTr="002321A6">
        <w:trPr>
          <w:trHeight w:val="57"/>
          <w:jc w:val="right"/>
        </w:trPr>
        <w:tc>
          <w:tcPr>
            <w:tcW w:w="1134" w:type="dxa"/>
            <w:tcBorders>
              <w:top w:val="nil"/>
              <w:left w:val="nil"/>
              <w:bottom w:val="nil"/>
              <w:right w:val="nil"/>
            </w:tcBorders>
            <w:shd w:val="clear" w:color="auto" w:fill="FFFFFF" w:themeFill="background1"/>
          </w:tcPr>
          <w:p w14:paraId="0BBABF6F"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07" w:name="_DV_C1823"/>
            <w:r w:rsidRPr="002321A6">
              <w:rPr>
                <w:b/>
                <w:bCs/>
                <w:sz w:val="18"/>
                <w:szCs w:val="18"/>
              </w:rPr>
              <w:t>7</w:t>
            </w:r>
            <w:bookmarkEnd w:id="307"/>
          </w:p>
        </w:tc>
        <w:tc>
          <w:tcPr>
            <w:tcW w:w="3543" w:type="dxa"/>
            <w:tcBorders>
              <w:top w:val="nil"/>
              <w:left w:val="nil"/>
              <w:bottom w:val="nil"/>
              <w:right w:val="nil"/>
            </w:tcBorders>
            <w:shd w:val="clear" w:color="auto" w:fill="FFFFFF" w:themeFill="background1"/>
          </w:tcPr>
          <w:p w14:paraId="164EAC11" w14:textId="790B8035"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08" w:name="_DV_C1824"/>
            <w:r w:rsidRPr="002321A6">
              <w:rPr>
                <w:b/>
                <w:bCs/>
                <w:sz w:val="18"/>
                <w:szCs w:val="18"/>
              </w:rPr>
              <w:t>Rapports nationaux présentés au titre de</w:t>
            </w:r>
            <w:r w:rsidR="002321A6">
              <w:rPr>
                <w:b/>
                <w:bCs/>
                <w:sz w:val="18"/>
                <w:szCs w:val="18"/>
              </w:rPr>
              <w:t> </w:t>
            </w:r>
            <w:r w:rsidRPr="002321A6">
              <w:rPr>
                <w:b/>
                <w:bCs/>
                <w:sz w:val="18"/>
                <w:szCs w:val="18"/>
              </w:rPr>
              <w:t>la Convention de Minamata</w:t>
            </w:r>
            <w:bookmarkEnd w:id="308"/>
          </w:p>
        </w:tc>
        <w:tc>
          <w:tcPr>
            <w:tcW w:w="1276" w:type="dxa"/>
            <w:tcBorders>
              <w:top w:val="nil"/>
              <w:left w:val="nil"/>
              <w:bottom w:val="nil"/>
              <w:right w:val="nil"/>
            </w:tcBorders>
            <w:shd w:val="clear" w:color="auto" w:fill="FFFFFF" w:themeFill="background1"/>
          </w:tcPr>
          <w:p w14:paraId="632BB82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F43AD6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260BD2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5444A45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FF3805C"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72632102"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FF63C97"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294" w:hanging="294"/>
              <w:rPr>
                <w:rFonts w:eastAsia="SimSun"/>
                <w:sz w:val="18"/>
                <w:szCs w:val="18"/>
                <w:lang w:val="fr-FR"/>
              </w:rPr>
            </w:pPr>
            <w:bookmarkStart w:id="309" w:name="_DV_C1825"/>
            <w:r w:rsidRPr="002321A6">
              <w:rPr>
                <w:sz w:val="18"/>
                <w:szCs w:val="18"/>
                <w:lang w:val="fr-FR"/>
              </w:rPr>
              <w:t>7.1 Rapports nationaux présentés au titre de la Convention de Minamata</w:t>
            </w:r>
            <w:bookmarkEnd w:id="309"/>
          </w:p>
        </w:tc>
        <w:tc>
          <w:tcPr>
            <w:tcW w:w="1276" w:type="dxa"/>
            <w:tcBorders>
              <w:top w:val="nil"/>
              <w:left w:val="nil"/>
              <w:bottom w:val="single" w:sz="4" w:space="0" w:color="000000"/>
              <w:right w:val="nil"/>
            </w:tcBorders>
            <w:shd w:val="clear" w:color="auto" w:fill="FFFFFF" w:themeFill="background1"/>
          </w:tcPr>
          <w:p w14:paraId="047F583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10" w:name="_DV_C1826"/>
            <w:r w:rsidRPr="002321A6">
              <w:rPr>
                <w:sz w:val="18"/>
                <w:szCs w:val="18"/>
              </w:rPr>
              <w:t xml:space="preserve">40 000 </w:t>
            </w:r>
            <w:bookmarkEnd w:id="310"/>
          </w:p>
        </w:tc>
        <w:tc>
          <w:tcPr>
            <w:tcW w:w="1418" w:type="dxa"/>
            <w:tcBorders>
              <w:top w:val="nil"/>
              <w:left w:val="nil"/>
              <w:bottom w:val="single" w:sz="4" w:space="0" w:color="000000"/>
              <w:right w:val="nil"/>
            </w:tcBorders>
            <w:shd w:val="clear" w:color="auto" w:fill="FFFFFF" w:themeFill="background1"/>
          </w:tcPr>
          <w:p w14:paraId="24688E1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5A1F430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11" w:name="_DV_C1827"/>
            <w:r w:rsidRPr="002321A6">
              <w:rPr>
                <w:sz w:val="18"/>
                <w:szCs w:val="18"/>
              </w:rPr>
              <w:t xml:space="preserve">76 500 </w:t>
            </w:r>
            <w:bookmarkEnd w:id="311"/>
          </w:p>
        </w:tc>
        <w:tc>
          <w:tcPr>
            <w:tcW w:w="1100" w:type="dxa"/>
            <w:tcBorders>
              <w:top w:val="nil"/>
              <w:left w:val="nil"/>
              <w:bottom w:val="single" w:sz="4" w:space="0" w:color="000000"/>
              <w:right w:val="nil"/>
            </w:tcBorders>
            <w:shd w:val="clear" w:color="auto" w:fill="FFFFFF" w:themeFill="background1"/>
          </w:tcPr>
          <w:p w14:paraId="7C5BFC8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41DAF9E"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6B9047F9"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192613B8"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64CF41D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12" w:name="_DV_C1829"/>
            <w:r w:rsidRPr="002321A6">
              <w:rPr>
                <w:b/>
                <w:bCs/>
                <w:sz w:val="18"/>
                <w:szCs w:val="18"/>
              </w:rPr>
              <w:t>40 000</w:t>
            </w:r>
            <w:r w:rsidRPr="002321A6">
              <w:rPr>
                <w:sz w:val="18"/>
                <w:szCs w:val="18"/>
              </w:rPr>
              <w:t xml:space="preserve"> </w:t>
            </w:r>
            <w:bookmarkEnd w:id="312"/>
          </w:p>
        </w:tc>
        <w:tc>
          <w:tcPr>
            <w:tcW w:w="1418" w:type="dxa"/>
            <w:tcBorders>
              <w:top w:val="single" w:sz="4" w:space="0" w:color="000000"/>
              <w:left w:val="nil"/>
              <w:bottom w:val="single" w:sz="4" w:space="0" w:color="000000"/>
              <w:right w:val="nil"/>
            </w:tcBorders>
            <w:shd w:val="clear" w:color="auto" w:fill="FFFFFF" w:themeFill="background1"/>
          </w:tcPr>
          <w:p w14:paraId="7E1E110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6280024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13" w:name="_DV_C1830"/>
            <w:r w:rsidRPr="002321A6">
              <w:rPr>
                <w:b/>
                <w:bCs/>
                <w:sz w:val="18"/>
                <w:szCs w:val="18"/>
              </w:rPr>
              <w:t>76 500</w:t>
            </w:r>
            <w:r w:rsidRPr="002321A6">
              <w:rPr>
                <w:sz w:val="18"/>
                <w:szCs w:val="18"/>
              </w:rPr>
              <w:t xml:space="preserve"> </w:t>
            </w:r>
            <w:bookmarkEnd w:id="313"/>
          </w:p>
        </w:tc>
        <w:tc>
          <w:tcPr>
            <w:tcW w:w="1100" w:type="dxa"/>
            <w:tcBorders>
              <w:top w:val="single" w:sz="4" w:space="0" w:color="000000"/>
              <w:left w:val="nil"/>
              <w:bottom w:val="single" w:sz="4" w:space="0" w:color="000000"/>
              <w:right w:val="nil"/>
            </w:tcBorders>
            <w:shd w:val="clear" w:color="auto" w:fill="FFFFFF" w:themeFill="background1"/>
          </w:tcPr>
          <w:p w14:paraId="63E505D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2EC71536"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61E7282C"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7BFD0FC6"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14" w:name="_DV_C1831"/>
            <w:r w:rsidRPr="002321A6">
              <w:rPr>
                <w:b/>
                <w:bCs/>
                <w:sz w:val="18"/>
                <w:szCs w:val="18"/>
              </w:rPr>
              <w:t>Total (C)</w:t>
            </w:r>
            <w:bookmarkEnd w:id="314"/>
          </w:p>
        </w:tc>
        <w:tc>
          <w:tcPr>
            <w:tcW w:w="1276" w:type="dxa"/>
            <w:tcBorders>
              <w:top w:val="single" w:sz="4" w:space="0" w:color="000000"/>
              <w:left w:val="nil"/>
              <w:bottom w:val="single" w:sz="4" w:space="0" w:color="000000"/>
              <w:right w:val="nil"/>
            </w:tcBorders>
            <w:shd w:val="clear" w:color="auto" w:fill="FFFFFF" w:themeFill="background1"/>
          </w:tcPr>
          <w:p w14:paraId="36531F6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15" w:name="_DV_C1832"/>
            <w:r w:rsidRPr="002321A6">
              <w:rPr>
                <w:b/>
                <w:bCs/>
                <w:sz w:val="18"/>
                <w:szCs w:val="18"/>
              </w:rPr>
              <w:t>185 000</w:t>
            </w:r>
            <w:r w:rsidRPr="002321A6">
              <w:rPr>
                <w:sz w:val="18"/>
                <w:szCs w:val="18"/>
              </w:rPr>
              <w:t xml:space="preserve"> </w:t>
            </w:r>
            <w:bookmarkEnd w:id="315"/>
          </w:p>
        </w:tc>
        <w:tc>
          <w:tcPr>
            <w:tcW w:w="1418" w:type="dxa"/>
            <w:tcBorders>
              <w:top w:val="single" w:sz="4" w:space="0" w:color="000000"/>
              <w:left w:val="nil"/>
              <w:bottom w:val="single" w:sz="4" w:space="0" w:color="000000"/>
              <w:right w:val="nil"/>
            </w:tcBorders>
            <w:shd w:val="clear" w:color="auto" w:fill="FFFFFF" w:themeFill="background1"/>
          </w:tcPr>
          <w:p w14:paraId="2DE9AC9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16" w:name="_DV_C1833"/>
            <w:r w:rsidRPr="002321A6">
              <w:rPr>
                <w:b/>
                <w:bCs/>
                <w:sz w:val="18"/>
                <w:szCs w:val="18"/>
              </w:rPr>
              <w:t>770 000</w:t>
            </w:r>
            <w:r w:rsidRPr="002321A6">
              <w:rPr>
                <w:sz w:val="18"/>
                <w:szCs w:val="18"/>
              </w:rPr>
              <w:t xml:space="preserve"> </w:t>
            </w:r>
            <w:bookmarkEnd w:id="316"/>
          </w:p>
        </w:tc>
        <w:tc>
          <w:tcPr>
            <w:tcW w:w="1160" w:type="dxa"/>
            <w:tcBorders>
              <w:top w:val="single" w:sz="4" w:space="0" w:color="000000"/>
              <w:left w:val="nil"/>
              <w:bottom w:val="single" w:sz="4" w:space="0" w:color="000000"/>
              <w:right w:val="nil"/>
            </w:tcBorders>
            <w:shd w:val="clear" w:color="auto" w:fill="FFFFFF" w:themeFill="background1"/>
          </w:tcPr>
          <w:p w14:paraId="788EA00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17" w:name="_DV_C1834"/>
            <w:r w:rsidRPr="002321A6">
              <w:rPr>
                <w:b/>
                <w:bCs/>
                <w:sz w:val="18"/>
                <w:szCs w:val="18"/>
              </w:rPr>
              <w:t>421 500</w:t>
            </w:r>
            <w:r w:rsidRPr="002321A6">
              <w:rPr>
                <w:sz w:val="18"/>
                <w:szCs w:val="18"/>
              </w:rPr>
              <w:t xml:space="preserve"> </w:t>
            </w:r>
            <w:bookmarkEnd w:id="317"/>
          </w:p>
        </w:tc>
        <w:tc>
          <w:tcPr>
            <w:tcW w:w="1100" w:type="dxa"/>
            <w:tcBorders>
              <w:top w:val="single" w:sz="4" w:space="0" w:color="000000"/>
              <w:left w:val="nil"/>
              <w:bottom w:val="single" w:sz="4" w:space="0" w:color="000000"/>
              <w:right w:val="nil"/>
            </w:tcBorders>
            <w:shd w:val="clear" w:color="auto" w:fill="FFFFFF" w:themeFill="background1"/>
          </w:tcPr>
          <w:p w14:paraId="129D11F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18" w:name="_DV_C1835"/>
            <w:r w:rsidRPr="002321A6">
              <w:rPr>
                <w:b/>
                <w:bCs/>
                <w:sz w:val="18"/>
                <w:szCs w:val="18"/>
              </w:rPr>
              <w:t>520 000</w:t>
            </w:r>
            <w:r w:rsidRPr="002321A6">
              <w:rPr>
                <w:sz w:val="18"/>
                <w:szCs w:val="18"/>
              </w:rPr>
              <w:t xml:space="preserve"> </w:t>
            </w:r>
            <w:bookmarkEnd w:id="318"/>
          </w:p>
        </w:tc>
      </w:tr>
      <w:tr w:rsidR="002A2EA6" w:rsidRPr="002A2EA6" w14:paraId="70D1A4DE"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26858259"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19" w:name="_DV_C1836"/>
            <w:r w:rsidRPr="002321A6">
              <w:rPr>
                <w:b/>
                <w:bCs/>
                <w:sz w:val="18"/>
                <w:szCs w:val="18"/>
              </w:rPr>
              <w:t>D.</w:t>
            </w:r>
            <w:bookmarkEnd w:id="319"/>
          </w:p>
        </w:tc>
        <w:tc>
          <w:tcPr>
            <w:tcW w:w="3543" w:type="dxa"/>
            <w:tcBorders>
              <w:top w:val="single" w:sz="4" w:space="0" w:color="000000"/>
              <w:left w:val="nil"/>
              <w:bottom w:val="nil"/>
              <w:right w:val="nil"/>
            </w:tcBorders>
            <w:shd w:val="clear" w:color="auto" w:fill="FFFFFF" w:themeFill="background1"/>
          </w:tcPr>
          <w:p w14:paraId="6AE65FFA" w14:textId="44AB6A60"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20" w:name="_DV_C1837"/>
            <w:r w:rsidRPr="002321A6">
              <w:rPr>
                <w:b/>
                <w:bCs/>
                <w:sz w:val="18"/>
                <w:szCs w:val="18"/>
              </w:rPr>
              <w:t>Gestion des connaissances et de l</w:t>
            </w:r>
            <w:r w:rsidR="00CA4DAC">
              <w:rPr>
                <w:b/>
                <w:bCs/>
                <w:sz w:val="18"/>
                <w:szCs w:val="18"/>
              </w:rPr>
              <w:t>’</w:t>
            </w:r>
            <w:r w:rsidRPr="002321A6">
              <w:rPr>
                <w:b/>
                <w:bCs/>
                <w:sz w:val="18"/>
                <w:szCs w:val="18"/>
              </w:rPr>
              <w:t>information et communication</w:t>
            </w:r>
            <w:r w:rsidRPr="002321A6">
              <w:rPr>
                <w:sz w:val="18"/>
                <w:szCs w:val="18"/>
              </w:rPr>
              <w:t xml:space="preserve"> </w:t>
            </w:r>
            <w:bookmarkEnd w:id="320"/>
          </w:p>
        </w:tc>
        <w:tc>
          <w:tcPr>
            <w:tcW w:w="1276" w:type="dxa"/>
            <w:tcBorders>
              <w:top w:val="single" w:sz="4" w:space="0" w:color="000000"/>
              <w:left w:val="nil"/>
              <w:bottom w:val="nil"/>
              <w:right w:val="nil"/>
            </w:tcBorders>
            <w:shd w:val="clear" w:color="auto" w:fill="FFFFFF" w:themeFill="background1"/>
          </w:tcPr>
          <w:p w14:paraId="22FCFD3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5E8C247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415ED2A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6DC31A3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712965C7" w14:textId="77777777" w:rsidTr="002321A6">
        <w:trPr>
          <w:trHeight w:val="57"/>
          <w:jc w:val="right"/>
        </w:trPr>
        <w:tc>
          <w:tcPr>
            <w:tcW w:w="1134" w:type="dxa"/>
            <w:tcBorders>
              <w:top w:val="nil"/>
              <w:left w:val="nil"/>
              <w:bottom w:val="nil"/>
              <w:right w:val="nil"/>
            </w:tcBorders>
            <w:shd w:val="clear" w:color="auto" w:fill="FFFFFF" w:themeFill="background1"/>
          </w:tcPr>
          <w:p w14:paraId="35AEC046"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21" w:name="_DV_C1838"/>
            <w:r w:rsidRPr="002321A6">
              <w:rPr>
                <w:b/>
                <w:bCs/>
                <w:sz w:val="18"/>
                <w:szCs w:val="18"/>
              </w:rPr>
              <w:t>8</w:t>
            </w:r>
            <w:bookmarkEnd w:id="321"/>
          </w:p>
        </w:tc>
        <w:tc>
          <w:tcPr>
            <w:tcW w:w="3543" w:type="dxa"/>
            <w:tcBorders>
              <w:top w:val="nil"/>
              <w:left w:val="nil"/>
              <w:bottom w:val="nil"/>
              <w:right w:val="nil"/>
            </w:tcBorders>
            <w:shd w:val="clear" w:color="auto" w:fill="FFFFFF" w:themeFill="background1"/>
          </w:tcPr>
          <w:p w14:paraId="0C131F5D"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22" w:name="_DV_C1839"/>
            <w:r w:rsidRPr="002321A6">
              <w:rPr>
                <w:b/>
                <w:bCs/>
                <w:sz w:val="18"/>
                <w:szCs w:val="18"/>
              </w:rPr>
              <w:t>Publications</w:t>
            </w:r>
            <w:bookmarkEnd w:id="322"/>
          </w:p>
        </w:tc>
        <w:tc>
          <w:tcPr>
            <w:tcW w:w="1276" w:type="dxa"/>
            <w:tcBorders>
              <w:top w:val="nil"/>
              <w:left w:val="nil"/>
              <w:bottom w:val="nil"/>
              <w:right w:val="nil"/>
            </w:tcBorders>
            <w:shd w:val="clear" w:color="auto" w:fill="FFFFFF" w:themeFill="background1"/>
          </w:tcPr>
          <w:p w14:paraId="54A6F5C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242F6F3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4ACB6DD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7941ECE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29B27EC"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5C326ED0"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15D21495"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08" w:hanging="308"/>
              <w:rPr>
                <w:rFonts w:eastAsia="SimSun"/>
                <w:sz w:val="18"/>
                <w:szCs w:val="18"/>
                <w:lang w:val="fr-FR"/>
              </w:rPr>
            </w:pPr>
            <w:bookmarkStart w:id="323" w:name="_DV_C1840"/>
            <w:r w:rsidRPr="002321A6">
              <w:rPr>
                <w:sz w:val="18"/>
                <w:szCs w:val="18"/>
                <w:lang w:val="fr-FR"/>
              </w:rPr>
              <w:t>8.1 Publications</w:t>
            </w:r>
            <w:bookmarkEnd w:id="323"/>
          </w:p>
        </w:tc>
        <w:tc>
          <w:tcPr>
            <w:tcW w:w="1276" w:type="dxa"/>
            <w:tcBorders>
              <w:top w:val="nil"/>
              <w:left w:val="nil"/>
              <w:bottom w:val="single" w:sz="4" w:space="0" w:color="000000"/>
              <w:right w:val="nil"/>
            </w:tcBorders>
            <w:shd w:val="clear" w:color="auto" w:fill="FFFFFF" w:themeFill="background1"/>
          </w:tcPr>
          <w:p w14:paraId="376C44A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24" w:name="_DV_C1841"/>
            <w:r w:rsidRPr="002321A6">
              <w:rPr>
                <w:sz w:val="18"/>
                <w:szCs w:val="18"/>
              </w:rPr>
              <w:t xml:space="preserve">25 000 </w:t>
            </w:r>
            <w:bookmarkEnd w:id="324"/>
          </w:p>
        </w:tc>
        <w:tc>
          <w:tcPr>
            <w:tcW w:w="1418" w:type="dxa"/>
            <w:tcBorders>
              <w:top w:val="nil"/>
              <w:left w:val="nil"/>
              <w:bottom w:val="single" w:sz="4" w:space="0" w:color="000000"/>
              <w:right w:val="nil"/>
            </w:tcBorders>
            <w:shd w:val="clear" w:color="auto" w:fill="FFFFFF" w:themeFill="background1"/>
          </w:tcPr>
          <w:p w14:paraId="4F91F70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25" w:name="_DV_C1842"/>
            <w:r w:rsidRPr="002321A6">
              <w:rPr>
                <w:sz w:val="18"/>
                <w:szCs w:val="18"/>
              </w:rPr>
              <w:t xml:space="preserve">30 000 </w:t>
            </w:r>
            <w:bookmarkEnd w:id="325"/>
          </w:p>
        </w:tc>
        <w:tc>
          <w:tcPr>
            <w:tcW w:w="1160" w:type="dxa"/>
            <w:tcBorders>
              <w:top w:val="nil"/>
              <w:left w:val="nil"/>
              <w:bottom w:val="single" w:sz="4" w:space="0" w:color="000000"/>
              <w:right w:val="nil"/>
            </w:tcBorders>
            <w:shd w:val="clear" w:color="auto" w:fill="FFFFFF" w:themeFill="background1"/>
          </w:tcPr>
          <w:p w14:paraId="2DBDE0B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26" w:name="_DV_C1843"/>
            <w:r w:rsidRPr="002321A6">
              <w:rPr>
                <w:sz w:val="18"/>
                <w:szCs w:val="18"/>
              </w:rPr>
              <w:t xml:space="preserve">20 000 </w:t>
            </w:r>
            <w:bookmarkEnd w:id="326"/>
          </w:p>
        </w:tc>
        <w:tc>
          <w:tcPr>
            <w:tcW w:w="1100" w:type="dxa"/>
            <w:tcBorders>
              <w:top w:val="nil"/>
              <w:left w:val="nil"/>
              <w:bottom w:val="single" w:sz="4" w:space="0" w:color="000000"/>
              <w:right w:val="nil"/>
            </w:tcBorders>
            <w:shd w:val="clear" w:color="auto" w:fill="FFFFFF" w:themeFill="background1"/>
          </w:tcPr>
          <w:p w14:paraId="6863AAC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27" w:name="_DV_C1844"/>
            <w:r w:rsidRPr="002321A6">
              <w:rPr>
                <w:sz w:val="18"/>
                <w:szCs w:val="18"/>
              </w:rPr>
              <w:t xml:space="preserve">30 000 </w:t>
            </w:r>
            <w:bookmarkEnd w:id="327"/>
          </w:p>
        </w:tc>
      </w:tr>
      <w:tr w:rsidR="002A2EA6" w:rsidRPr="002A2EA6" w14:paraId="5E4CC73F"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2557793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27D18C05"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CF5644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28" w:name="_DV_C1846"/>
            <w:r w:rsidRPr="002321A6">
              <w:rPr>
                <w:b/>
                <w:bCs/>
                <w:sz w:val="18"/>
                <w:szCs w:val="18"/>
              </w:rPr>
              <w:t>25 000</w:t>
            </w:r>
            <w:r w:rsidRPr="002321A6">
              <w:rPr>
                <w:sz w:val="18"/>
                <w:szCs w:val="18"/>
              </w:rPr>
              <w:t xml:space="preserve"> </w:t>
            </w:r>
            <w:bookmarkEnd w:id="328"/>
          </w:p>
        </w:tc>
        <w:tc>
          <w:tcPr>
            <w:tcW w:w="1418" w:type="dxa"/>
            <w:tcBorders>
              <w:top w:val="single" w:sz="4" w:space="0" w:color="000000"/>
              <w:left w:val="nil"/>
              <w:bottom w:val="single" w:sz="4" w:space="0" w:color="000000"/>
              <w:right w:val="nil"/>
            </w:tcBorders>
            <w:shd w:val="clear" w:color="auto" w:fill="FFFFFF" w:themeFill="background1"/>
          </w:tcPr>
          <w:p w14:paraId="5D149DB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29" w:name="_DV_C1847"/>
            <w:r w:rsidRPr="002321A6">
              <w:rPr>
                <w:b/>
                <w:bCs/>
                <w:sz w:val="18"/>
                <w:szCs w:val="18"/>
              </w:rPr>
              <w:t>30 000</w:t>
            </w:r>
            <w:r w:rsidRPr="002321A6">
              <w:rPr>
                <w:sz w:val="18"/>
                <w:szCs w:val="18"/>
              </w:rPr>
              <w:t xml:space="preserve"> </w:t>
            </w:r>
            <w:bookmarkEnd w:id="329"/>
          </w:p>
        </w:tc>
        <w:tc>
          <w:tcPr>
            <w:tcW w:w="1160" w:type="dxa"/>
            <w:tcBorders>
              <w:top w:val="single" w:sz="4" w:space="0" w:color="000000"/>
              <w:left w:val="nil"/>
              <w:bottom w:val="single" w:sz="4" w:space="0" w:color="000000"/>
              <w:right w:val="nil"/>
            </w:tcBorders>
            <w:shd w:val="clear" w:color="auto" w:fill="FFFFFF" w:themeFill="background1"/>
          </w:tcPr>
          <w:p w14:paraId="7AF2FF2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30" w:name="_DV_C1848"/>
            <w:r w:rsidRPr="002321A6">
              <w:rPr>
                <w:b/>
                <w:bCs/>
                <w:sz w:val="18"/>
                <w:szCs w:val="18"/>
              </w:rPr>
              <w:t>20 000</w:t>
            </w:r>
            <w:r w:rsidRPr="002321A6">
              <w:rPr>
                <w:sz w:val="18"/>
                <w:szCs w:val="18"/>
              </w:rPr>
              <w:t xml:space="preserve"> </w:t>
            </w:r>
            <w:bookmarkEnd w:id="330"/>
          </w:p>
        </w:tc>
        <w:tc>
          <w:tcPr>
            <w:tcW w:w="1100" w:type="dxa"/>
            <w:tcBorders>
              <w:top w:val="single" w:sz="4" w:space="0" w:color="000000"/>
              <w:left w:val="nil"/>
              <w:bottom w:val="single" w:sz="4" w:space="0" w:color="000000"/>
              <w:right w:val="nil"/>
            </w:tcBorders>
            <w:shd w:val="clear" w:color="auto" w:fill="FFFFFF" w:themeFill="background1"/>
          </w:tcPr>
          <w:p w14:paraId="573318D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31" w:name="_DV_C1849"/>
            <w:r w:rsidRPr="002321A6">
              <w:rPr>
                <w:b/>
                <w:bCs/>
                <w:sz w:val="18"/>
                <w:szCs w:val="18"/>
              </w:rPr>
              <w:t>30 000</w:t>
            </w:r>
            <w:r w:rsidRPr="002321A6">
              <w:rPr>
                <w:sz w:val="18"/>
                <w:szCs w:val="18"/>
              </w:rPr>
              <w:t xml:space="preserve"> </w:t>
            </w:r>
            <w:bookmarkEnd w:id="331"/>
          </w:p>
        </w:tc>
      </w:tr>
      <w:tr w:rsidR="002A2EA6" w:rsidRPr="002A2EA6" w14:paraId="63A364C9"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42849F3E"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32" w:name="_DV_C1850"/>
            <w:r w:rsidRPr="002321A6">
              <w:rPr>
                <w:b/>
                <w:bCs/>
                <w:sz w:val="18"/>
                <w:szCs w:val="18"/>
              </w:rPr>
              <w:t>9</w:t>
            </w:r>
            <w:bookmarkEnd w:id="332"/>
          </w:p>
        </w:tc>
        <w:tc>
          <w:tcPr>
            <w:tcW w:w="3543" w:type="dxa"/>
            <w:tcBorders>
              <w:top w:val="single" w:sz="4" w:space="0" w:color="000000"/>
              <w:left w:val="nil"/>
              <w:bottom w:val="nil"/>
              <w:right w:val="nil"/>
            </w:tcBorders>
            <w:shd w:val="clear" w:color="auto" w:fill="FFFFFF" w:themeFill="background1"/>
          </w:tcPr>
          <w:p w14:paraId="74DDE1D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33" w:name="_DV_C1851"/>
            <w:r w:rsidRPr="002321A6">
              <w:rPr>
                <w:b/>
                <w:bCs/>
                <w:sz w:val="18"/>
                <w:szCs w:val="18"/>
              </w:rPr>
              <w:t>Communication, information et sensibilisation du public</w:t>
            </w:r>
            <w:bookmarkEnd w:id="333"/>
          </w:p>
        </w:tc>
        <w:tc>
          <w:tcPr>
            <w:tcW w:w="1276" w:type="dxa"/>
            <w:tcBorders>
              <w:top w:val="single" w:sz="4" w:space="0" w:color="000000"/>
              <w:left w:val="nil"/>
              <w:bottom w:val="nil"/>
              <w:right w:val="nil"/>
            </w:tcBorders>
            <w:shd w:val="clear" w:color="auto" w:fill="FFFFFF" w:themeFill="background1"/>
          </w:tcPr>
          <w:p w14:paraId="7F2CF60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7AE741F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14DB397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9393B4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964EF1C"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0E5E5EFF"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56F064C"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294" w:hanging="280"/>
              <w:rPr>
                <w:rFonts w:eastAsia="SimSun"/>
                <w:sz w:val="18"/>
                <w:szCs w:val="18"/>
                <w:lang w:val="fr-FR"/>
              </w:rPr>
            </w:pPr>
            <w:bookmarkStart w:id="334" w:name="_DV_C1852"/>
            <w:r w:rsidRPr="002321A6">
              <w:rPr>
                <w:sz w:val="18"/>
                <w:szCs w:val="18"/>
                <w:lang w:val="fr-FR"/>
              </w:rPr>
              <w:t>9.1 Communication, information et sensibilisation du public</w:t>
            </w:r>
            <w:bookmarkEnd w:id="334"/>
          </w:p>
        </w:tc>
        <w:tc>
          <w:tcPr>
            <w:tcW w:w="1276" w:type="dxa"/>
            <w:tcBorders>
              <w:top w:val="nil"/>
              <w:left w:val="nil"/>
              <w:bottom w:val="single" w:sz="4" w:space="0" w:color="000000"/>
              <w:right w:val="nil"/>
            </w:tcBorders>
            <w:shd w:val="clear" w:color="auto" w:fill="FFFFFF" w:themeFill="background1"/>
          </w:tcPr>
          <w:p w14:paraId="1F516B2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35" w:name="_DV_C1853"/>
            <w:r w:rsidRPr="002321A6">
              <w:rPr>
                <w:sz w:val="18"/>
                <w:szCs w:val="18"/>
              </w:rPr>
              <w:t xml:space="preserve">85 000 </w:t>
            </w:r>
            <w:bookmarkEnd w:id="335"/>
          </w:p>
        </w:tc>
        <w:tc>
          <w:tcPr>
            <w:tcW w:w="1418" w:type="dxa"/>
            <w:tcBorders>
              <w:top w:val="nil"/>
              <w:left w:val="nil"/>
              <w:bottom w:val="single" w:sz="4" w:space="0" w:color="000000"/>
              <w:right w:val="nil"/>
            </w:tcBorders>
            <w:shd w:val="clear" w:color="auto" w:fill="FFFFFF" w:themeFill="background1"/>
          </w:tcPr>
          <w:p w14:paraId="11886CF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36" w:name="_DV_C1854"/>
            <w:r w:rsidRPr="002321A6">
              <w:rPr>
                <w:sz w:val="18"/>
                <w:szCs w:val="18"/>
              </w:rPr>
              <w:t xml:space="preserve">25 000 </w:t>
            </w:r>
            <w:bookmarkEnd w:id="336"/>
          </w:p>
        </w:tc>
        <w:tc>
          <w:tcPr>
            <w:tcW w:w="1160" w:type="dxa"/>
            <w:tcBorders>
              <w:top w:val="nil"/>
              <w:left w:val="nil"/>
              <w:bottom w:val="single" w:sz="4" w:space="0" w:color="000000"/>
              <w:right w:val="nil"/>
            </w:tcBorders>
            <w:shd w:val="clear" w:color="auto" w:fill="FFFFFF" w:themeFill="background1"/>
          </w:tcPr>
          <w:p w14:paraId="39C9299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37" w:name="_DV_C1855"/>
            <w:r w:rsidRPr="002321A6">
              <w:rPr>
                <w:sz w:val="18"/>
                <w:szCs w:val="18"/>
              </w:rPr>
              <w:t xml:space="preserve">70 000 </w:t>
            </w:r>
            <w:bookmarkEnd w:id="337"/>
          </w:p>
        </w:tc>
        <w:tc>
          <w:tcPr>
            <w:tcW w:w="1100" w:type="dxa"/>
            <w:tcBorders>
              <w:top w:val="nil"/>
              <w:left w:val="nil"/>
              <w:bottom w:val="single" w:sz="4" w:space="0" w:color="000000"/>
              <w:right w:val="nil"/>
            </w:tcBorders>
            <w:shd w:val="clear" w:color="auto" w:fill="FFFFFF" w:themeFill="background1"/>
          </w:tcPr>
          <w:p w14:paraId="754DEC0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7BA8E8F3"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4035D6EB"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6C82D5BA"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724E310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38" w:name="_DV_C1857"/>
            <w:r w:rsidRPr="002321A6">
              <w:rPr>
                <w:b/>
                <w:bCs/>
                <w:sz w:val="18"/>
                <w:szCs w:val="18"/>
              </w:rPr>
              <w:t>85 000</w:t>
            </w:r>
            <w:r w:rsidRPr="002321A6">
              <w:rPr>
                <w:sz w:val="18"/>
                <w:szCs w:val="18"/>
              </w:rPr>
              <w:t xml:space="preserve"> </w:t>
            </w:r>
            <w:bookmarkEnd w:id="338"/>
          </w:p>
        </w:tc>
        <w:tc>
          <w:tcPr>
            <w:tcW w:w="1418" w:type="dxa"/>
            <w:tcBorders>
              <w:top w:val="single" w:sz="4" w:space="0" w:color="000000"/>
              <w:left w:val="nil"/>
              <w:bottom w:val="single" w:sz="4" w:space="0" w:color="000000"/>
              <w:right w:val="nil"/>
            </w:tcBorders>
            <w:shd w:val="clear" w:color="auto" w:fill="FFFFFF" w:themeFill="background1"/>
          </w:tcPr>
          <w:p w14:paraId="3CBC18D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39" w:name="_DV_C1858"/>
            <w:r w:rsidRPr="002321A6">
              <w:rPr>
                <w:b/>
                <w:bCs/>
                <w:sz w:val="18"/>
                <w:szCs w:val="18"/>
              </w:rPr>
              <w:t>25 000</w:t>
            </w:r>
            <w:r w:rsidRPr="002321A6">
              <w:rPr>
                <w:sz w:val="18"/>
                <w:szCs w:val="18"/>
              </w:rPr>
              <w:t xml:space="preserve"> </w:t>
            </w:r>
            <w:bookmarkEnd w:id="339"/>
          </w:p>
        </w:tc>
        <w:tc>
          <w:tcPr>
            <w:tcW w:w="1160" w:type="dxa"/>
            <w:tcBorders>
              <w:top w:val="single" w:sz="4" w:space="0" w:color="000000"/>
              <w:left w:val="nil"/>
              <w:bottom w:val="single" w:sz="4" w:space="0" w:color="000000"/>
              <w:right w:val="nil"/>
            </w:tcBorders>
            <w:shd w:val="clear" w:color="auto" w:fill="FFFFFF" w:themeFill="background1"/>
          </w:tcPr>
          <w:p w14:paraId="1711993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40" w:name="_DV_C1859"/>
            <w:r w:rsidRPr="002321A6">
              <w:rPr>
                <w:b/>
                <w:bCs/>
                <w:sz w:val="18"/>
                <w:szCs w:val="18"/>
              </w:rPr>
              <w:t>70 000</w:t>
            </w:r>
            <w:r w:rsidRPr="002321A6">
              <w:rPr>
                <w:sz w:val="18"/>
                <w:szCs w:val="18"/>
              </w:rPr>
              <w:t xml:space="preserve"> </w:t>
            </w:r>
            <w:bookmarkEnd w:id="340"/>
          </w:p>
        </w:tc>
        <w:tc>
          <w:tcPr>
            <w:tcW w:w="1100" w:type="dxa"/>
            <w:tcBorders>
              <w:top w:val="single" w:sz="4" w:space="0" w:color="000000"/>
              <w:left w:val="nil"/>
              <w:bottom w:val="single" w:sz="4" w:space="0" w:color="000000"/>
              <w:right w:val="nil"/>
            </w:tcBorders>
            <w:shd w:val="clear" w:color="auto" w:fill="FFFFFF" w:themeFill="background1"/>
          </w:tcPr>
          <w:p w14:paraId="1930AEA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0B52F8A4"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19FD9988"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30F7B592"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41" w:name="_DV_C1860"/>
            <w:r w:rsidRPr="002321A6">
              <w:rPr>
                <w:b/>
                <w:bCs/>
                <w:sz w:val="18"/>
                <w:szCs w:val="18"/>
              </w:rPr>
              <w:t>Total (D)</w:t>
            </w:r>
            <w:bookmarkEnd w:id="341"/>
          </w:p>
        </w:tc>
        <w:tc>
          <w:tcPr>
            <w:tcW w:w="1276" w:type="dxa"/>
            <w:tcBorders>
              <w:top w:val="single" w:sz="4" w:space="0" w:color="000000"/>
              <w:left w:val="nil"/>
              <w:bottom w:val="single" w:sz="4" w:space="0" w:color="000000"/>
              <w:right w:val="nil"/>
            </w:tcBorders>
            <w:shd w:val="clear" w:color="auto" w:fill="FFFFFF" w:themeFill="background1"/>
          </w:tcPr>
          <w:p w14:paraId="29FD809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42" w:name="_DV_C1861"/>
            <w:r w:rsidRPr="002321A6">
              <w:rPr>
                <w:b/>
                <w:bCs/>
                <w:sz w:val="18"/>
                <w:szCs w:val="18"/>
              </w:rPr>
              <w:t>110 000</w:t>
            </w:r>
            <w:r w:rsidRPr="002321A6">
              <w:rPr>
                <w:sz w:val="18"/>
                <w:szCs w:val="18"/>
              </w:rPr>
              <w:t xml:space="preserve"> </w:t>
            </w:r>
            <w:bookmarkEnd w:id="342"/>
          </w:p>
        </w:tc>
        <w:tc>
          <w:tcPr>
            <w:tcW w:w="1418" w:type="dxa"/>
            <w:tcBorders>
              <w:top w:val="single" w:sz="4" w:space="0" w:color="000000"/>
              <w:left w:val="nil"/>
              <w:bottom w:val="single" w:sz="4" w:space="0" w:color="000000"/>
              <w:right w:val="nil"/>
            </w:tcBorders>
            <w:shd w:val="clear" w:color="auto" w:fill="FFFFFF" w:themeFill="background1"/>
          </w:tcPr>
          <w:p w14:paraId="7D3B504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43" w:name="_DV_C1862"/>
            <w:r w:rsidRPr="002321A6">
              <w:rPr>
                <w:b/>
                <w:bCs/>
                <w:sz w:val="18"/>
                <w:szCs w:val="18"/>
              </w:rPr>
              <w:t>55 000</w:t>
            </w:r>
            <w:r w:rsidRPr="002321A6">
              <w:rPr>
                <w:sz w:val="18"/>
                <w:szCs w:val="18"/>
              </w:rPr>
              <w:t xml:space="preserve"> </w:t>
            </w:r>
            <w:bookmarkEnd w:id="343"/>
          </w:p>
        </w:tc>
        <w:tc>
          <w:tcPr>
            <w:tcW w:w="1160" w:type="dxa"/>
            <w:tcBorders>
              <w:top w:val="single" w:sz="4" w:space="0" w:color="000000"/>
              <w:left w:val="nil"/>
              <w:bottom w:val="single" w:sz="4" w:space="0" w:color="000000"/>
              <w:right w:val="nil"/>
            </w:tcBorders>
            <w:shd w:val="clear" w:color="auto" w:fill="FFFFFF" w:themeFill="background1"/>
          </w:tcPr>
          <w:p w14:paraId="6782FCA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44" w:name="_DV_C1863"/>
            <w:r w:rsidRPr="002321A6">
              <w:rPr>
                <w:b/>
                <w:bCs/>
                <w:sz w:val="18"/>
                <w:szCs w:val="18"/>
              </w:rPr>
              <w:t>90 000</w:t>
            </w:r>
            <w:r w:rsidRPr="002321A6">
              <w:rPr>
                <w:sz w:val="18"/>
                <w:szCs w:val="18"/>
              </w:rPr>
              <w:t xml:space="preserve"> </w:t>
            </w:r>
            <w:bookmarkEnd w:id="344"/>
          </w:p>
        </w:tc>
        <w:tc>
          <w:tcPr>
            <w:tcW w:w="1100" w:type="dxa"/>
            <w:tcBorders>
              <w:top w:val="single" w:sz="4" w:space="0" w:color="000000"/>
              <w:left w:val="nil"/>
              <w:bottom w:val="single" w:sz="4" w:space="0" w:color="000000"/>
              <w:right w:val="nil"/>
            </w:tcBorders>
            <w:shd w:val="clear" w:color="auto" w:fill="FFFFFF" w:themeFill="background1"/>
          </w:tcPr>
          <w:p w14:paraId="27232BC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45" w:name="_DV_C1864"/>
            <w:r w:rsidRPr="002321A6">
              <w:rPr>
                <w:b/>
                <w:bCs/>
                <w:sz w:val="18"/>
                <w:szCs w:val="18"/>
              </w:rPr>
              <w:t>30 000</w:t>
            </w:r>
            <w:r w:rsidRPr="002321A6">
              <w:rPr>
                <w:sz w:val="18"/>
                <w:szCs w:val="18"/>
              </w:rPr>
              <w:t xml:space="preserve"> </w:t>
            </w:r>
            <w:bookmarkEnd w:id="345"/>
          </w:p>
        </w:tc>
      </w:tr>
      <w:tr w:rsidR="002A2EA6" w:rsidRPr="002A2EA6" w14:paraId="0916F4A5"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0919576A"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46" w:name="_DV_C1865"/>
            <w:r w:rsidRPr="002321A6">
              <w:rPr>
                <w:b/>
                <w:bCs/>
                <w:sz w:val="18"/>
                <w:szCs w:val="18"/>
              </w:rPr>
              <w:t>E.</w:t>
            </w:r>
            <w:bookmarkEnd w:id="346"/>
          </w:p>
        </w:tc>
        <w:tc>
          <w:tcPr>
            <w:tcW w:w="3543" w:type="dxa"/>
            <w:tcBorders>
              <w:top w:val="single" w:sz="4" w:space="0" w:color="000000"/>
              <w:left w:val="nil"/>
              <w:bottom w:val="nil"/>
              <w:right w:val="nil"/>
            </w:tcBorders>
            <w:shd w:val="clear" w:color="auto" w:fill="FFFFFF" w:themeFill="background1"/>
          </w:tcPr>
          <w:p w14:paraId="2C3B3AF3"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47" w:name="_DV_C1866"/>
            <w:r w:rsidRPr="002321A6">
              <w:rPr>
                <w:b/>
                <w:bCs/>
                <w:sz w:val="18"/>
                <w:szCs w:val="18"/>
              </w:rPr>
              <w:t>Gestion générale</w:t>
            </w:r>
            <w:bookmarkEnd w:id="347"/>
          </w:p>
        </w:tc>
        <w:tc>
          <w:tcPr>
            <w:tcW w:w="1276" w:type="dxa"/>
            <w:tcBorders>
              <w:top w:val="single" w:sz="4" w:space="0" w:color="000000"/>
              <w:left w:val="nil"/>
              <w:bottom w:val="nil"/>
              <w:right w:val="nil"/>
            </w:tcBorders>
            <w:shd w:val="clear" w:color="auto" w:fill="FFFFFF" w:themeFill="background1"/>
          </w:tcPr>
          <w:p w14:paraId="7751540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0611123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57F3BBA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C72544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4DF9D85" w14:textId="77777777" w:rsidTr="002321A6">
        <w:trPr>
          <w:trHeight w:val="57"/>
          <w:jc w:val="right"/>
        </w:trPr>
        <w:tc>
          <w:tcPr>
            <w:tcW w:w="1134" w:type="dxa"/>
            <w:tcBorders>
              <w:top w:val="nil"/>
              <w:left w:val="nil"/>
              <w:bottom w:val="nil"/>
              <w:right w:val="nil"/>
            </w:tcBorders>
            <w:shd w:val="clear" w:color="auto" w:fill="FFFFFF" w:themeFill="background1"/>
          </w:tcPr>
          <w:p w14:paraId="50B405C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48" w:name="_DV_C1867"/>
            <w:r w:rsidRPr="002321A6">
              <w:rPr>
                <w:b/>
                <w:bCs/>
                <w:sz w:val="18"/>
                <w:szCs w:val="18"/>
              </w:rPr>
              <w:t>10</w:t>
            </w:r>
            <w:bookmarkEnd w:id="348"/>
          </w:p>
        </w:tc>
        <w:tc>
          <w:tcPr>
            <w:tcW w:w="3543" w:type="dxa"/>
            <w:tcBorders>
              <w:top w:val="nil"/>
              <w:left w:val="nil"/>
              <w:bottom w:val="nil"/>
              <w:right w:val="nil"/>
            </w:tcBorders>
            <w:shd w:val="clear" w:color="auto" w:fill="FFFFFF" w:themeFill="background1"/>
          </w:tcPr>
          <w:p w14:paraId="254F7B97"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49" w:name="_DV_C1868"/>
            <w:r w:rsidRPr="002321A6">
              <w:rPr>
                <w:b/>
                <w:bCs/>
                <w:sz w:val="18"/>
                <w:szCs w:val="18"/>
              </w:rPr>
              <w:t>Direction exécutive et administration</w:t>
            </w:r>
            <w:bookmarkEnd w:id="349"/>
          </w:p>
        </w:tc>
        <w:tc>
          <w:tcPr>
            <w:tcW w:w="1276" w:type="dxa"/>
            <w:tcBorders>
              <w:top w:val="nil"/>
              <w:left w:val="nil"/>
              <w:bottom w:val="nil"/>
              <w:right w:val="nil"/>
            </w:tcBorders>
            <w:shd w:val="clear" w:color="auto" w:fill="FFFFFF" w:themeFill="background1"/>
          </w:tcPr>
          <w:p w14:paraId="75451BD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77499B4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5DD62DE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7CAD068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F21EEDC" w14:textId="77777777" w:rsidTr="002321A6">
        <w:trPr>
          <w:trHeight w:val="57"/>
          <w:jc w:val="right"/>
        </w:trPr>
        <w:tc>
          <w:tcPr>
            <w:tcW w:w="1134" w:type="dxa"/>
            <w:tcBorders>
              <w:top w:val="nil"/>
              <w:left w:val="nil"/>
              <w:bottom w:val="nil"/>
              <w:right w:val="nil"/>
            </w:tcBorders>
            <w:shd w:val="clear" w:color="auto" w:fill="FFFFFF" w:themeFill="background1"/>
          </w:tcPr>
          <w:p w14:paraId="61AAA732"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6ADD05A0"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64" w:hanging="322"/>
              <w:rPr>
                <w:rFonts w:eastAsia="SimSun"/>
                <w:sz w:val="18"/>
                <w:szCs w:val="18"/>
                <w:lang w:val="fr-FR"/>
              </w:rPr>
            </w:pPr>
            <w:bookmarkStart w:id="350" w:name="_DV_C1869"/>
            <w:r w:rsidRPr="002321A6">
              <w:rPr>
                <w:sz w:val="18"/>
                <w:szCs w:val="18"/>
                <w:lang w:val="fr-FR"/>
              </w:rPr>
              <w:t>10.1 Gestion générale*</w:t>
            </w:r>
            <w:bookmarkEnd w:id="350"/>
          </w:p>
        </w:tc>
        <w:tc>
          <w:tcPr>
            <w:tcW w:w="1276" w:type="dxa"/>
            <w:tcBorders>
              <w:top w:val="nil"/>
              <w:left w:val="nil"/>
              <w:bottom w:val="nil"/>
              <w:right w:val="nil"/>
            </w:tcBorders>
            <w:shd w:val="clear" w:color="auto" w:fill="FFFFFF" w:themeFill="background1"/>
          </w:tcPr>
          <w:p w14:paraId="3C2DAA8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51" w:name="_DV_C1870"/>
            <w:r w:rsidRPr="002321A6">
              <w:rPr>
                <w:sz w:val="18"/>
                <w:szCs w:val="18"/>
              </w:rPr>
              <w:t xml:space="preserve">1 967 600 </w:t>
            </w:r>
            <w:bookmarkEnd w:id="351"/>
          </w:p>
        </w:tc>
        <w:tc>
          <w:tcPr>
            <w:tcW w:w="1418" w:type="dxa"/>
            <w:tcBorders>
              <w:top w:val="nil"/>
              <w:left w:val="nil"/>
              <w:bottom w:val="nil"/>
              <w:right w:val="nil"/>
            </w:tcBorders>
            <w:shd w:val="clear" w:color="auto" w:fill="FFFFFF" w:themeFill="background1"/>
          </w:tcPr>
          <w:p w14:paraId="3EF31FE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101BE99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52" w:name="_DV_C1871"/>
            <w:r w:rsidRPr="002321A6">
              <w:rPr>
                <w:sz w:val="18"/>
                <w:szCs w:val="18"/>
              </w:rPr>
              <w:t xml:space="preserve">2 026 328 </w:t>
            </w:r>
            <w:bookmarkEnd w:id="352"/>
          </w:p>
        </w:tc>
        <w:tc>
          <w:tcPr>
            <w:tcW w:w="1100" w:type="dxa"/>
            <w:tcBorders>
              <w:top w:val="nil"/>
              <w:left w:val="nil"/>
              <w:bottom w:val="nil"/>
              <w:right w:val="nil"/>
            </w:tcBorders>
            <w:shd w:val="clear" w:color="auto" w:fill="FFFFFF" w:themeFill="background1"/>
          </w:tcPr>
          <w:p w14:paraId="19DD055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7FFEA88"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63D5401E"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0709A2B5"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64" w:hanging="322"/>
              <w:rPr>
                <w:rFonts w:eastAsia="SimSun"/>
                <w:sz w:val="18"/>
                <w:szCs w:val="18"/>
                <w:lang w:val="fr-FR"/>
              </w:rPr>
            </w:pPr>
            <w:bookmarkStart w:id="353" w:name="_DV_C1872"/>
            <w:r w:rsidRPr="002321A6">
              <w:rPr>
                <w:sz w:val="18"/>
                <w:szCs w:val="18"/>
                <w:lang w:val="fr-FR"/>
              </w:rPr>
              <w:t>10.2 Voyages des fonctionnaires</w:t>
            </w:r>
            <w:bookmarkEnd w:id="353"/>
          </w:p>
        </w:tc>
        <w:tc>
          <w:tcPr>
            <w:tcW w:w="1276" w:type="dxa"/>
            <w:tcBorders>
              <w:top w:val="nil"/>
              <w:left w:val="nil"/>
              <w:bottom w:val="single" w:sz="4" w:space="0" w:color="000000"/>
              <w:right w:val="nil"/>
            </w:tcBorders>
            <w:shd w:val="clear" w:color="auto" w:fill="FFFFFF" w:themeFill="background1"/>
          </w:tcPr>
          <w:p w14:paraId="17B3AB2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54" w:name="_DV_C1873"/>
            <w:r w:rsidRPr="002321A6">
              <w:rPr>
                <w:sz w:val="18"/>
                <w:szCs w:val="18"/>
              </w:rPr>
              <w:t xml:space="preserve">140 000 </w:t>
            </w:r>
            <w:bookmarkEnd w:id="354"/>
          </w:p>
        </w:tc>
        <w:tc>
          <w:tcPr>
            <w:tcW w:w="1418" w:type="dxa"/>
            <w:tcBorders>
              <w:top w:val="nil"/>
              <w:left w:val="nil"/>
              <w:bottom w:val="single" w:sz="4" w:space="0" w:color="000000"/>
              <w:right w:val="nil"/>
            </w:tcBorders>
            <w:shd w:val="clear" w:color="auto" w:fill="FFFFFF" w:themeFill="background1"/>
          </w:tcPr>
          <w:p w14:paraId="62B905B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6F1D8A4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55" w:name="_DV_C1874"/>
            <w:r w:rsidRPr="002321A6">
              <w:rPr>
                <w:sz w:val="18"/>
                <w:szCs w:val="18"/>
              </w:rPr>
              <w:t xml:space="preserve">140 000 </w:t>
            </w:r>
            <w:bookmarkEnd w:id="355"/>
          </w:p>
        </w:tc>
        <w:tc>
          <w:tcPr>
            <w:tcW w:w="1100" w:type="dxa"/>
            <w:tcBorders>
              <w:top w:val="nil"/>
              <w:left w:val="nil"/>
              <w:bottom w:val="single" w:sz="4" w:space="0" w:color="000000"/>
              <w:right w:val="nil"/>
            </w:tcBorders>
            <w:shd w:val="clear" w:color="auto" w:fill="FFFFFF" w:themeFill="background1"/>
          </w:tcPr>
          <w:p w14:paraId="5B4DF01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444A8FE"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0FD55740"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0680DEB0"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18EBAE6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56" w:name="_DV_C1876"/>
            <w:r w:rsidRPr="002321A6">
              <w:rPr>
                <w:b/>
                <w:bCs/>
                <w:sz w:val="18"/>
                <w:szCs w:val="18"/>
              </w:rPr>
              <w:t>2 107 600</w:t>
            </w:r>
            <w:r w:rsidRPr="002321A6">
              <w:rPr>
                <w:sz w:val="18"/>
                <w:szCs w:val="18"/>
              </w:rPr>
              <w:t xml:space="preserve"> </w:t>
            </w:r>
            <w:bookmarkEnd w:id="356"/>
          </w:p>
        </w:tc>
        <w:tc>
          <w:tcPr>
            <w:tcW w:w="1418" w:type="dxa"/>
            <w:tcBorders>
              <w:top w:val="single" w:sz="4" w:space="0" w:color="000000"/>
              <w:left w:val="nil"/>
              <w:bottom w:val="single" w:sz="4" w:space="0" w:color="000000"/>
              <w:right w:val="nil"/>
            </w:tcBorders>
            <w:shd w:val="clear" w:color="auto" w:fill="FFFFFF" w:themeFill="background1"/>
          </w:tcPr>
          <w:p w14:paraId="248E5C3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0473952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57" w:name="_DV_C1877"/>
            <w:r w:rsidRPr="002321A6">
              <w:rPr>
                <w:b/>
                <w:bCs/>
                <w:sz w:val="18"/>
                <w:szCs w:val="18"/>
              </w:rPr>
              <w:t>2 166 328</w:t>
            </w:r>
            <w:r w:rsidRPr="002321A6">
              <w:rPr>
                <w:sz w:val="18"/>
                <w:szCs w:val="18"/>
              </w:rPr>
              <w:t xml:space="preserve"> </w:t>
            </w:r>
            <w:bookmarkEnd w:id="357"/>
          </w:p>
        </w:tc>
        <w:tc>
          <w:tcPr>
            <w:tcW w:w="1100" w:type="dxa"/>
            <w:tcBorders>
              <w:top w:val="single" w:sz="4" w:space="0" w:color="000000"/>
              <w:left w:val="nil"/>
              <w:bottom w:val="single" w:sz="4" w:space="0" w:color="000000"/>
              <w:right w:val="nil"/>
            </w:tcBorders>
            <w:shd w:val="clear" w:color="auto" w:fill="FFFFFF" w:themeFill="background1"/>
          </w:tcPr>
          <w:p w14:paraId="612E9CD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31326C09"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691408E3"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58" w:name="_DV_C1878"/>
            <w:r w:rsidRPr="002321A6">
              <w:rPr>
                <w:b/>
                <w:bCs/>
                <w:sz w:val="18"/>
                <w:szCs w:val="18"/>
              </w:rPr>
              <w:t>11</w:t>
            </w:r>
            <w:bookmarkEnd w:id="358"/>
          </w:p>
        </w:tc>
        <w:tc>
          <w:tcPr>
            <w:tcW w:w="3543" w:type="dxa"/>
            <w:tcBorders>
              <w:top w:val="single" w:sz="4" w:space="0" w:color="000000"/>
              <w:left w:val="nil"/>
              <w:bottom w:val="nil"/>
              <w:right w:val="nil"/>
            </w:tcBorders>
            <w:shd w:val="clear" w:color="auto" w:fill="FFFFFF" w:themeFill="background1"/>
          </w:tcPr>
          <w:p w14:paraId="40A5ECE4"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59" w:name="_DV_C1879"/>
            <w:r w:rsidRPr="002321A6">
              <w:rPr>
                <w:b/>
                <w:bCs/>
                <w:sz w:val="18"/>
                <w:szCs w:val="18"/>
              </w:rPr>
              <w:t>Coopération et coordination au niveau international</w:t>
            </w:r>
            <w:bookmarkEnd w:id="359"/>
          </w:p>
        </w:tc>
        <w:tc>
          <w:tcPr>
            <w:tcW w:w="1276" w:type="dxa"/>
            <w:tcBorders>
              <w:top w:val="single" w:sz="4" w:space="0" w:color="000000"/>
              <w:left w:val="nil"/>
              <w:bottom w:val="nil"/>
              <w:right w:val="nil"/>
            </w:tcBorders>
            <w:shd w:val="clear" w:color="auto" w:fill="FFFFFF" w:themeFill="background1"/>
          </w:tcPr>
          <w:p w14:paraId="387DCD6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4D3DDBC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5926638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0C5D96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70E51450" w14:textId="77777777" w:rsidTr="002321A6">
        <w:trPr>
          <w:trHeight w:val="57"/>
          <w:jc w:val="right"/>
        </w:trPr>
        <w:tc>
          <w:tcPr>
            <w:tcW w:w="1134" w:type="dxa"/>
            <w:tcBorders>
              <w:top w:val="nil"/>
              <w:left w:val="nil"/>
              <w:bottom w:val="nil"/>
              <w:right w:val="nil"/>
            </w:tcBorders>
            <w:shd w:val="clear" w:color="auto" w:fill="FFFFFF" w:themeFill="background1"/>
          </w:tcPr>
          <w:p w14:paraId="76675568"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75446333" w14:textId="265DD6EC"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434" w:hanging="434"/>
              <w:rPr>
                <w:rFonts w:eastAsia="SimSun"/>
                <w:sz w:val="18"/>
                <w:szCs w:val="18"/>
                <w:lang w:val="fr-FR"/>
              </w:rPr>
            </w:pPr>
            <w:bookmarkStart w:id="360" w:name="_DV_C1880"/>
            <w:r w:rsidRPr="002321A6">
              <w:rPr>
                <w:sz w:val="18"/>
                <w:szCs w:val="18"/>
                <w:lang w:val="fr-FR"/>
              </w:rPr>
              <w:t>11.1. Coopération concernant les objectifs plus vastes liés au développement durable et à l</w:t>
            </w:r>
            <w:r w:rsidR="00CA4DAC">
              <w:rPr>
                <w:sz w:val="18"/>
                <w:szCs w:val="18"/>
                <w:lang w:val="fr-FR"/>
              </w:rPr>
              <w:t>’</w:t>
            </w:r>
            <w:r w:rsidRPr="002321A6">
              <w:rPr>
                <w:sz w:val="18"/>
                <w:szCs w:val="18"/>
                <w:lang w:val="fr-FR"/>
              </w:rPr>
              <w:t>environnement</w:t>
            </w:r>
            <w:bookmarkEnd w:id="360"/>
          </w:p>
        </w:tc>
        <w:tc>
          <w:tcPr>
            <w:tcW w:w="1276" w:type="dxa"/>
            <w:tcBorders>
              <w:top w:val="nil"/>
              <w:left w:val="nil"/>
              <w:bottom w:val="nil"/>
              <w:right w:val="nil"/>
            </w:tcBorders>
            <w:shd w:val="clear" w:color="auto" w:fill="FFFFFF" w:themeFill="background1"/>
          </w:tcPr>
          <w:p w14:paraId="5B9E956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6DD7B18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6C302C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024D774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51C38AF" w14:textId="77777777" w:rsidTr="002321A6">
        <w:trPr>
          <w:trHeight w:val="57"/>
          <w:jc w:val="right"/>
        </w:trPr>
        <w:tc>
          <w:tcPr>
            <w:tcW w:w="1134" w:type="dxa"/>
            <w:tcBorders>
              <w:top w:val="nil"/>
              <w:left w:val="nil"/>
              <w:bottom w:val="nil"/>
              <w:right w:val="nil"/>
            </w:tcBorders>
            <w:shd w:val="clear" w:color="auto" w:fill="FFFFFF" w:themeFill="background1"/>
          </w:tcPr>
          <w:p w14:paraId="1F492C2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552F1AD9"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434" w:hanging="434"/>
              <w:rPr>
                <w:rFonts w:eastAsia="SimSun"/>
                <w:sz w:val="18"/>
                <w:szCs w:val="18"/>
                <w:lang w:val="fr-FR"/>
              </w:rPr>
            </w:pPr>
            <w:bookmarkStart w:id="361" w:name="_DV_C1881"/>
            <w:r w:rsidRPr="002321A6">
              <w:rPr>
                <w:sz w:val="18"/>
                <w:szCs w:val="18"/>
                <w:lang w:val="fr-FR"/>
              </w:rPr>
              <w:t>11.2. Coopération au sein du groupe des produits chimiques et des déchets</w:t>
            </w:r>
            <w:bookmarkEnd w:id="361"/>
          </w:p>
        </w:tc>
        <w:tc>
          <w:tcPr>
            <w:tcW w:w="1276" w:type="dxa"/>
            <w:tcBorders>
              <w:top w:val="nil"/>
              <w:left w:val="nil"/>
              <w:bottom w:val="nil"/>
              <w:right w:val="nil"/>
            </w:tcBorders>
            <w:shd w:val="clear" w:color="auto" w:fill="FFFFFF" w:themeFill="background1"/>
          </w:tcPr>
          <w:p w14:paraId="0B25D26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4505452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763BE36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728FE39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5D51269C"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76B75708"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7292B65B"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434" w:hanging="434"/>
              <w:rPr>
                <w:rFonts w:eastAsia="SimSun"/>
                <w:sz w:val="18"/>
                <w:szCs w:val="18"/>
                <w:lang w:val="fr-FR"/>
              </w:rPr>
            </w:pPr>
            <w:bookmarkStart w:id="362" w:name="_DV_C1882"/>
            <w:r w:rsidRPr="002321A6">
              <w:rPr>
                <w:sz w:val="18"/>
                <w:szCs w:val="18"/>
                <w:lang w:val="fr-FR"/>
              </w:rPr>
              <w:t>11.3. Autres types de coopération et coordination</w:t>
            </w:r>
            <w:bookmarkEnd w:id="362"/>
          </w:p>
        </w:tc>
        <w:tc>
          <w:tcPr>
            <w:tcW w:w="1276" w:type="dxa"/>
            <w:tcBorders>
              <w:top w:val="nil"/>
              <w:left w:val="nil"/>
              <w:bottom w:val="single" w:sz="4" w:space="0" w:color="000000"/>
              <w:right w:val="nil"/>
            </w:tcBorders>
            <w:shd w:val="clear" w:color="auto" w:fill="FFFFFF" w:themeFill="background1"/>
          </w:tcPr>
          <w:p w14:paraId="016AA2F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72FBAD5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3C35858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6C503D6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3E584D0A"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0D430884"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5FAA5B43"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57BF2B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1F1BBE2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065AF6A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6AB50A4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B091B19"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5C904D2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63" w:name="_DV_C1884"/>
            <w:r w:rsidRPr="002321A6">
              <w:rPr>
                <w:b/>
                <w:bCs/>
                <w:sz w:val="18"/>
                <w:szCs w:val="18"/>
              </w:rPr>
              <w:t>12</w:t>
            </w:r>
            <w:bookmarkEnd w:id="363"/>
          </w:p>
        </w:tc>
        <w:tc>
          <w:tcPr>
            <w:tcW w:w="3543" w:type="dxa"/>
            <w:tcBorders>
              <w:top w:val="single" w:sz="4" w:space="0" w:color="000000"/>
              <w:left w:val="nil"/>
              <w:bottom w:val="nil"/>
              <w:right w:val="nil"/>
            </w:tcBorders>
            <w:shd w:val="clear" w:color="auto" w:fill="FFFFFF" w:themeFill="background1"/>
          </w:tcPr>
          <w:p w14:paraId="26ECA6D0"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64" w:name="_DV_C1885"/>
            <w:r w:rsidRPr="002321A6">
              <w:rPr>
                <w:b/>
                <w:bCs/>
                <w:sz w:val="18"/>
                <w:szCs w:val="18"/>
              </w:rPr>
              <w:t>Ressources financières et mécanisme de financement</w:t>
            </w:r>
            <w:r w:rsidRPr="002321A6">
              <w:rPr>
                <w:sz w:val="18"/>
                <w:szCs w:val="18"/>
              </w:rPr>
              <w:t xml:space="preserve"> </w:t>
            </w:r>
            <w:bookmarkEnd w:id="364"/>
          </w:p>
        </w:tc>
        <w:tc>
          <w:tcPr>
            <w:tcW w:w="1276" w:type="dxa"/>
            <w:tcBorders>
              <w:top w:val="single" w:sz="4" w:space="0" w:color="000000"/>
              <w:left w:val="nil"/>
              <w:bottom w:val="nil"/>
              <w:right w:val="nil"/>
            </w:tcBorders>
            <w:shd w:val="clear" w:color="auto" w:fill="FFFFFF" w:themeFill="background1"/>
          </w:tcPr>
          <w:p w14:paraId="5FC844A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20FE219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505A974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E6A9CA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3318FCD5" w14:textId="77777777" w:rsidTr="002321A6">
        <w:trPr>
          <w:trHeight w:val="57"/>
          <w:jc w:val="right"/>
        </w:trPr>
        <w:tc>
          <w:tcPr>
            <w:tcW w:w="1134" w:type="dxa"/>
            <w:tcBorders>
              <w:top w:val="nil"/>
              <w:left w:val="nil"/>
              <w:bottom w:val="nil"/>
              <w:right w:val="nil"/>
            </w:tcBorders>
            <w:shd w:val="clear" w:color="auto" w:fill="FFFFFF" w:themeFill="background1"/>
          </w:tcPr>
          <w:p w14:paraId="476152CB"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7BB1FEDF"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448" w:hanging="434"/>
              <w:rPr>
                <w:rFonts w:eastAsia="SimSun"/>
                <w:sz w:val="18"/>
                <w:szCs w:val="18"/>
                <w:lang w:val="fr-FR"/>
              </w:rPr>
            </w:pPr>
            <w:bookmarkStart w:id="365" w:name="_DV_C1886"/>
            <w:r w:rsidRPr="002321A6">
              <w:rPr>
                <w:sz w:val="18"/>
                <w:szCs w:val="18"/>
                <w:lang w:val="fr-FR"/>
              </w:rPr>
              <w:t>12.1. Mécanisme de financement</w:t>
            </w:r>
            <w:bookmarkEnd w:id="365"/>
          </w:p>
        </w:tc>
        <w:tc>
          <w:tcPr>
            <w:tcW w:w="1276" w:type="dxa"/>
            <w:tcBorders>
              <w:top w:val="nil"/>
              <w:left w:val="nil"/>
              <w:bottom w:val="nil"/>
              <w:right w:val="nil"/>
            </w:tcBorders>
            <w:shd w:val="clear" w:color="auto" w:fill="FFFFFF" w:themeFill="background1"/>
          </w:tcPr>
          <w:p w14:paraId="768BBC0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69B84A1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5DFFBC4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36E610A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EADF877"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60A8330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2FBA3723"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448" w:hanging="434"/>
              <w:rPr>
                <w:rFonts w:eastAsia="SimSun"/>
                <w:sz w:val="18"/>
                <w:szCs w:val="18"/>
                <w:lang w:val="fr-FR"/>
              </w:rPr>
            </w:pPr>
            <w:bookmarkStart w:id="366" w:name="_DV_C1887"/>
            <w:r w:rsidRPr="002321A6">
              <w:rPr>
                <w:sz w:val="18"/>
                <w:szCs w:val="18"/>
                <w:lang w:val="fr-FR"/>
              </w:rPr>
              <w:t>12.2. Ressources financières</w:t>
            </w:r>
            <w:bookmarkEnd w:id="366"/>
          </w:p>
        </w:tc>
        <w:tc>
          <w:tcPr>
            <w:tcW w:w="1276" w:type="dxa"/>
            <w:tcBorders>
              <w:top w:val="nil"/>
              <w:left w:val="nil"/>
              <w:bottom w:val="single" w:sz="4" w:space="0" w:color="000000"/>
              <w:right w:val="nil"/>
            </w:tcBorders>
            <w:shd w:val="clear" w:color="auto" w:fill="FFFFFF" w:themeFill="background1"/>
          </w:tcPr>
          <w:p w14:paraId="15E1F7E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18F04FF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56391BB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67E8F28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9261DB5"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2321E6FE"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nil"/>
              <w:right w:val="nil"/>
            </w:tcBorders>
            <w:shd w:val="clear" w:color="auto" w:fill="FFFFFF" w:themeFill="background1"/>
          </w:tcPr>
          <w:p w14:paraId="66A7583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nil"/>
              <w:right w:val="nil"/>
            </w:tcBorders>
            <w:shd w:val="clear" w:color="auto" w:fill="FFFFFF" w:themeFill="background1"/>
          </w:tcPr>
          <w:p w14:paraId="3CEF394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40760F3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0C32C5C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12DAA62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5B6161A"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764E914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3F28398B"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67" w:name="_DV_C1889"/>
            <w:r w:rsidRPr="002321A6">
              <w:rPr>
                <w:b/>
                <w:bCs/>
                <w:sz w:val="18"/>
                <w:szCs w:val="18"/>
              </w:rPr>
              <w:t>Total (E)</w:t>
            </w:r>
            <w:bookmarkEnd w:id="367"/>
          </w:p>
        </w:tc>
        <w:tc>
          <w:tcPr>
            <w:tcW w:w="1276" w:type="dxa"/>
            <w:tcBorders>
              <w:top w:val="nil"/>
              <w:left w:val="nil"/>
              <w:bottom w:val="single" w:sz="4" w:space="0" w:color="000000"/>
              <w:right w:val="nil"/>
            </w:tcBorders>
            <w:shd w:val="clear" w:color="auto" w:fill="FFFFFF" w:themeFill="background1"/>
          </w:tcPr>
          <w:p w14:paraId="053460F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68" w:name="_DV_C1890"/>
            <w:r w:rsidRPr="002321A6">
              <w:rPr>
                <w:b/>
                <w:bCs/>
                <w:sz w:val="18"/>
                <w:szCs w:val="18"/>
              </w:rPr>
              <w:t>2 107 600</w:t>
            </w:r>
            <w:r w:rsidRPr="002321A6">
              <w:rPr>
                <w:sz w:val="18"/>
                <w:szCs w:val="18"/>
              </w:rPr>
              <w:t xml:space="preserve"> </w:t>
            </w:r>
            <w:bookmarkEnd w:id="368"/>
          </w:p>
        </w:tc>
        <w:tc>
          <w:tcPr>
            <w:tcW w:w="1418" w:type="dxa"/>
            <w:tcBorders>
              <w:top w:val="nil"/>
              <w:left w:val="nil"/>
              <w:bottom w:val="single" w:sz="4" w:space="0" w:color="000000"/>
              <w:right w:val="nil"/>
            </w:tcBorders>
            <w:shd w:val="clear" w:color="auto" w:fill="FFFFFF" w:themeFill="background1"/>
          </w:tcPr>
          <w:p w14:paraId="4577B00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1BA9CCE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69" w:name="_DV_C1891"/>
            <w:r w:rsidRPr="002321A6">
              <w:rPr>
                <w:b/>
                <w:bCs/>
                <w:sz w:val="18"/>
                <w:szCs w:val="18"/>
              </w:rPr>
              <w:t>2 166 328</w:t>
            </w:r>
            <w:r w:rsidRPr="002321A6">
              <w:rPr>
                <w:sz w:val="18"/>
                <w:szCs w:val="18"/>
              </w:rPr>
              <w:t xml:space="preserve"> </w:t>
            </w:r>
            <w:bookmarkEnd w:id="369"/>
          </w:p>
        </w:tc>
        <w:tc>
          <w:tcPr>
            <w:tcW w:w="1100" w:type="dxa"/>
            <w:tcBorders>
              <w:top w:val="nil"/>
              <w:left w:val="nil"/>
              <w:bottom w:val="single" w:sz="4" w:space="0" w:color="000000"/>
              <w:right w:val="nil"/>
            </w:tcBorders>
            <w:shd w:val="clear" w:color="auto" w:fill="FFFFFF" w:themeFill="background1"/>
          </w:tcPr>
          <w:p w14:paraId="5C2655C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22F5FA6A"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757AB69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70" w:name="_DV_C1892"/>
            <w:r w:rsidRPr="002321A6">
              <w:rPr>
                <w:b/>
                <w:bCs/>
                <w:sz w:val="18"/>
                <w:szCs w:val="18"/>
              </w:rPr>
              <w:t>F.</w:t>
            </w:r>
            <w:bookmarkEnd w:id="370"/>
          </w:p>
        </w:tc>
        <w:tc>
          <w:tcPr>
            <w:tcW w:w="3543" w:type="dxa"/>
            <w:tcBorders>
              <w:top w:val="single" w:sz="4" w:space="0" w:color="000000"/>
              <w:left w:val="nil"/>
              <w:bottom w:val="nil"/>
              <w:right w:val="nil"/>
            </w:tcBorders>
            <w:shd w:val="clear" w:color="auto" w:fill="FFFFFF" w:themeFill="background1"/>
          </w:tcPr>
          <w:p w14:paraId="7FBC96B3"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71" w:name="_DV_C1893"/>
            <w:r w:rsidRPr="002321A6">
              <w:rPr>
                <w:b/>
                <w:bCs/>
                <w:sz w:val="18"/>
                <w:szCs w:val="18"/>
              </w:rPr>
              <w:t>Activités juridiques et de politique générale</w:t>
            </w:r>
            <w:bookmarkEnd w:id="371"/>
          </w:p>
        </w:tc>
        <w:tc>
          <w:tcPr>
            <w:tcW w:w="1276" w:type="dxa"/>
            <w:tcBorders>
              <w:top w:val="single" w:sz="4" w:space="0" w:color="000000"/>
              <w:left w:val="nil"/>
              <w:bottom w:val="nil"/>
              <w:right w:val="nil"/>
            </w:tcBorders>
            <w:shd w:val="clear" w:color="auto" w:fill="FFFFFF" w:themeFill="background1"/>
          </w:tcPr>
          <w:p w14:paraId="00EE400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4F19F3E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31AFA03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9A2507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318E62FB" w14:textId="77777777" w:rsidTr="002321A6">
        <w:trPr>
          <w:trHeight w:val="57"/>
          <w:jc w:val="right"/>
        </w:trPr>
        <w:tc>
          <w:tcPr>
            <w:tcW w:w="1134" w:type="dxa"/>
            <w:tcBorders>
              <w:top w:val="nil"/>
              <w:left w:val="nil"/>
              <w:bottom w:val="nil"/>
              <w:right w:val="nil"/>
            </w:tcBorders>
            <w:shd w:val="clear" w:color="auto" w:fill="FFFFFF" w:themeFill="background1"/>
          </w:tcPr>
          <w:p w14:paraId="519480C9"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72" w:name="_DV_C1894"/>
            <w:r w:rsidRPr="002321A6">
              <w:rPr>
                <w:b/>
                <w:bCs/>
                <w:sz w:val="18"/>
                <w:szCs w:val="18"/>
              </w:rPr>
              <w:lastRenderedPageBreak/>
              <w:t>13</w:t>
            </w:r>
            <w:bookmarkEnd w:id="372"/>
          </w:p>
        </w:tc>
        <w:tc>
          <w:tcPr>
            <w:tcW w:w="3543" w:type="dxa"/>
            <w:tcBorders>
              <w:top w:val="nil"/>
              <w:left w:val="nil"/>
              <w:bottom w:val="nil"/>
              <w:right w:val="nil"/>
            </w:tcBorders>
            <w:shd w:val="clear" w:color="auto" w:fill="FFFFFF" w:themeFill="background1"/>
          </w:tcPr>
          <w:p w14:paraId="491D7569"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73" w:name="_DV_C1895"/>
            <w:r w:rsidRPr="002321A6">
              <w:rPr>
                <w:b/>
                <w:bCs/>
                <w:sz w:val="18"/>
                <w:szCs w:val="18"/>
              </w:rPr>
              <w:t>Activités juridiques et de politique générale</w:t>
            </w:r>
            <w:r w:rsidRPr="002321A6">
              <w:rPr>
                <w:sz w:val="18"/>
                <w:szCs w:val="18"/>
              </w:rPr>
              <w:t xml:space="preserve"> </w:t>
            </w:r>
            <w:bookmarkEnd w:id="373"/>
          </w:p>
        </w:tc>
        <w:tc>
          <w:tcPr>
            <w:tcW w:w="1276" w:type="dxa"/>
            <w:tcBorders>
              <w:top w:val="nil"/>
              <w:left w:val="nil"/>
              <w:bottom w:val="nil"/>
              <w:right w:val="nil"/>
            </w:tcBorders>
            <w:shd w:val="clear" w:color="auto" w:fill="FFFFFF" w:themeFill="background1"/>
          </w:tcPr>
          <w:p w14:paraId="0A2E278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27AFD6A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1FCA0E9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259DCB5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10E78CE4"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3E780EA0"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1ED5E8FE" w14:textId="70F94A86"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22" w:hanging="379"/>
              <w:rPr>
                <w:rFonts w:eastAsia="SimSun"/>
                <w:sz w:val="18"/>
                <w:szCs w:val="18"/>
                <w:lang w:val="fr-FR"/>
              </w:rPr>
            </w:pPr>
            <w:bookmarkStart w:id="374" w:name="_DV_C1896"/>
            <w:r w:rsidRPr="002321A6">
              <w:rPr>
                <w:sz w:val="18"/>
                <w:szCs w:val="18"/>
                <w:lang w:val="fr-FR"/>
              </w:rPr>
              <w:t>13.1 Objectifs de développement durable et</w:t>
            </w:r>
            <w:r w:rsidR="002321A6">
              <w:rPr>
                <w:sz w:val="18"/>
                <w:szCs w:val="18"/>
                <w:lang w:val="fr-FR"/>
              </w:rPr>
              <w:t> </w:t>
            </w:r>
            <w:r w:rsidRPr="002321A6">
              <w:rPr>
                <w:sz w:val="18"/>
                <w:szCs w:val="18"/>
                <w:lang w:val="fr-FR"/>
              </w:rPr>
              <w:t xml:space="preserve">genre </w:t>
            </w:r>
            <w:bookmarkEnd w:id="374"/>
          </w:p>
        </w:tc>
        <w:tc>
          <w:tcPr>
            <w:tcW w:w="1276" w:type="dxa"/>
            <w:tcBorders>
              <w:top w:val="nil"/>
              <w:left w:val="nil"/>
              <w:bottom w:val="single" w:sz="4" w:space="0" w:color="000000"/>
              <w:right w:val="nil"/>
            </w:tcBorders>
            <w:shd w:val="clear" w:color="auto" w:fill="FFFFFF" w:themeFill="background1"/>
          </w:tcPr>
          <w:p w14:paraId="0F581C1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423A3A3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75" w:name="_DV_C1897"/>
            <w:r w:rsidRPr="002321A6">
              <w:rPr>
                <w:sz w:val="18"/>
                <w:szCs w:val="18"/>
              </w:rPr>
              <w:t xml:space="preserve">120 000 </w:t>
            </w:r>
            <w:bookmarkEnd w:id="375"/>
          </w:p>
        </w:tc>
        <w:tc>
          <w:tcPr>
            <w:tcW w:w="1160" w:type="dxa"/>
            <w:tcBorders>
              <w:top w:val="nil"/>
              <w:left w:val="nil"/>
              <w:bottom w:val="single" w:sz="4" w:space="0" w:color="000000"/>
              <w:right w:val="nil"/>
            </w:tcBorders>
            <w:shd w:val="clear" w:color="auto" w:fill="FFFFFF" w:themeFill="background1"/>
          </w:tcPr>
          <w:p w14:paraId="4ED8B2C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6A4FC28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76" w:name="_DV_C1898"/>
            <w:r w:rsidRPr="002321A6">
              <w:rPr>
                <w:sz w:val="18"/>
                <w:szCs w:val="18"/>
              </w:rPr>
              <w:t xml:space="preserve">114 000 </w:t>
            </w:r>
            <w:bookmarkEnd w:id="376"/>
          </w:p>
        </w:tc>
      </w:tr>
      <w:tr w:rsidR="002A2EA6" w:rsidRPr="002A2EA6" w14:paraId="7F858543"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1E14CF5C"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single" w:sz="4" w:space="0" w:color="000000"/>
              <w:left w:val="nil"/>
              <w:bottom w:val="nil"/>
              <w:right w:val="nil"/>
            </w:tcBorders>
            <w:shd w:val="clear" w:color="auto" w:fill="FFFFFF" w:themeFill="background1"/>
          </w:tcPr>
          <w:p w14:paraId="1F63CFAB"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nil"/>
              <w:right w:val="nil"/>
            </w:tcBorders>
            <w:shd w:val="clear" w:color="auto" w:fill="FFFFFF" w:themeFill="background1"/>
          </w:tcPr>
          <w:p w14:paraId="5322A56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732FD819"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77" w:name="_DV_C1900"/>
            <w:r w:rsidRPr="002321A6">
              <w:rPr>
                <w:b/>
                <w:bCs/>
                <w:sz w:val="18"/>
                <w:szCs w:val="18"/>
              </w:rPr>
              <w:t>120 000</w:t>
            </w:r>
            <w:r w:rsidRPr="002321A6">
              <w:rPr>
                <w:sz w:val="18"/>
                <w:szCs w:val="18"/>
              </w:rPr>
              <w:t xml:space="preserve"> </w:t>
            </w:r>
            <w:bookmarkEnd w:id="377"/>
          </w:p>
        </w:tc>
        <w:tc>
          <w:tcPr>
            <w:tcW w:w="1160" w:type="dxa"/>
            <w:tcBorders>
              <w:top w:val="single" w:sz="4" w:space="0" w:color="000000"/>
              <w:left w:val="nil"/>
              <w:bottom w:val="nil"/>
              <w:right w:val="nil"/>
            </w:tcBorders>
            <w:shd w:val="clear" w:color="auto" w:fill="FFFFFF" w:themeFill="background1"/>
          </w:tcPr>
          <w:p w14:paraId="0D82311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56A127E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78" w:name="_DV_C1901"/>
            <w:r w:rsidRPr="002321A6">
              <w:rPr>
                <w:b/>
                <w:bCs/>
                <w:sz w:val="18"/>
                <w:szCs w:val="18"/>
              </w:rPr>
              <w:t>114 000</w:t>
            </w:r>
            <w:r w:rsidRPr="002321A6">
              <w:rPr>
                <w:sz w:val="18"/>
                <w:szCs w:val="18"/>
              </w:rPr>
              <w:t xml:space="preserve"> </w:t>
            </w:r>
            <w:bookmarkEnd w:id="378"/>
          </w:p>
        </w:tc>
      </w:tr>
      <w:tr w:rsidR="002A2EA6" w:rsidRPr="002A2EA6" w14:paraId="578CA2C4"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40565732"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4B5BFCBE"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79" w:name="_DV_C1902"/>
            <w:r w:rsidRPr="002321A6">
              <w:rPr>
                <w:b/>
                <w:bCs/>
                <w:sz w:val="18"/>
                <w:szCs w:val="18"/>
              </w:rPr>
              <w:t>Total (F)</w:t>
            </w:r>
            <w:bookmarkEnd w:id="379"/>
          </w:p>
        </w:tc>
        <w:tc>
          <w:tcPr>
            <w:tcW w:w="1276" w:type="dxa"/>
            <w:tcBorders>
              <w:top w:val="nil"/>
              <w:left w:val="nil"/>
              <w:bottom w:val="single" w:sz="4" w:space="0" w:color="000000"/>
              <w:right w:val="nil"/>
            </w:tcBorders>
            <w:shd w:val="clear" w:color="auto" w:fill="FFFFFF" w:themeFill="background1"/>
          </w:tcPr>
          <w:p w14:paraId="22FBEE3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35EEDB7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80" w:name="_DV_C1903"/>
            <w:r w:rsidRPr="002321A6">
              <w:rPr>
                <w:sz w:val="18"/>
                <w:szCs w:val="18"/>
              </w:rPr>
              <w:t xml:space="preserve">120 000 </w:t>
            </w:r>
            <w:bookmarkEnd w:id="380"/>
          </w:p>
        </w:tc>
        <w:tc>
          <w:tcPr>
            <w:tcW w:w="1160" w:type="dxa"/>
            <w:tcBorders>
              <w:top w:val="nil"/>
              <w:left w:val="nil"/>
              <w:bottom w:val="single" w:sz="4" w:space="0" w:color="000000"/>
              <w:right w:val="nil"/>
            </w:tcBorders>
            <w:shd w:val="clear" w:color="auto" w:fill="FFFFFF" w:themeFill="background1"/>
          </w:tcPr>
          <w:p w14:paraId="27657CF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7B78777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81" w:name="_DV_C1904"/>
            <w:r w:rsidRPr="002321A6">
              <w:rPr>
                <w:sz w:val="18"/>
                <w:szCs w:val="18"/>
              </w:rPr>
              <w:t xml:space="preserve">114 000 </w:t>
            </w:r>
            <w:bookmarkEnd w:id="381"/>
          </w:p>
        </w:tc>
      </w:tr>
      <w:tr w:rsidR="002A2EA6" w:rsidRPr="002A2EA6" w14:paraId="6295FE7B"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494D276C"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82" w:name="_DV_C1905"/>
            <w:r w:rsidRPr="002321A6">
              <w:rPr>
                <w:b/>
                <w:bCs/>
                <w:sz w:val="18"/>
                <w:szCs w:val="18"/>
              </w:rPr>
              <w:t>G.</w:t>
            </w:r>
            <w:bookmarkEnd w:id="382"/>
          </w:p>
        </w:tc>
        <w:tc>
          <w:tcPr>
            <w:tcW w:w="3543" w:type="dxa"/>
            <w:tcBorders>
              <w:top w:val="single" w:sz="4" w:space="0" w:color="000000"/>
              <w:left w:val="nil"/>
              <w:bottom w:val="nil"/>
              <w:right w:val="nil"/>
            </w:tcBorders>
            <w:shd w:val="clear" w:color="auto" w:fill="FFFFFF" w:themeFill="background1"/>
          </w:tcPr>
          <w:p w14:paraId="2FEE3B7E"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83" w:name="_DV_C1906"/>
            <w:r w:rsidRPr="002321A6">
              <w:rPr>
                <w:b/>
                <w:bCs/>
                <w:sz w:val="18"/>
                <w:szCs w:val="18"/>
              </w:rPr>
              <w:t>Entretien des locaux et services</w:t>
            </w:r>
            <w:bookmarkEnd w:id="383"/>
          </w:p>
        </w:tc>
        <w:tc>
          <w:tcPr>
            <w:tcW w:w="1276" w:type="dxa"/>
            <w:tcBorders>
              <w:top w:val="single" w:sz="4" w:space="0" w:color="000000"/>
              <w:left w:val="nil"/>
              <w:bottom w:val="nil"/>
              <w:right w:val="nil"/>
            </w:tcBorders>
            <w:shd w:val="clear" w:color="auto" w:fill="FFFFFF" w:themeFill="background1"/>
          </w:tcPr>
          <w:p w14:paraId="616D21C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32B569F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74AF1C0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7CD3C0B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4E01D17A" w14:textId="77777777" w:rsidTr="002321A6">
        <w:trPr>
          <w:trHeight w:val="57"/>
          <w:jc w:val="right"/>
        </w:trPr>
        <w:tc>
          <w:tcPr>
            <w:tcW w:w="1134" w:type="dxa"/>
            <w:tcBorders>
              <w:top w:val="nil"/>
              <w:left w:val="nil"/>
              <w:bottom w:val="nil"/>
              <w:right w:val="nil"/>
            </w:tcBorders>
            <w:shd w:val="clear" w:color="auto" w:fill="FFFFFF" w:themeFill="background1"/>
          </w:tcPr>
          <w:p w14:paraId="2F509D36"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84" w:name="_DV_C1907"/>
            <w:r w:rsidRPr="002321A6">
              <w:rPr>
                <w:b/>
                <w:bCs/>
                <w:sz w:val="18"/>
                <w:szCs w:val="18"/>
              </w:rPr>
              <w:t>14</w:t>
            </w:r>
            <w:bookmarkEnd w:id="384"/>
          </w:p>
        </w:tc>
        <w:tc>
          <w:tcPr>
            <w:tcW w:w="3543" w:type="dxa"/>
            <w:tcBorders>
              <w:top w:val="nil"/>
              <w:left w:val="nil"/>
              <w:bottom w:val="nil"/>
              <w:right w:val="nil"/>
            </w:tcBorders>
            <w:shd w:val="clear" w:color="auto" w:fill="FFFFFF" w:themeFill="background1"/>
          </w:tcPr>
          <w:p w14:paraId="42ABE30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85" w:name="_DV_C1908"/>
            <w:r w:rsidRPr="002321A6">
              <w:rPr>
                <w:b/>
                <w:bCs/>
                <w:sz w:val="18"/>
                <w:szCs w:val="18"/>
              </w:rPr>
              <w:t>Entretien des locaux et services</w:t>
            </w:r>
            <w:bookmarkEnd w:id="385"/>
          </w:p>
        </w:tc>
        <w:tc>
          <w:tcPr>
            <w:tcW w:w="1276" w:type="dxa"/>
            <w:tcBorders>
              <w:top w:val="nil"/>
              <w:left w:val="nil"/>
              <w:bottom w:val="nil"/>
              <w:right w:val="nil"/>
            </w:tcBorders>
            <w:shd w:val="clear" w:color="auto" w:fill="FFFFFF" w:themeFill="background1"/>
          </w:tcPr>
          <w:p w14:paraId="573074A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78F81BF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6155786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26F988C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488F687"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36CE0738"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18F7B747"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386" w:name="_DV_C1909"/>
            <w:r w:rsidRPr="002321A6">
              <w:rPr>
                <w:sz w:val="18"/>
                <w:szCs w:val="18"/>
              </w:rPr>
              <w:t>14.1 Entretien des locaux et services</w:t>
            </w:r>
            <w:bookmarkEnd w:id="386"/>
          </w:p>
        </w:tc>
        <w:tc>
          <w:tcPr>
            <w:tcW w:w="1276" w:type="dxa"/>
            <w:tcBorders>
              <w:top w:val="nil"/>
              <w:left w:val="nil"/>
              <w:bottom w:val="single" w:sz="4" w:space="0" w:color="000000"/>
              <w:right w:val="nil"/>
            </w:tcBorders>
            <w:shd w:val="clear" w:color="auto" w:fill="FFFFFF" w:themeFill="background1"/>
          </w:tcPr>
          <w:p w14:paraId="723EE0A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87" w:name="_DV_C1910"/>
            <w:r w:rsidRPr="002321A6">
              <w:rPr>
                <w:sz w:val="18"/>
                <w:szCs w:val="18"/>
              </w:rPr>
              <w:t xml:space="preserve">145 000 </w:t>
            </w:r>
            <w:bookmarkEnd w:id="387"/>
          </w:p>
        </w:tc>
        <w:tc>
          <w:tcPr>
            <w:tcW w:w="1418" w:type="dxa"/>
            <w:tcBorders>
              <w:top w:val="nil"/>
              <w:left w:val="nil"/>
              <w:bottom w:val="single" w:sz="4" w:space="0" w:color="000000"/>
              <w:right w:val="nil"/>
            </w:tcBorders>
            <w:shd w:val="clear" w:color="auto" w:fill="FFFFFF" w:themeFill="background1"/>
          </w:tcPr>
          <w:p w14:paraId="713D59E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59AF013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88" w:name="_DV_C1911"/>
            <w:r w:rsidRPr="002321A6">
              <w:rPr>
                <w:sz w:val="18"/>
                <w:szCs w:val="18"/>
              </w:rPr>
              <w:t xml:space="preserve">145 000 </w:t>
            </w:r>
            <w:bookmarkEnd w:id="388"/>
          </w:p>
        </w:tc>
        <w:tc>
          <w:tcPr>
            <w:tcW w:w="1100" w:type="dxa"/>
            <w:tcBorders>
              <w:top w:val="nil"/>
              <w:left w:val="nil"/>
              <w:bottom w:val="single" w:sz="4" w:space="0" w:color="000000"/>
              <w:right w:val="nil"/>
            </w:tcBorders>
            <w:shd w:val="clear" w:color="auto" w:fill="FFFFFF" w:themeFill="background1"/>
          </w:tcPr>
          <w:p w14:paraId="29CE25B2"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7A8DD230"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75668337"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78C4BD94"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EA9C67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89" w:name="_DV_C1913"/>
            <w:r w:rsidRPr="002321A6">
              <w:rPr>
                <w:b/>
                <w:bCs/>
                <w:sz w:val="18"/>
                <w:szCs w:val="18"/>
              </w:rPr>
              <w:t>145 000</w:t>
            </w:r>
            <w:r w:rsidRPr="002321A6">
              <w:rPr>
                <w:sz w:val="18"/>
                <w:szCs w:val="18"/>
              </w:rPr>
              <w:t xml:space="preserve"> </w:t>
            </w:r>
            <w:bookmarkEnd w:id="389"/>
          </w:p>
        </w:tc>
        <w:tc>
          <w:tcPr>
            <w:tcW w:w="1418" w:type="dxa"/>
            <w:tcBorders>
              <w:top w:val="single" w:sz="4" w:space="0" w:color="000000"/>
              <w:left w:val="nil"/>
              <w:bottom w:val="single" w:sz="4" w:space="0" w:color="000000"/>
              <w:right w:val="nil"/>
            </w:tcBorders>
            <w:shd w:val="clear" w:color="auto" w:fill="FFFFFF" w:themeFill="background1"/>
          </w:tcPr>
          <w:p w14:paraId="4230564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536B4D8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90" w:name="_DV_C1914"/>
            <w:r w:rsidRPr="002321A6">
              <w:rPr>
                <w:b/>
                <w:bCs/>
                <w:sz w:val="18"/>
                <w:szCs w:val="18"/>
              </w:rPr>
              <w:t>145 000</w:t>
            </w:r>
            <w:r w:rsidRPr="002321A6">
              <w:rPr>
                <w:sz w:val="18"/>
                <w:szCs w:val="18"/>
              </w:rPr>
              <w:t xml:space="preserve"> </w:t>
            </w:r>
            <w:bookmarkEnd w:id="390"/>
          </w:p>
        </w:tc>
        <w:tc>
          <w:tcPr>
            <w:tcW w:w="1100" w:type="dxa"/>
            <w:tcBorders>
              <w:top w:val="single" w:sz="4" w:space="0" w:color="000000"/>
              <w:left w:val="nil"/>
              <w:bottom w:val="single" w:sz="4" w:space="0" w:color="000000"/>
              <w:right w:val="nil"/>
            </w:tcBorders>
            <w:shd w:val="clear" w:color="auto" w:fill="FFFFFF" w:themeFill="background1"/>
          </w:tcPr>
          <w:p w14:paraId="5689ABB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252C874F" w14:textId="77777777" w:rsidTr="002321A6">
        <w:trPr>
          <w:trHeight w:val="57"/>
          <w:jc w:val="right"/>
        </w:trPr>
        <w:tc>
          <w:tcPr>
            <w:tcW w:w="1134" w:type="dxa"/>
            <w:tcBorders>
              <w:top w:val="single" w:sz="4" w:space="0" w:color="000000"/>
              <w:left w:val="nil"/>
              <w:bottom w:val="nil"/>
              <w:right w:val="nil"/>
            </w:tcBorders>
            <w:shd w:val="clear" w:color="auto" w:fill="FFFFFF" w:themeFill="background1"/>
          </w:tcPr>
          <w:p w14:paraId="2DC5708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bookmarkStart w:id="391" w:name="_DV_C1915"/>
            <w:r w:rsidRPr="002321A6">
              <w:rPr>
                <w:b/>
                <w:bCs/>
                <w:sz w:val="18"/>
                <w:szCs w:val="18"/>
              </w:rPr>
              <w:t>15</w:t>
            </w:r>
            <w:bookmarkEnd w:id="391"/>
          </w:p>
        </w:tc>
        <w:tc>
          <w:tcPr>
            <w:tcW w:w="3543" w:type="dxa"/>
            <w:tcBorders>
              <w:top w:val="single" w:sz="4" w:space="0" w:color="000000"/>
              <w:left w:val="nil"/>
              <w:bottom w:val="nil"/>
              <w:right w:val="nil"/>
            </w:tcBorders>
            <w:shd w:val="clear" w:color="auto" w:fill="FFFFFF" w:themeFill="background1"/>
          </w:tcPr>
          <w:p w14:paraId="0A7BA778"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92" w:name="_DV_C1916"/>
            <w:r w:rsidRPr="002321A6">
              <w:rPr>
                <w:b/>
                <w:bCs/>
                <w:sz w:val="18"/>
                <w:szCs w:val="18"/>
              </w:rPr>
              <w:t>Services informatiques</w:t>
            </w:r>
            <w:bookmarkEnd w:id="392"/>
          </w:p>
        </w:tc>
        <w:tc>
          <w:tcPr>
            <w:tcW w:w="1276" w:type="dxa"/>
            <w:tcBorders>
              <w:top w:val="single" w:sz="4" w:space="0" w:color="000000"/>
              <w:left w:val="nil"/>
              <w:bottom w:val="nil"/>
              <w:right w:val="nil"/>
            </w:tcBorders>
            <w:shd w:val="clear" w:color="auto" w:fill="FFFFFF" w:themeFill="background1"/>
          </w:tcPr>
          <w:p w14:paraId="44D45CB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21F4D1B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481D092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1CF6050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E08EC0E" w14:textId="77777777" w:rsidTr="002321A6">
        <w:trPr>
          <w:trHeight w:val="57"/>
          <w:jc w:val="right"/>
        </w:trPr>
        <w:tc>
          <w:tcPr>
            <w:tcW w:w="1134" w:type="dxa"/>
            <w:tcBorders>
              <w:top w:val="nil"/>
              <w:left w:val="nil"/>
              <w:bottom w:val="single" w:sz="4" w:space="0" w:color="000000"/>
              <w:right w:val="nil"/>
            </w:tcBorders>
            <w:shd w:val="clear" w:color="auto" w:fill="FFFFFF" w:themeFill="background1"/>
          </w:tcPr>
          <w:p w14:paraId="384FB56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64EEB968" w14:textId="77777777" w:rsidR="002A2EA6" w:rsidRPr="002321A6" w:rsidRDefault="002A2EA6" w:rsidP="002A2EA6">
            <w:pPr>
              <w:pStyle w:val="Normal-pool"/>
              <w:tabs>
                <w:tab w:val="clear" w:pos="1247"/>
                <w:tab w:val="clear" w:pos="1814"/>
                <w:tab w:val="clear" w:pos="2381"/>
                <w:tab w:val="clear" w:pos="2948"/>
                <w:tab w:val="clear" w:pos="3515"/>
                <w:tab w:val="clear" w:pos="4082"/>
              </w:tabs>
              <w:spacing w:before="40" w:after="40"/>
              <w:ind w:left="322" w:hanging="379"/>
              <w:rPr>
                <w:rFonts w:eastAsia="SimSun"/>
                <w:sz w:val="18"/>
                <w:szCs w:val="18"/>
                <w:lang w:val="fr-FR"/>
              </w:rPr>
            </w:pPr>
            <w:bookmarkStart w:id="393" w:name="_DV_C1917"/>
            <w:r w:rsidRPr="002321A6">
              <w:rPr>
                <w:sz w:val="18"/>
                <w:szCs w:val="18"/>
                <w:lang w:val="fr-FR"/>
              </w:rPr>
              <w:t>15.1 Services informatiques</w:t>
            </w:r>
            <w:bookmarkEnd w:id="393"/>
          </w:p>
        </w:tc>
        <w:tc>
          <w:tcPr>
            <w:tcW w:w="1276" w:type="dxa"/>
            <w:tcBorders>
              <w:top w:val="nil"/>
              <w:left w:val="nil"/>
              <w:bottom w:val="single" w:sz="4" w:space="0" w:color="000000"/>
              <w:right w:val="nil"/>
            </w:tcBorders>
            <w:shd w:val="clear" w:color="auto" w:fill="FFFFFF" w:themeFill="background1"/>
          </w:tcPr>
          <w:p w14:paraId="354BC33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94" w:name="_DV_C1918"/>
            <w:r w:rsidRPr="002321A6">
              <w:rPr>
                <w:sz w:val="18"/>
                <w:szCs w:val="18"/>
              </w:rPr>
              <w:t xml:space="preserve">53 500 </w:t>
            </w:r>
            <w:bookmarkEnd w:id="394"/>
          </w:p>
        </w:tc>
        <w:tc>
          <w:tcPr>
            <w:tcW w:w="1418" w:type="dxa"/>
            <w:tcBorders>
              <w:top w:val="nil"/>
              <w:left w:val="nil"/>
              <w:bottom w:val="single" w:sz="4" w:space="0" w:color="000000"/>
              <w:right w:val="nil"/>
            </w:tcBorders>
            <w:shd w:val="clear" w:color="auto" w:fill="FFFFFF" w:themeFill="background1"/>
          </w:tcPr>
          <w:p w14:paraId="368C04A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349BF41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395" w:name="_DV_C1919"/>
            <w:r w:rsidRPr="002321A6">
              <w:rPr>
                <w:sz w:val="18"/>
                <w:szCs w:val="18"/>
              </w:rPr>
              <w:t xml:space="preserve">50 000 </w:t>
            </w:r>
            <w:bookmarkEnd w:id="395"/>
          </w:p>
        </w:tc>
        <w:tc>
          <w:tcPr>
            <w:tcW w:w="1100" w:type="dxa"/>
            <w:tcBorders>
              <w:top w:val="nil"/>
              <w:left w:val="nil"/>
              <w:bottom w:val="single" w:sz="4" w:space="0" w:color="000000"/>
              <w:right w:val="nil"/>
            </w:tcBorders>
            <w:shd w:val="clear" w:color="auto" w:fill="FFFFFF" w:themeFill="background1"/>
          </w:tcPr>
          <w:p w14:paraId="5DF07D6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671AE459"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6754C208"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39A48AF1"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787317D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96" w:name="_DV_C1921"/>
            <w:r w:rsidRPr="002321A6">
              <w:rPr>
                <w:b/>
                <w:bCs/>
                <w:sz w:val="18"/>
                <w:szCs w:val="18"/>
              </w:rPr>
              <w:t>53 500</w:t>
            </w:r>
            <w:r w:rsidRPr="002321A6">
              <w:rPr>
                <w:sz w:val="18"/>
                <w:szCs w:val="18"/>
              </w:rPr>
              <w:t xml:space="preserve"> </w:t>
            </w:r>
            <w:bookmarkEnd w:id="396"/>
          </w:p>
        </w:tc>
        <w:tc>
          <w:tcPr>
            <w:tcW w:w="1418" w:type="dxa"/>
            <w:tcBorders>
              <w:top w:val="single" w:sz="4" w:space="0" w:color="000000"/>
              <w:left w:val="nil"/>
              <w:bottom w:val="single" w:sz="4" w:space="0" w:color="000000"/>
              <w:right w:val="nil"/>
            </w:tcBorders>
            <w:shd w:val="clear" w:color="auto" w:fill="FFFFFF" w:themeFill="background1"/>
          </w:tcPr>
          <w:p w14:paraId="726585B7"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3BC7A0C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97" w:name="_DV_C1922"/>
            <w:r w:rsidRPr="002321A6">
              <w:rPr>
                <w:b/>
                <w:bCs/>
                <w:sz w:val="18"/>
                <w:szCs w:val="18"/>
              </w:rPr>
              <w:t>50 000</w:t>
            </w:r>
            <w:r w:rsidRPr="002321A6">
              <w:rPr>
                <w:sz w:val="18"/>
                <w:szCs w:val="18"/>
              </w:rPr>
              <w:t xml:space="preserve"> </w:t>
            </w:r>
            <w:bookmarkEnd w:id="397"/>
          </w:p>
        </w:tc>
        <w:tc>
          <w:tcPr>
            <w:tcW w:w="1100" w:type="dxa"/>
            <w:tcBorders>
              <w:top w:val="single" w:sz="4" w:space="0" w:color="000000"/>
              <w:left w:val="nil"/>
              <w:bottom w:val="single" w:sz="4" w:space="0" w:color="000000"/>
              <w:right w:val="nil"/>
            </w:tcBorders>
            <w:shd w:val="clear" w:color="auto" w:fill="FFFFFF" w:themeFill="background1"/>
          </w:tcPr>
          <w:p w14:paraId="746F263D"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5F005149"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0DB723A5"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45DF2757"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398" w:name="_DV_C1923"/>
            <w:r w:rsidRPr="002321A6">
              <w:rPr>
                <w:b/>
                <w:bCs/>
                <w:sz w:val="18"/>
                <w:szCs w:val="18"/>
              </w:rPr>
              <w:t>Total (G)</w:t>
            </w:r>
            <w:bookmarkEnd w:id="398"/>
          </w:p>
        </w:tc>
        <w:tc>
          <w:tcPr>
            <w:tcW w:w="1276" w:type="dxa"/>
            <w:tcBorders>
              <w:top w:val="single" w:sz="4" w:space="0" w:color="000000"/>
              <w:left w:val="nil"/>
              <w:bottom w:val="single" w:sz="4" w:space="0" w:color="000000"/>
              <w:right w:val="nil"/>
            </w:tcBorders>
            <w:shd w:val="clear" w:color="auto" w:fill="FFFFFF" w:themeFill="background1"/>
          </w:tcPr>
          <w:p w14:paraId="1CF5098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399" w:name="_DV_C1924"/>
            <w:r w:rsidRPr="002321A6">
              <w:rPr>
                <w:b/>
                <w:bCs/>
                <w:sz w:val="18"/>
                <w:szCs w:val="18"/>
              </w:rPr>
              <w:t>198 500</w:t>
            </w:r>
            <w:r w:rsidRPr="002321A6">
              <w:rPr>
                <w:sz w:val="18"/>
                <w:szCs w:val="18"/>
              </w:rPr>
              <w:t xml:space="preserve"> </w:t>
            </w:r>
            <w:bookmarkEnd w:id="399"/>
          </w:p>
        </w:tc>
        <w:tc>
          <w:tcPr>
            <w:tcW w:w="1418" w:type="dxa"/>
            <w:tcBorders>
              <w:top w:val="single" w:sz="4" w:space="0" w:color="000000"/>
              <w:left w:val="nil"/>
              <w:bottom w:val="single" w:sz="4" w:space="0" w:color="000000"/>
              <w:right w:val="nil"/>
            </w:tcBorders>
            <w:shd w:val="clear" w:color="auto" w:fill="FFFFFF" w:themeFill="background1"/>
          </w:tcPr>
          <w:p w14:paraId="7F7A459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10CDC19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00" w:name="_DV_C1925"/>
            <w:r w:rsidRPr="002321A6">
              <w:rPr>
                <w:b/>
                <w:bCs/>
                <w:sz w:val="18"/>
                <w:szCs w:val="18"/>
              </w:rPr>
              <w:t>195 000</w:t>
            </w:r>
            <w:r w:rsidRPr="002321A6">
              <w:rPr>
                <w:sz w:val="18"/>
                <w:szCs w:val="18"/>
              </w:rPr>
              <w:t xml:space="preserve"> </w:t>
            </w:r>
            <w:bookmarkEnd w:id="400"/>
          </w:p>
        </w:tc>
        <w:tc>
          <w:tcPr>
            <w:tcW w:w="1100" w:type="dxa"/>
            <w:tcBorders>
              <w:top w:val="single" w:sz="4" w:space="0" w:color="000000"/>
              <w:left w:val="nil"/>
              <w:bottom w:val="single" w:sz="4" w:space="0" w:color="000000"/>
              <w:right w:val="nil"/>
            </w:tcBorders>
            <w:shd w:val="clear" w:color="auto" w:fill="FFFFFF" w:themeFill="background1"/>
          </w:tcPr>
          <w:p w14:paraId="4088E68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2A2EA6" w:rsidRPr="002A2EA6" w14:paraId="2E4A7AE6"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2A3B369C"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3CAAD763"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01" w:name="_DV_C1926"/>
            <w:r w:rsidRPr="002321A6">
              <w:rPr>
                <w:sz w:val="18"/>
                <w:szCs w:val="18"/>
              </w:rPr>
              <w:t>Ressources nécessaires pour toutes les activités</w:t>
            </w:r>
            <w:bookmarkEnd w:id="401"/>
          </w:p>
        </w:tc>
        <w:tc>
          <w:tcPr>
            <w:tcW w:w="1276" w:type="dxa"/>
            <w:tcBorders>
              <w:top w:val="single" w:sz="4" w:space="0" w:color="000000"/>
              <w:left w:val="nil"/>
              <w:bottom w:val="single" w:sz="4" w:space="0" w:color="000000"/>
              <w:right w:val="nil"/>
            </w:tcBorders>
            <w:shd w:val="clear" w:color="auto" w:fill="FFFFFF" w:themeFill="background1"/>
          </w:tcPr>
          <w:p w14:paraId="0115CD35"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3C6E0E5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652A1B1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1B5F3394"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2A2EA6" w:rsidRPr="002A2EA6" w14:paraId="38B6BD15"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7A59A3FD" w14:textId="77777777" w:rsidR="002A2EA6" w:rsidRPr="002321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5BF52A54" w14:textId="25C3A7AB"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402" w:name="_DV_C1927"/>
            <w:r w:rsidRPr="002321A6">
              <w:rPr>
                <w:b/>
                <w:bCs/>
                <w:sz w:val="18"/>
                <w:szCs w:val="18"/>
              </w:rPr>
              <w:t>Total des coûts directs (dépenses d</w:t>
            </w:r>
            <w:r w:rsidR="00CA4DAC">
              <w:rPr>
                <w:b/>
                <w:bCs/>
                <w:sz w:val="18"/>
                <w:szCs w:val="18"/>
              </w:rPr>
              <w:t>’</w:t>
            </w:r>
            <w:r w:rsidRPr="002321A6">
              <w:rPr>
                <w:b/>
                <w:bCs/>
                <w:sz w:val="18"/>
                <w:szCs w:val="18"/>
              </w:rPr>
              <w:t>appui aux programmes non comprises) (A à G)</w:t>
            </w:r>
            <w:bookmarkEnd w:id="402"/>
          </w:p>
        </w:tc>
        <w:tc>
          <w:tcPr>
            <w:tcW w:w="1276" w:type="dxa"/>
            <w:tcBorders>
              <w:top w:val="single" w:sz="4" w:space="0" w:color="000000"/>
              <w:left w:val="nil"/>
              <w:bottom w:val="single" w:sz="4" w:space="0" w:color="000000"/>
              <w:right w:val="nil"/>
            </w:tcBorders>
            <w:shd w:val="clear" w:color="auto" w:fill="FFFFFF" w:themeFill="background1"/>
          </w:tcPr>
          <w:p w14:paraId="6765B77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03" w:name="_DV_C1928"/>
            <w:r w:rsidRPr="002321A6">
              <w:rPr>
                <w:b/>
                <w:bCs/>
                <w:sz w:val="18"/>
                <w:szCs w:val="18"/>
              </w:rPr>
              <w:t>2 701 100</w:t>
            </w:r>
            <w:r w:rsidRPr="002321A6">
              <w:rPr>
                <w:sz w:val="18"/>
                <w:szCs w:val="18"/>
              </w:rPr>
              <w:t xml:space="preserve"> </w:t>
            </w:r>
            <w:bookmarkEnd w:id="403"/>
          </w:p>
        </w:tc>
        <w:tc>
          <w:tcPr>
            <w:tcW w:w="1418" w:type="dxa"/>
            <w:tcBorders>
              <w:top w:val="single" w:sz="4" w:space="0" w:color="000000"/>
              <w:left w:val="nil"/>
              <w:bottom w:val="single" w:sz="4" w:space="0" w:color="000000"/>
              <w:right w:val="nil"/>
            </w:tcBorders>
            <w:shd w:val="clear" w:color="auto" w:fill="FFFFFF" w:themeFill="background1"/>
          </w:tcPr>
          <w:p w14:paraId="443B95F0"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04" w:name="_DV_C1929"/>
            <w:r w:rsidRPr="002321A6">
              <w:rPr>
                <w:b/>
                <w:bCs/>
                <w:sz w:val="18"/>
                <w:szCs w:val="18"/>
              </w:rPr>
              <w:t>1 615 000</w:t>
            </w:r>
            <w:r w:rsidRPr="002321A6">
              <w:rPr>
                <w:sz w:val="18"/>
                <w:szCs w:val="18"/>
              </w:rPr>
              <w:t xml:space="preserve"> </w:t>
            </w:r>
            <w:bookmarkEnd w:id="404"/>
          </w:p>
        </w:tc>
        <w:tc>
          <w:tcPr>
            <w:tcW w:w="1160" w:type="dxa"/>
            <w:tcBorders>
              <w:top w:val="single" w:sz="4" w:space="0" w:color="000000"/>
              <w:left w:val="nil"/>
              <w:bottom w:val="single" w:sz="4" w:space="0" w:color="000000"/>
              <w:right w:val="nil"/>
            </w:tcBorders>
            <w:shd w:val="clear" w:color="auto" w:fill="FFFFFF" w:themeFill="background1"/>
          </w:tcPr>
          <w:p w14:paraId="3CF3E5E3"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05" w:name="_DV_C1930"/>
            <w:r w:rsidRPr="002321A6">
              <w:rPr>
                <w:b/>
                <w:bCs/>
                <w:sz w:val="18"/>
                <w:szCs w:val="18"/>
              </w:rPr>
              <w:t>4 006 828</w:t>
            </w:r>
            <w:r w:rsidRPr="002321A6">
              <w:rPr>
                <w:sz w:val="18"/>
                <w:szCs w:val="18"/>
              </w:rPr>
              <w:t xml:space="preserve"> </w:t>
            </w:r>
            <w:bookmarkEnd w:id="405"/>
          </w:p>
        </w:tc>
        <w:tc>
          <w:tcPr>
            <w:tcW w:w="1100" w:type="dxa"/>
            <w:tcBorders>
              <w:top w:val="single" w:sz="4" w:space="0" w:color="000000"/>
              <w:left w:val="nil"/>
              <w:bottom w:val="single" w:sz="4" w:space="0" w:color="000000"/>
              <w:right w:val="nil"/>
            </w:tcBorders>
            <w:shd w:val="clear" w:color="auto" w:fill="FFFFFF" w:themeFill="background1"/>
          </w:tcPr>
          <w:p w14:paraId="73C71D2A"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06" w:name="_DV_C1931"/>
            <w:r w:rsidRPr="002321A6">
              <w:rPr>
                <w:b/>
                <w:bCs/>
                <w:sz w:val="18"/>
                <w:szCs w:val="18"/>
              </w:rPr>
              <w:t>2 259 000</w:t>
            </w:r>
            <w:r w:rsidRPr="002321A6">
              <w:rPr>
                <w:sz w:val="18"/>
                <w:szCs w:val="18"/>
              </w:rPr>
              <w:t xml:space="preserve"> </w:t>
            </w:r>
            <w:bookmarkEnd w:id="406"/>
          </w:p>
        </w:tc>
      </w:tr>
      <w:tr w:rsidR="002A2EA6" w:rsidRPr="002A2EA6" w14:paraId="0D7A053C" w14:textId="77777777" w:rsidTr="002321A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5580ACF6"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44784D82" w14:textId="20852412" w:rsidR="002A2EA6" w:rsidRPr="002321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07" w:name="_DV_C1932"/>
            <w:r w:rsidRPr="002321A6">
              <w:rPr>
                <w:sz w:val="18"/>
                <w:szCs w:val="18"/>
              </w:rPr>
              <w:t>Dépenses d</w:t>
            </w:r>
            <w:r w:rsidR="00CA4DAC">
              <w:rPr>
                <w:sz w:val="18"/>
                <w:szCs w:val="18"/>
              </w:rPr>
              <w:t>’</w:t>
            </w:r>
            <w:r w:rsidRPr="002321A6">
              <w:rPr>
                <w:sz w:val="18"/>
                <w:szCs w:val="18"/>
              </w:rPr>
              <w:t>appui aux programmes (13 %)</w:t>
            </w:r>
            <w:bookmarkEnd w:id="407"/>
          </w:p>
        </w:tc>
        <w:tc>
          <w:tcPr>
            <w:tcW w:w="1276" w:type="dxa"/>
            <w:tcBorders>
              <w:top w:val="single" w:sz="4" w:space="0" w:color="000000"/>
              <w:left w:val="nil"/>
              <w:bottom w:val="single" w:sz="4" w:space="0" w:color="000000"/>
              <w:right w:val="nil"/>
            </w:tcBorders>
            <w:shd w:val="clear" w:color="auto" w:fill="FFFFFF" w:themeFill="background1"/>
          </w:tcPr>
          <w:p w14:paraId="56423C88"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08" w:name="_DV_C1933"/>
            <w:r w:rsidRPr="002321A6">
              <w:rPr>
                <w:sz w:val="18"/>
                <w:szCs w:val="18"/>
              </w:rPr>
              <w:t xml:space="preserve">351 143 </w:t>
            </w:r>
            <w:bookmarkEnd w:id="408"/>
          </w:p>
        </w:tc>
        <w:tc>
          <w:tcPr>
            <w:tcW w:w="1418" w:type="dxa"/>
            <w:tcBorders>
              <w:top w:val="single" w:sz="4" w:space="0" w:color="000000"/>
              <w:left w:val="nil"/>
              <w:bottom w:val="single" w:sz="4" w:space="0" w:color="000000"/>
              <w:right w:val="nil"/>
            </w:tcBorders>
            <w:shd w:val="clear" w:color="auto" w:fill="FFFFFF" w:themeFill="background1"/>
          </w:tcPr>
          <w:p w14:paraId="4619121C"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09" w:name="_DV_C1934"/>
            <w:r w:rsidRPr="002321A6">
              <w:rPr>
                <w:sz w:val="18"/>
                <w:szCs w:val="18"/>
              </w:rPr>
              <w:t xml:space="preserve">209 950 </w:t>
            </w:r>
            <w:bookmarkEnd w:id="409"/>
          </w:p>
        </w:tc>
        <w:tc>
          <w:tcPr>
            <w:tcW w:w="1160" w:type="dxa"/>
            <w:tcBorders>
              <w:top w:val="single" w:sz="4" w:space="0" w:color="000000"/>
              <w:left w:val="nil"/>
              <w:bottom w:val="single" w:sz="4" w:space="0" w:color="000000"/>
              <w:right w:val="nil"/>
            </w:tcBorders>
            <w:shd w:val="clear" w:color="auto" w:fill="FFFFFF" w:themeFill="background1"/>
          </w:tcPr>
          <w:p w14:paraId="4AD89ACE"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10" w:name="_DV_C1935"/>
            <w:r w:rsidRPr="002321A6">
              <w:rPr>
                <w:sz w:val="18"/>
                <w:szCs w:val="18"/>
              </w:rPr>
              <w:t xml:space="preserve">520 888 </w:t>
            </w:r>
            <w:bookmarkEnd w:id="410"/>
          </w:p>
        </w:tc>
        <w:tc>
          <w:tcPr>
            <w:tcW w:w="1100" w:type="dxa"/>
            <w:tcBorders>
              <w:top w:val="single" w:sz="4" w:space="0" w:color="000000"/>
              <w:left w:val="nil"/>
              <w:bottom w:val="single" w:sz="4" w:space="0" w:color="000000"/>
              <w:right w:val="nil"/>
            </w:tcBorders>
            <w:shd w:val="clear" w:color="auto" w:fill="FFFFFF" w:themeFill="background1"/>
          </w:tcPr>
          <w:p w14:paraId="72B7BA7B"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11" w:name="_DV_C1936"/>
            <w:r w:rsidRPr="002321A6">
              <w:rPr>
                <w:sz w:val="18"/>
                <w:szCs w:val="18"/>
              </w:rPr>
              <w:t xml:space="preserve">293 670 </w:t>
            </w:r>
            <w:bookmarkEnd w:id="411"/>
          </w:p>
        </w:tc>
      </w:tr>
      <w:tr w:rsidR="002A2EA6" w:rsidRPr="002A2EA6" w14:paraId="40E70E81" w14:textId="77777777" w:rsidTr="002321A6">
        <w:trPr>
          <w:trHeight w:val="57"/>
          <w:jc w:val="right"/>
        </w:trPr>
        <w:tc>
          <w:tcPr>
            <w:tcW w:w="1134" w:type="dxa"/>
            <w:tcBorders>
              <w:top w:val="single" w:sz="4" w:space="0" w:color="000000"/>
              <w:left w:val="nil"/>
              <w:bottom w:val="single" w:sz="12" w:space="0" w:color="000000"/>
              <w:right w:val="nil"/>
            </w:tcBorders>
            <w:shd w:val="clear" w:color="auto" w:fill="FFFFFF" w:themeFill="background1"/>
          </w:tcPr>
          <w:p w14:paraId="1D278EB7" w14:textId="77777777" w:rsidR="002A2EA6" w:rsidRPr="002321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12" w:space="0" w:color="000000"/>
              <w:right w:val="nil"/>
            </w:tcBorders>
            <w:shd w:val="clear" w:color="auto" w:fill="FFFFFF" w:themeFill="background1"/>
          </w:tcPr>
          <w:p w14:paraId="119AB3A3" w14:textId="038D20AE" w:rsidR="002A2EA6" w:rsidRPr="002321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412" w:name="_DV_C1937"/>
            <w:r w:rsidRPr="002321A6">
              <w:rPr>
                <w:b/>
                <w:bCs/>
                <w:sz w:val="18"/>
                <w:szCs w:val="18"/>
              </w:rPr>
              <w:t>Total général (dépenses d</w:t>
            </w:r>
            <w:r w:rsidR="00CA4DAC">
              <w:rPr>
                <w:b/>
                <w:bCs/>
                <w:sz w:val="18"/>
                <w:szCs w:val="18"/>
              </w:rPr>
              <w:t>’</w:t>
            </w:r>
            <w:r w:rsidRPr="002321A6">
              <w:rPr>
                <w:b/>
                <w:bCs/>
                <w:sz w:val="18"/>
                <w:szCs w:val="18"/>
              </w:rPr>
              <w:t>appui aux programmes comprises)</w:t>
            </w:r>
            <w:bookmarkEnd w:id="412"/>
          </w:p>
        </w:tc>
        <w:tc>
          <w:tcPr>
            <w:tcW w:w="1276" w:type="dxa"/>
            <w:tcBorders>
              <w:top w:val="single" w:sz="4" w:space="0" w:color="000000"/>
              <w:left w:val="nil"/>
              <w:bottom w:val="single" w:sz="12" w:space="0" w:color="000000"/>
              <w:right w:val="nil"/>
            </w:tcBorders>
            <w:shd w:val="clear" w:color="auto" w:fill="FFFFFF" w:themeFill="background1"/>
          </w:tcPr>
          <w:p w14:paraId="76EA2DAF"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13" w:name="_DV_C1938"/>
            <w:r w:rsidRPr="002321A6">
              <w:rPr>
                <w:b/>
                <w:bCs/>
                <w:sz w:val="18"/>
                <w:szCs w:val="18"/>
              </w:rPr>
              <w:t>3 052 243</w:t>
            </w:r>
            <w:r w:rsidRPr="002321A6">
              <w:rPr>
                <w:sz w:val="18"/>
                <w:szCs w:val="18"/>
              </w:rPr>
              <w:t xml:space="preserve"> </w:t>
            </w:r>
            <w:bookmarkEnd w:id="413"/>
          </w:p>
        </w:tc>
        <w:tc>
          <w:tcPr>
            <w:tcW w:w="1418" w:type="dxa"/>
            <w:tcBorders>
              <w:top w:val="single" w:sz="4" w:space="0" w:color="000000"/>
              <w:left w:val="nil"/>
              <w:bottom w:val="single" w:sz="12" w:space="0" w:color="000000"/>
              <w:right w:val="nil"/>
            </w:tcBorders>
            <w:shd w:val="clear" w:color="auto" w:fill="FFFFFF" w:themeFill="background1"/>
          </w:tcPr>
          <w:p w14:paraId="10E778A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14" w:name="_DV_C1939"/>
            <w:r w:rsidRPr="002321A6">
              <w:rPr>
                <w:b/>
                <w:bCs/>
                <w:sz w:val="18"/>
                <w:szCs w:val="18"/>
              </w:rPr>
              <w:t>1 824 950</w:t>
            </w:r>
            <w:r w:rsidRPr="002321A6">
              <w:rPr>
                <w:sz w:val="18"/>
                <w:szCs w:val="18"/>
              </w:rPr>
              <w:t xml:space="preserve"> </w:t>
            </w:r>
            <w:bookmarkEnd w:id="414"/>
          </w:p>
        </w:tc>
        <w:tc>
          <w:tcPr>
            <w:tcW w:w="1160" w:type="dxa"/>
            <w:tcBorders>
              <w:top w:val="single" w:sz="4" w:space="0" w:color="000000"/>
              <w:left w:val="nil"/>
              <w:bottom w:val="single" w:sz="12" w:space="0" w:color="000000"/>
              <w:right w:val="nil"/>
            </w:tcBorders>
            <w:shd w:val="clear" w:color="auto" w:fill="FFFFFF" w:themeFill="background1"/>
          </w:tcPr>
          <w:p w14:paraId="1B0B7B41"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15" w:name="_DV_C1940"/>
            <w:r w:rsidRPr="002321A6">
              <w:rPr>
                <w:b/>
                <w:bCs/>
                <w:sz w:val="18"/>
                <w:szCs w:val="18"/>
              </w:rPr>
              <w:t>4 527 716</w:t>
            </w:r>
            <w:r w:rsidRPr="002321A6">
              <w:rPr>
                <w:sz w:val="18"/>
                <w:szCs w:val="18"/>
              </w:rPr>
              <w:t xml:space="preserve"> </w:t>
            </w:r>
            <w:bookmarkEnd w:id="415"/>
          </w:p>
        </w:tc>
        <w:tc>
          <w:tcPr>
            <w:tcW w:w="1100" w:type="dxa"/>
            <w:tcBorders>
              <w:top w:val="single" w:sz="4" w:space="0" w:color="000000"/>
              <w:left w:val="nil"/>
              <w:bottom w:val="single" w:sz="12" w:space="0" w:color="000000"/>
              <w:right w:val="nil"/>
            </w:tcBorders>
            <w:shd w:val="clear" w:color="auto" w:fill="FFFFFF" w:themeFill="background1"/>
          </w:tcPr>
          <w:p w14:paraId="22841A06" w14:textId="77777777" w:rsidR="002A2EA6" w:rsidRPr="002321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416" w:name="_DV_C1941"/>
            <w:r w:rsidRPr="002321A6">
              <w:rPr>
                <w:b/>
                <w:bCs/>
                <w:sz w:val="18"/>
                <w:szCs w:val="18"/>
              </w:rPr>
              <w:t>2 552 670</w:t>
            </w:r>
            <w:r w:rsidRPr="002321A6">
              <w:rPr>
                <w:sz w:val="18"/>
                <w:szCs w:val="18"/>
              </w:rPr>
              <w:t xml:space="preserve"> </w:t>
            </w:r>
            <w:bookmarkEnd w:id="416"/>
          </w:p>
        </w:tc>
      </w:tr>
    </w:tbl>
    <w:p w14:paraId="58BBCF1D" w14:textId="613F715D" w:rsidR="003456B7" w:rsidRDefault="00593A9B" w:rsidP="002A2EA6">
      <w:pPr>
        <w:tabs>
          <w:tab w:val="clear" w:pos="1247"/>
        </w:tabs>
        <w:ind w:left="-14"/>
        <w:rPr>
          <w:sz w:val="16"/>
          <w:szCs w:val="16"/>
        </w:rPr>
      </w:pPr>
      <w:bookmarkStart w:id="417" w:name="_DV_C1942"/>
      <w:r w:rsidRPr="00593A9B">
        <w:rPr>
          <w:sz w:val="16"/>
          <w:szCs w:val="16"/>
          <w:vertAlign w:val="superscript"/>
        </w:rPr>
        <w:t>a</w:t>
      </w:r>
      <w:r>
        <w:rPr>
          <w:sz w:val="16"/>
          <w:szCs w:val="16"/>
        </w:rPr>
        <w:t xml:space="preserve"> </w:t>
      </w:r>
      <w:r w:rsidRPr="00593A9B">
        <w:rPr>
          <w:sz w:val="16"/>
          <w:szCs w:val="16"/>
        </w:rPr>
        <w:t>L’activité 6 (Évaluation de l’efficacité) a été ajustée par le secrétariat, ainsi que la Conférence des Parties l’avait demandé à sa troisième réunion</w:t>
      </w:r>
      <w:r>
        <w:rPr>
          <w:sz w:val="16"/>
          <w:szCs w:val="16"/>
        </w:rPr>
        <w:t>.</w:t>
      </w:r>
    </w:p>
    <w:p w14:paraId="365A3C82" w14:textId="59ECDDF7" w:rsidR="003456B7" w:rsidRPr="00A54D8B" w:rsidRDefault="002A2EA6" w:rsidP="002A2EA6">
      <w:pPr>
        <w:tabs>
          <w:tab w:val="clear" w:pos="1247"/>
        </w:tabs>
        <w:ind w:left="-14"/>
        <w:rPr>
          <w:b/>
          <w:bCs/>
          <w:sz w:val="16"/>
          <w:szCs w:val="16"/>
        </w:rPr>
      </w:pPr>
      <w:r w:rsidRPr="00A54D8B">
        <w:rPr>
          <w:sz w:val="16"/>
          <w:szCs w:val="16"/>
        </w:rPr>
        <w:t>* À titre exceptionnel, et seulement après que les mesures d</w:t>
      </w:r>
      <w:r w:rsidR="00CA4DAC">
        <w:rPr>
          <w:sz w:val="16"/>
          <w:szCs w:val="16"/>
        </w:rPr>
        <w:t>’</w:t>
      </w:r>
      <w:r w:rsidRPr="00A54D8B">
        <w:rPr>
          <w:sz w:val="16"/>
          <w:szCs w:val="16"/>
        </w:rPr>
        <w:t>économie et d</w:t>
      </w:r>
      <w:r w:rsidR="00CA4DAC">
        <w:rPr>
          <w:sz w:val="16"/>
          <w:szCs w:val="16"/>
        </w:rPr>
        <w:t>’</w:t>
      </w:r>
      <w:r w:rsidRPr="00A54D8B">
        <w:rPr>
          <w:sz w:val="16"/>
          <w:szCs w:val="16"/>
        </w:rPr>
        <w:t>efficacité ont été épuisées, le Secrétaire exécutif peut puiser dans la</w:t>
      </w:r>
      <w:r w:rsidR="00A54D8B">
        <w:rPr>
          <w:sz w:val="16"/>
          <w:szCs w:val="16"/>
        </w:rPr>
        <w:t> </w:t>
      </w:r>
      <w:r w:rsidRPr="00A54D8B">
        <w:rPr>
          <w:sz w:val="16"/>
          <w:szCs w:val="16"/>
        </w:rPr>
        <w:t>réserve de trésorerie pour financer tout passif résultant d</w:t>
      </w:r>
      <w:r w:rsidR="00CA4DAC">
        <w:rPr>
          <w:sz w:val="16"/>
          <w:szCs w:val="16"/>
        </w:rPr>
        <w:t>’</w:t>
      </w:r>
      <w:r w:rsidRPr="00A54D8B">
        <w:rPr>
          <w:sz w:val="16"/>
          <w:szCs w:val="16"/>
        </w:rPr>
        <w:t>un arrêt définitif qui serait prononcé dans une affaire portée par le personnel basé à</w:t>
      </w:r>
      <w:r w:rsidR="00A54D8B">
        <w:rPr>
          <w:sz w:val="16"/>
          <w:szCs w:val="16"/>
        </w:rPr>
        <w:t> </w:t>
      </w:r>
      <w:r w:rsidRPr="00A54D8B">
        <w:rPr>
          <w:sz w:val="16"/>
          <w:szCs w:val="16"/>
        </w:rPr>
        <w:t>Genève.</w:t>
      </w:r>
      <w:bookmarkEnd w:id="417"/>
    </w:p>
    <w:p w14:paraId="37A373A0" w14:textId="77777777" w:rsidR="002A2EA6" w:rsidRPr="002A2EA6" w:rsidRDefault="002A2EA6" w:rsidP="002A2EA6">
      <w:pPr>
        <w:tabs>
          <w:tab w:val="clear" w:pos="1247"/>
          <w:tab w:val="clear" w:pos="1814"/>
          <w:tab w:val="clear" w:pos="2381"/>
          <w:tab w:val="clear" w:pos="2948"/>
          <w:tab w:val="clear" w:pos="3515"/>
        </w:tabs>
        <w:rPr>
          <w:b/>
          <w:bCs/>
        </w:rPr>
      </w:pPr>
      <w:r w:rsidRPr="002A2EA6">
        <w:rPr>
          <w:b/>
          <w:bCs/>
        </w:rPr>
        <w:br w:type="page"/>
      </w:r>
    </w:p>
    <w:p w14:paraId="14979DAA" w14:textId="50D9EADB" w:rsidR="002A2EA6" w:rsidRPr="002A2EA6" w:rsidRDefault="002A2EA6" w:rsidP="002A2EA6">
      <w:pPr>
        <w:ind w:left="1260"/>
        <w:rPr>
          <w:rFonts w:eastAsia="SimSun"/>
        </w:rPr>
      </w:pPr>
      <w:r w:rsidRPr="002A2EA6">
        <w:lastRenderedPageBreak/>
        <w:t>Tableau 2</w:t>
      </w:r>
      <w:r w:rsidR="00077F8F">
        <w:t xml:space="preserve"> </w:t>
      </w:r>
      <w:r w:rsidRPr="002A2EA6">
        <w:br/>
      </w:r>
      <w:r w:rsidRPr="002A2EA6">
        <w:rPr>
          <w:b/>
          <w:bCs/>
        </w:rPr>
        <w:t xml:space="preserve">Aperçu du barème indicatif des quotes-parts et des contributions </w:t>
      </w:r>
      <w:r w:rsidR="008A5658">
        <w:rPr>
          <w:b/>
          <w:bCs/>
        </w:rPr>
        <w:br/>
      </w:r>
      <w:r w:rsidRPr="002A2EA6">
        <w:rPr>
          <w:b/>
          <w:bCs/>
        </w:rPr>
        <w:t>au Fonds d</w:t>
      </w:r>
      <w:r w:rsidR="00CA4DAC">
        <w:rPr>
          <w:b/>
          <w:bCs/>
        </w:rPr>
        <w:t>’</w:t>
      </w:r>
      <w:r w:rsidRPr="002A2EA6">
        <w:rPr>
          <w:b/>
          <w:bCs/>
        </w:rPr>
        <w:t xml:space="preserve">affectation spéciale général pour </w:t>
      </w:r>
      <w:r w:rsidR="00F20074">
        <w:rPr>
          <w:b/>
          <w:bCs/>
        </w:rPr>
        <w:t>2020–2021</w:t>
      </w:r>
    </w:p>
    <w:p w14:paraId="178842C0" w14:textId="77777777" w:rsidR="002A2EA6" w:rsidRPr="002A2EA6" w:rsidRDefault="002A2EA6" w:rsidP="002A2EA6">
      <w:pPr>
        <w:pStyle w:val="Titletable"/>
        <w:spacing w:before="60"/>
        <w:rPr>
          <w:rFonts w:eastAsia="SimSun"/>
          <w:b w:val="0"/>
          <w:bCs w:val="0"/>
          <w:sz w:val="18"/>
          <w:szCs w:val="18"/>
          <w:lang w:val="fr-FR"/>
        </w:rPr>
      </w:pPr>
      <w:bookmarkStart w:id="418" w:name="_DV_C1945"/>
      <w:r w:rsidRPr="002A2EA6">
        <w:rPr>
          <w:b w:val="0"/>
          <w:bCs w:val="0"/>
          <w:sz w:val="18"/>
          <w:szCs w:val="18"/>
          <w:lang w:val="fr-FR"/>
        </w:rPr>
        <w:t>(En dollars des États-Unis)</w:t>
      </w:r>
      <w:bookmarkEnd w:id="418"/>
    </w:p>
    <w:tbl>
      <w:tblPr>
        <w:tblW w:w="5000" w:type="pct"/>
        <w:jc w:val="right"/>
        <w:tblLook w:val="0000" w:firstRow="0" w:lastRow="0" w:firstColumn="0" w:lastColumn="0" w:noHBand="0" w:noVBand="0"/>
      </w:tblPr>
      <w:tblGrid>
        <w:gridCol w:w="753"/>
        <w:gridCol w:w="2713"/>
        <w:gridCol w:w="1809"/>
        <w:gridCol w:w="2110"/>
        <w:gridCol w:w="2111"/>
      </w:tblGrid>
      <w:tr w:rsidR="002A2EA6" w:rsidRPr="002A2EA6" w14:paraId="01CABFCD" w14:textId="77777777" w:rsidTr="00A54D8B">
        <w:trPr>
          <w:trHeight w:val="57"/>
          <w:tblHeader/>
          <w:jc w:val="right"/>
        </w:trPr>
        <w:tc>
          <w:tcPr>
            <w:tcW w:w="3261" w:type="dxa"/>
            <w:gridSpan w:val="2"/>
            <w:tcBorders>
              <w:top w:val="single" w:sz="4" w:space="0" w:color="000000"/>
              <w:left w:val="nil"/>
              <w:bottom w:val="single" w:sz="12" w:space="0" w:color="000000"/>
              <w:right w:val="nil"/>
            </w:tcBorders>
            <w:shd w:val="clear" w:color="auto" w:fill="auto"/>
          </w:tcPr>
          <w:p w14:paraId="617577D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i/>
                <w:sz w:val="18"/>
                <w:szCs w:val="18"/>
                <w:highlight w:val="yellow"/>
              </w:rPr>
            </w:pPr>
            <w:bookmarkStart w:id="419" w:name="_DV_C1946"/>
            <w:r w:rsidRPr="002A2EA6">
              <w:rPr>
                <w:rStyle w:val="DeltaViewInsertion"/>
                <w:rFonts w:eastAsia="SimSun"/>
                <w:i/>
                <w:color w:val="auto"/>
                <w:sz w:val="18"/>
                <w:szCs w:val="18"/>
                <w:u w:val="none"/>
              </w:rPr>
              <w:t>Part</w:t>
            </w:r>
            <w:bookmarkEnd w:id="419"/>
            <w:r w:rsidRPr="002A2EA6">
              <w:rPr>
                <w:rStyle w:val="DeltaViewInsertion"/>
                <w:rFonts w:eastAsia="SimSun"/>
                <w:i/>
                <w:color w:val="auto"/>
                <w:sz w:val="18"/>
                <w:szCs w:val="18"/>
                <w:u w:val="none"/>
              </w:rPr>
              <w:t>ie</w:t>
            </w:r>
          </w:p>
        </w:tc>
        <w:tc>
          <w:tcPr>
            <w:tcW w:w="1701" w:type="dxa"/>
            <w:tcBorders>
              <w:top w:val="single" w:sz="4" w:space="0" w:color="000000"/>
              <w:left w:val="nil"/>
              <w:bottom w:val="single" w:sz="12" w:space="0" w:color="000000"/>
              <w:right w:val="nil"/>
            </w:tcBorders>
            <w:shd w:val="clear" w:color="auto" w:fill="auto"/>
          </w:tcPr>
          <w:p w14:paraId="728481B9" w14:textId="78802119"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i/>
                <w:iCs/>
                <w:sz w:val="18"/>
                <w:szCs w:val="18"/>
                <w:highlight w:val="yellow"/>
              </w:rPr>
            </w:pPr>
            <w:r w:rsidRPr="002A2EA6">
              <w:rPr>
                <w:i/>
                <w:iCs/>
                <w:sz w:val="18"/>
                <w:szCs w:val="18"/>
              </w:rPr>
              <w:t>Barème des quotes-parts de l</w:t>
            </w:r>
            <w:r w:rsidR="00CA4DAC">
              <w:rPr>
                <w:i/>
                <w:iCs/>
                <w:sz w:val="18"/>
                <w:szCs w:val="18"/>
              </w:rPr>
              <w:t>’</w:t>
            </w:r>
            <w:r w:rsidRPr="002A2EA6">
              <w:rPr>
                <w:i/>
                <w:iCs/>
                <w:sz w:val="18"/>
                <w:szCs w:val="18"/>
              </w:rPr>
              <w:t>ONU (%)</w:t>
            </w:r>
          </w:p>
        </w:tc>
        <w:tc>
          <w:tcPr>
            <w:tcW w:w="1984" w:type="dxa"/>
            <w:tcBorders>
              <w:top w:val="single" w:sz="4" w:space="0" w:color="000000"/>
              <w:left w:val="nil"/>
              <w:bottom w:val="single" w:sz="12" w:space="0" w:color="000000"/>
              <w:right w:val="nil"/>
            </w:tcBorders>
            <w:shd w:val="clear" w:color="auto" w:fill="auto"/>
          </w:tcPr>
          <w:p w14:paraId="60717CA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i/>
                <w:iCs/>
                <w:sz w:val="18"/>
                <w:szCs w:val="18"/>
                <w:highlight w:val="yellow"/>
              </w:rPr>
            </w:pPr>
            <w:r w:rsidRPr="002A2EA6">
              <w:rPr>
                <w:i/>
                <w:iCs/>
                <w:sz w:val="18"/>
                <w:szCs w:val="18"/>
              </w:rPr>
              <w:t>Barème de Minamata (maximum 22 % ; minimum 0,010 %)</w:t>
            </w:r>
          </w:p>
        </w:tc>
        <w:tc>
          <w:tcPr>
            <w:tcW w:w="1985" w:type="dxa"/>
            <w:tcBorders>
              <w:top w:val="single" w:sz="4" w:space="0" w:color="000000"/>
              <w:left w:val="nil"/>
              <w:bottom w:val="single" w:sz="12" w:space="0" w:color="000000"/>
              <w:right w:val="nil"/>
            </w:tcBorders>
            <w:shd w:val="clear" w:color="auto" w:fill="auto"/>
          </w:tcPr>
          <w:p w14:paraId="7CC73860" w14:textId="6E696C5B"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i/>
                <w:iCs/>
                <w:sz w:val="18"/>
                <w:szCs w:val="18"/>
                <w:highlight w:val="yellow"/>
              </w:rPr>
            </w:pPr>
            <w:r w:rsidRPr="002A2EA6">
              <w:rPr>
                <w:i/>
                <w:iCs/>
                <w:sz w:val="18"/>
                <w:szCs w:val="18"/>
              </w:rPr>
              <w:t>Montant total des </w:t>
            </w:r>
            <w:r w:rsidRPr="002A2EA6">
              <w:rPr>
                <w:rFonts w:eastAsia="SimSun"/>
                <w:i/>
                <w:iCs/>
                <w:sz w:val="18"/>
                <w:szCs w:val="18"/>
              </w:rPr>
              <w:t>contributions (</w:t>
            </w:r>
            <w:r w:rsidR="00F20074">
              <w:rPr>
                <w:rFonts w:eastAsia="SimSun"/>
                <w:i/>
                <w:iCs/>
                <w:sz w:val="18"/>
                <w:szCs w:val="18"/>
              </w:rPr>
              <w:t>2020–2021</w:t>
            </w:r>
            <w:r w:rsidRPr="002A2EA6">
              <w:rPr>
                <w:rFonts w:eastAsia="SimSun"/>
                <w:i/>
                <w:iCs/>
                <w:sz w:val="18"/>
                <w:szCs w:val="18"/>
              </w:rPr>
              <w:t>)</w:t>
            </w:r>
          </w:p>
        </w:tc>
      </w:tr>
      <w:tr w:rsidR="002A2EA6" w:rsidRPr="002A2EA6" w14:paraId="3FE2F8CC" w14:textId="77777777" w:rsidTr="00A54D8B">
        <w:trPr>
          <w:trHeight w:val="57"/>
          <w:jc w:val="right"/>
        </w:trPr>
        <w:tc>
          <w:tcPr>
            <w:tcW w:w="3261" w:type="dxa"/>
            <w:gridSpan w:val="2"/>
            <w:tcBorders>
              <w:top w:val="single" w:sz="12" w:space="0" w:color="000000"/>
              <w:left w:val="nil"/>
              <w:right w:val="nil"/>
            </w:tcBorders>
            <w:shd w:val="clear" w:color="auto" w:fill="auto"/>
          </w:tcPr>
          <w:p w14:paraId="5A2CD7F0" w14:textId="3F223DFD"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420" w:name="_DV_C1950"/>
            <w:r w:rsidRPr="002A2EA6">
              <w:rPr>
                <w:rStyle w:val="DeltaViewInsertion"/>
                <w:rFonts w:eastAsia="SimSun"/>
                <w:b/>
                <w:color w:val="auto"/>
                <w:sz w:val="18"/>
                <w:szCs w:val="18"/>
                <w:u w:val="none"/>
              </w:rPr>
              <w:t>États d</w:t>
            </w:r>
            <w:r w:rsidR="00CA4DAC">
              <w:rPr>
                <w:rStyle w:val="DeltaViewInsertion"/>
                <w:rFonts w:eastAsia="SimSun"/>
                <w:b/>
                <w:color w:val="auto"/>
                <w:sz w:val="18"/>
                <w:szCs w:val="18"/>
                <w:u w:val="none"/>
              </w:rPr>
              <w:t>’</w:t>
            </w:r>
            <w:r w:rsidRPr="002A2EA6">
              <w:rPr>
                <w:rStyle w:val="DeltaViewInsertion"/>
                <w:rFonts w:eastAsia="SimSun"/>
                <w:b/>
                <w:color w:val="auto"/>
                <w:sz w:val="18"/>
                <w:szCs w:val="18"/>
                <w:u w:val="none"/>
              </w:rPr>
              <w:t>Afrique (32)</w:t>
            </w:r>
            <w:bookmarkEnd w:id="420"/>
          </w:p>
        </w:tc>
        <w:tc>
          <w:tcPr>
            <w:tcW w:w="1701" w:type="dxa"/>
            <w:tcBorders>
              <w:top w:val="single" w:sz="12" w:space="0" w:color="000000"/>
              <w:left w:val="nil"/>
              <w:right w:val="nil"/>
            </w:tcBorders>
            <w:shd w:val="clear" w:color="auto" w:fill="auto"/>
          </w:tcPr>
          <w:p w14:paraId="0565027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r w:rsidRPr="002A2EA6">
              <w:rPr>
                <w:rFonts w:eastAsia="SimSun"/>
                <w:b/>
                <w:sz w:val="18"/>
                <w:szCs w:val="18"/>
              </w:rPr>
              <w:t xml:space="preserve"> </w:t>
            </w:r>
          </w:p>
        </w:tc>
        <w:tc>
          <w:tcPr>
            <w:tcW w:w="1984" w:type="dxa"/>
            <w:tcBorders>
              <w:top w:val="single" w:sz="12" w:space="0" w:color="000000"/>
              <w:left w:val="nil"/>
              <w:right w:val="nil"/>
            </w:tcBorders>
            <w:shd w:val="clear" w:color="auto" w:fill="auto"/>
          </w:tcPr>
          <w:p w14:paraId="0F1B2A8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r w:rsidRPr="002A2EA6">
              <w:rPr>
                <w:rFonts w:eastAsia="SimSun"/>
                <w:b/>
                <w:sz w:val="18"/>
                <w:szCs w:val="18"/>
              </w:rPr>
              <w:t xml:space="preserve"> </w:t>
            </w:r>
          </w:p>
        </w:tc>
        <w:tc>
          <w:tcPr>
            <w:tcW w:w="1985" w:type="dxa"/>
            <w:tcBorders>
              <w:top w:val="single" w:sz="12" w:space="0" w:color="000000"/>
              <w:left w:val="nil"/>
              <w:right w:val="nil"/>
            </w:tcBorders>
            <w:shd w:val="clear" w:color="auto" w:fill="auto"/>
          </w:tcPr>
          <w:p w14:paraId="203C2EF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b/>
                <w:sz w:val="18"/>
                <w:szCs w:val="18"/>
              </w:rPr>
            </w:pPr>
            <w:r w:rsidRPr="002A2EA6">
              <w:rPr>
                <w:rFonts w:eastAsia="SimSun"/>
                <w:b/>
                <w:sz w:val="18"/>
                <w:szCs w:val="18"/>
              </w:rPr>
              <w:t xml:space="preserve"> </w:t>
            </w:r>
          </w:p>
        </w:tc>
      </w:tr>
      <w:tr w:rsidR="002A2EA6" w:rsidRPr="002A2EA6" w14:paraId="2D701054" w14:textId="77777777" w:rsidTr="00A54D8B">
        <w:trPr>
          <w:trHeight w:val="57"/>
          <w:jc w:val="right"/>
        </w:trPr>
        <w:tc>
          <w:tcPr>
            <w:tcW w:w="709" w:type="dxa"/>
            <w:tcBorders>
              <w:left w:val="nil"/>
              <w:bottom w:val="nil"/>
              <w:right w:val="nil"/>
            </w:tcBorders>
            <w:shd w:val="clear" w:color="auto" w:fill="auto"/>
          </w:tcPr>
          <w:p w14:paraId="016F8AF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21" w:name="_DV_C2091"/>
            <w:r w:rsidRPr="002A2EA6">
              <w:rPr>
                <w:rStyle w:val="DeltaViewInsertion"/>
                <w:rFonts w:eastAsia="SimSun"/>
                <w:color w:val="auto"/>
                <w:sz w:val="18"/>
                <w:szCs w:val="18"/>
                <w:u w:val="none"/>
              </w:rPr>
              <w:t>1</w:t>
            </w:r>
            <w:bookmarkEnd w:id="421"/>
          </w:p>
        </w:tc>
        <w:tc>
          <w:tcPr>
            <w:tcW w:w="2552" w:type="dxa"/>
            <w:tcBorders>
              <w:left w:val="nil"/>
              <w:bottom w:val="nil"/>
              <w:right w:val="nil"/>
            </w:tcBorders>
            <w:shd w:val="clear" w:color="auto" w:fill="auto"/>
          </w:tcPr>
          <w:p w14:paraId="2F3406C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A</w:t>
            </w:r>
            <w:r w:rsidRPr="002A2EA6">
              <w:rPr>
                <w:sz w:val="18"/>
                <w:szCs w:val="18"/>
              </w:rPr>
              <w:t>frique du Sud</w:t>
            </w:r>
          </w:p>
        </w:tc>
        <w:tc>
          <w:tcPr>
            <w:tcW w:w="1701" w:type="dxa"/>
            <w:tcBorders>
              <w:left w:val="nil"/>
              <w:bottom w:val="nil"/>
              <w:right w:val="nil"/>
            </w:tcBorders>
            <w:shd w:val="clear" w:color="auto" w:fill="auto"/>
          </w:tcPr>
          <w:p w14:paraId="79F56F6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22" w:name="_DV_C2093"/>
            <w:r w:rsidRPr="002A2EA6">
              <w:rPr>
                <w:rStyle w:val="DeltaViewInsertion"/>
                <w:rFonts w:eastAsia="SimSun"/>
                <w:color w:val="auto"/>
                <w:sz w:val="18"/>
                <w:szCs w:val="18"/>
                <w:u w:val="none"/>
              </w:rPr>
              <w:t>0,272</w:t>
            </w:r>
            <w:bookmarkEnd w:id="422"/>
          </w:p>
        </w:tc>
        <w:tc>
          <w:tcPr>
            <w:tcW w:w="1984" w:type="dxa"/>
            <w:tcBorders>
              <w:left w:val="nil"/>
              <w:bottom w:val="nil"/>
              <w:right w:val="nil"/>
            </w:tcBorders>
            <w:shd w:val="clear" w:color="auto" w:fill="auto"/>
          </w:tcPr>
          <w:p w14:paraId="57BF25E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23" w:name="_DV_C2094"/>
            <w:r w:rsidRPr="002A2EA6">
              <w:rPr>
                <w:rStyle w:val="DeltaViewInsertion"/>
                <w:rFonts w:eastAsia="SimSun"/>
                <w:color w:val="auto"/>
                <w:sz w:val="18"/>
                <w:szCs w:val="18"/>
                <w:u w:val="none"/>
              </w:rPr>
              <w:t>0,3333</w:t>
            </w:r>
            <w:bookmarkEnd w:id="423"/>
          </w:p>
        </w:tc>
        <w:tc>
          <w:tcPr>
            <w:tcW w:w="1985" w:type="dxa"/>
            <w:tcBorders>
              <w:left w:val="nil"/>
              <w:bottom w:val="nil"/>
              <w:right w:val="nil"/>
            </w:tcBorders>
            <w:shd w:val="clear" w:color="auto" w:fill="auto"/>
          </w:tcPr>
          <w:p w14:paraId="5B1E1DF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24" w:name="_DV_C2095"/>
            <w:r w:rsidRPr="002A2EA6">
              <w:rPr>
                <w:rStyle w:val="DeltaViewInsertion"/>
                <w:rFonts w:eastAsia="SimSun"/>
                <w:color w:val="auto"/>
                <w:sz w:val="18"/>
                <w:szCs w:val="18"/>
                <w:u w:val="none"/>
              </w:rPr>
              <w:t xml:space="preserve">21 541 </w:t>
            </w:r>
            <w:bookmarkEnd w:id="424"/>
          </w:p>
        </w:tc>
      </w:tr>
      <w:tr w:rsidR="002A2EA6" w:rsidRPr="002A2EA6" w14:paraId="2EB1BACD" w14:textId="77777777" w:rsidTr="00A54D8B">
        <w:trPr>
          <w:trHeight w:val="57"/>
          <w:jc w:val="right"/>
        </w:trPr>
        <w:tc>
          <w:tcPr>
            <w:tcW w:w="709" w:type="dxa"/>
            <w:tcBorders>
              <w:top w:val="nil"/>
              <w:left w:val="nil"/>
              <w:bottom w:val="nil"/>
              <w:right w:val="nil"/>
            </w:tcBorders>
            <w:shd w:val="clear" w:color="auto" w:fill="auto"/>
          </w:tcPr>
          <w:p w14:paraId="3F2F359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2</w:t>
            </w:r>
          </w:p>
        </w:tc>
        <w:tc>
          <w:tcPr>
            <w:tcW w:w="2552" w:type="dxa"/>
            <w:tcBorders>
              <w:top w:val="nil"/>
              <w:left w:val="nil"/>
              <w:bottom w:val="nil"/>
              <w:right w:val="nil"/>
            </w:tcBorders>
            <w:shd w:val="clear" w:color="auto" w:fill="auto"/>
          </w:tcPr>
          <w:p w14:paraId="1126C75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25" w:name="_DV_C1952"/>
            <w:r w:rsidRPr="002A2EA6">
              <w:rPr>
                <w:rStyle w:val="DeltaViewInsertion"/>
                <w:rFonts w:eastAsia="SimSun"/>
                <w:color w:val="auto"/>
                <w:sz w:val="18"/>
                <w:szCs w:val="18"/>
                <w:u w:val="none"/>
              </w:rPr>
              <w:t>Bénin</w:t>
            </w:r>
            <w:bookmarkEnd w:id="425"/>
          </w:p>
        </w:tc>
        <w:tc>
          <w:tcPr>
            <w:tcW w:w="1701" w:type="dxa"/>
            <w:tcBorders>
              <w:top w:val="nil"/>
              <w:left w:val="nil"/>
              <w:bottom w:val="nil"/>
              <w:right w:val="nil"/>
            </w:tcBorders>
            <w:shd w:val="clear" w:color="auto" w:fill="auto"/>
          </w:tcPr>
          <w:p w14:paraId="17BAB31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26" w:name="_DV_C1953"/>
            <w:r w:rsidRPr="002A2EA6">
              <w:rPr>
                <w:rStyle w:val="DeltaViewInsertion"/>
                <w:rFonts w:eastAsia="SimSun"/>
                <w:color w:val="auto"/>
                <w:sz w:val="18"/>
                <w:szCs w:val="18"/>
                <w:u w:val="none"/>
              </w:rPr>
              <w:t>0,003</w:t>
            </w:r>
            <w:bookmarkEnd w:id="426"/>
          </w:p>
        </w:tc>
        <w:tc>
          <w:tcPr>
            <w:tcW w:w="1984" w:type="dxa"/>
            <w:tcBorders>
              <w:top w:val="nil"/>
              <w:left w:val="nil"/>
              <w:bottom w:val="nil"/>
              <w:right w:val="nil"/>
            </w:tcBorders>
            <w:shd w:val="clear" w:color="auto" w:fill="auto"/>
          </w:tcPr>
          <w:p w14:paraId="7074782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27" w:name="_DV_C1954"/>
            <w:r w:rsidRPr="002A2EA6">
              <w:rPr>
                <w:rStyle w:val="DeltaViewInsertion"/>
                <w:rFonts w:eastAsia="SimSun"/>
                <w:color w:val="auto"/>
                <w:sz w:val="18"/>
                <w:szCs w:val="18"/>
                <w:u w:val="none"/>
              </w:rPr>
              <w:t>0,0100</w:t>
            </w:r>
            <w:bookmarkEnd w:id="427"/>
          </w:p>
        </w:tc>
        <w:tc>
          <w:tcPr>
            <w:tcW w:w="1985" w:type="dxa"/>
            <w:tcBorders>
              <w:top w:val="nil"/>
              <w:left w:val="nil"/>
              <w:bottom w:val="nil"/>
              <w:right w:val="nil"/>
            </w:tcBorders>
            <w:shd w:val="clear" w:color="auto" w:fill="auto"/>
          </w:tcPr>
          <w:p w14:paraId="3F3350D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28" w:name="_DV_C1955"/>
            <w:r w:rsidRPr="002A2EA6">
              <w:rPr>
                <w:rStyle w:val="DeltaViewInsertion"/>
                <w:rFonts w:eastAsia="SimSun"/>
                <w:color w:val="auto"/>
                <w:sz w:val="18"/>
                <w:szCs w:val="18"/>
                <w:u w:val="none"/>
              </w:rPr>
              <w:t xml:space="preserve">646 </w:t>
            </w:r>
            <w:bookmarkEnd w:id="428"/>
          </w:p>
        </w:tc>
      </w:tr>
      <w:tr w:rsidR="002A2EA6" w:rsidRPr="002A2EA6" w14:paraId="7215842C" w14:textId="77777777" w:rsidTr="00A54D8B">
        <w:trPr>
          <w:trHeight w:val="57"/>
          <w:jc w:val="right"/>
        </w:trPr>
        <w:tc>
          <w:tcPr>
            <w:tcW w:w="709" w:type="dxa"/>
            <w:tcBorders>
              <w:top w:val="nil"/>
              <w:left w:val="nil"/>
              <w:bottom w:val="nil"/>
              <w:right w:val="nil"/>
            </w:tcBorders>
            <w:shd w:val="clear" w:color="auto" w:fill="auto"/>
          </w:tcPr>
          <w:p w14:paraId="73580AC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p>
        </w:tc>
        <w:tc>
          <w:tcPr>
            <w:tcW w:w="2552" w:type="dxa"/>
            <w:tcBorders>
              <w:top w:val="nil"/>
              <w:left w:val="nil"/>
              <w:bottom w:val="nil"/>
              <w:right w:val="nil"/>
            </w:tcBorders>
            <w:shd w:val="clear" w:color="auto" w:fill="auto"/>
          </w:tcPr>
          <w:p w14:paraId="13A1AED6"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29" w:name="_DV_C1957"/>
            <w:r w:rsidRPr="002A2EA6">
              <w:rPr>
                <w:rStyle w:val="DeltaViewInsertion"/>
                <w:rFonts w:eastAsia="SimSun"/>
                <w:color w:val="auto"/>
                <w:sz w:val="18"/>
                <w:szCs w:val="18"/>
                <w:u w:val="none"/>
              </w:rPr>
              <w:t>Botswana</w:t>
            </w:r>
            <w:bookmarkEnd w:id="429"/>
          </w:p>
        </w:tc>
        <w:tc>
          <w:tcPr>
            <w:tcW w:w="1701" w:type="dxa"/>
            <w:tcBorders>
              <w:top w:val="nil"/>
              <w:left w:val="nil"/>
              <w:bottom w:val="nil"/>
              <w:right w:val="nil"/>
            </w:tcBorders>
            <w:shd w:val="clear" w:color="auto" w:fill="auto"/>
          </w:tcPr>
          <w:p w14:paraId="3CBD130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0" w:name="_DV_C1958"/>
            <w:r w:rsidRPr="002A2EA6">
              <w:rPr>
                <w:rStyle w:val="DeltaViewInsertion"/>
                <w:rFonts w:eastAsia="SimSun"/>
                <w:color w:val="auto"/>
                <w:sz w:val="18"/>
                <w:szCs w:val="18"/>
                <w:u w:val="none"/>
              </w:rPr>
              <w:t>0,014</w:t>
            </w:r>
            <w:bookmarkEnd w:id="430"/>
          </w:p>
        </w:tc>
        <w:tc>
          <w:tcPr>
            <w:tcW w:w="1984" w:type="dxa"/>
            <w:tcBorders>
              <w:top w:val="nil"/>
              <w:left w:val="nil"/>
              <w:bottom w:val="nil"/>
              <w:right w:val="nil"/>
            </w:tcBorders>
            <w:shd w:val="clear" w:color="auto" w:fill="auto"/>
          </w:tcPr>
          <w:p w14:paraId="3C907BE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1" w:name="_DV_C1959"/>
            <w:r w:rsidRPr="002A2EA6">
              <w:rPr>
                <w:rStyle w:val="DeltaViewInsertion"/>
                <w:rFonts w:eastAsia="SimSun"/>
                <w:color w:val="auto"/>
                <w:sz w:val="18"/>
                <w:szCs w:val="18"/>
                <w:u w:val="none"/>
              </w:rPr>
              <w:t>0,0172</w:t>
            </w:r>
            <w:bookmarkEnd w:id="431"/>
          </w:p>
        </w:tc>
        <w:tc>
          <w:tcPr>
            <w:tcW w:w="1985" w:type="dxa"/>
            <w:tcBorders>
              <w:top w:val="nil"/>
              <w:left w:val="nil"/>
              <w:bottom w:val="nil"/>
              <w:right w:val="nil"/>
            </w:tcBorders>
            <w:shd w:val="clear" w:color="auto" w:fill="auto"/>
          </w:tcPr>
          <w:p w14:paraId="0DEDAD1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2" w:name="_DV_C1960"/>
            <w:r w:rsidRPr="002A2EA6">
              <w:rPr>
                <w:rStyle w:val="DeltaViewInsertion"/>
                <w:rFonts w:eastAsia="SimSun"/>
                <w:color w:val="auto"/>
                <w:sz w:val="18"/>
                <w:szCs w:val="18"/>
                <w:u w:val="none"/>
              </w:rPr>
              <w:t xml:space="preserve">1 109 </w:t>
            </w:r>
            <w:bookmarkEnd w:id="432"/>
          </w:p>
        </w:tc>
      </w:tr>
      <w:tr w:rsidR="002A2EA6" w:rsidRPr="002A2EA6" w14:paraId="4A9F1592" w14:textId="77777777" w:rsidTr="00A54D8B">
        <w:trPr>
          <w:trHeight w:val="57"/>
          <w:jc w:val="right"/>
        </w:trPr>
        <w:tc>
          <w:tcPr>
            <w:tcW w:w="709" w:type="dxa"/>
            <w:tcBorders>
              <w:top w:val="nil"/>
              <w:left w:val="nil"/>
              <w:bottom w:val="nil"/>
              <w:right w:val="nil"/>
            </w:tcBorders>
            <w:shd w:val="clear" w:color="auto" w:fill="auto"/>
          </w:tcPr>
          <w:p w14:paraId="3E7C76C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p>
        </w:tc>
        <w:tc>
          <w:tcPr>
            <w:tcW w:w="2552" w:type="dxa"/>
            <w:tcBorders>
              <w:top w:val="nil"/>
              <w:left w:val="nil"/>
              <w:bottom w:val="nil"/>
              <w:right w:val="nil"/>
            </w:tcBorders>
            <w:shd w:val="clear" w:color="auto" w:fill="auto"/>
          </w:tcPr>
          <w:p w14:paraId="47E4C42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33" w:name="_DV_C1962"/>
            <w:r w:rsidRPr="002A2EA6">
              <w:rPr>
                <w:rStyle w:val="DeltaViewInsertion"/>
                <w:rFonts w:eastAsia="SimSun"/>
                <w:color w:val="auto"/>
                <w:sz w:val="18"/>
                <w:szCs w:val="18"/>
                <w:u w:val="none"/>
              </w:rPr>
              <w:t>Burkina Faso</w:t>
            </w:r>
            <w:bookmarkEnd w:id="433"/>
          </w:p>
        </w:tc>
        <w:tc>
          <w:tcPr>
            <w:tcW w:w="1701" w:type="dxa"/>
            <w:tcBorders>
              <w:top w:val="nil"/>
              <w:left w:val="nil"/>
              <w:bottom w:val="nil"/>
              <w:right w:val="nil"/>
            </w:tcBorders>
            <w:shd w:val="clear" w:color="auto" w:fill="auto"/>
          </w:tcPr>
          <w:p w14:paraId="2E46A1B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4" w:name="_DV_C1963"/>
            <w:r w:rsidRPr="002A2EA6">
              <w:rPr>
                <w:rStyle w:val="DeltaViewInsertion"/>
                <w:rFonts w:eastAsia="SimSun"/>
                <w:color w:val="auto"/>
                <w:sz w:val="18"/>
                <w:szCs w:val="18"/>
                <w:u w:val="none"/>
              </w:rPr>
              <w:t>0,003</w:t>
            </w:r>
            <w:bookmarkEnd w:id="434"/>
          </w:p>
        </w:tc>
        <w:tc>
          <w:tcPr>
            <w:tcW w:w="1984" w:type="dxa"/>
            <w:tcBorders>
              <w:top w:val="nil"/>
              <w:left w:val="nil"/>
              <w:bottom w:val="nil"/>
              <w:right w:val="nil"/>
            </w:tcBorders>
            <w:shd w:val="clear" w:color="auto" w:fill="auto"/>
          </w:tcPr>
          <w:p w14:paraId="66B6486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5" w:name="_DV_C1964"/>
            <w:r w:rsidRPr="002A2EA6">
              <w:rPr>
                <w:rStyle w:val="DeltaViewInsertion"/>
                <w:rFonts w:eastAsia="SimSun"/>
                <w:color w:val="auto"/>
                <w:sz w:val="18"/>
                <w:szCs w:val="18"/>
                <w:u w:val="none"/>
              </w:rPr>
              <w:t>0,0100</w:t>
            </w:r>
            <w:bookmarkEnd w:id="435"/>
          </w:p>
        </w:tc>
        <w:tc>
          <w:tcPr>
            <w:tcW w:w="1985" w:type="dxa"/>
            <w:tcBorders>
              <w:top w:val="nil"/>
              <w:left w:val="nil"/>
              <w:bottom w:val="nil"/>
              <w:right w:val="nil"/>
            </w:tcBorders>
            <w:shd w:val="clear" w:color="auto" w:fill="auto"/>
          </w:tcPr>
          <w:p w14:paraId="7A05C68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6" w:name="_DV_C1965"/>
            <w:r w:rsidRPr="002A2EA6">
              <w:rPr>
                <w:rStyle w:val="DeltaViewInsertion"/>
                <w:rFonts w:eastAsia="SimSun"/>
                <w:color w:val="auto"/>
                <w:sz w:val="18"/>
                <w:szCs w:val="18"/>
                <w:u w:val="none"/>
              </w:rPr>
              <w:t xml:space="preserve">646 </w:t>
            </w:r>
            <w:bookmarkEnd w:id="436"/>
          </w:p>
        </w:tc>
      </w:tr>
      <w:tr w:rsidR="002A2EA6" w:rsidRPr="002A2EA6" w14:paraId="4690E976" w14:textId="77777777" w:rsidTr="00A54D8B">
        <w:trPr>
          <w:trHeight w:val="57"/>
          <w:jc w:val="right"/>
        </w:trPr>
        <w:tc>
          <w:tcPr>
            <w:tcW w:w="709" w:type="dxa"/>
            <w:tcBorders>
              <w:top w:val="nil"/>
              <w:left w:val="nil"/>
              <w:bottom w:val="nil"/>
              <w:right w:val="nil"/>
            </w:tcBorders>
            <w:shd w:val="clear" w:color="auto" w:fill="auto"/>
          </w:tcPr>
          <w:p w14:paraId="540B4FB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37" w:name="_DV_C1971"/>
            <w:r w:rsidRPr="002A2EA6">
              <w:rPr>
                <w:rStyle w:val="DeltaViewInsertion"/>
                <w:rFonts w:eastAsia="SimSun"/>
                <w:color w:val="auto"/>
                <w:sz w:val="18"/>
                <w:szCs w:val="18"/>
                <w:u w:val="none"/>
              </w:rPr>
              <w:t>5</w:t>
            </w:r>
            <w:bookmarkEnd w:id="437"/>
          </w:p>
        </w:tc>
        <w:tc>
          <w:tcPr>
            <w:tcW w:w="2552" w:type="dxa"/>
            <w:tcBorders>
              <w:top w:val="nil"/>
              <w:left w:val="nil"/>
              <w:bottom w:val="nil"/>
              <w:right w:val="nil"/>
            </w:tcBorders>
            <w:shd w:val="clear" w:color="auto" w:fill="auto"/>
          </w:tcPr>
          <w:p w14:paraId="50FEED5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38" w:name="_DV_C1972"/>
            <w:r w:rsidRPr="002A2EA6">
              <w:rPr>
                <w:rStyle w:val="DeltaViewInsertion"/>
                <w:rFonts w:eastAsia="SimSun"/>
                <w:color w:val="auto"/>
                <w:sz w:val="18"/>
                <w:szCs w:val="18"/>
                <w:u w:val="none"/>
              </w:rPr>
              <w:t>Comores</w:t>
            </w:r>
            <w:bookmarkEnd w:id="438"/>
          </w:p>
        </w:tc>
        <w:tc>
          <w:tcPr>
            <w:tcW w:w="1701" w:type="dxa"/>
            <w:tcBorders>
              <w:top w:val="nil"/>
              <w:left w:val="nil"/>
              <w:bottom w:val="nil"/>
              <w:right w:val="nil"/>
            </w:tcBorders>
            <w:shd w:val="clear" w:color="auto" w:fill="auto"/>
          </w:tcPr>
          <w:p w14:paraId="5EE4CB3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39" w:name="_DV_C1973"/>
            <w:r w:rsidRPr="002A2EA6">
              <w:rPr>
                <w:rStyle w:val="DeltaViewInsertion"/>
                <w:rFonts w:eastAsia="SimSun"/>
                <w:color w:val="auto"/>
                <w:sz w:val="18"/>
                <w:szCs w:val="18"/>
                <w:u w:val="none"/>
              </w:rPr>
              <w:t>0,001</w:t>
            </w:r>
            <w:bookmarkEnd w:id="439"/>
          </w:p>
        </w:tc>
        <w:tc>
          <w:tcPr>
            <w:tcW w:w="1984" w:type="dxa"/>
            <w:tcBorders>
              <w:top w:val="nil"/>
              <w:left w:val="nil"/>
              <w:bottom w:val="nil"/>
              <w:right w:val="nil"/>
            </w:tcBorders>
            <w:shd w:val="clear" w:color="auto" w:fill="auto"/>
          </w:tcPr>
          <w:p w14:paraId="0A560E2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40" w:name="_DV_C1974"/>
            <w:r w:rsidRPr="002A2EA6">
              <w:rPr>
                <w:rStyle w:val="DeltaViewInsertion"/>
                <w:rFonts w:eastAsia="SimSun"/>
                <w:color w:val="auto"/>
                <w:sz w:val="18"/>
                <w:szCs w:val="18"/>
                <w:u w:val="none"/>
              </w:rPr>
              <w:t>0,0100</w:t>
            </w:r>
            <w:bookmarkEnd w:id="440"/>
          </w:p>
        </w:tc>
        <w:tc>
          <w:tcPr>
            <w:tcW w:w="1985" w:type="dxa"/>
            <w:tcBorders>
              <w:top w:val="nil"/>
              <w:left w:val="nil"/>
              <w:bottom w:val="nil"/>
              <w:right w:val="nil"/>
            </w:tcBorders>
            <w:shd w:val="clear" w:color="auto" w:fill="auto"/>
          </w:tcPr>
          <w:p w14:paraId="22698E9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41" w:name="_DV_C1975"/>
            <w:r w:rsidRPr="002A2EA6">
              <w:rPr>
                <w:rStyle w:val="DeltaViewInsertion"/>
                <w:rFonts w:eastAsia="SimSun"/>
                <w:color w:val="auto"/>
                <w:sz w:val="18"/>
                <w:szCs w:val="18"/>
                <w:u w:val="none"/>
              </w:rPr>
              <w:t xml:space="preserve">646 </w:t>
            </w:r>
            <w:bookmarkEnd w:id="441"/>
          </w:p>
        </w:tc>
      </w:tr>
      <w:tr w:rsidR="002A2EA6" w:rsidRPr="002A2EA6" w14:paraId="0B6EC87A" w14:textId="77777777" w:rsidTr="00A54D8B">
        <w:trPr>
          <w:trHeight w:val="57"/>
          <w:jc w:val="right"/>
        </w:trPr>
        <w:tc>
          <w:tcPr>
            <w:tcW w:w="709" w:type="dxa"/>
            <w:tcBorders>
              <w:top w:val="nil"/>
              <w:left w:val="nil"/>
              <w:bottom w:val="nil"/>
              <w:right w:val="nil"/>
            </w:tcBorders>
            <w:shd w:val="clear" w:color="auto" w:fill="auto"/>
          </w:tcPr>
          <w:p w14:paraId="4059383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42" w:name="_DV_C1976"/>
            <w:r w:rsidRPr="002A2EA6">
              <w:rPr>
                <w:rStyle w:val="DeltaViewInsertion"/>
                <w:rFonts w:eastAsia="SimSun"/>
                <w:color w:val="auto"/>
                <w:sz w:val="18"/>
                <w:szCs w:val="18"/>
                <w:u w:val="none"/>
              </w:rPr>
              <w:t>6</w:t>
            </w:r>
            <w:bookmarkEnd w:id="442"/>
          </w:p>
        </w:tc>
        <w:tc>
          <w:tcPr>
            <w:tcW w:w="2552" w:type="dxa"/>
            <w:tcBorders>
              <w:top w:val="nil"/>
              <w:left w:val="nil"/>
              <w:bottom w:val="nil"/>
              <w:right w:val="nil"/>
            </w:tcBorders>
            <w:shd w:val="clear" w:color="auto" w:fill="auto"/>
          </w:tcPr>
          <w:p w14:paraId="39CDB85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43" w:name="_DV_C1977"/>
            <w:r w:rsidRPr="002A2EA6">
              <w:rPr>
                <w:rStyle w:val="DeltaViewInsertion"/>
                <w:rFonts w:eastAsia="SimSun"/>
                <w:color w:val="auto"/>
                <w:sz w:val="18"/>
                <w:szCs w:val="18"/>
                <w:u w:val="none"/>
              </w:rPr>
              <w:t xml:space="preserve">Congo </w:t>
            </w:r>
            <w:bookmarkEnd w:id="443"/>
          </w:p>
        </w:tc>
        <w:tc>
          <w:tcPr>
            <w:tcW w:w="1701" w:type="dxa"/>
            <w:tcBorders>
              <w:top w:val="nil"/>
              <w:left w:val="nil"/>
              <w:bottom w:val="nil"/>
              <w:right w:val="nil"/>
            </w:tcBorders>
            <w:shd w:val="clear" w:color="auto" w:fill="auto"/>
          </w:tcPr>
          <w:p w14:paraId="2424F9A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44" w:name="_DV_C1978"/>
            <w:r w:rsidRPr="002A2EA6">
              <w:rPr>
                <w:rStyle w:val="DeltaViewInsertion"/>
                <w:rFonts w:eastAsia="SimSun"/>
                <w:color w:val="auto"/>
                <w:sz w:val="18"/>
                <w:szCs w:val="18"/>
                <w:u w:val="none"/>
              </w:rPr>
              <w:t>0,006</w:t>
            </w:r>
            <w:bookmarkEnd w:id="444"/>
          </w:p>
        </w:tc>
        <w:tc>
          <w:tcPr>
            <w:tcW w:w="1984" w:type="dxa"/>
            <w:tcBorders>
              <w:top w:val="nil"/>
              <w:left w:val="nil"/>
              <w:bottom w:val="nil"/>
              <w:right w:val="nil"/>
            </w:tcBorders>
            <w:shd w:val="clear" w:color="auto" w:fill="auto"/>
          </w:tcPr>
          <w:p w14:paraId="398B648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45" w:name="_DV_C1979"/>
            <w:r w:rsidRPr="002A2EA6">
              <w:rPr>
                <w:rStyle w:val="DeltaViewInsertion"/>
                <w:rFonts w:eastAsia="SimSun"/>
                <w:color w:val="auto"/>
                <w:sz w:val="18"/>
                <w:szCs w:val="18"/>
                <w:u w:val="none"/>
              </w:rPr>
              <w:t>0,0100</w:t>
            </w:r>
            <w:bookmarkEnd w:id="445"/>
          </w:p>
        </w:tc>
        <w:tc>
          <w:tcPr>
            <w:tcW w:w="1985" w:type="dxa"/>
            <w:tcBorders>
              <w:top w:val="nil"/>
              <w:left w:val="nil"/>
              <w:bottom w:val="nil"/>
              <w:right w:val="nil"/>
            </w:tcBorders>
            <w:shd w:val="clear" w:color="auto" w:fill="auto"/>
          </w:tcPr>
          <w:p w14:paraId="339C3A2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46" w:name="_DV_C1980"/>
            <w:r w:rsidRPr="002A2EA6">
              <w:rPr>
                <w:rStyle w:val="DeltaViewInsertion"/>
                <w:rFonts w:eastAsia="SimSun"/>
                <w:color w:val="auto"/>
                <w:sz w:val="18"/>
                <w:szCs w:val="18"/>
                <w:u w:val="none"/>
              </w:rPr>
              <w:t xml:space="preserve">646 </w:t>
            </w:r>
            <w:bookmarkEnd w:id="446"/>
          </w:p>
        </w:tc>
      </w:tr>
      <w:tr w:rsidR="002A2EA6" w:rsidRPr="002A2EA6" w14:paraId="06ED05EF" w14:textId="77777777" w:rsidTr="00A54D8B">
        <w:trPr>
          <w:trHeight w:val="57"/>
          <w:jc w:val="right"/>
        </w:trPr>
        <w:tc>
          <w:tcPr>
            <w:tcW w:w="709" w:type="dxa"/>
            <w:tcBorders>
              <w:top w:val="nil"/>
              <w:left w:val="nil"/>
              <w:bottom w:val="nil"/>
              <w:right w:val="nil"/>
            </w:tcBorders>
            <w:shd w:val="clear" w:color="auto" w:fill="auto"/>
          </w:tcPr>
          <w:p w14:paraId="340DA48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47" w:name="_DV_C1981"/>
            <w:r w:rsidRPr="002A2EA6">
              <w:rPr>
                <w:rStyle w:val="DeltaViewInsertion"/>
                <w:rFonts w:eastAsia="SimSun"/>
                <w:color w:val="auto"/>
                <w:sz w:val="18"/>
                <w:szCs w:val="18"/>
                <w:u w:val="none"/>
              </w:rPr>
              <w:t>7</w:t>
            </w:r>
            <w:bookmarkEnd w:id="447"/>
          </w:p>
        </w:tc>
        <w:tc>
          <w:tcPr>
            <w:tcW w:w="2552" w:type="dxa"/>
            <w:tcBorders>
              <w:top w:val="nil"/>
              <w:left w:val="nil"/>
              <w:bottom w:val="nil"/>
              <w:right w:val="nil"/>
            </w:tcBorders>
            <w:shd w:val="clear" w:color="auto" w:fill="auto"/>
          </w:tcPr>
          <w:p w14:paraId="0A6E597E" w14:textId="35C785C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48" w:name="_DV_C1982"/>
            <w:r w:rsidRPr="002A2EA6">
              <w:rPr>
                <w:rStyle w:val="DeltaViewInsertion"/>
                <w:rFonts w:eastAsia="SimSun"/>
                <w:color w:val="auto"/>
                <w:sz w:val="18"/>
                <w:szCs w:val="18"/>
                <w:u w:val="none"/>
              </w:rPr>
              <w:t>Côte d</w:t>
            </w:r>
            <w:r w:rsidR="00CA4DAC">
              <w:rPr>
                <w:rStyle w:val="DeltaViewInsertion"/>
                <w:rFonts w:eastAsia="SimSun"/>
                <w:color w:val="auto"/>
                <w:sz w:val="18"/>
                <w:szCs w:val="18"/>
                <w:u w:val="none"/>
              </w:rPr>
              <w:t>’</w:t>
            </w:r>
            <w:r w:rsidRPr="002A2EA6">
              <w:rPr>
                <w:rStyle w:val="DeltaViewInsertion"/>
                <w:rFonts w:eastAsia="SimSun"/>
                <w:color w:val="auto"/>
                <w:sz w:val="18"/>
                <w:szCs w:val="18"/>
                <w:u w:val="none"/>
              </w:rPr>
              <w:t>Ivoire</w:t>
            </w:r>
            <w:bookmarkEnd w:id="448"/>
          </w:p>
        </w:tc>
        <w:tc>
          <w:tcPr>
            <w:tcW w:w="1701" w:type="dxa"/>
            <w:tcBorders>
              <w:top w:val="nil"/>
              <w:left w:val="nil"/>
              <w:bottom w:val="nil"/>
              <w:right w:val="nil"/>
            </w:tcBorders>
            <w:shd w:val="clear" w:color="auto" w:fill="auto"/>
          </w:tcPr>
          <w:p w14:paraId="466BE6F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49" w:name="_DV_C1983"/>
            <w:r w:rsidRPr="002A2EA6">
              <w:rPr>
                <w:rStyle w:val="DeltaViewInsertion"/>
                <w:rFonts w:eastAsia="SimSun"/>
                <w:color w:val="auto"/>
                <w:sz w:val="18"/>
                <w:szCs w:val="18"/>
                <w:u w:val="none"/>
              </w:rPr>
              <w:t>0,013</w:t>
            </w:r>
            <w:bookmarkEnd w:id="449"/>
          </w:p>
        </w:tc>
        <w:tc>
          <w:tcPr>
            <w:tcW w:w="1984" w:type="dxa"/>
            <w:tcBorders>
              <w:top w:val="nil"/>
              <w:left w:val="nil"/>
              <w:bottom w:val="nil"/>
              <w:right w:val="nil"/>
            </w:tcBorders>
            <w:shd w:val="clear" w:color="auto" w:fill="auto"/>
          </w:tcPr>
          <w:p w14:paraId="3487F09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0" w:name="_DV_C1984"/>
            <w:r w:rsidRPr="002A2EA6">
              <w:rPr>
                <w:rStyle w:val="DeltaViewInsertion"/>
                <w:rFonts w:eastAsia="SimSun"/>
                <w:color w:val="auto"/>
                <w:sz w:val="18"/>
                <w:szCs w:val="18"/>
                <w:u w:val="none"/>
              </w:rPr>
              <w:t>0,0159</w:t>
            </w:r>
            <w:bookmarkEnd w:id="450"/>
          </w:p>
        </w:tc>
        <w:tc>
          <w:tcPr>
            <w:tcW w:w="1985" w:type="dxa"/>
            <w:tcBorders>
              <w:top w:val="nil"/>
              <w:left w:val="nil"/>
              <w:bottom w:val="nil"/>
              <w:right w:val="nil"/>
            </w:tcBorders>
            <w:shd w:val="clear" w:color="auto" w:fill="auto"/>
          </w:tcPr>
          <w:p w14:paraId="5E2685E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1" w:name="_DV_C1985"/>
            <w:r w:rsidRPr="002A2EA6">
              <w:rPr>
                <w:rStyle w:val="DeltaViewInsertion"/>
                <w:rFonts w:eastAsia="SimSun"/>
                <w:color w:val="auto"/>
                <w:sz w:val="18"/>
                <w:szCs w:val="18"/>
                <w:u w:val="none"/>
              </w:rPr>
              <w:t xml:space="preserve">1 030 </w:t>
            </w:r>
            <w:bookmarkEnd w:id="451"/>
          </w:p>
        </w:tc>
      </w:tr>
      <w:tr w:rsidR="002A2EA6" w:rsidRPr="002A2EA6" w14:paraId="7ADE9101" w14:textId="77777777" w:rsidTr="00A54D8B">
        <w:trPr>
          <w:trHeight w:val="57"/>
          <w:jc w:val="right"/>
        </w:trPr>
        <w:tc>
          <w:tcPr>
            <w:tcW w:w="709" w:type="dxa"/>
            <w:tcBorders>
              <w:top w:val="nil"/>
              <w:left w:val="nil"/>
              <w:bottom w:val="nil"/>
              <w:right w:val="nil"/>
            </w:tcBorders>
            <w:shd w:val="clear" w:color="auto" w:fill="auto"/>
          </w:tcPr>
          <w:p w14:paraId="4E0948B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52" w:name="_DV_C1986"/>
            <w:r w:rsidRPr="002A2EA6">
              <w:rPr>
                <w:rStyle w:val="DeltaViewInsertion"/>
                <w:rFonts w:eastAsia="SimSun"/>
                <w:color w:val="auto"/>
                <w:sz w:val="18"/>
                <w:szCs w:val="18"/>
                <w:u w:val="none"/>
              </w:rPr>
              <w:t>8</w:t>
            </w:r>
            <w:bookmarkEnd w:id="452"/>
          </w:p>
        </w:tc>
        <w:tc>
          <w:tcPr>
            <w:tcW w:w="2552" w:type="dxa"/>
            <w:tcBorders>
              <w:top w:val="nil"/>
              <w:left w:val="nil"/>
              <w:bottom w:val="nil"/>
              <w:right w:val="nil"/>
            </w:tcBorders>
            <w:shd w:val="clear" w:color="auto" w:fill="auto"/>
          </w:tcPr>
          <w:p w14:paraId="5537525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53" w:name="_DV_C1987"/>
            <w:r w:rsidRPr="002A2EA6">
              <w:rPr>
                <w:rStyle w:val="DeltaViewInsertion"/>
                <w:rFonts w:eastAsia="SimSun"/>
                <w:color w:val="auto"/>
                <w:sz w:val="18"/>
                <w:szCs w:val="18"/>
                <w:u w:val="none"/>
              </w:rPr>
              <w:t>Djibouti</w:t>
            </w:r>
            <w:bookmarkEnd w:id="453"/>
          </w:p>
        </w:tc>
        <w:tc>
          <w:tcPr>
            <w:tcW w:w="1701" w:type="dxa"/>
            <w:tcBorders>
              <w:top w:val="nil"/>
              <w:left w:val="nil"/>
              <w:bottom w:val="nil"/>
              <w:right w:val="nil"/>
            </w:tcBorders>
            <w:shd w:val="clear" w:color="auto" w:fill="auto"/>
          </w:tcPr>
          <w:p w14:paraId="465FE1B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4" w:name="_DV_C1988"/>
            <w:r w:rsidRPr="002A2EA6">
              <w:rPr>
                <w:rStyle w:val="DeltaViewInsertion"/>
                <w:rFonts w:eastAsia="SimSun"/>
                <w:color w:val="auto"/>
                <w:sz w:val="18"/>
                <w:szCs w:val="18"/>
                <w:u w:val="none"/>
              </w:rPr>
              <w:t>0,001</w:t>
            </w:r>
            <w:bookmarkEnd w:id="454"/>
          </w:p>
        </w:tc>
        <w:tc>
          <w:tcPr>
            <w:tcW w:w="1984" w:type="dxa"/>
            <w:tcBorders>
              <w:top w:val="nil"/>
              <w:left w:val="nil"/>
              <w:bottom w:val="nil"/>
              <w:right w:val="nil"/>
            </w:tcBorders>
            <w:shd w:val="clear" w:color="auto" w:fill="auto"/>
          </w:tcPr>
          <w:p w14:paraId="67626C0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5" w:name="_DV_C1989"/>
            <w:r w:rsidRPr="002A2EA6">
              <w:rPr>
                <w:rStyle w:val="DeltaViewInsertion"/>
                <w:rFonts w:eastAsia="SimSun"/>
                <w:color w:val="auto"/>
                <w:sz w:val="18"/>
                <w:szCs w:val="18"/>
                <w:u w:val="none"/>
              </w:rPr>
              <w:t>0,0100</w:t>
            </w:r>
            <w:bookmarkEnd w:id="455"/>
          </w:p>
        </w:tc>
        <w:tc>
          <w:tcPr>
            <w:tcW w:w="1985" w:type="dxa"/>
            <w:tcBorders>
              <w:top w:val="nil"/>
              <w:left w:val="nil"/>
              <w:bottom w:val="nil"/>
              <w:right w:val="nil"/>
            </w:tcBorders>
            <w:shd w:val="clear" w:color="auto" w:fill="auto"/>
          </w:tcPr>
          <w:p w14:paraId="45D7979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6" w:name="_DV_C1990"/>
            <w:r w:rsidRPr="002A2EA6">
              <w:rPr>
                <w:rStyle w:val="DeltaViewInsertion"/>
                <w:rFonts w:eastAsia="SimSun"/>
                <w:color w:val="auto"/>
                <w:sz w:val="18"/>
                <w:szCs w:val="18"/>
                <w:u w:val="none"/>
              </w:rPr>
              <w:t xml:space="preserve">646 </w:t>
            </w:r>
            <w:bookmarkEnd w:id="456"/>
          </w:p>
        </w:tc>
      </w:tr>
      <w:tr w:rsidR="002A2EA6" w:rsidRPr="002A2EA6" w14:paraId="7597888C" w14:textId="77777777" w:rsidTr="00A54D8B">
        <w:trPr>
          <w:trHeight w:val="57"/>
          <w:jc w:val="right"/>
        </w:trPr>
        <w:tc>
          <w:tcPr>
            <w:tcW w:w="709" w:type="dxa"/>
            <w:tcBorders>
              <w:top w:val="nil"/>
              <w:left w:val="nil"/>
              <w:bottom w:val="nil"/>
              <w:right w:val="nil"/>
            </w:tcBorders>
            <w:shd w:val="clear" w:color="auto" w:fill="auto"/>
          </w:tcPr>
          <w:p w14:paraId="476DD2D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9</w:t>
            </w:r>
          </w:p>
        </w:tc>
        <w:tc>
          <w:tcPr>
            <w:tcW w:w="2552" w:type="dxa"/>
            <w:tcBorders>
              <w:top w:val="nil"/>
              <w:left w:val="nil"/>
              <w:bottom w:val="nil"/>
              <w:right w:val="nil"/>
            </w:tcBorders>
            <w:shd w:val="clear" w:color="auto" w:fill="auto"/>
          </w:tcPr>
          <w:p w14:paraId="5B3D74B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57" w:name="_DV_C1997"/>
            <w:r w:rsidRPr="002A2EA6">
              <w:rPr>
                <w:rStyle w:val="DeltaViewInsertion"/>
                <w:rFonts w:eastAsia="SimSun"/>
                <w:color w:val="auto"/>
                <w:sz w:val="18"/>
                <w:szCs w:val="18"/>
                <w:u w:val="none"/>
              </w:rPr>
              <w:t>Eswatini</w:t>
            </w:r>
            <w:bookmarkEnd w:id="457"/>
          </w:p>
        </w:tc>
        <w:tc>
          <w:tcPr>
            <w:tcW w:w="1701" w:type="dxa"/>
            <w:tcBorders>
              <w:top w:val="nil"/>
              <w:left w:val="nil"/>
              <w:bottom w:val="nil"/>
              <w:right w:val="nil"/>
            </w:tcBorders>
            <w:shd w:val="clear" w:color="auto" w:fill="auto"/>
          </w:tcPr>
          <w:p w14:paraId="5FB373A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8" w:name="_DV_C1998"/>
            <w:r w:rsidRPr="002A2EA6">
              <w:rPr>
                <w:rStyle w:val="DeltaViewInsertion"/>
                <w:rFonts w:eastAsia="SimSun"/>
                <w:color w:val="auto"/>
                <w:sz w:val="18"/>
                <w:szCs w:val="18"/>
                <w:u w:val="none"/>
              </w:rPr>
              <w:t>0,002</w:t>
            </w:r>
            <w:bookmarkEnd w:id="458"/>
          </w:p>
        </w:tc>
        <w:tc>
          <w:tcPr>
            <w:tcW w:w="1984" w:type="dxa"/>
            <w:tcBorders>
              <w:top w:val="nil"/>
              <w:left w:val="nil"/>
              <w:bottom w:val="nil"/>
              <w:right w:val="nil"/>
            </w:tcBorders>
            <w:shd w:val="clear" w:color="auto" w:fill="auto"/>
          </w:tcPr>
          <w:p w14:paraId="0269ED4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59" w:name="_DV_C1999"/>
            <w:r w:rsidRPr="002A2EA6">
              <w:rPr>
                <w:rStyle w:val="DeltaViewInsertion"/>
                <w:rFonts w:eastAsia="SimSun"/>
                <w:color w:val="auto"/>
                <w:sz w:val="18"/>
                <w:szCs w:val="18"/>
                <w:u w:val="none"/>
              </w:rPr>
              <w:t>0,0100</w:t>
            </w:r>
            <w:bookmarkEnd w:id="459"/>
          </w:p>
        </w:tc>
        <w:tc>
          <w:tcPr>
            <w:tcW w:w="1985" w:type="dxa"/>
            <w:tcBorders>
              <w:top w:val="nil"/>
              <w:left w:val="nil"/>
              <w:bottom w:val="nil"/>
              <w:right w:val="nil"/>
            </w:tcBorders>
            <w:shd w:val="clear" w:color="auto" w:fill="auto"/>
          </w:tcPr>
          <w:p w14:paraId="34C1459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60" w:name="_DV_C2000"/>
            <w:r w:rsidRPr="002A2EA6">
              <w:rPr>
                <w:rStyle w:val="DeltaViewInsertion"/>
                <w:rFonts w:eastAsia="SimSun"/>
                <w:color w:val="auto"/>
                <w:sz w:val="18"/>
                <w:szCs w:val="18"/>
                <w:u w:val="none"/>
              </w:rPr>
              <w:t xml:space="preserve">646 </w:t>
            </w:r>
            <w:bookmarkEnd w:id="460"/>
          </w:p>
        </w:tc>
      </w:tr>
      <w:tr w:rsidR="002A2EA6" w:rsidRPr="002A2EA6" w14:paraId="5C75D9C9" w14:textId="77777777" w:rsidTr="00A54D8B">
        <w:trPr>
          <w:trHeight w:val="57"/>
          <w:jc w:val="right"/>
        </w:trPr>
        <w:tc>
          <w:tcPr>
            <w:tcW w:w="709" w:type="dxa"/>
            <w:tcBorders>
              <w:top w:val="nil"/>
              <w:left w:val="nil"/>
              <w:bottom w:val="nil"/>
              <w:right w:val="nil"/>
            </w:tcBorders>
            <w:shd w:val="clear" w:color="auto" w:fill="auto"/>
          </w:tcPr>
          <w:p w14:paraId="515E59C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61" w:name="_DV_C2001"/>
            <w:r w:rsidRPr="002A2EA6">
              <w:rPr>
                <w:rStyle w:val="DeltaViewInsertion"/>
                <w:rFonts w:eastAsia="SimSun"/>
                <w:color w:val="auto"/>
                <w:sz w:val="18"/>
                <w:szCs w:val="18"/>
                <w:u w:val="none"/>
              </w:rPr>
              <w:t>1</w:t>
            </w:r>
            <w:bookmarkEnd w:id="461"/>
            <w:r w:rsidRPr="002A2EA6">
              <w:rPr>
                <w:rStyle w:val="DeltaViewInsertion"/>
                <w:rFonts w:eastAsia="SimSun"/>
                <w:color w:val="auto"/>
                <w:sz w:val="18"/>
                <w:szCs w:val="18"/>
                <w:u w:val="none"/>
              </w:rPr>
              <w:t>0</w:t>
            </w:r>
          </w:p>
        </w:tc>
        <w:tc>
          <w:tcPr>
            <w:tcW w:w="2552" w:type="dxa"/>
            <w:tcBorders>
              <w:top w:val="nil"/>
              <w:left w:val="nil"/>
              <w:bottom w:val="nil"/>
              <w:right w:val="nil"/>
            </w:tcBorders>
            <w:shd w:val="clear" w:color="auto" w:fill="auto"/>
          </w:tcPr>
          <w:p w14:paraId="2BA6BE9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62" w:name="_DV_C2002"/>
            <w:r w:rsidRPr="002A2EA6">
              <w:rPr>
                <w:rStyle w:val="DeltaViewInsertion"/>
                <w:rFonts w:eastAsia="SimSun"/>
                <w:color w:val="auto"/>
                <w:sz w:val="18"/>
                <w:szCs w:val="18"/>
                <w:u w:val="none"/>
              </w:rPr>
              <w:t>Gabon</w:t>
            </w:r>
            <w:bookmarkEnd w:id="462"/>
          </w:p>
        </w:tc>
        <w:tc>
          <w:tcPr>
            <w:tcW w:w="1701" w:type="dxa"/>
            <w:tcBorders>
              <w:top w:val="nil"/>
              <w:left w:val="nil"/>
              <w:bottom w:val="nil"/>
              <w:right w:val="nil"/>
            </w:tcBorders>
            <w:shd w:val="clear" w:color="auto" w:fill="auto"/>
          </w:tcPr>
          <w:p w14:paraId="36EAB9D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63" w:name="_DV_C2003"/>
            <w:r w:rsidRPr="002A2EA6">
              <w:rPr>
                <w:rStyle w:val="DeltaViewInsertion"/>
                <w:rFonts w:eastAsia="SimSun"/>
                <w:color w:val="auto"/>
                <w:sz w:val="18"/>
                <w:szCs w:val="18"/>
                <w:u w:val="none"/>
              </w:rPr>
              <w:t>0,015</w:t>
            </w:r>
            <w:bookmarkEnd w:id="463"/>
          </w:p>
        </w:tc>
        <w:tc>
          <w:tcPr>
            <w:tcW w:w="1984" w:type="dxa"/>
            <w:tcBorders>
              <w:top w:val="nil"/>
              <w:left w:val="nil"/>
              <w:bottom w:val="nil"/>
              <w:right w:val="nil"/>
            </w:tcBorders>
            <w:shd w:val="clear" w:color="auto" w:fill="auto"/>
          </w:tcPr>
          <w:p w14:paraId="65E93BA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64" w:name="_DV_C2004"/>
            <w:r w:rsidRPr="002A2EA6">
              <w:rPr>
                <w:rStyle w:val="DeltaViewInsertion"/>
                <w:rFonts w:eastAsia="SimSun"/>
                <w:color w:val="auto"/>
                <w:sz w:val="18"/>
                <w:szCs w:val="18"/>
                <w:u w:val="none"/>
              </w:rPr>
              <w:t>0,0184</w:t>
            </w:r>
            <w:bookmarkEnd w:id="464"/>
          </w:p>
        </w:tc>
        <w:tc>
          <w:tcPr>
            <w:tcW w:w="1985" w:type="dxa"/>
            <w:tcBorders>
              <w:top w:val="nil"/>
              <w:left w:val="nil"/>
              <w:bottom w:val="nil"/>
              <w:right w:val="nil"/>
            </w:tcBorders>
            <w:shd w:val="clear" w:color="auto" w:fill="auto"/>
          </w:tcPr>
          <w:p w14:paraId="3FA29D3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65" w:name="_DV_C2005"/>
            <w:r w:rsidRPr="002A2EA6">
              <w:rPr>
                <w:rStyle w:val="DeltaViewInsertion"/>
                <w:rFonts w:eastAsia="SimSun"/>
                <w:color w:val="auto"/>
                <w:sz w:val="18"/>
                <w:szCs w:val="18"/>
                <w:u w:val="none"/>
              </w:rPr>
              <w:t xml:space="preserve">1 188 </w:t>
            </w:r>
            <w:bookmarkEnd w:id="465"/>
          </w:p>
        </w:tc>
      </w:tr>
      <w:tr w:rsidR="002A2EA6" w:rsidRPr="002A2EA6" w14:paraId="4A494A54" w14:textId="77777777" w:rsidTr="00A54D8B">
        <w:trPr>
          <w:trHeight w:val="57"/>
          <w:jc w:val="right"/>
        </w:trPr>
        <w:tc>
          <w:tcPr>
            <w:tcW w:w="709" w:type="dxa"/>
            <w:tcBorders>
              <w:top w:val="nil"/>
              <w:left w:val="nil"/>
              <w:bottom w:val="nil"/>
              <w:right w:val="nil"/>
            </w:tcBorders>
            <w:shd w:val="clear" w:color="auto" w:fill="auto"/>
          </w:tcPr>
          <w:p w14:paraId="3030E49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66" w:name="_DV_C2006"/>
            <w:r w:rsidRPr="002A2EA6">
              <w:rPr>
                <w:rStyle w:val="DeltaViewInsertion"/>
                <w:rFonts w:eastAsia="SimSun"/>
                <w:color w:val="auto"/>
                <w:sz w:val="18"/>
                <w:szCs w:val="18"/>
                <w:u w:val="none"/>
              </w:rPr>
              <w:t>11</w:t>
            </w:r>
            <w:bookmarkEnd w:id="466"/>
          </w:p>
        </w:tc>
        <w:tc>
          <w:tcPr>
            <w:tcW w:w="2552" w:type="dxa"/>
            <w:tcBorders>
              <w:top w:val="nil"/>
              <w:left w:val="nil"/>
              <w:bottom w:val="nil"/>
              <w:right w:val="nil"/>
            </w:tcBorders>
            <w:shd w:val="clear" w:color="auto" w:fill="auto"/>
          </w:tcPr>
          <w:p w14:paraId="5EBD3B6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67" w:name="_DV_C2007"/>
            <w:r w:rsidRPr="002A2EA6">
              <w:rPr>
                <w:rStyle w:val="DeltaViewInsertion"/>
                <w:rFonts w:eastAsia="SimSun"/>
                <w:color w:val="auto"/>
                <w:sz w:val="18"/>
                <w:szCs w:val="18"/>
                <w:u w:val="none"/>
              </w:rPr>
              <w:t>Gambie</w:t>
            </w:r>
            <w:bookmarkEnd w:id="467"/>
          </w:p>
        </w:tc>
        <w:tc>
          <w:tcPr>
            <w:tcW w:w="1701" w:type="dxa"/>
            <w:tcBorders>
              <w:top w:val="nil"/>
              <w:left w:val="nil"/>
              <w:bottom w:val="nil"/>
              <w:right w:val="nil"/>
            </w:tcBorders>
            <w:shd w:val="clear" w:color="auto" w:fill="auto"/>
          </w:tcPr>
          <w:p w14:paraId="1C9CEF7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68" w:name="_DV_C2008"/>
            <w:r w:rsidRPr="002A2EA6">
              <w:rPr>
                <w:rStyle w:val="DeltaViewInsertion"/>
                <w:rFonts w:eastAsia="SimSun"/>
                <w:color w:val="auto"/>
                <w:sz w:val="18"/>
                <w:szCs w:val="18"/>
                <w:u w:val="none"/>
              </w:rPr>
              <w:t>0,001</w:t>
            </w:r>
            <w:bookmarkEnd w:id="468"/>
          </w:p>
        </w:tc>
        <w:tc>
          <w:tcPr>
            <w:tcW w:w="1984" w:type="dxa"/>
            <w:tcBorders>
              <w:top w:val="nil"/>
              <w:left w:val="nil"/>
              <w:bottom w:val="nil"/>
              <w:right w:val="nil"/>
            </w:tcBorders>
            <w:shd w:val="clear" w:color="auto" w:fill="auto"/>
          </w:tcPr>
          <w:p w14:paraId="4B9C0E5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69" w:name="_DV_C2009"/>
            <w:r w:rsidRPr="002A2EA6">
              <w:rPr>
                <w:rStyle w:val="DeltaViewInsertion"/>
                <w:rFonts w:eastAsia="SimSun"/>
                <w:color w:val="auto"/>
                <w:sz w:val="18"/>
                <w:szCs w:val="18"/>
                <w:u w:val="none"/>
              </w:rPr>
              <w:t>0,0100</w:t>
            </w:r>
            <w:bookmarkEnd w:id="469"/>
          </w:p>
        </w:tc>
        <w:tc>
          <w:tcPr>
            <w:tcW w:w="1985" w:type="dxa"/>
            <w:tcBorders>
              <w:top w:val="nil"/>
              <w:left w:val="nil"/>
              <w:bottom w:val="nil"/>
              <w:right w:val="nil"/>
            </w:tcBorders>
            <w:shd w:val="clear" w:color="auto" w:fill="auto"/>
          </w:tcPr>
          <w:p w14:paraId="3CDECC1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70" w:name="_DV_C2010"/>
            <w:r w:rsidRPr="002A2EA6">
              <w:rPr>
                <w:rStyle w:val="DeltaViewInsertion"/>
                <w:rFonts w:eastAsia="SimSun"/>
                <w:color w:val="auto"/>
                <w:sz w:val="18"/>
                <w:szCs w:val="18"/>
                <w:u w:val="none"/>
              </w:rPr>
              <w:t xml:space="preserve">646 </w:t>
            </w:r>
            <w:bookmarkEnd w:id="470"/>
          </w:p>
        </w:tc>
      </w:tr>
      <w:tr w:rsidR="002A2EA6" w:rsidRPr="002A2EA6" w14:paraId="417B3739" w14:textId="77777777" w:rsidTr="00A54D8B">
        <w:trPr>
          <w:trHeight w:val="57"/>
          <w:jc w:val="right"/>
        </w:trPr>
        <w:tc>
          <w:tcPr>
            <w:tcW w:w="709" w:type="dxa"/>
            <w:tcBorders>
              <w:top w:val="nil"/>
              <w:left w:val="nil"/>
              <w:bottom w:val="nil"/>
              <w:right w:val="nil"/>
            </w:tcBorders>
            <w:shd w:val="clear" w:color="auto" w:fill="auto"/>
          </w:tcPr>
          <w:p w14:paraId="78B55187"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71" w:name="_DV_C2011"/>
            <w:r w:rsidRPr="002A2EA6">
              <w:rPr>
                <w:rStyle w:val="DeltaViewInsertion"/>
                <w:rFonts w:eastAsia="SimSun"/>
                <w:color w:val="auto"/>
                <w:sz w:val="18"/>
                <w:szCs w:val="18"/>
                <w:u w:val="none"/>
              </w:rPr>
              <w:t>1</w:t>
            </w:r>
            <w:bookmarkEnd w:id="471"/>
            <w:r w:rsidRPr="002A2EA6">
              <w:rPr>
                <w:rStyle w:val="DeltaViewInsertion"/>
                <w:rFonts w:eastAsia="SimSun"/>
                <w:color w:val="auto"/>
                <w:sz w:val="18"/>
                <w:szCs w:val="18"/>
                <w:u w:val="none"/>
              </w:rPr>
              <w:t>2</w:t>
            </w:r>
          </w:p>
        </w:tc>
        <w:tc>
          <w:tcPr>
            <w:tcW w:w="2552" w:type="dxa"/>
            <w:tcBorders>
              <w:top w:val="nil"/>
              <w:left w:val="nil"/>
              <w:bottom w:val="nil"/>
              <w:right w:val="nil"/>
            </w:tcBorders>
            <w:shd w:val="clear" w:color="auto" w:fill="auto"/>
          </w:tcPr>
          <w:p w14:paraId="5F05A02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72" w:name="_DV_C2012"/>
            <w:r w:rsidRPr="002A2EA6">
              <w:rPr>
                <w:rStyle w:val="DeltaViewInsertion"/>
                <w:rFonts w:eastAsia="SimSun"/>
                <w:color w:val="auto"/>
                <w:sz w:val="18"/>
                <w:szCs w:val="18"/>
                <w:u w:val="none"/>
              </w:rPr>
              <w:t>Ghana</w:t>
            </w:r>
            <w:bookmarkEnd w:id="472"/>
          </w:p>
        </w:tc>
        <w:tc>
          <w:tcPr>
            <w:tcW w:w="1701" w:type="dxa"/>
            <w:tcBorders>
              <w:top w:val="nil"/>
              <w:left w:val="nil"/>
              <w:bottom w:val="nil"/>
              <w:right w:val="nil"/>
            </w:tcBorders>
            <w:shd w:val="clear" w:color="auto" w:fill="auto"/>
          </w:tcPr>
          <w:p w14:paraId="75DDD89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73" w:name="_DV_C2013"/>
            <w:r w:rsidRPr="002A2EA6">
              <w:rPr>
                <w:rStyle w:val="DeltaViewInsertion"/>
                <w:rFonts w:eastAsia="SimSun"/>
                <w:color w:val="auto"/>
                <w:sz w:val="18"/>
                <w:szCs w:val="18"/>
                <w:u w:val="none"/>
              </w:rPr>
              <w:t>0,015</w:t>
            </w:r>
            <w:bookmarkEnd w:id="473"/>
          </w:p>
        </w:tc>
        <w:tc>
          <w:tcPr>
            <w:tcW w:w="1984" w:type="dxa"/>
            <w:tcBorders>
              <w:top w:val="nil"/>
              <w:left w:val="nil"/>
              <w:bottom w:val="nil"/>
              <w:right w:val="nil"/>
            </w:tcBorders>
            <w:shd w:val="clear" w:color="auto" w:fill="auto"/>
          </w:tcPr>
          <w:p w14:paraId="5ACB5D0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74" w:name="_DV_C2014"/>
            <w:r w:rsidRPr="002A2EA6">
              <w:rPr>
                <w:rStyle w:val="DeltaViewInsertion"/>
                <w:rFonts w:eastAsia="SimSun"/>
                <w:color w:val="auto"/>
                <w:sz w:val="18"/>
                <w:szCs w:val="18"/>
                <w:u w:val="none"/>
              </w:rPr>
              <w:t>0,0184</w:t>
            </w:r>
            <w:bookmarkEnd w:id="474"/>
          </w:p>
        </w:tc>
        <w:tc>
          <w:tcPr>
            <w:tcW w:w="1985" w:type="dxa"/>
            <w:tcBorders>
              <w:top w:val="nil"/>
              <w:left w:val="nil"/>
              <w:bottom w:val="nil"/>
              <w:right w:val="nil"/>
            </w:tcBorders>
            <w:shd w:val="clear" w:color="auto" w:fill="auto"/>
          </w:tcPr>
          <w:p w14:paraId="46BC50F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75" w:name="_DV_C2015"/>
            <w:r w:rsidRPr="002A2EA6">
              <w:rPr>
                <w:rStyle w:val="DeltaViewInsertion"/>
                <w:rFonts w:eastAsia="SimSun"/>
                <w:color w:val="auto"/>
                <w:sz w:val="18"/>
                <w:szCs w:val="18"/>
                <w:u w:val="none"/>
              </w:rPr>
              <w:t xml:space="preserve">1 188 </w:t>
            </w:r>
            <w:bookmarkEnd w:id="475"/>
          </w:p>
        </w:tc>
      </w:tr>
      <w:tr w:rsidR="002A2EA6" w:rsidRPr="002A2EA6" w14:paraId="53687313" w14:textId="77777777" w:rsidTr="00A54D8B">
        <w:trPr>
          <w:trHeight w:val="57"/>
          <w:jc w:val="right"/>
        </w:trPr>
        <w:tc>
          <w:tcPr>
            <w:tcW w:w="709" w:type="dxa"/>
            <w:tcBorders>
              <w:top w:val="nil"/>
              <w:left w:val="nil"/>
              <w:bottom w:val="nil"/>
              <w:right w:val="nil"/>
            </w:tcBorders>
            <w:shd w:val="clear" w:color="auto" w:fill="auto"/>
          </w:tcPr>
          <w:p w14:paraId="2F026C9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76" w:name="_DV_C2016"/>
            <w:r w:rsidRPr="002A2EA6">
              <w:rPr>
                <w:rStyle w:val="DeltaViewInsertion"/>
                <w:rFonts w:eastAsia="SimSun"/>
                <w:color w:val="auto"/>
                <w:sz w:val="18"/>
                <w:szCs w:val="18"/>
                <w:u w:val="none"/>
              </w:rPr>
              <w:t>1</w:t>
            </w:r>
            <w:bookmarkEnd w:id="476"/>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0B0C790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77" w:name="_DV_C2017"/>
            <w:r w:rsidRPr="002A2EA6">
              <w:rPr>
                <w:rStyle w:val="DeltaViewInsertion"/>
                <w:rFonts w:eastAsia="SimSun"/>
                <w:color w:val="auto"/>
                <w:sz w:val="18"/>
                <w:szCs w:val="18"/>
                <w:u w:val="none"/>
              </w:rPr>
              <w:t>Guin</w:t>
            </w:r>
            <w:bookmarkEnd w:id="477"/>
            <w:r w:rsidRPr="002A2EA6">
              <w:rPr>
                <w:rStyle w:val="DeltaViewInsertion"/>
                <w:rFonts w:eastAsia="SimSun"/>
                <w:color w:val="auto"/>
                <w:sz w:val="18"/>
                <w:szCs w:val="18"/>
                <w:u w:val="none"/>
              </w:rPr>
              <w:t>ée</w:t>
            </w:r>
          </w:p>
        </w:tc>
        <w:tc>
          <w:tcPr>
            <w:tcW w:w="1701" w:type="dxa"/>
            <w:tcBorders>
              <w:top w:val="nil"/>
              <w:left w:val="nil"/>
              <w:bottom w:val="nil"/>
              <w:right w:val="nil"/>
            </w:tcBorders>
            <w:shd w:val="clear" w:color="auto" w:fill="auto"/>
          </w:tcPr>
          <w:p w14:paraId="788BE6C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78" w:name="_DV_C2018"/>
            <w:r w:rsidRPr="002A2EA6">
              <w:rPr>
                <w:rStyle w:val="DeltaViewInsertion"/>
                <w:rFonts w:eastAsia="SimSun"/>
                <w:color w:val="auto"/>
                <w:sz w:val="18"/>
                <w:szCs w:val="18"/>
                <w:u w:val="none"/>
              </w:rPr>
              <w:t>0,003</w:t>
            </w:r>
            <w:bookmarkEnd w:id="478"/>
          </w:p>
        </w:tc>
        <w:tc>
          <w:tcPr>
            <w:tcW w:w="1984" w:type="dxa"/>
            <w:tcBorders>
              <w:top w:val="nil"/>
              <w:left w:val="nil"/>
              <w:bottom w:val="nil"/>
              <w:right w:val="nil"/>
            </w:tcBorders>
            <w:shd w:val="clear" w:color="auto" w:fill="auto"/>
          </w:tcPr>
          <w:p w14:paraId="2A20FC9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79" w:name="_DV_C2019"/>
            <w:r w:rsidRPr="002A2EA6">
              <w:rPr>
                <w:rStyle w:val="DeltaViewInsertion"/>
                <w:rFonts w:eastAsia="SimSun"/>
                <w:color w:val="auto"/>
                <w:sz w:val="18"/>
                <w:szCs w:val="18"/>
                <w:u w:val="none"/>
              </w:rPr>
              <w:t>0,0100</w:t>
            </w:r>
            <w:bookmarkEnd w:id="479"/>
          </w:p>
        </w:tc>
        <w:tc>
          <w:tcPr>
            <w:tcW w:w="1985" w:type="dxa"/>
            <w:tcBorders>
              <w:top w:val="nil"/>
              <w:left w:val="nil"/>
              <w:bottom w:val="nil"/>
              <w:right w:val="nil"/>
            </w:tcBorders>
            <w:shd w:val="clear" w:color="auto" w:fill="auto"/>
          </w:tcPr>
          <w:p w14:paraId="4E88065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80" w:name="_DV_C2020"/>
            <w:r w:rsidRPr="002A2EA6">
              <w:rPr>
                <w:rStyle w:val="DeltaViewInsertion"/>
                <w:rFonts w:eastAsia="SimSun"/>
                <w:color w:val="auto"/>
                <w:sz w:val="18"/>
                <w:szCs w:val="18"/>
                <w:u w:val="none"/>
              </w:rPr>
              <w:t xml:space="preserve">646 </w:t>
            </w:r>
            <w:bookmarkEnd w:id="480"/>
          </w:p>
        </w:tc>
      </w:tr>
      <w:tr w:rsidR="002A2EA6" w:rsidRPr="002A2EA6" w14:paraId="3E0165B6" w14:textId="77777777" w:rsidTr="00A54D8B">
        <w:trPr>
          <w:trHeight w:val="57"/>
          <w:jc w:val="right"/>
        </w:trPr>
        <w:tc>
          <w:tcPr>
            <w:tcW w:w="709" w:type="dxa"/>
            <w:tcBorders>
              <w:top w:val="nil"/>
              <w:left w:val="nil"/>
              <w:bottom w:val="nil"/>
              <w:right w:val="nil"/>
            </w:tcBorders>
            <w:shd w:val="clear" w:color="auto" w:fill="auto"/>
          </w:tcPr>
          <w:p w14:paraId="69138B9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81" w:name="_DV_C2021"/>
            <w:r w:rsidRPr="002A2EA6">
              <w:rPr>
                <w:rStyle w:val="DeltaViewInsertion"/>
                <w:rFonts w:eastAsia="SimSun"/>
                <w:color w:val="auto"/>
                <w:sz w:val="18"/>
                <w:szCs w:val="18"/>
                <w:u w:val="none"/>
              </w:rPr>
              <w:t>14</w:t>
            </w:r>
            <w:bookmarkEnd w:id="481"/>
          </w:p>
        </w:tc>
        <w:tc>
          <w:tcPr>
            <w:tcW w:w="2552" w:type="dxa"/>
            <w:tcBorders>
              <w:top w:val="nil"/>
              <w:left w:val="nil"/>
              <w:bottom w:val="nil"/>
              <w:right w:val="nil"/>
            </w:tcBorders>
            <w:shd w:val="clear" w:color="auto" w:fill="auto"/>
          </w:tcPr>
          <w:p w14:paraId="2DDE60EB" w14:textId="77777777" w:rsidR="002A2EA6" w:rsidRPr="002A2EA6" w:rsidRDefault="002A2EA6" w:rsidP="002A2EA6">
            <w:pPr>
              <w:tabs>
                <w:tab w:val="clear" w:pos="1247"/>
                <w:tab w:val="clear" w:pos="1814"/>
                <w:tab w:val="clear" w:pos="2381"/>
                <w:tab w:val="clear" w:pos="2948"/>
                <w:tab w:val="clear" w:pos="3515"/>
              </w:tabs>
              <w:spacing w:before="40" w:after="40"/>
              <w:rPr>
                <w:rStyle w:val="DeltaViewInsertion"/>
                <w:rFonts w:eastAsia="SimSun"/>
                <w:color w:val="auto"/>
                <w:sz w:val="18"/>
                <w:szCs w:val="18"/>
                <w:u w:val="none"/>
              </w:rPr>
            </w:pPr>
            <w:bookmarkStart w:id="482" w:name="_DV_C2022"/>
            <w:r w:rsidRPr="002A2EA6">
              <w:rPr>
                <w:rStyle w:val="DeltaViewInsertion"/>
                <w:rFonts w:eastAsia="SimSun"/>
                <w:color w:val="auto"/>
                <w:sz w:val="18"/>
                <w:szCs w:val="18"/>
                <w:u w:val="none"/>
              </w:rPr>
              <w:t>Guinée-Bissau</w:t>
            </w:r>
            <w:bookmarkEnd w:id="482"/>
          </w:p>
        </w:tc>
        <w:tc>
          <w:tcPr>
            <w:tcW w:w="1701" w:type="dxa"/>
            <w:tcBorders>
              <w:top w:val="nil"/>
              <w:left w:val="nil"/>
              <w:bottom w:val="nil"/>
              <w:right w:val="nil"/>
            </w:tcBorders>
            <w:shd w:val="clear" w:color="auto" w:fill="auto"/>
          </w:tcPr>
          <w:p w14:paraId="4738DB08" w14:textId="77777777" w:rsidR="002A2EA6" w:rsidRPr="002A2EA6" w:rsidRDefault="002A2EA6" w:rsidP="002A2EA6">
            <w:pPr>
              <w:tabs>
                <w:tab w:val="clear" w:pos="1247"/>
                <w:tab w:val="clear" w:pos="1814"/>
                <w:tab w:val="clear" w:pos="2381"/>
                <w:tab w:val="clear" w:pos="2948"/>
                <w:tab w:val="clear" w:pos="3515"/>
              </w:tabs>
              <w:spacing w:before="40" w:after="40"/>
              <w:jc w:val="right"/>
              <w:rPr>
                <w:rStyle w:val="DeltaViewInsertion"/>
                <w:rFonts w:eastAsia="SimSun"/>
                <w:color w:val="auto"/>
                <w:sz w:val="18"/>
                <w:szCs w:val="18"/>
                <w:u w:val="none"/>
              </w:rPr>
            </w:pPr>
            <w:bookmarkStart w:id="483" w:name="_DV_C2023"/>
            <w:r w:rsidRPr="002A2EA6">
              <w:rPr>
                <w:rStyle w:val="DeltaViewInsertion"/>
                <w:rFonts w:eastAsia="SimSun"/>
                <w:color w:val="auto"/>
                <w:sz w:val="18"/>
                <w:szCs w:val="18"/>
                <w:u w:val="none"/>
              </w:rPr>
              <w:t>0,001</w:t>
            </w:r>
            <w:bookmarkEnd w:id="483"/>
          </w:p>
        </w:tc>
        <w:tc>
          <w:tcPr>
            <w:tcW w:w="1984" w:type="dxa"/>
            <w:tcBorders>
              <w:top w:val="nil"/>
              <w:left w:val="nil"/>
              <w:bottom w:val="nil"/>
              <w:right w:val="nil"/>
            </w:tcBorders>
            <w:shd w:val="clear" w:color="auto" w:fill="auto"/>
          </w:tcPr>
          <w:p w14:paraId="6B379C91" w14:textId="77777777" w:rsidR="002A2EA6" w:rsidRPr="002A2EA6" w:rsidRDefault="002A2EA6" w:rsidP="002A2EA6">
            <w:pPr>
              <w:tabs>
                <w:tab w:val="clear" w:pos="1247"/>
                <w:tab w:val="clear" w:pos="1814"/>
                <w:tab w:val="clear" w:pos="2381"/>
                <w:tab w:val="clear" w:pos="2948"/>
                <w:tab w:val="clear" w:pos="3515"/>
              </w:tabs>
              <w:spacing w:before="40" w:after="40"/>
              <w:jc w:val="right"/>
              <w:rPr>
                <w:rStyle w:val="DeltaViewInsertion"/>
                <w:rFonts w:eastAsia="SimSun"/>
                <w:color w:val="auto"/>
                <w:sz w:val="18"/>
                <w:szCs w:val="18"/>
                <w:u w:val="none"/>
              </w:rPr>
            </w:pPr>
            <w:bookmarkStart w:id="484" w:name="_DV_C2024"/>
            <w:r w:rsidRPr="002A2EA6">
              <w:rPr>
                <w:rStyle w:val="DeltaViewInsertion"/>
                <w:rFonts w:eastAsia="SimSun"/>
                <w:color w:val="auto"/>
                <w:sz w:val="18"/>
                <w:szCs w:val="18"/>
                <w:u w:val="none"/>
              </w:rPr>
              <w:t>0,0100</w:t>
            </w:r>
            <w:bookmarkEnd w:id="484"/>
          </w:p>
        </w:tc>
        <w:tc>
          <w:tcPr>
            <w:tcW w:w="1985" w:type="dxa"/>
            <w:tcBorders>
              <w:top w:val="nil"/>
              <w:left w:val="nil"/>
              <w:bottom w:val="nil"/>
              <w:right w:val="nil"/>
            </w:tcBorders>
            <w:shd w:val="clear" w:color="auto" w:fill="auto"/>
          </w:tcPr>
          <w:p w14:paraId="4F7E5EA3" w14:textId="77777777" w:rsidR="002A2EA6" w:rsidRPr="002A2EA6" w:rsidRDefault="002A2EA6" w:rsidP="002A2EA6">
            <w:pPr>
              <w:tabs>
                <w:tab w:val="clear" w:pos="1247"/>
                <w:tab w:val="clear" w:pos="1814"/>
                <w:tab w:val="clear" w:pos="2381"/>
                <w:tab w:val="clear" w:pos="2948"/>
                <w:tab w:val="clear" w:pos="3515"/>
              </w:tabs>
              <w:spacing w:before="40" w:after="40"/>
              <w:jc w:val="right"/>
              <w:rPr>
                <w:rStyle w:val="DeltaViewInsertion"/>
                <w:rFonts w:eastAsia="SimSun"/>
                <w:color w:val="auto"/>
                <w:sz w:val="18"/>
                <w:szCs w:val="18"/>
                <w:u w:val="none"/>
              </w:rPr>
            </w:pPr>
            <w:bookmarkStart w:id="485" w:name="_DV_C2025"/>
            <w:r w:rsidRPr="002A2EA6">
              <w:rPr>
                <w:rStyle w:val="DeltaViewInsertion"/>
                <w:rFonts w:eastAsia="SimSun"/>
                <w:color w:val="auto"/>
                <w:sz w:val="18"/>
                <w:szCs w:val="18"/>
                <w:u w:val="none"/>
              </w:rPr>
              <w:t xml:space="preserve">646 </w:t>
            </w:r>
            <w:bookmarkEnd w:id="485"/>
          </w:p>
        </w:tc>
      </w:tr>
      <w:tr w:rsidR="002A2EA6" w:rsidRPr="002A2EA6" w14:paraId="71763320" w14:textId="77777777" w:rsidTr="00A54D8B">
        <w:trPr>
          <w:trHeight w:val="57"/>
          <w:jc w:val="right"/>
        </w:trPr>
        <w:tc>
          <w:tcPr>
            <w:tcW w:w="709" w:type="dxa"/>
            <w:tcBorders>
              <w:top w:val="nil"/>
              <w:left w:val="nil"/>
              <w:bottom w:val="nil"/>
              <w:right w:val="nil"/>
            </w:tcBorders>
            <w:shd w:val="clear" w:color="auto" w:fill="auto"/>
          </w:tcPr>
          <w:p w14:paraId="56A7D06E"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15</w:t>
            </w:r>
          </w:p>
        </w:tc>
        <w:tc>
          <w:tcPr>
            <w:tcW w:w="2552" w:type="dxa"/>
            <w:tcBorders>
              <w:top w:val="nil"/>
              <w:left w:val="nil"/>
              <w:bottom w:val="nil"/>
              <w:right w:val="nil"/>
            </w:tcBorders>
            <w:shd w:val="clear" w:color="auto" w:fill="auto"/>
          </w:tcPr>
          <w:p w14:paraId="7EF3F99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86" w:name="_DV_C1992"/>
            <w:r w:rsidRPr="002A2EA6">
              <w:rPr>
                <w:rStyle w:val="DeltaViewInsertion"/>
                <w:rFonts w:eastAsia="SimSun"/>
                <w:color w:val="auto"/>
                <w:sz w:val="18"/>
                <w:szCs w:val="18"/>
                <w:u w:val="none"/>
              </w:rPr>
              <w:t>Guinée équatoriale</w:t>
            </w:r>
            <w:bookmarkEnd w:id="486"/>
          </w:p>
        </w:tc>
        <w:tc>
          <w:tcPr>
            <w:tcW w:w="1701" w:type="dxa"/>
            <w:tcBorders>
              <w:top w:val="nil"/>
              <w:left w:val="nil"/>
              <w:bottom w:val="nil"/>
              <w:right w:val="nil"/>
            </w:tcBorders>
            <w:shd w:val="clear" w:color="auto" w:fill="auto"/>
          </w:tcPr>
          <w:p w14:paraId="70BA990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87" w:name="_DV_C1993"/>
            <w:r w:rsidRPr="002A2EA6">
              <w:rPr>
                <w:rStyle w:val="DeltaViewInsertion"/>
                <w:rFonts w:eastAsia="SimSun"/>
                <w:color w:val="auto"/>
                <w:sz w:val="18"/>
                <w:szCs w:val="18"/>
                <w:u w:val="none"/>
              </w:rPr>
              <w:t>0,016</w:t>
            </w:r>
            <w:bookmarkEnd w:id="487"/>
          </w:p>
        </w:tc>
        <w:tc>
          <w:tcPr>
            <w:tcW w:w="1984" w:type="dxa"/>
            <w:tcBorders>
              <w:top w:val="nil"/>
              <w:left w:val="nil"/>
              <w:bottom w:val="nil"/>
              <w:right w:val="nil"/>
            </w:tcBorders>
            <w:shd w:val="clear" w:color="auto" w:fill="auto"/>
          </w:tcPr>
          <w:p w14:paraId="418C871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88" w:name="_DV_C1994"/>
            <w:r w:rsidRPr="002A2EA6">
              <w:rPr>
                <w:rStyle w:val="DeltaViewInsertion"/>
                <w:rFonts w:eastAsia="SimSun"/>
                <w:color w:val="auto"/>
                <w:sz w:val="18"/>
                <w:szCs w:val="18"/>
                <w:u w:val="none"/>
              </w:rPr>
              <w:t>0,0196</w:t>
            </w:r>
            <w:bookmarkEnd w:id="488"/>
          </w:p>
        </w:tc>
        <w:tc>
          <w:tcPr>
            <w:tcW w:w="1985" w:type="dxa"/>
            <w:tcBorders>
              <w:top w:val="nil"/>
              <w:left w:val="nil"/>
              <w:bottom w:val="nil"/>
              <w:right w:val="nil"/>
            </w:tcBorders>
            <w:shd w:val="clear" w:color="auto" w:fill="auto"/>
          </w:tcPr>
          <w:p w14:paraId="472855F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89" w:name="_DV_C1995"/>
            <w:r w:rsidRPr="002A2EA6">
              <w:rPr>
                <w:rStyle w:val="DeltaViewInsertion"/>
                <w:rFonts w:eastAsia="SimSun"/>
                <w:color w:val="auto"/>
                <w:sz w:val="18"/>
                <w:szCs w:val="18"/>
                <w:u w:val="none"/>
              </w:rPr>
              <w:t xml:space="preserve">1 267 </w:t>
            </w:r>
            <w:bookmarkEnd w:id="489"/>
          </w:p>
        </w:tc>
      </w:tr>
      <w:tr w:rsidR="002A2EA6" w:rsidRPr="002A2EA6" w14:paraId="5DE43C6D" w14:textId="77777777" w:rsidTr="00A54D8B">
        <w:trPr>
          <w:trHeight w:val="57"/>
          <w:jc w:val="right"/>
        </w:trPr>
        <w:tc>
          <w:tcPr>
            <w:tcW w:w="709" w:type="dxa"/>
            <w:tcBorders>
              <w:top w:val="nil"/>
              <w:left w:val="nil"/>
              <w:bottom w:val="nil"/>
              <w:right w:val="nil"/>
            </w:tcBorders>
            <w:shd w:val="clear" w:color="auto" w:fill="auto"/>
          </w:tcPr>
          <w:p w14:paraId="5E944963"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90" w:name="_DV_C2026"/>
            <w:r w:rsidRPr="002A2EA6">
              <w:rPr>
                <w:rStyle w:val="DeltaViewInsertion"/>
                <w:rFonts w:eastAsia="SimSun"/>
                <w:color w:val="auto"/>
                <w:sz w:val="18"/>
                <w:szCs w:val="18"/>
                <w:u w:val="none"/>
              </w:rPr>
              <w:t>16</w:t>
            </w:r>
            <w:bookmarkEnd w:id="490"/>
          </w:p>
        </w:tc>
        <w:tc>
          <w:tcPr>
            <w:tcW w:w="2552" w:type="dxa"/>
            <w:tcBorders>
              <w:top w:val="nil"/>
              <w:left w:val="nil"/>
              <w:bottom w:val="nil"/>
              <w:right w:val="nil"/>
            </w:tcBorders>
            <w:shd w:val="clear" w:color="auto" w:fill="auto"/>
          </w:tcPr>
          <w:p w14:paraId="79D0310E"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91" w:name="_DV_C2027"/>
            <w:r w:rsidRPr="002A2EA6">
              <w:rPr>
                <w:rStyle w:val="DeltaViewInsertion"/>
                <w:rFonts w:eastAsia="SimSun"/>
                <w:color w:val="auto"/>
                <w:sz w:val="18"/>
                <w:szCs w:val="18"/>
                <w:u w:val="none"/>
              </w:rPr>
              <w:t>Lesotho</w:t>
            </w:r>
            <w:bookmarkEnd w:id="491"/>
          </w:p>
        </w:tc>
        <w:tc>
          <w:tcPr>
            <w:tcW w:w="1701" w:type="dxa"/>
            <w:tcBorders>
              <w:top w:val="nil"/>
              <w:left w:val="nil"/>
              <w:bottom w:val="nil"/>
              <w:right w:val="nil"/>
            </w:tcBorders>
            <w:shd w:val="clear" w:color="auto" w:fill="auto"/>
          </w:tcPr>
          <w:p w14:paraId="42F6DAF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92" w:name="_DV_C2028"/>
            <w:r w:rsidRPr="002A2EA6">
              <w:rPr>
                <w:rStyle w:val="DeltaViewInsertion"/>
                <w:rFonts w:eastAsia="SimSun"/>
                <w:color w:val="auto"/>
                <w:sz w:val="18"/>
                <w:szCs w:val="18"/>
                <w:u w:val="none"/>
              </w:rPr>
              <w:t>0,001</w:t>
            </w:r>
            <w:bookmarkEnd w:id="492"/>
          </w:p>
        </w:tc>
        <w:tc>
          <w:tcPr>
            <w:tcW w:w="1984" w:type="dxa"/>
            <w:tcBorders>
              <w:top w:val="nil"/>
              <w:left w:val="nil"/>
              <w:bottom w:val="nil"/>
              <w:right w:val="nil"/>
            </w:tcBorders>
            <w:shd w:val="clear" w:color="auto" w:fill="auto"/>
          </w:tcPr>
          <w:p w14:paraId="133B6A1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93" w:name="_DV_C2029"/>
            <w:r w:rsidRPr="002A2EA6">
              <w:rPr>
                <w:rStyle w:val="DeltaViewInsertion"/>
                <w:rFonts w:eastAsia="SimSun"/>
                <w:color w:val="auto"/>
                <w:sz w:val="18"/>
                <w:szCs w:val="18"/>
                <w:u w:val="none"/>
              </w:rPr>
              <w:t>0,0100</w:t>
            </w:r>
            <w:bookmarkEnd w:id="493"/>
          </w:p>
        </w:tc>
        <w:tc>
          <w:tcPr>
            <w:tcW w:w="1985" w:type="dxa"/>
            <w:tcBorders>
              <w:top w:val="nil"/>
              <w:left w:val="nil"/>
              <w:bottom w:val="nil"/>
              <w:right w:val="nil"/>
            </w:tcBorders>
            <w:shd w:val="clear" w:color="auto" w:fill="auto"/>
          </w:tcPr>
          <w:p w14:paraId="6961897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94" w:name="_DV_C2030"/>
            <w:r w:rsidRPr="002A2EA6">
              <w:rPr>
                <w:rStyle w:val="DeltaViewInsertion"/>
                <w:rFonts w:eastAsia="SimSun"/>
                <w:color w:val="auto"/>
                <w:sz w:val="18"/>
                <w:szCs w:val="18"/>
                <w:u w:val="none"/>
              </w:rPr>
              <w:t xml:space="preserve">646 </w:t>
            </w:r>
            <w:bookmarkEnd w:id="494"/>
          </w:p>
        </w:tc>
      </w:tr>
      <w:tr w:rsidR="002A2EA6" w:rsidRPr="002A2EA6" w14:paraId="69711B05" w14:textId="77777777" w:rsidTr="00A54D8B">
        <w:trPr>
          <w:trHeight w:val="57"/>
          <w:jc w:val="right"/>
        </w:trPr>
        <w:tc>
          <w:tcPr>
            <w:tcW w:w="709" w:type="dxa"/>
            <w:tcBorders>
              <w:top w:val="nil"/>
              <w:left w:val="nil"/>
              <w:bottom w:val="nil"/>
              <w:right w:val="nil"/>
            </w:tcBorders>
            <w:shd w:val="clear" w:color="auto" w:fill="auto"/>
          </w:tcPr>
          <w:p w14:paraId="17EF0E6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495" w:name="_DV_C2031"/>
            <w:r w:rsidRPr="002A2EA6">
              <w:rPr>
                <w:rStyle w:val="DeltaViewInsertion"/>
                <w:rFonts w:eastAsia="SimSun"/>
                <w:color w:val="auto"/>
                <w:sz w:val="18"/>
                <w:szCs w:val="18"/>
                <w:u w:val="none"/>
              </w:rPr>
              <w:t>17</w:t>
            </w:r>
            <w:bookmarkEnd w:id="495"/>
          </w:p>
        </w:tc>
        <w:tc>
          <w:tcPr>
            <w:tcW w:w="2552" w:type="dxa"/>
            <w:tcBorders>
              <w:top w:val="nil"/>
              <w:left w:val="nil"/>
              <w:bottom w:val="nil"/>
              <w:right w:val="nil"/>
            </w:tcBorders>
            <w:shd w:val="clear" w:color="auto" w:fill="auto"/>
          </w:tcPr>
          <w:p w14:paraId="490808A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496" w:name="_DV_C2032"/>
            <w:r w:rsidRPr="002A2EA6">
              <w:rPr>
                <w:rStyle w:val="DeltaViewInsertion"/>
                <w:rFonts w:eastAsia="SimSun"/>
                <w:color w:val="auto"/>
                <w:sz w:val="18"/>
                <w:szCs w:val="18"/>
                <w:u w:val="none"/>
              </w:rPr>
              <w:t>Madagascar</w:t>
            </w:r>
            <w:bookmarkEnd w:id="496"/>
          </w:p>
        </w:tc>
        <w:tc>
          <w:tcPr>
            <w:tcW w:w="1701" w:type="dxa"/>
            <w:tcBorders>
              <w:top w:val="nil"/>
              <w:left w:val="nil"/>
              <w:bottom w:val="nil"/>
              <w:right w:val="nil"/>
            </w:tcBorders>
            <w:shd w:val="clear" w:color="auto" w:fill="auto"/>
          </w:tcPr>
          <w:p w14:paraId="54404E2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97" w:name="_DV_C2033"/>
            <w:r w:rsidRPr="002A2EA6">
              <w:rPr>
                <w:rStyle w:val="DeltaViewInsertion"/>
                <w:rFonts w:eastAsia="SimSun"/>
                <w:color w:val="auto"/>
                <w:sz w:val="18"/>
                <w:szCs w:val="18"/>
                <w:u w:val="none"/>
              </w:rPr>
              <w:t>0,004</w:t>
            </w:r>
            <w:bookmarkEnd w:id="497"/>
          </w:p>
        </w:tc>
        <w:tc>
          <w:tcPr>
            <w:tcW w:w="1984" w:type="dxa"/>
            <w:tcBorders>
              <w:top w:val="nil"/>
              <w:left w:val="nil"/>
              <w:bottom w:val="nil"/>
              <w:right w:val="nil"/>
            </w:tcBorders>
            <w:shd w:val="clear" w:color="auto" w:fill="auto"/>
          </w:tcPr>
          <w:p w14:paraId="4202E81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98" w:name="_DV_C2034"/>
            <w:r w:rsidRPr="002A2EA6">
              <w:rPr>
                <w:rStyle w:val="DeltaViewInsertion"/>
                <w:rFonts w:eastAsia="SimSun"/>
                <w:color w:val="auto"/>
                <w:sz w:val="18"/>
                <w:szCs w:val="18"/>
                <w:u w:val="none"/>
              </w:rPr>
              <w:t>0,0100</w:t>
            </w:r>
            <w:bookmarkEnd w:id="498"/>
          </w:p>
        </w:tc>
        <w:tc>
          <w:tcPr>
            <w:tcW w:w="1985" w:type="dxa"/>
            <w:tcBorders>
              <w:top w:val="nil"/>
              <w:left w:val="nil"/>
              <w:bottom w:val="nil"/>
              <w:right w:val="nil"/>
            </w:tcBorders>
            <w:shd w:val="clear" w:color="auto" w:fill="auto"/>
          </w:tcPr>
          <w:p w14:paraId="048E7D7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499" w:name="_DV_C2035"/>
            <w:r w:rsidRPr="002A2EA6">
              <w:rPr>
                <w:rStyle w:val="DeltaViewInsertion"/>
                <w:rFonts w:eastAsia="SimSun"/>
                <w:color w:val="auto"/>
                <w:sz w:val="18"/>
                <w:szCs w:val="18"/>
                <w:u w:val="none"/>
              </w:rPr>
              <w:t xml:space="preserve">646 </w:t>
            </w:r>
            <w:bookmarkEnd w:id="499"/>
          </w:p>
        </w:tc>
      </w:tr>
      <w:tr w:rsidR="002A2EA6" w:rsidRPr="002A2EA6" w14:paraId="7CD017CE" w14:textId="77777777" w:rsidTr="00A54D8B">
        <w:trPr>
          <w:trHeight w:val="57"/>
          <w:jc w:val="right"/>
        </w:trPr>
        <w:tc>
          <w:tcPr>
            <w:tcW w:w="709" w:type="dxa"/>
            <w:tcBorders>
              <w:top w:val="nil"/>
              <w:left w:val="nil"/>
              <w:bottom w:val="nil"/>
              <w:right w:val="nil"/>
            </w:tcBorders>
            <w:shd w:val="clear" w:color="auto" w:fill="auto"/>
          </w:tcPr>
          <w:p w14:paraId="33267D43"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00" w:name="_DV_C2036"/>
            <w:r w:rsidRPr="002A2EA6">
              <w:rPr>
                <w:rStyle w:val="DeltaViewInsertion"/>
                <w:rFonts w:eastAsia="SimSun"/>
                <w:color w:val="auto"/>
                <w:sz w:val="18"/>
                <w:szCs w:val="18"/>
                <w:u w:val="none"/>
              </w:rPr>
              <w:t>18</w:t>
            </w:r>
            <w:bookmarkEnd w:id="500"/>
          </w:p>
        </w:tc>
        <w:tc>
          <w:tcPr>
            <w:tcW w:w="2552" w:type="dxa"/>
            <w:tcBorders>
              <w:top w:val="nil"/>
              <w:left w:val="nil"/>
              <w:bottom w:val="nil"/>
              <w:right w:val="nil"/>
            </w:tcBorders>
            <w:shd w:val="clear" w:color="auto" w:fill="auto"/>
          </w:tcPr>
          <w:p w14:paraId="66A0432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01" w:name="_DV_C2037"/>
            <w:r w:rsidRPr="002A2EA6">
              <w:rPr>
                <w:rStyle w:val="DeltaViewInsertion"/>
                <w:rFonts w:eastAsia="SimSun"/>
                <w:color w:val="auto"/>
                <w:sz w:val="18"/>
                <w:szCs w:val="18"/>
                <w:u w:val="none"/>
              </w:rPr>
              <w:t>Mali</w:t>
            </w:r>
            <w:bookmarkEnd w:id="501"/>
          </w:p>
        </w:tc>
        <w:tc>
          <w:tcPr>
            <w:tcW w:w="1701" w:type="dxa"/>
            <w:tcBorders>
              <w:top w:val="nil"/>
              <w:left w:val="nil"/>
              <w:bottom w:val="nil"/>
              <w:right w:val="nil"/>
            </w:tcBorders>
            <w:shd w:val="clear" w:color="auto" w:fill="auto"/>
          </w:tcPr>
          <w:p w14:paraId="2D3C80B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02" w:name="_DV_C2038"/>
            <w:r w:rsidRPr="002A2EA6">
              <w:rPr>
                <w:rStyle w:val="DeltaViewInsertion"/>
                <w:rFonts w:eastAsia="SimSun"/>
                <w:color w:val="auto"/>
                <w:sz w:val="18"/>
                <w:szCs w:val="18"/>
                <w:u w:val="none"/>
              </w:rPr>
              <w:t>0,004</w:t>
            </w:r>
            <w:bookmarkEnd w:id="502"/>
          </w:p>
        </w:tc>
        <w:tc>
          <w:tcPr>
            <w:tcW w:w="1984" w:type="dxa"/>
            <w:tcBorders>
              <w:top w:val="nil"/>
              <w:left w:val="nil"/>
              <w:bottom w:val="nil"/>
              <w:right w:val="nil"/>
            </w:tcBorders>
            <w:shd w:val="clear" w:color="auto" w:fill="auto"/>
          </w:tcPr>
          <w:p w14:paraId="0522AEA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03" w:name="_DV_C2039"/>
            <w:r w:rsidRPr="002A2EA6">
              <w:rPr>
                <w:rStyle w:val="DeltaViewInsertion"/>
                <w:rFonts w:eastAsia="SimSun"/>
                <w:color w:val="auto"/>
                <w:sz w:val="18"/>
                <w:szCs w:val="18"/>
                <w:u w:val="none"/>
              </w:rPr>
              <w:t>0,0100</w:t>
            </w:r>
            <w:bookmarkEnd w:id="503"/>
          </w:p>
        </w:tc>
        <w:tc>
          <w:tcPr>
            <w:tcW w:w="1985" w:type="dxa"/>
            <w:tcBorders>
              <w:top w:val="nil"/>
              <w:left w:val="nil"/>
              <w:bottom w:val="nil"/>
              <w:right w:val="nil"/>
            </w:tcBorders>
            <w:shd w:val="clear" w:color="auto" w:fill="auto"/>
          </w:tcPr>
          <w:p w14:paraId="1E92B25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04" w:name="_DV_C2040"/>
            <w:r w:rsidRPr="002A2EA6">
              <w:rPr>
                <w:rStyle w:val="DeltaViewInsertion"/>
                <w:rFonts w:eastAsia="SimSun"/>
                <w:color w:val="auto"/>
                <w:sz w:val="18"/>
                <w:szCs w:val="18"/>
                <w:u w:val="none"/>
              </w:rPr>
              <w:t xml:space="preserve">646 </w:t>
            </w:r>
            <w:bookmarkEnd w:id="504"/>
          </w:p>
        </w:tc>
      </w:tr>
      <w:tr w:rsidR="002A2EA6" w:rsidRPr="002A2EA6" w14:paraId="4E1505E1" w14:textId="77777777" w:rsidTr="00A54D8B">
        <w:trPr>
          <w:trHeight w:val="57"/>
          <w:jc w:val="right"/>
        </w:trPr>
        <w:tc>
          <w:tcPr>
            <w:tcW w:w="709" w:type="dxa"/>
            <w:tcBorders>
              <w:top w:val="nil"/>
              <w:left w:val="nil"/>
              <w:bottom w:val="nil"/>
              <w:right w:val="nil"/>
            </w:tcBorders>
            <w:shd w:val="clear" w:color="auto" w:fill="auto"/>
          </w:tcPr>
          <w:p w14:paraId="562E2B2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1</w:t>
            </w:r>
            <w:r w:rsidRPr="002A2EA6">
              <w:rPr>
                <w:sz w:val="18"/>
                <w:szCs w:val="18"/>
              </w:rPr>
              <w:t>9</w:t>
            </w:r>
          </w:p>
        </w:tc>
        <w:tc>
          <w:tcPr>
            <w:tcW w:w="2552" w:type="dxa"/>
            <w:tcBorders>
              <w:top w:val="nil"/>
              <w:left w:val="nil"/>
              <w:bottom w:val="nil"/>
              <w:right w:val="nil"/>
            </w:tcBorders>
            <w:shd w:val="clear" w:color="auto" w:fill="auto"/>
          </w:tcPr>
          <w:p w14:paraId="44395D0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05" w:name="_DV_C2047"/>
            <w:r w:rsidRPr="002A2EA6">
              <w:rPr>
                <w:rStyle w:val="DeltaViewInsertion"/>
                <w:rFonts w:eastAsia="SimSun"/>
                <w:color w:val="auto"/>
                <w:sz w:val="18"/>
                <w:szCs w:val="18"/>
                <w:u w:val="none"/>
              </w:rPr>
              <w:t>Maurice</w:t>
            </w:r>
            <w:bookmarkEnd w:id="505"/>
          </w:p>
        </w:tc>
        <w:tc>
          <w:tcPr>
            <w:tcW w:w="1701" w:type="dxa"/>
            <w:tcBorders>
              <w:top w:val="nil"/>
              <w:left w:val="nil"/>
              <w:bottom w:val="nil"/>
              <w:right w:val="nil"/>
            </w:tcBorders>
            <w:shd w:val="clear" w:color="auto" w:fill="auto"/>
          </w:tcPr>
          <w:p w14:paraId="67B3307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06" w:name="_DV_C2048"/>
            <w:r w:rsidRPr="002A2EA6">
              <w:rPr>
                <w:rStyle w:val="DeltaViewInsertion"/>
                <w:rFonts w:eastAsia="SimSun"/>
                <w:color w:val="auto"/>
                <w:sz w:val="18"/>
                <w:szCs w:val="18"/>
                <w:u w:val="none"/>
              </w:rPr>
              <w:t>0,011</w:t>
            </w:r>
            <w:bookmarkEnd w:id="506"/>
          </w:p>
        </w:tc>
        <w:tc>
          <w:tcPr>
            <w:tcW w:w="1984" w:type="dxa"/>
            <w:tcBorders>
              <w:top w:val="nil"/>
              <w:left w:val="nil"/>
              <w:bottom w:val="nil"/>
              <w:right w:val="nil"/>
            </w:tcBorders>
            <w:shd w:val="clear" w:color="auto" w:fill="auto"/>
          </w:tcPr>
          <w:p w14:paraId="6057D57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07" w:name="_DV_C2049"/>
            <w:r w:rsidRPr="002A2EA6">
              <w:rPr>
                <w:rStyle w:val="DeltaViewInsertion"/>
                <w:rFonts w:eastAsia="SimSun"/>
                <w:color w:val="auto"/>
                <w:sz w:val="18"/>
                <w:szCs w:val="18"/>
                <w:u w:val="none"/>
              </w:rPr>
              <w:t>0,0135</w:t>
            </w:r>
            <w:bookmarkEnd w:id="507"/>
          </w:p>
        </w:tc>
        <w:tc>
          <w:tcPr>
            <w:tcW w:w="1985" w:type="dxa"/>
            <w:tcBorders>
              <w:top w:val="nil"/>
              <w:left w:val="nil"/>
              <w:bottom w:val="nil"/>
              <w:right w:val="nil"/>
            </w:tcBorders>
            <w:shd w:val="clear" w:color="auto" w:fill="auto"/>
          </w:tcPr>
          <w:p w14:paraId="24A44C6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08" w:name="_DV_C2050"/>
            <w:r w:rsidRPr="002A2EA6">
              <w:rPr>
                <w:rStyle w:val="DeltaViewInsertion"/>
                <w:rFonts w:eastAsia="SimSun"/>
                <w:color w:val="auto"/>
                <w:sz w:val="18"/>
                <w:szCs w:val="18"/>
                <w:u w:val="none"/>
              </w:rPr>
              <w:t xml:space="preserve">871 </w:t>
            </w:r>
            <w:bookmarkEnd w:id="508"/>
          </w:p>
        </w:tc>
      </w:tr>
      <w:tr w:rsidR="002A2EA6" w:rsidRPr="002A2EA6" w14:paraId="258F5EA9" w14:textId="77777777" w:rsidTr="00A54D8B">
        <w:trPr>
          <w:trHeight w:val="57"/>
          <w:jc w:val="right"/>
        </w:trPr>
        <w:tc>
          <w:tcPr>
            <w:tcW w:w="709" w:type="dxa"/>
            <w:tcBorders>
              <w:top w:val="nil"/>
              <w:left w:val="nil"/>
              <w:bottom w:val="nil"/>
              <w:right w:val="nil"/>
            </w:tcBorders>
            <w:shd w:val="clear" w:color="auto" w:fill="auto"/>
          </w:tcPr>
          <w:p w14:paraId="178F747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2</w:t>
            </w:r>
            <w:r w:rsidRPr="002A2EA6">
              <w:rPr>
                <w:sz w:val="18"/>
                <w:szCs w:val="18"/>
              </w:rPr>
              <w:t>0</w:t>
            </w:r>
          </w:p>
        </w:tc>
        <w:tc>
          <w:tcPr>
            <w:tcW w:w="2552" w:type="dxa"/>
            <w:tcBorders>
              <w:top w:val="nil"/>
              <w:left w:val="nil"/>
              <w:bottom w:val="nil"/>
              <w:right w:val="nil"/>
            </w:tcBorders>
            <w:shd w:val="clear" w:color="auto" w:fill="auto"/>
          </w:tcPr>
          <w:p w14:paraId="75749A8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09" w:name="_DV_C2042"/>
            <w:r w:rsidRPr="002A2EA6">
              <w:rPr>
                <w:rStyle w:val="DeltaViewInsertion"/>
                <w:rFonts w:eastAsia="SimSun"/>
                <w:color w:val="auto"/>
                <w:sz w:val="18"/>
                <w:szCs w:val="18"/>
                <w:u w:val="none"/>
              </w:rPr>
              <w:t>Mauritani</w:t>
            </w:r>
            <w:bookmarkEnd w:id="509"/>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155912F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10" w:name="_DV_C2043"/>
            <w:r w:rsidRPr="002A2EA6">
              <w:rPr>
                <w:rStyle w:val="DeltaViewInsertion"/>
                <w:rFonts w:eastAsia="SimSun"/>
                <w:color w:val="auto"/>
                <w:sz w:val="18"/>
                <w:szCs w:val="18"/>
                <w:u w:val="none"/>
              </w:rPr>
              <w:t>0,002</w:t>
            </w:r>
            <w:bookmarkEnd w:id="510"/>
          </w:p>
        </w:tc>
        <w:tc>
          <w:tcPr>
            <w:tcW w:w="1984" w:type="dxa"/>
            <w:tcBorders>
              <w:top w:val="nil"/>
              <w:left w:val="nil"/>
              <w:bottom w:val="nil"/>
              <w:right w:val="nil"/>
            </w:tcBorders>
            <w:shd w:val="clear" w:color="auto" w:fill="auto"/>
          </w:tcPr>
          <w:p w14:paraId="1538A8F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11" w:name="_DV_C2044"/>
            <w:r w:rsidRPr="002A2EA6">
              <w:rPr>
                <w:rStyle w:val="DeltaViewInsertion"/>
                <w:rFonts w:eastAsia="SimSun"/>
                <w:color w:val="auto"/>
                <w:sz w:val="18"/>
                <w:szCs w:val="18"/>
                <w:u w:val="none"/>
              </w:rPr>
              <w:t>0,0100</w:t>
            </w:r>
            <w:bookmarkEnd w:id="511"/>
          </w:p>
        </w:tc>
        <w:tc>
          <w:tcPr>
            <w:tcW w:w="1985" w:type="dxa"/>
            <w:tcBorders>
              <w:top w:val="nil"/>
              <w:left w:val="nil"/>
              <w:bottom w:val="nil"/>
              <w:right w:val="nil"/>
            </w:tcBorders>
            <w:shd w:val="clear" w:color="auto" w:fill="auto"/>
          </w:tcPr>
          <w:p w14:paraId="39B666B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12" w:name="_DV_C2045"/>
            <w:r w:rsidRPr="002A2EA6">
              <w:rPr>
                <w:rStyle w:val="DeltaViewInsertion"/>
                <w:rFonts w:eastAsia="SimSun"/>
                <w:color w:val="auto"/>
                <w:sz w:val="18"/>
                <w:szCs w:val="18"/>
                <w:u w:val="none"/>
              </w:rPr>
              <w:t xml:space="preserve">646 </w:t>
            </w:r>
            <w:bookmarkEnd w:id="512"/>
          </w:p>
        </w:tc>
      </w:tr>
      <w:tr w:rsidR="002A2EA6" w:rsidRPr="002A2EA6" w14:paraId="4B1E7991" w14:textId="77777777" w:rsidTr="00A54D8B">
        <w:trPr>
          <w:trHeight w:val="57"/>
          <w:jc w:val="right"/>
        </w:trPr>
        <w:tc>
          <w:tcPr>
            <w:tcW w:w="709" w:type="dxa"/>
            <w:tcBorders>
              <w:top w:val="nil"/>
              <w:left w:val="nil"/>
              <w:bottom w:val="nil"/>
              <w:right w:val="nil"/>
            </w:tcBorders>
            <w:shd w:val="clear" w:color="auto" w:fill="auto"/>
          </w:tcPr>
          <w:p w14:paraId="082F4D9E"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13" w:name="_DV_C2051"/>
            <w:r w:rsidRPr="002A2EA6">
              <w:rPr>
                <w:rStyle w:val="DeltaViewInsertion"/>
                <w:rFonts w:eastAsia="SimSun"/>
                <w:color w:val="auto"/>
                <w:sz w:val="18"/>
                <w:szCs w:val="18"/>
                <w:u w:val="none"/>
              </w:rPr>
              <w:t>21</w:t>
            </w:r>
            <w:bookmarkEnd w:id="513"/>
          </w:p>
        </w:tc>
        <w:tc>
          <w:tcPr>
            <w:tcW w:w="2552" w:type="dxa"/>
            <w:tcBorders>
              <w:top w:val="nil"/>
              <w:left w:val="nil"/>
              <w:bottom w:val="nil"/>
              <w:right w:val="nil"/>
            </w:tcBorders>
            <w:shd w:val="clear" w:color="auto" w:fill="auto"/>
          </w:tcPr>
          <w:p w14:paraId="19C1602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14" w:name="_DV_C2052"/>
            <w:r w:rsidRPr="002A2EA6">
              <w:rPr>
                <w:rStyle w:val="DeltaViewInsertion"/>
                <w:rFonts w:eastAsia="SimSun"/>
                <w:color w:val="auto"/>
                <w:sz w:val="18"/>
                <w:szCs w:val="18"/>
                <w:u w:val="none"/>
              </w:rPr>
              <w:t>Namibi</w:t>
            </w:r>
            <w:bookmarkEnd w:id="514"/>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2A932D2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15" w:name="_DV_C2053"/>
            <w:r w:rsidRPr="002A2EA6">
              <w:rPr>
                <w:rStyle w:val="DeltaViewInsertion"/>
                <w:rFonts w:eastAsia="SimSun"/>
                <w:color w:val="auto"/>
                <w:sz w:val="18"/>
                <w:szCs w:val="18"/>
                <w:u w:val="none"/>
              </w:rPr>
              <w:t>0,009</w:t>
            </w:r>
            <w:bookmarkEnd w:id="515"/>
          </w:p>
        </w:tc>
        <w:tc>
          <w:tcPr>
            <w:tcW w:w="1984" w:type="dxa"/>
            <w:tcBorders>
              <w:top w:val="nil"/>
              <w:left w:val="nil"/>
              <w:bottom w:val="nil"/>
              <w:right w:val="nil"/>
            </w:tcBorders>
            <w:shd w:val="clear" w:color="auto" w:fill="auto"/>
          </w:tcPr>
          <w:p w14:paraId="6B393C9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16" w:name="_DV_C2054"/>
            <w:r w:rsidRPr="002A2EA6">
              <w:rPr>
                <w:rStyle w:val="DeltaViewInsertion"/>
                <w:rFonts w:eastAsia="SimSun"/>
                <w:color w:val="auto"/>
                <w:sz w:val="18"/>
                <w:szCs w:val="18"/>
                <w:u w:val="none"/>
              </w:rPr>
              <w:t>0,0110</w:t>
            </w:r>
            <w:bookmarkEnd w:id="516"/>
          </w:p>
        </w:tc>
        <w:tc>
          <w:tcPr>
            <w:tcW w:w="1985" w:type="dxa"/>
            <w:tcBorders>
              <w:top w:val="nil"/>
              <w:left w:val="nil"/>
              <w:bottom w:val="nil"/>
              <w:right w:val="nil"/>
            </w:tcBorders>
            <w:shd w:val="clear" w:color="auto" w:fill="auto"/>
          </w:tcPr>
          <w:p w14:paraId="0DD54E0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17" w:name="_DV_C2055"/>
            <w:r w:rsidRPr="002A2EA6">
              <w:rPr>
                <w:rStyle w:val="DeltaViewInsertion"/>
                <w:rFonts w:eastAsia="SimSun"/>
                <w:color w:val="auto"/>
                <w:sz w:val="18"/>
                <w:szCs w:val="18"/>
                <w:u w:val="none"/>
              </w:rPr>
              <w:t xml:space="preserve">713 </w:t>
            </w:r>
            <w:bookmarkEnd w:id="517"/>
          </w:p>
        </w:tc>
      </w:tr>
      <w:tr w:rsidR="002A2EA6" w:rsidRPr="002A2EA6" w14:paraId="52664C6E" w14:textId="77777777" w:rsidTr="00A54D8B">
        <w:trPr>
          <w:trHeight w:val="57"/>
          <w:jc w:val="right"/>
        </w:trPr>
        <w:tc>
          <w:tcPr>
            <w:tcW w:w="709" w:type="dxa"/>
            <w:tcBorders>
              <w:top w:val="nil"/>
              <w:left w:val="nil"/>
              <w:bottom w:val="nil"/>
              <w:right w:val="nil"/>
            </w:tcBorders>
            <w:shd w:val="clear" w:color="auto" w:fill="auto"/>
          </w:tcPr>
          <w:p w14:paraId="6B2A9D8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18" w:name="_DV_C2056"/>
            <w:r w:rsidRPr="002A2EA6">
              <w:rPr>
                <w:rStyle w:val="DeltaViewInsertion"/>
                <w:rFonts w:eastAsia="SimSun"/>
                <w:color w:val="auto"/>
                <w:sz w:val="18"/>
                <w:szCs w:val="18"/>
                <w:u w:val="none"/>
              </w:rPr>
              <w:t>22</w:t>
            </w:r>
            <w:bookmarkEnd w:id="518"/>
          </w:p>
        </w:tc>
        <w:tc>
          <w:tcPr>
            <w:tcW w:w="2552" w:type="dxa"/>
            <w:tcBorders>
              <w:top w:val="nil"/>
              <w:left w:val="nil"/>
              <w:bottom w:val="nil"/>
              <w:right w:val="nil"/>
            </w:tcBorders>
            <w:shd w:val="clear" w:color="auto" w:fill="auto"/>
          </w:tcPr>
          <w:p w14:paraId="5CE9DC1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19" w:name="_DV_C2057"/>
            <w:r w:rsidRPr="002A2EA6">
              <w:rPr>
                <w:rStyle w:val="DeltaViewInsertion"/>
                <w:rFonts w:eastAsia="SimSun"/>
                <w:color w:val="auto"/>
                <w:sz w:val="18"/>
                <w:szCs w:val="18"/>
                <w:u w:val="none"/>
              </w:rPr>
              <w:t>Niger</w:t>
            </w:r>
            <w:bookmarkEnd w:id="519"/>
          </w:p>
        </w:tc>
        <w:tc>
          <w:tcPr>
            <w:tcW w:w="1701" w:type="dxa"/>
            <w:tcBorders>
              <w:top w:val="nil"/>
              <w:left w:val="nil"/>
              <w:bottom w:val="nil"/>
              <w:right w:val="nil"/>
            </w:tcBorders>
            <w:shd w:val="clear" w:color="auto" w:fill="auto"/>
          </w:tcPr>
          <w:p w14:paraId="12AD6A6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0" w:name="_DV_C2058"/>
            <w:r w:rsidRPr="002A2EA6">
              <w:rPr>
                <w:rStyle w:val="DeltaViewInsertion"/>
                <w:rFonts w:eastAsia="SimSun"/>
                <w:color w:val="auto"/>
                <w:sz w:val="18"/>
                <w:szCs w:val="18"/>
                <w:u w:val="none"/>
              </w:rPr>
              <w:t>0,002</w:t>
            </w:r>
            <w:bookmarkEnd w:id="520"/>
          </w:p>
        </w:tc>
        <w:tc>
          <w:tcPr>
            <w:tcW w:w="1984" w:type="dxa"/>
            <w:tcBorders>
              <w:top w:val="nil"/>
              <w:left w:val="nil"/>
              <w:bottom w:val="nil"/>
              <w:right w:val="nil"/>
            </w:tcBorders>
            <w:shd w:val="clear" w:color="auto" w:fill="auto"/>
          </w:tcPr>
          <w:p w14:paraId="21D7913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1" w:name="_DV_C2059"/>
            <w:r w:rsidRPr="002A2EA6">
              <w:rPr>
                <w:rStyle w:val="DeltaViewInsertion"/>
                <w:rFonts w:eastAsia="SimSun"/>
                <w:color w:val="auto"/>
                <w:sz w:val="18"/>
                <w:szCs w:val="18"/>
                <w:u w:val="none"/>
              </w:rPr>
              <w:t>0,0100</w:t>
            </w:r>
            <w:bookmarkEnd w:id="521"/>
          </w:p>
        </w:tc>
        <w:tc>
          <w:tcPr>
            <w:tcW w:w="1985" w:type="dxa"/>
            <w:tcBorders>
              <w:top w:val="nil"/>
              <w:left w:val="nil"/>
              <w:bottom w:val="nil"/>
              <w:right w:val="nil"/>
            </w:tcBorders>
            <w:shd w:val="clear" w:color="auto" w:fill="auto"/>
          </w:tcPr>
          <w:p w14:paraId="65E9B8E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2" w:name="_DV_C2060"/>
            <w:r w:rsidRPr="002A2EA6">
              <w:rPr>
                <w:rStyle w:val="DeltaViewInsertion"/>
                <w:rFonts w:eastAsia="SimSun"/>
                <w:color w:val="auto"/>
                <w:sz w:val="18"/>
                <w:szCs w:val="18"/>
                <w:u w:val="none"/>
              </w:rPr>
              <w:t xml:space="preserve">646 </w:t>
            </w:r>
            <w:bookmarkEnd w:id="522"/>
          </w:p>
        </w:tc>
      </w:tr>
      <w:tr w:rsidR="002A2EA6" w:rsidRPr="002A2EA6" w14:paraId="30F79B9E" w14:textId="77777777" w:rsidTr="00A54D8B">
        <w:trPr>
          <w:trHeight w:val="57"/>
          <w:jc w:val="right"/>
        </w:trPr>
        <w:tc>
          <w:tcPr>
            <w:tcW w:w="709" w:type="dxa"/>
            <w:tcBorders>
              <w:top w:val="nil"/>
              <w:left w:val="nil"/>
              <w:bottom w:val="nil"/>
              <w:right w:val="nil"/>
            </w:tcBorders>
            <w:shd w:val="clear" w:color="auto" w:fill="auto"/>
          </w:tcPr>
          <w:p w14:paraId="398EF6B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23" w:name="_DV_C2061"/>
            <w:r w:rsidRPr="002A2EA6">
              <w:rPr>
                <w:rStyle w:val="DeltaViewInsertion"/>
                <w:rFonts w:eastAsia="SimSun"/>
                <w:color w:val="auto"/>
                <w:sz w:val="18"/>
                <w:szCs w:val="18"/>
                <w:u w:val="none"/>
              </w:rPr>
              <w:t>23</w:t>
            </w:r>
            <w:bookmarkEnd w:id="523"/>
          </w:p>
        </w:tc>
        <w:tc>
          <w:tcPr>
            <w:tcW w:w="2552" w:type="dxa"/>
            <w:tcBorders>
              <w:top w:val="nil"/>
              <w:left w:val="nil"/>
              <w:bottom w:val="nil"/>
              <w:right w:val="nil"/>
            </w:tcBorders>
            <w:shd w:val="clear" w:color="auto" w:fill="auto"/>
          </w:tcPr>
          <w:p w14:paraId="3C9CCE9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24" w:name="_DV_C2062"/>
            <w:r w:rsidRPr="002A2EA6">
              <w:rPr>
                <w:rStyle w:val="DeltaViewInsertion"/>
                <w:rFonts w:eastAsia="SimSun"/>
                <w:color w:val="auto"/>
                <w:sz w:val="18"/>
                <w:szCs w:val="18"/>
                <w:u w:val="none"/>
              </w:rPr>
              <w:t>Nigéria</w:t>
            </w:r>
            <w:bookmarkEnd w:id="524"/>
          </w:p>
        </w:tc>
        <w:tc>
          <w:tcPr>
            <w:tcW w:w="1701" w:type="dxa"/>
            <w:tcBorders>
              <w:top w:val="nil"/>
              <w:left w:val="nil"/>
              <w:bottom w:val="nil"/>
              <w:right w:val="nil"/>
            </w:tcBorders>
            <w:shd w:val="clear" w:color="auto" w:fill="auto"/>
          </w:tcPr>
          <w:p w14:paraId="66AF0C9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5" w:name="_DV_C2063"/>
            <w:r w:rsidRPr="002A2EA6">
              <w:rPr>
                <w:rStyle w:val="DeltaViewInsertion"/>
                <w:rFonts w:eastAsia="SimSun"/>
                <w:color w:val="auto"/>
                <w:sz w:val="18"/>
                <w:szCs w:val="18"/>
                <w:u w:val="none"/>
              </w:rPr>
              <w:t>0,25</w:t>
            </w:r>
            <w:bookmarkEnd w:id="525"/>
          </w:p>
        </w:tc>
        <w:tc>
          <w:tcPr>
            <w:tcW w:w="1984" w:type="dxa"/>
            <w:tcBorders>
              <w:top w:val="nil"/>
              <w:left w:val="nil"/>
              <w:bottom w:val="nil"/>
              <w:right w:val="nil"/>
            </w:tcBorders>
            <w:shd w:val="clear" w:color="auto" w:fill="auto"/>
          </w:tcPr>
          <w:p w14:paraId="6483C9F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6" w:name="_DV_C2064"/>
            <w:r w:rsidRPr="002A2EA6">
              <w:rPr>
                <w:rStyle w:val="DeltaViewInsertion"/>
                <w:rFonts w:eastAsia="SimSun"/>
                <w:color w:val="auto"/>
                <w:sz w:val="18"/>
                <w:szCs w:val="18"/>
                <w:u w:val="none"/>
              </w:rPr>
              <w:t>0,3063</w:t>
            </w:r>
            <w:bookmarkEnd w:id="526"/>
          </w:p>
        </w:tc>
        <w:tc>
          <w:tcPr>
            <w:tcW w:w="1985" w:type="dxa"/>
            <w:tcBorders>
              <w:top w:val="nil"/>
              <w:left w:val="nil"/>
              <w:bottom w:val="nil"/>
              <w:right w:val="nil"/>
            </w:tcBorders>
            <w:shd w:val="clear" w:color="auto" w:fill="auto"/>
          </w:tcPr>
          <w:p w14:paraId="2EE8B86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7" w:name="_DV_C2065"/>
            <w:r w:rsidRPr="002A2EA6">
              <w:rPr>
                <w:rStyle w:val="DeltaViewInsertion"/>
                <w:rFonts w:eastAsia="SimSun"/>
                <w:color w:val="auto"/>
                <w:sz w:val="18"/>
                <w:szCs w:val="18"/>
                <w:u w:val="none"/>
              </w:rPr>
              <w:t xml:space="preserve">19 799 </w:t>
            </w:r>
            <w:bookmarkEnd w:id="527"/>
          </w:p>
        </w:tc>
      </w:tr>
      <w:tr w:rsidR="002A2EA6" w:rsidRPr="002A2EA6" w14:paraId="3DA2A3EB" w14:textId="77777777" w:rsidTr="00A54D8B">
        <w:trPr>
          <w:trHeight w:val="57"/>
          <w:jc w:val="right"/>
        </w:trPr>
        <w:tc>
          <w:tcPr>
            <w:tcW w:w="709" w:type="dxa"/>
            <w:tcBorders>
              <w:top w:val="nil"/>
              <w:left w:val="nil"/>
              <w:bottom w:val="nil"/>
              <w:right w:val="nil"/>
            </w:tcBorders>
            <w:shd w:val="clear" w:color="auto" w:fill="auto"/>
          </w:tcPr>
          <w:p w14:paraId="2619BF7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2</w:t>
            </w:r>
            <w:r w:rsidRPr="002A2EA6">
              <w:rPr>
                <w:sz w:val="18"/>
                <w:szCs w:val="18"/>
              </w:rPr>
              <w:t>4</w:t>
            </w:r>
          </w:p>
        </w:tc>
        <w:tc>
          <w:tcPr>
            <w:tcW w:w="2552" w:type="dxa"/>
            <w:tcBorders>
              <w:top w:val="nil"/>
              <w:left w:val="nil"/>
              <w:bottom w:val="nil"/>
              <w:right w:val="nil"/>
            </w:tcBorders>
            <w:shd w:val="clear" w:color="auto" w:fill="auto"/>
          </w:tcPr>
          <w:p w14:paraId="44D2DB26"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28" w:name="_DV_C2102"/>
            <w:r w:rsidRPr="002A2EA6">
              <w:rPr>
                <w:rStyle w:val="DeltaViewInsertion"/>
                <w:rFonts w:eastAsia="SimSun"/>
                <w:color w:val="auto"/>
                <w:sz w:val="18"/>
                <w:szCs w:val="18"/>
                <w:u w:val="none"/>
              </w:rPr>
              <w:t>Ouganda</w:t>
            </w:r>
            <w:bookmarkEnd w:id="528"/>
          </w:p>
        </w:tc>
        <w:tc>
          <w:tcPr>
            <w:tcW w:w="1701" w:type="dxa"/>
            <w:tcBorders>
              <w:top w:val="nil"/>
              <w:left w:val="nil"/>
              <w:bottom w:val="nil"/>
              <w:right w:val="nil"/>
            </w:tcBorders>
            <w:shd w:val="clear" w:color="auto" w:fill="auto"/>
          </w:tcPr>
          <w:p w14:paraId="682E0D0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29" w:name="_DV_C2103"/>
            <w:r w:rsidRPr="002A2EA6">
              <w:rPr>
                <w:rStyle w:val="DeltaViewInsertion"/>
                <w:rFonts w:eastAsia="SimSun"/>
                <w:color w:val="auto"/>
                <w:sz w:val="18"/>
                <w:szCs w:val="18"/>
                <w:u w:val="none"/>
              </w:rPr>
              <w:t>0,008</w:t>
            </w:r>
            <w:bookmarkEnd w:id="529"/>
          </w:p>
        </w:tc>
        <w:tc>
          <w:tcPr>
            <w:tcW w:w="1984" w:type="dxa"/>
            <w:tcBorders>
              <w:top w:val="nil"/>
              <w:left w:val="nil"/>
              <w:bottom w:val="nil"/>
              <w:right w:val="nil"/>
            </w:tcBorders>
            <w:shd w:val="clear" w:color="auto" w:fill="auto"/>
          </w:tcPr>
          <w:p w14:paraId="49B5D52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30" w:name="_DV_C2104"/>
            <w:r w:rsidRPr="002A2EA6">
              <w:rPr>
                <w:rStyle w:val="DeltaViewInsertion"/>
                <w:rFonts w:eastAsia="SimSun"/>
                <w:color w:val="auto"/>
                <w:sz w:val="18"/>
                <w:szCs w:val="18"/>
                <w:u w:val="none"/>
              </w:rPr>
              <w:t>0,0100</w:t>
            </w:r>
            <w:bookmarkEnd w:id="530"/>
          </w:p>
        </w:tc>
        <w:tc>
          <w:tcPr>
            <w:tcW w:w="1985" w:type="dxa"/>
            <w:tcBorders>
              <w:top w:val="nil"/>
              <w:left w:val="nil"/>
              <w:bottom w:val="nil"/>
              <w:right w:val="nil"/>
            </w:tcBorders>
            <w:shd w:val="clear" w:color="auto" w:fill="auto"/>
          </w:tcPr>
          <w:p w14:paraId="5FBF015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31" w:name="_DV_C2105"/>
            <w:r w:rsidRPr="002A2EA6">
              <w:rPr>
                <w:rStyle w:val="DeltaViewInsertion"/>
                <w:rFonts w:eastAsia="SimSun"/>
                <w:color w:val="auto"/>
                <w:sz w:val="18"/>
                <w:szCs w:val="18"/>
                <w:u w:val="none"/>
              </w:rPr>
              <w:t xml:space="preserve">646 </w:t>
            </w:r>
            <w:bookmarkEnd w:id="531"/>
          </w:p>
        </w:tc>
      </w:tr>
      <w:tr w:rsidR="002A2EA6" w:rsidRPr="002A2EA6" w14:paraId="4C06F0B8" w14:textId="77777777" w:rsidTr="00A54D8B">
        <w:trPr>
          <w:trHeight w:val="57"/>
          <w:jc w:val="right"/>
        </w:trPr>
        <w:tc>
          <w:tcPr>
            <w:tcW w:w="709" w:type="dxa"/>
            <w:tcBorders>
              <w:top w:val="nil"/>
              <w:left w:val="nil"/>
              <w:bottom w:val="nil"/>
              <w:right w:val="nil"/>
            </w:tcBorders>
            <w:shd w:val="clear" w:color="auto" w:fill="auto"/>
          </w:tcPr>
          <w:p w14:paraId="2377554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32" w:name="_DV_C2066"/>
            <w:r w:rsidRPr="002A2EA6">
              <w:rPr>
                <w:rStyle w:val="DeltaViewInsertion"/>
                <w:rFonts w:eastAsia="SimSun"/>
                <w:color w:val="auto"/>
                <w:sz w:val="18"/>
                <w:szCs w:val="18"/>
                <w:u w:val="none"/>
              </w:rPr>
              <w:t>2</w:t>
            </w:r>
            <w:bookmarkEnd w:id="532"/>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340E3AC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33" w:name="_DV_C2067"/>
            <w:r w:rsidRPr="002A2EA6">
              <w:rPr>
                <w:rStyle w:val="DeltaViewInsertion"/>
                <w:rFonts w:eastAsia="SimSun"/>
                <w:color w:val="auto"/>
                <w:sz w:val="18"/>
                <w:szCs w:val="18"/>
                <w:u w:val="none"/>
              </w:rPr>
              <w:t>Rwanda</w:t>
            </w:r>
            <w:bookmarkEnd w:id="533"/>
          </w:p>
        </w:tc>
        <w:tc>
          <w:tcPr>
            <w:tcW w:w="1701" w:type="dxa"/>
            <w:tcBorders>
              <w:top w:val="nil"/>
              <w:left w:val="nil"/>
              <w:bottom w:val="nil"/>
              <w:right w:val="nil"/>
            </w:tcBorders>
            <w:shd w:val="clear" w:color="auto" w:fill="auto"/>
          </w:tcPr>
          <w:p w14:paraId="20F2164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34" w:name="_DV_C2068"/>
            <w:r w:rsidRPr="002A2EA6">
              <w:rPr>
                <w:rStyle w:val="DeltaViewInsertion"/>
                <w:rFonts w:eastAsia="SimSun"/>
                <w:color w:val="auto"/>
                <w:sz w:val="18"/>
                <w:szCs w:val="18"/>
                <w:u w:val="none"/>
              </w:rPr>
              <w:t>0,003</w:t>
            </w:r>
            <w:bookmarkEnd w:id="534"/>
          </w:p>
        </w:tc>
        <w:tc>
          <w:tcPr>
            <w:tcW w:w="1984" w:type="dxa"/>
            <w:tcBorders>
              <w:top w:val="nil"/>
              <w:left w:val="nil"/>
              <w:bottom w:val="nil"/>
              <w:right w:val="nil"/>
            </w:tcBorders>
            <w:shd w:val="clear" w:color="auto" w:fill="auto"/>
          </w:tcPr>
          <w:p w14:paraId="024C57F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35" w:name="_DV_C2069"/>
            <w:r w:rsidRPr="002A2EA6">
              <w:rPr>
                <w:rStyle w:val="DeltaViewInsertion"/>
                <w:rFonts w:eastAsia="SimSun"/>
                <w:color w:val="auto"/>
                <w:sz w:val="18"/>
                <w:szCs w:val="18"/>
                <w:u w:val="none"/>
              </w:rPr>
              <w:t>0,0100</w:t>
            </w:r>
            <w:bookmarkEnd w:id="535"/>
          </w:p>
        </w:tc>
        <w:tc>
          <w:tcPr>
            <w:tcW w:w="1985" w:type="dxa"/>
            <w:tcBorders>
              <w:top w:val="nil"/>
              <w:left w:val="nil"/>
              <w:bottom w:val="nil"/>
              <w:right w:val="nil"/>
            </w:tcBorders>
            <w:shd w:val="clear" w:color="auto" w:fill="auto"/>
          </w:tcPr>
          <w:p w14:paraId="45D65EF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36" w:name="_DV_C2070"/>
            <w:r w:rsidRPr="002A2EA6">
              <w:rPr>
                <w:rStyle w:val="DeltaViewInsertion"/>
                <w:rFonts w:eastAsia="SimSun"/>
                <w:color w:val="auto"/>
                <w:sz w:val="18"/>
                <w:szCs w:val="18"/>
                <w:u w:val="none"/>
              </w:rPr>
              <w:t xml:space="preserve">646 </w:t>
            </w:r>
            <w:bookmarkEnd w:id="536"/>
          </w:p>
        </w:tc>
      </w:tr>
      <w:tr w:rsidR="002A2EA6" w:rsidRPr="002A2EA6" w14:paraId="3057E6CA" w14:textId="77777777" w:rsidTr="00A54D8B">
        <w:trPr>
          <w:trHeight w:val="57"/>
          <w:jc w:val="right"/>
        </w:trPr>
        <w:tc>
          <w:tcPr>
            <w:tcW w:w="709" w:type="dxa"/>
            <w:tcBorders>
              <w:top w:val="nil"/>
              <w:left w:val="nil"/>
              <w:bottom w:val="nil"/>
              <w:right w:val="nil"/>
            </w:tcBorders>
            <w:shd w:val="clear" w:color="auto" w:fill="auto"/>
          </w:tcPr>
          <w:p w14:paraId="414DA76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37" w:name="_DV_C2071"/>
            <w:r w:rsidRPr="002A2EA6">
              <w:rPr>
                <w:rStyle w:val="DeltaViewInsertion"/>
                <w:rFonts w:eastAsia="SimSun"/>
                <w:color w:val="auto"/>
                <w:sz w:val="18"/>
                <w:szCs w:val="18"/>
                <w:u w:val="none"/>
              </w:rPr>
              <w:t>2</w:t>
            </w:r>
            <w:bookmarkEnd w:id="537"/>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5B1BC4C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38" w:name="_DV_C2072"/>
            <w:r w:rsidRPr="002A2EA6">
              <w:rPr>
                <w:rStyle w:val="DeltaViewInsertion"/>
                <w:rFonts w:eastAsia="SimSun"/>
                <w:color w:val="auto"/>
                <w:sz w:val="18"/>
                <w:szCs w:val="18"/>
                <w:u w:val="none"/>
              </w:rPr>
              <w:t>Sao-Tomé-et Principe</w:t>
            </w:r>
            <w:bookmarkEnd w:id="538"/>
          </w:p>
        </w:tc>
        <w:tc>
          <w:tcPr>
            <w:tcW w:w="1701" w:type="dxa"/>
            <w:tcBorders>
              <w:top w:val="nil"/>
              <w:left w:val="nil"/>
              <w:bottom w:val="nil"/>
              <w:right w:val="nil"/>
            </w:tcBorders>
            <w:shd w:val="clear" w:color="auto" w:fill="auto"/>
          </w:tcPr>
          <w:p w14:paraId="5357EBA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39" w:name="_DV_C2073"/>
            <w:r w:rsidRPr="002A2EA6">
              <w:rPr>
                <w:rStyle w:val="DeltaViewInsertion"/>
                <w:rFonts w:eastAsia="SimSun"/>
                <w:color w:val="auto"/>
                <w:sz w:val="18"/>
                <w:szCs w:val="18"/>
                <w:u w:val="none"/>
              </w:rPr>
              <w:t>0,001</w:t>
            </w:r>
            <w:bookmarkEnd w:id="539"/>
          </w:p>
        </w:tc>
        <w:tc>
          <w:tcPr>
            <w:tcW w:w="1984" w:type="dxa"/>
            <w:tcBorders>
              <w:top w:val="nil"/>
              <w:left w:val="nil"/>
              <w:bottom w:val="nil"/>
              <w:right w:val="nil"/>
            </w:tcBorders>
            <w:shd w:val="clear" w:color="auto" w:fill="auto"/>
          </w:tcPr>
          <w:p w14:paraId="6EF7D00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40" w:name="_DV_C2074"/>
            <w:r w:rsidRPr="002A2EA6">
              <w:rPr>
                <w:rStyle w:val="DeltaViewInsertion"/>
                <w:rFonts w:eastAsia="SimSun"/>
                <w:color w:val="auto"/>
                <w:sz w:val="18"/>
                <w:szCs w:val="18"/>
                <w:u w:val="none"/>
              </w:rPr>
              <w:t>0,0100</w:t>
            </w:r>
            <w:bookmarkEnd w:id="540"/>
          </w:p>
        </w:tc>
        <w:tc>
          <w:tcPr>
            <w:tcW w:w="1985" w:type="dxa"/>
            <w:tcBorders>
              <w:top w:val="nil"/>
              <w:left w:val="nil"/>
              <w:bottom w:val="nil"/>
              <w:right w:val="nil"/>
            </w:tcBorders>
            <w:shd w:val="clear" w:color="auto" w:fill="auto"/>
          </w:tcPr>
          <w:p w14:paraId="33F3F05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41" w:name="_DV_C2075"/>
            <w:r w:rsidRPr="002A2EA6">
              <w:rPr>
                <w:rStyle w:val="DeltaViewInsertion"/>
                <w:rFonts w:eastAsia="SimSun"/>
                <w:color w:val="auto"/>
                <w:sz w:val="18"/>
                <w:szCs w:val="18"/>
                <w:u w:val="none"/>
              </w:rPr>
              <w:t xml:space="preserve">646 </w:t>
            </w:r>
            <w:bookmarkEnd w:id="541"/>
          </w:p>
        </w:tc>
      </w:tr>
      <w:tr w:rsidR="002A2EA6" w:rsidRPr="002A2EA6" w14:paraId="5A243278" w14:textId="77777777" w:rsidTr="00A54D8B">
        <w:trPr>
          <w:trHeight w:val="57"/>
          <w:jc w:val="right"/>
        </w:trPr>
        <w:tc>
          <w:tcPr>
            <w:tcW w:w="709" w:type="dxa"/>
            <w:tcBorders>
              <w:top w:val="nil"/>
              <w:left w:val="nil"/>
              <w:bottom w:val="nil"/>
              <w:right w:val="nil"/>
            </w:tcBorders>
            <w:shd w:val="clear" w:color="auto" w:fill="auto"/>
          </w:tcPr>
          <w:p w14:paraId="373D9B2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42" w:name="_DV_C2076"/>
            <w:r w:rsidRPr="002A2EA6">
              <w:rPr>
                <w:rStyle w:val="DeltaViewInsertion"/>
                <w:rFonts w:eastAsia="SimSun"/>
                <w:color w:val="auto"/>
                <w:sz w:val="18"/>
                <w:szCs w:val="18"/>
                <w:u w:val="none"/>
              </w:rPr>
              <w:t>2</w:t>
            </w:r>
            <w:bookmarkEnd w:id="542"/>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5176748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43" w:name="_DV_C2077"/>
            <w:r w:rsidRPr="002A2EA6">
              <w:rPr>
                <w:rStyle w:val="DeltaViewInsertion"/>
                <w:rFonts w:eastAsia="SimSun"/>
                <w:color w:val="auto"/>
                <w:sz w:val="18"/>
                <w:szCs w:val="18"/>
                <w:u w:val="none"/>
              </w:rPr>
              <w:t>Sénégal</w:t>
            </w:r>
            <w:bookmarkEnd w:id="543"/>
          </w:p>
        </w:tc>
        <w:tc>
          <w:tcPr>
            <w:tcW w:w="1701" w:type="dxa"/>
            <w:tcBorders>
              <w:top w:val="nil"/>
              <w:left w:val="nil"/>
              <w:bottom w:val="nil"/>
              <w:right w:val="nil"/>
            </w:tcBorders>
            <w:shd w:val="clear" w:color="auto" w:fill="auto"/>
          </w:tcPr>
          <w:p w14:paraId="4861F3F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44" w:name="_DV_C2078"/>
            <w:r w:rsidRPr="002A2EA6">
              <w:rPr>
                <w:rStyle w:val="DeltaViewInsertion"/>
                <w:rFonts w:eastAsia="SimSun"/>
                <w:color w:val="auto"/>
                <w:sz w:val="18"/>
                <w:szCs w:val="18"/>
                <w:u w:val="none"/>
              </w:rPr>
              <w:t>0,007</w:t>
            </w:r>
            <w:bookmarkEnd w:id="544"/>
          </w:p>
        </w:tc>
        <w:tc>
          <w:tcPr>
            <w:tcW w:w="1984" w:type="dxa"/>
            <w:tcBorders>
              <w:top w:val="nil"/>
              <w:left w:val="nil"/>
              <w:bottom w:val="nil"/>
              <w:right w:val="nil"/>
            </w:tcBorders>
            <w:shd w:val="clear" w:color="auto" w:fill="auto"/>
          </w:tcPr>
          <w:p w14:paraId="70D9A4D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45" w:name="_DV_C2079"/>
            <w:r w:rsidRPr="002A2EA6">
              <w:rPr>
                <w:rStyle w:val="DeltaViewInsertion"/>
                <w:rFonts w:eastAsia="SimSun"/>
                <w:color w:val="auto"/>
                <w:sz w:val="18"/>
                <w:szCs w:val="18"/>
                <w:u w:val="none"/>
              </w:rPr>
              <w:t>0,0100</w:t>
            </w:r>
            <w:bookmarkEnd w:id="545"/>
          </w:p>
        </w:tc>
        <w:tc>
          <w:tcPr>
            <w:tcW w:w="1985" w:type="dxa"/>
            <w:tcBorders>
              <w:top w:val="nil"/>
              <w:left w:val="nil"/>
              <w:bottom w:val="nil"/>
              <w:right w:val="nil"/>
            </w:tcBorders>
            <w:shd w:val="clear" w:color="auto" w:fill="auto"/>
          </w:tcPr>
          <w:p w14:paraId="6895E94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46" w:name="_DV_C2080"/>
            <w:r w:rsidRPr="002A2EA6">
              <w:rPr>
                <w:rStyle w:val="DeltaViewInsertion"/>
                <w:rFonts w:eastAsia="SimSun"/>
                <w:color w:val="auto"/>
                <w:sz w:val="18"/>
                <w:szCs w:val="18"/>
                <w:u w:val="none"/>
              </w:rPr>
              <w:t xml:space="preserve">646 </w:t>
            </w:r>
            <w:bookmarkEnd w:id="546"/>
          </w:p>
        </w:tc>
      </w:tr>
      <w:tr w:rsidR="002A2EA6" w:rsidRPr="002A2EA6" w14:paraId="65A51A4E" w14:textId="77777777" w:rsidTr="00A54D8B">
        <w:trPr>
          <w:trHeight w:val="57"/>
          <w:jc w:val="right"/>
        </w:trPr>
        <w:tc>
          <w:tcPr>
            <w:tcW w:w="709" w:type="dxa"/>
            <w:tcBorders>
              <w:top w:val="nil"/>
              <w:left w:val="nil"/>
              <w:bottom w:val="nil"/>
              <w:right w:val="nil"/>
            </w:tcBorders>
            <w:shd w:val="clear" w:color="auto" w:fill="auto"/>
          </w:tcPr>
          <w:p w14:paraId="39B11D54"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47" w:name="_DV_C2081"/>
            <w:r w:rsidRPr="002A2EA6">
              <w:rPr>
                <w:rStyle w:val="DeltaViewInsertion"/>
                <w:rFonts w:eastAsia="SimSun"/>
                <w:color w:val="auto"/>
                <w:sz w:val="18"/>
                <w:szCs w:val="18"/>
                <w:u w:val="none"/>
              </w:rPr>
              <w:t>2</w:t>
            </w:r>
            <w:bookmarkEnd w:id="547"/>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5ABF0365"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48" w:name="_DV_C2082"/>
            <w:r w:rsidRPr="002A2EA6">
              <w:rPr>
                <w:rStyle w:val="DeltaViewInsertion"/>
                <w:rFonts w:eastAsia="SimSun"/>
                <w:color w:val="auto"/>
                <w:sz w:val="18"/>
                <w:szCs w:val="18"/>
                <w:u w:val="none"/>
              </w:rPr>
              <w:t>Seychelles</w:t>
            </w:r>
            <w:bookmarkEnd w:id="548"/>
          </w:p>
        </w:tc>
        <w:tc>
          <w:tcPr>
            <w:tcW w:w="1701" w:type="dxa"/>
            <w:tcBorders>
              <w:top w:val="nil"/>
              <w:left w:val="nil"/>
              <w:bottom w:val="nil"/>
              <w:right w:val="nil"/>
            </w:tcBorders>
            <w:shd w:val="clear" w:color="auto" w:fill="auto"/>
          </w:tcPr>
          <w:p w14:paraId="6CF2186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49" w:name="_DV_C2083"/>
            <w:r w:rsidRPr="002A2EA6">
              <w:rPr>
                <w:rStyle w:val="DeltaViewInsertion"/>
                <w:rFonts w:eastAsia="SimSun"/>
                <w:color w:val="auto"/>
                <w:sz w:val="18"/>
                <w:szCs w:val="18"/>
                <w:u w:val="none"/>
              </w:rPr>
              <w:t>0,002</w:t>
            </w:r>
            <w:bookmarkEnd w:id="549"/>
          </w:p>
        </w:tc>
        <w:tc>
          <w:tcPr>
            <w:tcW w:w="1984" w:type="dxa"/>
            <w:tcBorders>
              <w:top w:val="nil"/>
              <w:left w:val="nil"/>
              <w:bottom w:val="nil"/>
              <w:right w:val="nil"/>
            </w:tcBorders>
            <w:shd w:val="clear" w:color="auto" w:fill="auto"/>
          </w:tcPr>
          <w:p w14:paraId="1E9EF1A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0" w:name="_DV_C2084"/>
            <w:r w:rsidRPr="002A2EA6">
              <w:rPr>
                <w:rStyle w:val="DeltaViewInsertion"/>
                <w:rFonts w:eastAsia="SimSun"/>
                <w:color w:val="auto"/>
                <w:sz w:val="18"/>
                <w:szCs w:val="18"/>
                <w:u w:val="none"/>
              </w:rPr>
              <w:t>0,0100</w:t>
            </w:r>
            <w:bookmarkEnd w:id="550"/>
          </w:p>
        </w:tc>
        <w:tc>
          <w:tcPr>
            <w:tcW w:w="1985" w:type="dxa"/>
            <w:tcBorders>
              <w:top w:val="nil"/>
              <w:left w:val="nil"/>
              <w:bottom w:val="nil"/>
              <w:right w:val="nil"/>
            </w:tcBorders>
            <w:shd w:val="clear" w:color="auto" w:fill="auto"/>
          </w:tcPr>
          <w:p w14:paraId="52AA2D9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1" w:name="_DV_C2085"/>
            <w:r w:rsidRPr="002A2EA6">
              <w:rPr>
                <w:rStyle w:val="DeltaViewInsertion"/>
                <w:rFonts w:eastAsia="SimSun"/>
                <w:color w:val="auto"/>
                <w:sz w:val="18"/>
                <w:szCs w:val="18"/>
                <w:u w:val="none"/>
              </w:rPr>
              <w:t xml:space="preserve">646 </w:t>
            </w:r>
            <w:bookmarkEnd w:id="551"/>
          </w:p>
        </w:tc>
      </w:tr>
      <w:tr w:rsidR="002A2EA6" w:rsidRPr="002A2EA6" w14:paraId="46A135E8" w14:textId="77777777" w:rsidTr="00A54D8B">
        <w:trPr>
          <w:trHeight w:val="57"/>
          <w:jc w:val="right"/>
        </w:trPr>
        <w:tc>
          <w:tcPr>
            <w:tcW w:w="709" w:type="dxa"/>
            <w:tcBorders>
              <w:top w:val="nil"/>
              <w:left w:val="nil"/>
              <w:bottom w:val="nil"/>
              <w:right w:val="nil"/>
            </w:tcBorders>
            <w:shd w:val="clear" w:color="auto" w:fill="auto"/>
          </w:tcPr>
          <w:p w14:paraId="09EF119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52" w:name="_DV_C2086"/>
            <w:r w:rsidRPr="002A2EA6">
              <w:rPr>
                <w:rStyle w:val="DeltaViewInsertion"/>
                <w:rFonts w:eastAsia="SimSun"/>
                <w:color w:val="auto"/>
                <w:sz w:val="18"/>
                <w:szCs w:val="18"/>
                <w:u w:val="none"/>
              </w:rPr>
              <w:t>2</w:t>
            </w:r>
            <w:bookmarkEnd w:id="552"/>
            <w:r w:rsidRPr="002A2EA6">
              <w:rPr>
                <w:rStyle w:val="DeltaViewInsertion"/>
                <w:rFonts w:eastAsia="SimSun"/>
                <w:color w:val="auto"/>
                <w:sz w:val="18"/>
                <w:szCs w:val="18"/>
                <w:u w:val="none"/>
              </w:rPr>
              <w:t>9</w:t>
            </w:r>
          </w:p>
        </w:tc>
        <w:tc>
          <w:tcPr>
            <w:tcW w:w="2552" w:type="dxa"/>
            <w:tcBorders>
              <w:top w:val="nil"/>
              <w:left w:val="nil"/>
              <w:bottom w:val="nil"/>
              <w:right w:val="nil"/>
            </w:tcBorders>
            <w:shd w:val="clear" w:color="auto" w:fill="auto"/>
          </w:tcPr>
          <w:p w14:paraId="3383370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53" w:name="_DV_C2087"/>
            <w:r w:rsidRPr="002A2EA6">
              <w:rPr>
                <w:rStyle w:val="DeltaViewInsertion"/>
                <w:rFonts w:eastAsia="SimSun"/>
                <w:color w:val="auto"/>
                <w:sz w:val="18"/>
                <w:szCs w:val="18"/>
                <w:u w:val="none"/>
              </w:rPr>
              <w:t>Sierra Leone</w:t>
            </w:r>
            <w:bookmarkEnd w:id="553"/>
          </w:p>
        </w:tc>
        <w:tc>
          <w:tcPr>
            <w:tcW w:w="1701" w:type="dxa"/>
            <w:tcBorders>
              <w:top w:val="nil"/>
              <w:left w:val="nil"/>
              <w:bottom w:val="nil"/>
              <w:right w:val="nil"/>
            </w:tcBorders>
            <w:shd w:val="clear" w:color="auto" w:fill="auto"/>
          </w:tcPr>
          <w:p w14:paraId="4BE311E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4" w:name="_DV_C2088"/>
            <w:r w:rsidRPr="002A2EA6">
              <w:rPr>
                <w:rStyle w:val="DeltaViewInsertion"/>
                <w:rFonts w:eastAsia="SimSun"/>
                <w:color w:val="auto"/>
                <w:sz w:val="18"/>
                <w:szCs w:val="18"/>
                <w:u w:val="none"/>
              </w:rPr>
              <w:t>0,001</w:t>
            </w:r>
            <w:bookmarkEnd w:id="554"/>
          </w:p>
        </w:tc>
        <w:tc>
          <w:tcPr>
            <w:tcW w:w="1984" w:type="dxa"/>
            <w:tcBorders>
              <w:top w:val="nil"/>
              <w:left w:val="nil"/>
              <w:bottom w:val="nil"/>
              <w:right w:val="nil"/>
            </w:tcBorders>
            <w:shd w:val="clear" w:color="auto" w:fill="auto"/>
          </w:tcPr>
          <w:p w14:paraId="6133EA7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5" w:name="_DV_C2089"/>
            <w:r w:rsidRPr="002A2EA6">
              <w:rPr>
                <w:rStyle w:val="DeltaViewInsertion"/>
                <w:rFonts w:eastAsia="SimSun"/>
                <w:color w:val="auto"/>
                <w:sz w:val="18"/>
                <w:szCs w:val="18"/>
                <w:u w:val="none"/>
              </w:rPr>
              <w:t>0,0100</w:t>
            </w:r>
            <w:bookmarkEnd w:id="555"/>
          </w:p>
        </w:tc>
        <w:tc>
          <w:tcPr>
            <w:tcW w:w="1985" w:type="dxa"/>
            <w:tcBorders>
              <w:top w:val="nil"/>
              <w:left w:val="nil"/>
              <w:bottom w:val="nil"/>
              <w:right w:val="nil"/>
            </w:tcBorders>
            <w:shd w:val="clear" w:color="auto" w:fill="auto"/>
          </w:tcPr>
          <w:p w14:paraId="1FB6E5F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6" w:name="_DV_C2090"/>
            <w:r w:rsidRPr="002A2EA6">
              <w:rPr>
                <w:rStyle w:val="DeltaViewInsertion"/>
                <w:rFonts w:eastAsia="SimSun"/>
                <w:color w:val="auto"/>
                <w:sz w:val="18"/>
                <w:szCs w:val="18"/>
                <w:u w:val="none"/>
              </w:rPr>
              <w:t xml:space="preserve">646 </w:t>
            </w:r>
            <w:bookmarkEnd w:id="556"/>
          </w:p>
        </w:tc>
      </w:tr>
      <w:tr w:rsidR="002A2EA6" w:rsidRPr="002A2EA6" w14:paraId="40CC25AB" w14:textId="77777777" w:rsidTr="00A54D8B">
        <w:trPr>
          <w:trHeight w:val="57"/>
          <w:jc w:val="right"/>
        </w:trPr>
        <w:tc>
          <w:tcPr>
            <w:tcW w:w="709" w:type="dxa"/>
            <w:tcBorders>
              <w:top w:val="nil"/>
              <w:left w:val="nil"/>
              <w:bottom w:val="nil"/>
              <w:right w:val="nil"/>
            </w:tcBorders>
            <w:shd w:val="clear" w:color="auto" w:fill="auto"/>
          </w:tcPr>
          <w:p w14:paraId="319DE4D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0</w:t>
            </w:r>
          </w:p>
        </w:tc>
        <w:tc>
          <w:tcPr>
            <w:tcW w:w="2552" w:type="dxa"/>
            <w:tcBorders>
              <w:top w:val="nil"/>
              <w:left w:val="nil"/>
              <w:bottom w:val="nil"/>
              <w:right w:val="nil"/>
            </w:tcBorders>
            <w:shd w:val="clear" w:color="auto" w:fill="auto"/>
          </w:tcPr>
          <w:p w14:paraId="115FF01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57" w:name="_DV_C1967"/>
            <w:r w:rsidRPr="002A2EA6">
              <w:rPr>
                <w:rStyle w:val="DeltaViewInsertion"/>
                <w:rFonts w:eastAsia="SimSun"/>
                <w:color w:val="auto"/>
                <w:sz w:val="18"/>
                <w:szCs w:val="18"/>
                <w:u w:val="none"/>
              </w:rPr>
              <w:t>Tchad</w:t>
            </w:r>
            <w:bookmarkEnd w:id="557"/>
          </w:p>
        </w:tc>
        <w:tc>
          <w:tcPr>
            <w:tcW w:w="1701" w:type="dxa"/>
            <w:tcBorders>
              <w:top w:val="nil"/>
              <w:left w:val="nil"/>
              <w:bottom w:val="nil"/>
              <w:right w:val="nil"/>
            </w:tcBorders>
            <w:shd w:val="clear" w:color="auto" w:fill="auto"/>
          </w:tcPr>
          <w:p w14:paraId="288B0EE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8" w:name="_DV_C1968"/>
            <w:r w:rsidRPr="002A2EA6">
              <w:rPr>
                <w:rStyle w:val="DeltaViewInsertion"/>
                <w:rFonts w:eastAsia="SimSun"/>
                <w:color w:val="auto"/>
                <w:sz w:val="18"/>
                <w:szCs w:val="18"/>
                <w:u w:val="none"/>
              </w:rPr>
              <w:t>0,004</w:t>
            </w:r>
            <w:bookmarkEnd w:id="558"/>
          </w:p>
        </w:tc>
        <w:tc>
          <w:tcPr>
            <w:tcW w:w="1984" w:type="dxa"/>
            <w:tcBorders>
              <w:top w:val="nil"/>
              <w:left w:val="nil"/>
              <w:bottom w:val="nil"/>
              <w:right w:val="nil"/>
            </w:tcBorders>
            <w:shd w:val="clear" w:color="auto" w:fill="auto"/>
          </w:tcPr>
          <w:p w14:paraId="79C79E9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59" w:name="_DV_C1969"/>
            <w:r w:rsidRPr="002A2EA6">
              <w:rPr>
                <w:rStyle w:val="DeltaViewInsertion"/>
                <w:rFonts w:eastAsia="SimSun"/>
                <w:color w:val="auto"/>
                <w:sz w:val="18"/>
                <w:szCs w:val="18"/>
                <w:u w:val="none"/>
              </w:rPr>
              <w:t>0,0100</w:t>
            </w:r>
            <w:bookmarkEnd w:id="559"/>
          </w:p>
        </w:tc>
        <w:tc>
          <w:tcPr>
            <w:tcW w:w="1985" w:type="dxa"/>
            <w:tcBorders>
              <w:top w:val="nil"/>
              <w:left w:val="nil"/>
              <w:bottom w:val="nil"/>
              <w:right w:val="nil"/>
            </w:tcBorders>
            <w:shd w:val="clear" w:color="auto" w:fill="auto"/>
          </w:tcPr>
          <w:p w14:paraId="7A1CE00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60" w:name="_DV_C1970"/>
            <w:r w:rsidRPr="002A2EA6">
              <w:rPr>
                <w:rStyle w:val="DeltaViewInsertion"/>
                <w:rFonts w:eastAsia="SimSun"/>
                <w:color w:val="auto"/>
                <w:sz w:val="18"/>
                <w:szCs w:val="18"/>
                <w:u w:val="none"/>
              </w:rPr>
              <w:t xml:space="preserve">646 </w:t>
            </w:r>
            <w:bookmarkEnd w:id="560"/>
          </w:p>
        </w:tc>
      </w:tr>
      <w:tr w:rsidR="002A2EA6" w:rsidRPr="002A2EA6" w14:paraId="5E523769" w14:textId="77777777" w:rsidTr="00A54D8B">
        <w:trPr>
          <w:trHeight w:val="57"/>
          <w:jc w:val="right"/>
        </w:trPr>
        <w:tc>
          <w:tcPr>
            <w:tcW w:w="709" w:type="dxa"/>
            <w:tcBorders>
              <w:top w:val="nil"/>
              <w:left w:val="nil"/>
              <w:bottom w:val="nil"/>
              <w:right w:val="nil"/>
            </w:tcBorders>
            <w:shd w:val="clear" w:color="auto" w:fill="auto"/>
          </w:tcPr>
          <w:p w14:paraId="72CDEDF4"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61" w:name="_DV_C2096"/>
            <w:r w:rsidRPr="002A2EA6">
              <w:rPr>
                <w:rStyle w:val="DeltaViewInsertion"/>
                <w:rFonts w:eastAsia="SimSun"/>
                <w:color w:val="auto"/>
                <w:sz w:val="18"/>
                <w:szCs w:val="18"/>
                <w:u w:val="none"/>
              </w:rPr>
              <w:t>3</w:t>
            </w:r>
            <w:bookmarkEnd w:id="561"/>
            <w:r w:rsidRPr="002A2EA6">
              <w:rPr>
                <w:rStyle w:val="DeltaViewInsertion"/>
                <w:rFonts w:eastAsia="SimSun"/>
                <w:color w:val="auto"/>
                <w:sz w:val="18"/>
                <w:szCs w:val="18"/>
                <w:u w:val="none"/>
              </w:rPr>
              <w:t>1</w:t>
            </w:r>
          </w:p>
        </w:tc>
        <w:tc>
          <w:tcPr>
            <w:tcW w:w="2552" w:type="dxa"/>
            <w:tcBorders>
              <w:top w:val="nil"/>
              <w:left w:val="nil"/>
              <w:bottom w:val="nil"/>
              <w:right w:val="nil"/>
            </w:tcBorders>
            <w:shd w:val="clear" w:color="auto" w:fill="auto"/>
          </w:tcPr>
          <w:p w14:paraId="612EABDD"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62" w:name="_DV_C2097"/>
            <w:r w:rsidRPr="002A2EA6">
              <w:rPr>
                <w:rStyle w:val="DeltaViewInsertion"/>
                <w:rFonts w:eastAsia="SimSun"/>
                <w:color w:val="auto"/>
                <w:sz w:val="18"/>
                <w:szCs w:val="18"/>
                <w:u w:val="none"/>
              </w:rPr>
              <w:t>Togo</w:t>
            </w:r>
            <w:bookmarkEnd w:id="562"/>
          </w:p>
        </w:tc>
        <w:tc>
          <w:tcPr>
            <w:tcW w:w="1701" w:type="dxa"/>
            <w:tcBorders>
              <w:top w:val="nil"/>
              <w:left w:val="nil"/>
              <w:bottom w:val="nil"/>
              <w:right w:val="nil"/>
            </w:tcBorders>
            <w:shd w:val="clear" w:color="auto" w:fill="auto"/>
          </w:tcPr>
          <w:p w14:paraId="568431C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63" w:name="_DV_C2098"/>
            <w:r w:rsidRPr="002A2EA6">
              <w:rPr>
                <w:rStyle w:val="DeltaViewInsertion"/>
                <w:rFonts w:eastAsia="SimSun"/>
                <w:color w:val="auto"/>
                <w:sz w:val="18"/>
                <w:szCs w:val="18"/>
                <w:u w:val="none"/>
              </w:rPr>
              <w:t>0,002</w:t>
            </w:r>
            <w:bookmarkEnd w:id="563"/>
          </w:p>
        </w:tc>
        <w:tc>
          <w:tcPr>
            <w:tcW w:w="1984" w:type="dxa"/>
            <w:tcBorders>
              <w:top w:val="nil"/>
              <w:left w:val="nil"/>
              <w:bottom w:val="nil"/>
              <w:right w:val="nil"/>
            </w:tcBorders>
            <w:shd w:val="clear" w:color="auto" w:fill="auto"/>
          </w:tcPr>
          <w:p w14:paraId="28774A4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64" w:name="_DV_C2099"/>
            <w:r w:rsidRPr="002A2EA6">
              <w:rPr>
                <w:rStyle w:val="DeltaViewInsertion"/>
                <w:rFonts w:eastAsia="SimSun"/>
                <w:color w:val="auto"/>
                <w:sz w:val="18"/>
                <w:szCs w:val="18"/>
                <w:u w:val="none"/>
              </w:rPr>
              <w:t>0,0100</w:t>
            </w:r>
            <w:bookmarkEnd w:id="564"/>
          </w:p>
        </w:tc>
        <w:tc>
          <w:tcPr>
            <w:tcW w:w="1985" w:type="dxa"/>
            <w:tcBorders>
              <w:top w:val="nil"/>
              <w:left w:val="nil"/>
              <w:bottom w:val="nil"/>
              <w:right w:val="nil"/>
            </w:tcBorders>
            <w:shd w:val="clear" w:color="auto" w:fill="auto"/>
          </w:tcPr>
          <w:p w14:paraId="0368961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65" w:name="_DV_C2100"/>
            <w:r w:rsidRPr="002A2EA6">
              <w:rPr>
                <w:rStyle w:val="DeltaViewInsertion"/>
                <w:rFonts w:eastAsia="SimSun"/>
                <w:color w:val="auto"/>
                <w:sz w:val="18"/>
                <w:szCs w:val="18"/>
                <w:u w:val="none"/>
              </w:rPr>
              <w:t xml:space="preserve">646 </w:t>
            </w:r>
            <w:bookmarkEnd w:id="565"/>
          </w:p>
        </w:tc>
      </w:tr>
      <w:tr w:rsidR="002A2EA6" w:rsidRPr="002A2EA6" w14:paraId="1CA76271" w14:textId="77777777" w:rsidTr="00A54D8B">
        <w:trPr>
          <w:trHeight w:val="57"/>
          <w:jc w:val="right"/>
        </w:trPr>
        <w:tc>
          <w:tcPr>
            <w:tcW w:w="709" w:type="dxa"/>
            <w:tcBorders>
              <w:top w:val="nil"/>
              <w:left w:val="nil"/>
              <w:bottom w:val="single" w:sz="4" w:space="0" w:color="000000"/>
              <w:right w:val="nil"/>
            </w:tcBorders>
            <w:shd w:val="clear" w:color="auto" w:fill="auto"/>
          </w:tcPr>
          <w:p w14:paraId="13248F3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66" w:name="_DV_C2106"/>
            <w:r w:rsidRPr="002A2EA6">
              <w:rPr>
                <w:rStyle w:val="DeltaViewInsertion"/>
                <w:rFonts w:eastAsia="SimSun"/>
                <w:color w:val="auto"/>
                <w:sz w:val="18"/>
                <w:szCs w:val="18"/>
                <w:u w:val="none"/>
              </w:rPr>
              <w:t>32</w:t>
            </w:r>
            <w:bookmarkEnd w:id="566"/>
          </w:p>
        </w:tc>
        <w:tc>
          <w:tcPr>
            <w:tcW w:w="2552" w:type="dxa"/>
            <w:tcBorders>
              <w:top w:val="nil"/>
              <w:left w:val="nil"/>
              <w:bottom w:val="single" w:sz="4" w:space="0" w:color="000000"/>
              <w:right w:val="nil"/>
            </w:tcBorders>
            <w:shd w:val="clear" w:color="auto" w:fill="auto"/>
          </w:tcPr>
          <w:p w14:paraId="7C95E85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67" w:name="_DV_C2107"/>
            <w:r w:rsidRPr="002A2EA6">
              <w:rPr>
                <w:rStyle w:val="DeltaViewInsertion"/>
                <w:rFonts w:eastAsia="SimSun"/>
                <w:color w:val="auto"/>
                <w:sz w:val="18"/>
                <w:szCs w:val="18"/>
                <w:u w:val="none"/>
              </w:rPr>
              <w:t>Zambi</w:t>
            </w:r>
            <w:bookmarkEnd w:id="567"/>
            <w:r w:rsidRPr="002A2EA6">
              <w:rPr>
                <w:rStyle w:val="DeltaViewInsertion"/>
                <w:rFonts w:eastAsia="SimSun"/>
                <w:color w:val="auto"/>
                <w:sz w:val="18"/>
                <w:szCs w:val="18"/>
                <w:u w:val="none"/>
              </w:rPr>
              <w:t>e</w:t>
            </w:r>
          </w:p>
        </w:tc>
        <w:tc>
          <w:tcPr>
            <w:tcW w:w="1701" w:type="dxa"/>
            <w:tcBorders>
              <w:top w:val="nil"/>
              <w:left w:val="nil"/>
              <w:bottom w:val="single" w:sz="4" w:space="0" w:color="000000"/>
              <w:right w:val="nil"/>
            </w:tcBorders>
            <w:shd w:val="clear" w:color="auto" w:fill="auto"/>
          </w:tcPr>
          <w:p w14:paraId="1DFE815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68" w:name="_DV_C2108"/>
            <w:r w:rsidRPr="002A2EA6">
              <w:rPr>
                <w:rStyle w:val="DeltaViewInsertion"/>
                <w:rFonts w:eastAsia="SimSun"/>
                <w:color w:val="auto"/>
                <w:sz w:val="18"/>
                <w:szCs w:val="18"/>
                <w:u w:val="none"/>
              </w:rPr>
              <w:t>0,009</w:t>
            </w:r>
            <w:bookmarkEnd w:id="568"/>
          </w:p>
        </w:tc>
        <w:tc>
          <w:tcPr>
            <w:tcW w:w="1984" w:type="dxa"/>
            <w:tcBorders>
              <w:top w:val="nil"/>
              <w:left w:val="nil"/>
              <w:bottom w:val="single" w:sz="4" w:space="0" w:color="000000"/>
              <w:right w:val="nil"/>
            </w:tcBorders>
            <w:shd w:val="clear" w:color="auto" w:fill="auto"/>
          </w:tcPr>
          <w:p w14:paraId="47B56BB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69" w:name="_DV_C2109"/>
            <w:r w:rsidRPr="002A2EA6">
              <w:rPr>
                <w:rStyle w:val="DeltaViewInsertion"/>
                <w:rFonts w:eastAsia="SimSun"/>
                <w:color w:val="auto"/>
                <w:sz w:val="18"/>
                <w:szCs w:val="18"/>
                <w:u w:val="none"/>
              </w:rPr>
              <w:t>0,0110</w:t>
            </w:r>
            <w:bookmarkEnd w:id="569"/>
          </w:p>
        </w:tc>
        <w:tc>
          <w:tcPr>
            <w:tcW w:w="1985" w:type="dxa"/>
            <w:tcBorders>
              <w:top w:val="nil"/>
              <w:left w:val="nil"/>
              <w:bottom w:val="single" w:sz="4" w:space="0" w:color="000000"/>
              <w:right w:val="nil"/>
            </w:tcBorders>
            <w:shd w:val="clear" w:color="auto" w:fill="auto"/>
          </w:tcPr>
          <w:p w14:paraId="15F2BF7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70" w:name="_DV_C2110"/>
            <w:r w:rsidRPr="002A2EA6">
              <w:rPr>
                <w:rStyle w:val="DeltaViewInsertion"/>
                <w:rFonts w:eastAsia="SimSun"/>
                <w:color w:val="auto"/>
                <w:sz w:val="18"/>
                <w:szCs w:val="18"/>
                <w:u w:val="none"/>
              </w:rPr>
              <w:t xml:space="preserve">713 </w:t>
            </w:r>
            <w:bookmarkEnd w:id="570"/>
          </w:p>
        </w:tc>
      </w:tr>
      <w:tr w:rsidR="002A2EA6" w:rsidRPr="002A2EA6" w14:paraId="44214AF9" w14:textId="77777777" w:rsidTr="00A54D8B">
        <w:trPr>
          <w:trHeight w:val="57"/>
          <w:jc w:val="right"/>
        </w:trPr>
        <w:tc>
          <w:tcPr>
            <w:tcW w:w="3261" w:type="dxa"/>
            <w:gridSpan w:val="2"/>
            <w:tcBorders>
              <w:top w:val="single" w:sz="4" w:space="0" w:color="000000"/>
              <w:left w:val="nil"/>
              <w:bottom w:val="single" w:sz="4" w:space="0" w:color="000000"/>
              <w:right w:val="nil"/>
            </w:tcBorders>
            <w:shd w:val="clear" w:color="auto" w:fill="auto"/>
          </w:tcPr>
          <w:p w14:paraId="5C783D59" w14:textId="0EF03399"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571" w:name="_DV_C2111"/>
            <w:r w:rsidRPr="002A2EA6">
              <w:br w:type="page"/>
            </w:r>
            <w:r w:rsidRPr="002A2EA6">
              <w:rPr>
                <w:rStyle w:val="DeltaViewInsertion"/>
                <w:rFonts w:eastAsia="SimSun"/>
                <w:b/>
                <w:color w:val="auto"/>
                <w:sz w:val="18"/>
                <w:szCs w:val="18"/>
                <w:u w:val="none"/>
              </w:rPr>
              <w:t>États d</w:t>
            </w:r>
            <w:r w:rsidR="00CA4DAC">
              <w:rPr>
                <w:rStyle w:val="DeltaViewInsertion"/>
                <w:rFonts w:eastAsia="SimSun"/>
                <w:b/>
                <w:color w:val="auto"/>
                <w:sz w:val="18"/>
                <w:szCs w:val="18"/>
                <w:u w:val="none"/>
              </w:rPr>
              <w:t>’</w:t>
            </w:r>
            <w:r w:rsidRPr="002A2EA6">
              <w:rPr>
                <w:rStyle w:val="DeltaViewInsertion"/>
                <w:rFonts w:eastAsia="SimSun"/>
                <w:b/>
                <w:color w:val="auto"/>
                <w:sz w:val="18"/>
                <w:szCs w:val="18"/>
                <w:u w:val="none"/>
              </w:rPr>
              <w:t>Asie et du Pacifique (27)</w:t>
            </w:r>
            <w:bookmarkEnd w:id="571"/>
          </w:p>
        </w:tc>
        <w:tc>
          <w:tcPr>
            <w:tcW w:w="1701" w:type="dxa"/>
            <w:tcBorders>
              <w:top w:val="single" w:sz="4" w:space="0" w:color="000000"/>
              <w:left w:val="nil"/>
              <w:bottom w:val="single" w:sz="4" w:space="0" w:color="000000"/>
              <w:right w:val="nil"/>
            </w:tcBorders>
            <w:shd w:val="clear" w:color="auto" w:fill="auto"/>
          </w:tcPr>
          <w:p w14:paraId="0BD6774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4" w:type="dxa"/>
            <w:tcBorders>
              <w:top w:val="single" w:sz="4" w:space="0" w:color="000000"/>
              <w:left w:val="nil"/>
              <w:bottom w:val="single" w:sz="4" w:space="0" w:color="000000"/>
              <w:right w:val="nil"/>
            </w:tcBorders>
            <w:shd w:val="clear" w:color="auto" w:fill="auto"/>
          </w:tcPr>
          <w:p w14:paraId="3DAB4AA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5" w:type="dxa"/>
            <w:tcBorders>
              <w:top w:val="single" w:sz="4" w:space="0" w:color="000000"/>
              <w:left w:val="nil"/>
              <w:bottom w:val="single" w:sz="4" w:space="0" w:color="000000"/>
              <w:right w:val="nil"/>
            </w:tcBorders>
            <w:shd w:val="clear" w:color="auto" w:fill="auto"/>
          </w:tcPr>
          <w:p w14:paraId="6F5C547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A2EA6">
              <w:rPr>
                <w:rFonts w:eastAsia="SimSun"/>
                <w:sz w:val="18"/>
                <w:szCs w:val="18"/>
              </w:rPr>
              <w:t xml:space="preserve"> </w:t>
            </w:r>
          </w:p>
        </w:tc>
      </w:tr>
      <w:tr w:rsidR="002A2EA6" w:rsidRPr="002A2EA6" w14:paraId="1C91B318" w14:textId="77777777" w:rsidTr="00A54D8B">
        <w:trPr>
          <w:trHeight w:val="57"/>
          <w:jc w:val="right"/>
        </w:trPr>
        <w:tc>
          <w:tcPr>
            <w:tcW w:w="709" w:type="dxa"/>
            <w:tcBorders>
              <w:top w:val="single" w:sz="4" w:space="0" w:color="000000"/>
              <w:left w:val="nil"/>
              <w:bottom w:val="nil"/>
              <w:right w:val="nil"/>
            </w:tcBorders>
            <w:shd w:val="clear" w:color="auto" w:fill="auto"/>
          </w:tcPr>
          <w:p w14:paraId="4C46021B"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72" w:name="_DV_C2112"/>
            <w:r w:rsidRPr="002A2EA6">
              <w:rPr>
                <w:rStyle w:val="DeltaViewInsertion"/>
                <w:rFonts w:eastAsia="SimSun"/>
                <w:color w:val="auto"/>
                <w:sz w:val="18"/>
                <w:szCs w:val="18"/>
                <w:u w:val="none"/>
              </w:rPr>
              <w:t>33</w:t>
            </w:r>
            <w:bookmarkEnd w:id="572"/>
          </w:p>
        </w:tc>
        <w:tc>
          <w:tcPr>
            <w:tcW w:w="2552" w:type="dxa"/>
            <w:tcBorders>
              <w:top w:val="single" w:sz="4" w:space="0" w:color="000000"/>
              <w:left w:val="nil"/>
              <w:bottom w:val="nil"/>
              <w:right w:val="nil"/>
            </w:tcBorders>
            <w:shd w:val="clear" w:color="auto" w:fill="auto"/>
          </w:tcPr>
          <w:p w14:paraId="34CBA2D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73" w:name="_DV_C2113"/>
            <w:r w:rsidRPr="002A2EA6">
              <w:rPr>
                <w:rStyle w:val="DeltaViewInsertion"/>
                <w:rFonts w:eastAsia="SimSun"/>
                <w:color w:val="auto"/>
                <w:sz w:val="18"/>
                <w:szCs w:val="18"/>
                <w:u w:val="none"/>
              </w:rPr>
              <w:t>Afghanistan</w:t>
            </w:r>
            <w:bookmarkEnd w:id="573"/>
          </w:p>
        </w:tc>
        <w:tc>
          <w:tcPr>
            <w:tcW w:w="1701" w:type="dxa"/>
            <w:tcBorders>
              <w:top w:val="single" w:sz="4" w:space="0" w:color="000000"/>
              <w:left w:val="nil"/>
              <w:bottom w:val="nil"/>
              <w:right w:val="nil"/>
            </w:tcBorders>
            <w:shd w:val="clear" w:color="auto" w:fill="auto"/>
          </w:tcPr>
          <w:p w14:paraId="03340F6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74" w:name="_DV_C2114"/>
            <w:r w:rsidRPr="002A2EA6">
              <w:rPr>
                <w:rStyle w:val="DeltaViewInsertion"/>
                <w:rFonts w:eastAsia="SimSun"/>
                <w:color w:val="auto"/>
                <w:sz w:val="18"/>
                <w:szCs w:val="18"/>
                <w:u w:val="none"/>
              </w:rPr>
              <w:t>0,007</w:t>
            </w:r>
            <w:bookmarkEnd w:id="574"/>
          </w:p>
        </w:tc>
        <w:tc>
          <w:tcPr>
            <w:tcW w:w="1984" w:type="dxa"/>
            <w:tcBorders>
              <w:top w:val="single" w:sz="4" w:space="0" w:color="000000"/>
              <w:left w:val="nil"/>
              <w:bottom w:val="nil"/>
              <w:right w:val="nil"/>
            </w:tcBorders>
            <w:shd w:val="clear" w:color="auto" w:fill="auto"/>
          </w:tcPr>
          <w:p w14:paraId="7F403D8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75" w:name="_DV_C2115"/>
            <w:r w:rsidRPr="002A2EA6">
              <w:rPr>
                <w:rStyle w:val="DeltaViewInsertion"/>
                <w:rFonts w:eastAsia="SimSun"/>
                <w:color w:val="auto"/>
                <w:sz w:val="18"/>
                <w:szCs w:val="18"/>
                <w:u w:val="none"/>
              </w:rPr>
              <w:t>0,0100</w:t>
            </w:r>
            <w:bookmarkEnd w:id="575"/>
          </w:p>
        </w:tc>
        <w:tc>
          <w:tcPr>
            <w:tcW w:w="1985" w:type="dxa"/>
            <w:tcBorders>
              <w:top w:val="single" w:sz="4" w:space="0" w:color="000000"/>
              <w:left w:val="nil"/>
              <w:bottom w:val="nil"/>
              <w:right w:val="nil"/>
            </w:tcBorders>
            <w:shd w:val="clear" w:color="auto" w:fill="auto"/>
          </w:tcPr>
          <w:p w14:paraId="5E84829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76" w:name="_DV_C2116"/>
            <w:r w:rsidRPr="002A2EA6">
              <w:rPr>
                <w:rStyle w:val="DeltaViewInsertion"/>
                <w:rFonts w:eastAsia="SimSun"/>
                <w:color w:val="auto"/>
                <w:sz w:val="18"/>
                <w:szCs w:val="18"/>
                <w:u w:val="none"/>
              </w:rPr>
              <w:t xml:space="preserve">646 </w:t>
            </w:r>
            <w:bookmarkEnd w:id="576"/>
          </w:p>
        </w:tc>
      </w:tr>
      <w:tr w:rsidR="002A2EA6" w:rsidRPr="002A2EA6" w14:paraId="70C79A79" w14:textId="77777777" w:rsidTr="00A54D8B">
        <w:trPr>
          <w:trHeight w:val="57"/>
          <w:jc w:val="right"/>
        </w:trPr>
        <w:tc>
          <w:tcPr>
            <w:tcW w:w="709" w:type="dxa"/>
            <w:tcBorders>
              <w:top w:val="nil"/>
              <w:left w:val="nil"/>
              <w:bottom w:val="nil"/>
              <w:right w:val="nil"/>
            </w:tcBorders>
            <w:shd w:val="clear" w:color="auto" w:fill="auto"/>
          </w:tcPr>
          <w:p w14:paraId="1C905EF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4</w:t>
            </w:r>
          </w:p>
        </w:tc>
        <w:tc>
          <w:tcPr>
            <w:tcW w:w="2552" w:type="dxa"/>
            <w:tcBorders>
              <w:top w:val="nil"/>
              <w:left w:val="nil"/>
              <w:bottom w:val="nil"/>
              <w:right w:val="nil"/>
            </w:tcBorders>
            <w:shd w:val="clear" w:color="auto" w:fill="auto"/>
          </w:tcPr>
          <w:p w14:paraId="6997C28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77" w:name="_DV_C2193"/>
            <w:r w:rsidRPr="002A2EA6">
              <w:rPr>
                <w:rStyle w:val="DeltaViewInsertion"/>
                <w:rFonts w:eastAsia="SimSun"/>
                <w:color w:val="auto"/>
                <w:sz w:val="18"/>
                <w:szCs w:val="18"/>
                <w:u w:val="none"/>
              </w:rPr>
              <w:t>Arabie saoudite</w:t>
            </w:r>
            <w:bookmarkEnd w:id="577"/>
          </w:p>
        </w:tc>
        <w:tc>
          <w:tcPr>
            <w:tcW w:w="1701" w:type="dxa"/>
            <w:tcBorders>
              <w:top w:val="nil"/>
              <w:left w:val="nil"/>
              <w:bottom w:val="nil"/>
              <w:right w:val="nil"/>
            </w:tcBorders>
            <w:shd w:val="clear" w:color="auto" w:fill="auto"/>
          </w:tcPr>
          <w:p w14:paraId="7E0EB9F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78" w:name="_DV_C2194"/>
            <w:r w:rsidRPr="002A2EA6">
              <w:rPr>
                <w:rStyle w:val="DeltaViewInsertion"/>
                <w:rFonts w:eastAsia="SimSun"/>
                <w:color w:val="auto"/>
                <w:sz w:val="18"/>
                <w:szCs w:val="18"/>
                <w:u w:val="none"/>
              </w:rPr>
              <w:t>1,172</w:t>
            </w:r>
            <w:bookmarkEnd w:id="578"/>
          </w:p>
        </w:tc>
        <w:tc>
          <w:tcPr>
            <w:tcW w:w="1984" w:type="dxa"/>
            <w:tcBorders>
              <w:top w:val="nil"/>
              <w:left w:val="nil"/>
              <w:bottom w:val="nil"/>
              <w:right w:val="nil"/>
            </w:tcBorders>
            <w:shd w:val="clear" w:color="auto" w:fill="auto"/>
          </w:tcPr>
          <w:p w14:paraId="16011B6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79" w:name="_DV_C2195"/>
            <w:r w:rsidRPr="002A2EA6">
              <w:rPr>
                <w:rStyle w:val="DeltaViewInsertion"/>
                <w:rFonts w:eastAsia="SimSun"/>
                <w:color w:val="auto"/>
                <w:sz w:val="18"/>
                <w:szCs w:val="18"/>
                <w:u w:val="none"/>
              </w:rPr>
              <w:t>1,4361</w:t>
            </w:r>
            <w:bookmarkEnd w:id="579"/>
          </w:p>
        </w:tc>
        <w:tc>
          <w:tcPr>
            <w:tcW w:w="1985" w:type="dxa"/>
            <w:tcBorders>
              <w:top w:val="nil"/>
              <w:left w:val="nil"/>
              <w:bottom w:val="nil"/>
              <w:right w:val="nil"/>
            </w:tcBorders>
            <w:shd w:val="clear" w:color="auto" w:fill="auto"/>
          </w:tcPr>
          <w:p w14:paraId="43856D8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0" w:name="_DV_C2196"/>
            <w:r w:rsidRPr="002A2EA6">
              <w:rPr>
                <w:rStyle w:val="DeltaViewInsertion"/>
                <w:rFonts w:eastAsia="SimSun"/>
                <w:color w:val="auto"/>
                <w:sz w:val="18"/>
                <w:szCs w:val="18"/>
                <w:u w:val="none"/>
              </w:rPr>
              <w:t xml:space="preserve">92 818 </w:t>
            </w:r>
            <w:bookmarkEnd w:id="580"/>
          </w:p>
        </w:tc>
      </w:tr>
      <w:tr w:rsidR="002A2EA6" w:rsidRPr="002A2EA6" w14:paraId="5BA712AE" w14:textId="77777777" w:rsidTr="00A54D8B">
        <w:trPr>
          <w:trHeight w:val="57"/>
          <w:jc w:val="right"/>
        </w:trPr>
        <w:tc>
          <w:tcPr>
            <w:tcW w:w="709" w:type="dxa"/>
            <w:tcBorders>
              <w:top w:val="nil"/>
              <w:left w:val="nil"/>
              <w:bottom w:val="nil"/>
              <w:right w:val="nil"/>
            </w:tcBorders>
            <w:shd w:val="clear" w:color="auto" w:fill="auto"/>
          </w:tcPr>
          <w:p w14:paraId="347E0A4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81" w:name="_DV_C2117"/>
            <w:r w:rsidRPr="002A2EA6">
              <w:rPr>
                <w:rStyle w:val="DeltaViewInsertion"/>
                <w:rFonts w:eastAsia="SimSun"/>
                <w:color w:val="auto"/>
                <w:sz w:val="18"/>
                <w:szCs w:val="18"/>
                <w:u w:val="none"/>
              </w:rPr>
              <w:t>3</w:t>
            </w:r>
            <w:bookmarkEnd w:id="581"/>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625CCBB6"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82" w:name="_DV_C2118"/>
            <w:r w:rsidRPr="002A2EA6">
              <w:rPr>
                <w:rStyle w:val="DeltaViewInsertion"/>
                <w:rFonts w:eastAsia="SimSun"/>
                <w:color w:val="auto"/>
                <w:sz w:val="18"/>
                <w:szCs w:val="18"/>
                <w:u w:val="none"/>
              </w:rPr>
              <w:t>Chine</w:t>
            </w:r>
            <w:bookmarkEnd w:id="582"/>
          </w:p>
        </w:tc>
        <w:tc>
          <w:tcPr>
            <w:tcW w:w="1701" w:type="dxa"/>
            <w:tcBorders>
              <w:top w:val="nil"/>
              <w:left w:val="nil"/>
              <w:bottom w:val="nil"/>
              <w:right w:val="nil"/>
            </w:tcBorders>
            <w:shd w:val="clear" w:color="auto" w:fill="auto"/>
          </w:tcPr>
          <w:p w14:paraId="1CFFEC5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3" w:name="_DV_C2119"/>
            <w:r w:rsidRPr="002A2EA6">
              <w:rPr>
                <w:rStyle w:val="DeltaViewInsertion"/>
                <w:rFonts w:eastAsia="SimSun"/>
                <w:color w:val="auto"/>
                <w:sz w:val="18"/>
                <w:szCs w:val="18"/>
                <w:u w:val="none"/>
              </w:rPr>
              <w:t>12,005</w:t>
            </w:r>
            <w:bookmarkEnd w:id="583"/>
          </w:p>
        </w:tc>
        <w:tc>
          <w:tcPr>
            <w:tcW w:w="1984" w:type="dxa"/>
            <w:tcBorders>
              <w:top w:val="nil"/>
              <w:left w:val="nil"/>
              <w:bottom w:val="nil"/>
              <w:right w:val="nil"/>
            </w:tcBorders>
            <w:shd w:val="clear" w:color="auto" w:fill="auto"/>
          </w:tcPr>
          <w:p w14:paraId="211BB78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4" w:name="_DV_C2120"/>
            <w:r w:rsidRPr="002A2EA6">
              <w:rPr>
                <w:rStyle w:val="DeltaViewInsertion"/>
                <w:rFonts w:eastAsia="SimSun"/>
                <w:color w:val="auto"/>
                <w:sz w:val="18"/>
                <w:szCs w:val="18"/>
                <w:u w:val="none"/>
              </w:rPr>
              <w:t>14,7103</w:t>
            </w:r>
            <w:bookmarkEnd w:id="584"/>
          </w:p>
        </w:tc>
        <w:tc>
          <w:tcPr>
            <w:tcW w:w="1985" w:type="dxa"/>
            <w:tcBorders>
              <w:top w:val="nil"/>
              <w:left w:val="nil"/>
              <w:bottom w:val="nil"/>
              <w:right w:val="nil"/>
            </w:tcBorders>
            <w:shd w:val="clear" w:color="auto" w:fill="auto"/>
          </w:tcPr>
          <w:p w14:paraId="3F5C86A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5" w:name="_DV_C2121"/>
            <w:r w:rsidRPr="002A2EA6">
              <w:rPr>
                <w:rStyle w:val="DeltaViewInsertion"/>
                <w:rFonts w:eastAsia="SimSun"/>
                <w:color w:val="auto"/>
                <w:sz w:val="18"/>
                <w:szCs w:val="18"/>
                <w:u w:val="none"/>
              </w:rPr>
              <w:t xml:space="preserve">950 747 </w:t>
            </w:r>
            <w:bookmarkEnd w:id="585"/>
          </w:p>
        </w:tc>
      </w:tr>
      <w:tr w:rsidR="002A2EA6" w:rsidRPr="002A2EA6" w14:paraId="2F66A368" w14:textId="77777777" w:rsidTr="00A54D8B">
        <w:trPr>
          <w:trHeight w:val="57"/>
          <w:jc w:val="right"/>
        </w:trPr>
        <w:tc>
          <w:tcPr>
            <w:tcW w:w="709" w:type="dxa"/>
            <w:tcBorders>
              <w:top w:val="nil"/>
              <w:left w:val="nil"/>
              <w:bottom w:val="nil"/>
              <w:right w:val="nil"/>
            </w:tcBorders>
            <w:shd w:val="clear" w:color="auto" w:fill="auto"/>
          </w:tcPr>
          <w:p w14:paraId="33847EC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6</w:t>
            </w:r>
          </w:p>
        </w:tc>
        <w:tc>
          <w:tcPr>
            <w:tcW w:w="2552" w:type="dxa"/>
            <w:tcBorders>
              <w:top w:val="nil"/>
              <w:left w:val="nil"/>
              <w:bottom w:val="nil"/>
              <w:right w:val="nil"/>
            </w:tcBorders>
            <w:shd w:val="clear" w:color="auto" w:fill="auto"/>
          </w:tcPr>
          <w:p w14:paraId="7D00121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86" w:name="_DV_C2233"/>
            <w:r w:rsidRPr="002A2EA6">
              <w:rPr>
                <w:rStyle w:val="DeltaViewInsertion"/>
                <w:rFonts w:eastAsia="SimSun"/>
                <w:color w:val="auto"/>
                <w:sz w:val="18"/>
                <w:szCs w:val="18"/>
                <w:u w:val="none"/>
              </w:rPr>
              <w:t xml:space="preserve">Émirats arabes unis </w:t>
            </w:r>
            <w:bookmarkEnd w:id="586"/>
          </w:p>
        </w:tc>
        <w:tc>
          <w:tcPr>
            <w:tcW w:w="1701" w:type="dxa"/>
            <w:tcBorders>
              <w:top w:val="nil"/>
              <w:left w:val="nil"/>
              <w:bottom w:val="nil"/>
              <w:right w:val="nil"/>
            </w:tcBorders>
            <w:shd w:val="clear" w:color="auto" w:fill="auto"/>
          </w:tcPr>
          <w:p w14:paraId="06C239D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7" w:name="_DV_C2234"/>
            <w:r w:rsidRPr="002A2EA6">
              <w:rPr>
                <w:rStyle w:val="DeltaViewInsertion"/>
                <w:rFonts w:eastAsia="SimSun"/>
                <w:color w:val="auto"/>
                <w:sz w:val="18"/>
                <w:szCs w:val="18"/>
                <w:u w:val="none"/>
              </w:rPr>
              <w:t>0,616</w:t>
            </w:r>
            <w:bookmarkEnd w:id="587"/>
          </w:p>
        </w:tc>
        <w:tc>
          <w:tcPr>
            <w:tcW w:w="1984" w:type="dxa"/>
            <w:tcBorders>
              <w:top w:val="nil"/>
              <w:left w:val="nil"/>
              <w:bottom w:val="nil"/>
              <w:right w:val="nil"/>
            </w:tcBorders>
            <w:shd w:val="clear" w:color="auto" w:fill="auto"/>
          </w:tcPr>
          <w:p w14:paraId="6430FBB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8" w:name="_DV_C2235"/>
            <w:r w:rsidRPr="002A2EA6">
              <w:rPr>
                <w:rStyle w:val="DeltaViewInsertion"/>
                <w:rFonts w:eastAsia="SimSun"/>
                <w:color w:val="auto"/>
                <w:sz w:val="18"/>
                <w:szCs w:val="18"/>
                <w:u w:val="none"/>
              </w:rPr>
              <w:t>0,7548</w:t>
            </w:r>
            <w:bookmarkEnd w:id="588"/>
          </w:p>
        </w:tc>
        <w:tc>
          <w:tcPr>
            <w:tcW w:w="1985" w:type="dxa"/>
            <w:tcBorders>
              <w:top w:val="nil"/>
              <w:left w:val="nil"/>
              <w:bottom w:val="nil"/>
              <w:right w:val="nil"/>
            </w:tcBorders>
            <w:shd w:val="clear" w:color="auto" w:fill="auto"/>
          </w:tcPr>
          <w:p w14:paraId="4636625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89" w:name="_DV_C2236"/>
            <w:r w:rsidRPr="002A2EA6">
              <w:rPr>
                <w:rStyle w:val="DeltaViewInsertion"/>
                <w:rFonts w:eastAsia="SimSun"/>
                <w:color w:val="auto"/>
                <w:sz w:val="18"/>
                <w:szCs w:val="18"/>
                <w:u w:val="none"/>
              </w:rPr>
              <w:t xml:space="preserve">48 785 </w:t>
            </w:r>
            <w:bookmarkEnd w:id="589"/>
          </w:p>
        </w:tc>
      </w:tr>
      <w:tr w:rsidR="002A2EA6" w:rsidRPr="002A2EA6" w14:paraId="5134A6E8" w14:textId="77777777" w:rsidTr="00A54D8B">
        <w:trPr>
          <w:trHeight w:val="57"/>
          <w:jc w:val="right"/>
        </w:trPr>
        <w:tc>
          <w:tcPr>
            <w:tcW w:w="709" w:type="dxa"/>
            <w:tcBorders>
              <w:top w:val="nil"/>
              <w:left w:val="nil"/>
              <w:bottom w:val="nil"/>
              <w:right w:val="nil"/>
            </w:tcBorders>
            <w:shd w:val="clear" w:color="auto" w:fill="auto"/>
          </w:tcPr>
          <w:p w14:paraId="0F97886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7</w:t>
            </w:r>
          </w:p>
        </w:tc>
        <w:tc>
          <w:tcPr>
            <w:tcW w:w="2552" w:type="dxa"/>
            <w:tcBorders>
              <w:top w:val="nil"/>
              <w:left w:val="nil"/>
              <w:bottom w:val="nil"/>
              <w:right w:val="nil"/>
            </w:tcBorders>
            <w:shd w:val="clear" w:color="auto" w:fill="auto"/>
          </w:tcPr>
          <w:p w14:paraId="4359878D"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90" w:name="_DV_C2208"/>
            <w:r w:rsidRPr="002A2EA6">
              <w:rPr>
                <w:rStyle w:val="DeltaViewInsertion"/>
                <w:rFonts w:eastAsia="SimSun"/>
                <w:color w:val="auto"/>
                <w:sz w:val="18"/>
                <w:szCs w:val="18"/>
                <w:u w:val="none"/>
              </w:rPr>
              <w:t xml:space="preserve">État de Palestine </w:t>
            </w:r>
            <w:bookmarkEnd w:id="590"/>
          </w:p>
        </w:tc>
        <w:tc>
          <w:tcPr>
            <w:tcW w:w="1701" w:type="dxa"/>
            <w:tcBorders>
              <w:top w:val="nil"/>
              <w:left w:val="nil"/>
              <w:bottom w:val="nil"/>
              <w:right w:val="nil"/>
            </w:tcBorders>
            <w:shd w:val="clear" w:color="auto" w:fill="auto"/>
          </w:tcPr>
          <w:p w14:paraId="5CB210C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91" w:name="_DV_C2209"/>
            <w:r w:rsidRPr="002A2EA6">
              <w:rPr>
                <w:rStyle w:val="DeltaViewInsertion"/>
                <w:rFonts w:eastAsia="SimSun"/>
                <w:color w:val="auto"/>
                <w:sz w:val="18"/>
                <w:szCs w:val="18"/>
                <w:u w:val="none"/>
              </w:rPr>
              <w:t>0,008</w:t>
            </w:r>
            <w:bookmarkEnd w:id="591"/>
          </w:p>
        </w:tc>
        <w:tc>
          <w:tcPr>
            <w:tcW w:w="1984" w:type="dxa"/>
            <w:tcBorders>
              <w:top w:val="nil"/>
              <w:left w:val="nil"/>
              <w:bottom w:val="nil"/>
              <w:right w:val="nil"/>
            </w:tcBorders>
            <w:shd w:val="clear" w:color="auto" w:fill="auto"/>
          </w:tcPr>
          <w:p w14:paraId="363A72F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92" w:name="_DV_C2210"/>
            <w:r w:rsidRPr="002A2EA6">
              <w:rPr>
                <w:rStyle w:val="DeltaViewInsertion"/>
                <w:rFonts w:eastAsia="SimSun"/>
                <w:color w:val="auto"/>
                <w:sz w:val="18"/>
                <w:szCs w:val="18"/>
                <w:u w:val="none"/>
              </w:rPr>
              <w:t>0,0100</w:t>
            </w:r>
            <w:bookmarkEnd w:id="592"/>
          </w:p>
        </w:tc>
        <w:tc>
          <w:tcPr>
            <w:tcW w:w="1985" w:type="dxa"/>
            <w:tcBorders>
              <w:top w:val="nil"/>
              <w:left w:val="nil"/>
              <w:bottom w:val="nil"/>
              <w:right w:val="nil"/>
            </w:tcBorders>
            <w:shd w:val="clear" w:color="auto" w:fill="auto"/>
          </w:tcPr>
          <w:p w14:paraId="7B5A45C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93" w:name="_DV_C2211"/>
            <w:r w:rsidRPr="002A2EA6">
              <w:rPr>
                <w:rStyle w:val="DeltaViewInsertion"/>
                <w:rFonts w:eastAsia="SimSun"/>
                <w:color w:val="auto"/>
                <w:sz w:val="18"/>
                <w:szCs w:val="18"/>
                <w:u w:val="none"/>
              </w:rPr>
              <w:t xml:space="preserve">646 </w:t>
            </w:r>
            <w:bookmarkEnd w:id="593"/>
          </w:p>
        </w:tc>
      </w:tr>
      <w:tr w:rsidR="002A2EA6" w:rsidRPr="002A2EA6" w14:paraId="5A20A599" w14:textId="77777777" w:rsidTr="00A54D8B">
        <w:trPr>
          <w:trHeight w:val="57"/>
          <w:jc w:val="right"/>
        </w:trPr>
        <w:tc>
          <w:tcPr>
            <w:tcW w:w="709" w:type="dxa"/>
            <w:tcBorders>
              <w:top w:val="nil"/>
              <w:left w:val="nil"/>
              <w:bottom w:val="nil"/>
              <w:right w:val="nil"/>
            </w:tcBorders>
            <w:shd w:val="clear" w:color="auto" w:fill="auto"/>
          </w:tcPr>
          <w:p w14:paraId="6BF3FF99"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8</w:t>
            </w:r>
          </w:p>
        </w:tc>
        <w:tc>
          <w:tcPr>
            <w:tcW w:w="2552" w:type="dxa"/>
            <w:tcBorders>
              <w:top w:val="nil"/>
              <w:left w:val="nil"/>
              <w:bottom w:val="nil"/>
              <w:right w:val="nil"/>
            </w:tcBorders>
            <w:shd w:val="clear" w:color="auto" w:fill="auto"/>
          </w:tcPr>
          <w:p w14:paraId="0AA1915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94" w:name="_DV_C2168"/>
            <w:r w:rsidRPr="002A2EA6">
              <w:rPr>
                <w:rStyle w:val="DeltaViewInsertion"/>
                <w:rFonts w:eastAsia="SimSun"/>
                <w:color w:val="auto"/>
                <w:sz w:val="18"/>
                <w:szCs w:val="18"/>
                <w:u w:val="none"/>
              </w:rPr>
              <w:t xml:space="preserve">Îles Marshall </w:t>
            </w:r>
            <w:bookmarkEnd w:id="594"/>
          </w:p>
        </w:tc>
        <w:tc>
          <w:tcPr>
            <w:tcW w:w="1701" w:type="dxa"/>
            <w:tcBorders>
              <w:top w:val="nil"/>
              <w:left w:val="nil"/>
              <w:bottom w:val="nil"/>
              <w:right w:val="nil"/>
            </w:tcBorders>
            <w:shd w:val="clear" w:color="auto" w:fill="auto"/>
          </w:tcPr>
          <w:p w14:paraId="73505FE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95" w:name="_DV_C2169"/>
            <w:r w:rsidRPr="002A2EA6">
              <w:rPr>
                <w:rStyle w:val="DeltaViewInsertion"/>
                <w:rFonts w:eastAsia="SimSun"/>
                <w:color w:val="auto"/>
                <w:sz w:val="18"/>
                <w:szCs w:val="18"/>
                <w:u w:val="none"/>
              </w:rPr>
              <w:t>0,001</w:t>
            </w:r>
            <w:bookmarkEnd w:id="595"/>
          </w:p>
        </w:tc>
        <w:tc>
          <w:tcPr>
            <w:tcW w:w="1984" w:type="dxa"/>
            <w:tcBorders>
              <w:top w:val="nil"/>
              <w:left w:val="nil"/>
              <w:bottom w:val="nil"/>
              <w:right w:val="nil"/>
            </w:tcBorders>
            <w:shd w:val="clear" w:color="auto" w:fill="auto"/>
          </w:tcPr>
          <w:p w14:paraId="6D7D44A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96" w:name="_DV_C2170"/>
            <w:r w:rsidRPr="002A2EA6">
              <w:rPr>
                <w:rStyle w:val="DeltaViewInsertion"/>
                <w:rFonts w:eastAsia="SimSun"/>
                <w:color w:val="auto"/>
                <w:sz w:val="18"/>
                <w:szCs w:val="18"/>
                <w:u w:val="none"/>
              </w:rPr>
              <w:t>0,0100</w:t>
            </w:r>
            <w:bookmarkEnd w:id="596"/>
          </w:p>
        </w:tc>
        <w:tc>
          <w:tcPr>
            <w:tcW w:w="1985" w:type="dxa"/>
            <w:tcBorders>
              <w:top w:val="nil"/>
              <w:left w:val="nil"/>
              <w:bottom w:val="nil"/>
              <w:right w:val="nil"/>
            </w:tcBorders>
            <w:shd w:val="clear" w:color="auto" w:fill="auto"/>
          </w:tcPr>
          <w:p w14:paraId="79C01CE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597" w:name="_DV_C2171"/>
            <w:r w:rsidRPr="002A2EA6">
              <w:rPr>
                <w:rStyle w:val="DeltaViewInsertion"/>
                <w:rFonts w:eastAsia="SimSun"/>
                <w:color w:val="auto"/>
                <w:sz w:val="18"/>
                <w:szCs w:val="18"/>
                <w:u w:val="none"/>
              </w:rPr>
              <w:t xml:space="preserve">646 </w:t>
            </w:r>
            <w:bookmarkEnd w:id="597"/>
          </w:p>
        </w:tc>
      </w:tr>
      <w:tr w:rsidR="002A2EA6" w:rsidRPr="002A2EA6" w14:paraId="6F67DD40" w14:textId="77777777" w:rsidTr="00A54D8B">
        <w:trPr>
          <w:trHeight w:val="57"/>
          <w:jc w:val="right"/>
        </w:trPr>
        <w:tc>
          <w:tcPr>
            <w:tcW w:w="709" w:type="dxa"/>
            <w:tcBorders>
              <w:top w:val="nil"/>
              <w:left w:val="nil"/>
              <w:bottom w:val="nil"/>
              <w:right w:val="nil"/>
            </w:tcBorders>
            <w:shd w:val="clear" w:color="auto" w:fill="auto"/>
          </w:tcPr>
          <w:p w14:paraId="317DD1E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598" w:name="_DV_C2122"/>
            <w:r w:rsidRPr="002A2EA6">
              <w:rPr>
                <w:rStyle w:val="DeltaViewInsertion"/>
                <w:rFonts w:eastAsia="SimSun"/>
                <w:color w:val="auto"/>
                <w:sz w:val="18"/>
                <w:szCs w:val="18"/>
                <w:u w:val="none"/>
              </w:rPr>
              <w:t>3</w:t>
            </w:r>
            <w:bookmarkEnd w:id="598"/>
            <w:r w:rsidRPr="002A2EA6">
              <w:rPr>
                <w:rStyle w:val="DeltaViewInsertion"/>
                <w:rFonts w:eastAsia="SimSun"/>
                <w:color w:val="auto"/>
                <w:sz w:val="18"/>
                <w:szCs w:val="18"/>
                <w:u w:val="none"/>
              </w:rPr>
              <w:t>9</w:t>
            </w:r>
          </w:p>
        </w:tc>
        <w:tc>
          <w:tcPr>
            <w:tcW w:w="2552" w:type="dxa"/>
            <w:tcBorders>
              <w:top w:val="nil"/>
              <w:left w:val="nil"/>
              <w:bottom w:val="nil"/>
              <w:right w:val="nil"/>
            </w:tcBorders>
            <w:shd w:val="clear" w:color="auto" w:fill="auto"/>
          </w:tcPr>
          <w:p w14:paraId="42EA2CF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599" w:name="_DV_C2123"/>
            <w:r w:rsidRPr="002A2EA6">
              <w:rPr>
                <w:rStyle w:val="DeltaViewInsertion"/>
                <w:rFonts w:eastAsia="SimSun"/>
                <w:color w:val="auto"/>
                <w:sz w:val="18"/>
                <w:szCs w:val="18"/>
                <w:u w:val="none"/>
              </w:rPr>
              <w:t>Ind</w:t>
            </w:r>
            <w:bookmarkEnd w:id="599"/>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2CCAB87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0" w:name="_DV_C2124"/>
            <w:r w:rsidRPr="002A2EA6">
              <w:rPr>
                <w:rStyle w:val="DeltaViewInsertion"/>
                <w:rFonts w:eastAsia="SimSun"/>
                <w:color w:val="auto"/>
                <w:sz w:val="18"/>
                <w:szCs w:val="18"/>
                <w:u w:val="none"/>
              </w:rPr>
              <w:t>0,834</w:t>
            </w:r>
            <w:bookmarkEnd w:id="600"/>
          </w:p>
        </w:tc>
        <w:tc>
          <w:tcPr>
            <w:tcW w:w="1984" w:type="dxa"/>
            <w:tcBorders>
              <w:top w:val="nil"/>
              <w:left w:val="nil"/>
              <w:bottom w:val="nil"/>
              <w:right w:val="nil"/>
            </w:tcBorders>
            <w:shd w:val="clear" w:color="auto" w:fill="auto"/>
          </w:tcPr>
          <w:p w14:paraId="7814BAA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1" w:name="_DV_C2125"/>
            <w:r w:rsidRPr="002A2EA6">
              <w:rPr>
                <w:rStyle w:val="DeltaViewInsertion"/>
                <w:rFonts w:eastAsia="SimSun"/>
                <w:color w:val="auto"/>
                <w:sz w:val="18"/>
                <w:szCs w:val="18"/>
                <w:u w:val="none"/>
              </w:rPr>
              <w:t>1,0219</w:t>
            </w:r>
            <w:bookmarkEnd w:id="601"/>
          </w:p>
        </w:tc>
        <w:tc>
          <w:tcPr>
            <w:tcW w:w="1985" w:type="dxa"/>
            <w:tcBorders>
              <w:top w:val="nil"/>
              <w:left w:val="nil"/>
              <w:bottom w:val="nil"/>
              <w:right w:val="nil"/>
            </w:tcBorders>
            <w:shd w:val="clear" w:color="auto" w:fill="auto"/>
          </w:tcPr>
          <w:p w14:paraId="4E495C5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2" w:name="_DV_C2126"/>
            <w:r w:rsidRPr="002A2EA6">
              <w:rPr>
                <w:rStyle w:val="DeltaViewInsertion"/>
                <w:rFonts w:eastAsia="SimSun"/>
                <w:color w:val="auto"/>
                <w:sz w:val="18"/>
                <w:szCs w:val="18"/>
                <w:u w:val="none"/>
              </w:rPr>
              <w:t xml:space="preserve">66 049 </w:t>
            </w:r>
            <w:bookmarkEnd w:id="602"/>
          </w:p>
        </w:tc>
      </w:tr>
      <w:tr w:rsidR="002A2EA6" w:rsidRPr="002A2EA6" w14:paraId="44CF7DED" w14:textId="77777777" w:rsidTr="00A54D8B">
        <w:trPr>
          <w:trHeight w:val="57"/>
          <w:jc w:val="right"/>
        </w:trPr>
        <w:tc>
          <w:tcPr>
            <w:tcW w:w="709" w:type="dxa"/>
            <w:tcBorders>
              <w:top w:val="nil"/>
              <w:left w:val="nil"/>
              <w:bottom w:val="nil"/>
              <w:right w:val="nil"/>
            </w:tcBorders>
            <w:shd w:val="clear" w:color="auto" w:fill="auto"/>
          </w:tcPr>
          <w:p w14:paraId="7E9FDF2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0</w:t>
            </w:r>
          </w:p>
        </w:tc>
        <w:tc>
          <w:tcPr>
            <w:tcW w:w="2552" w:type="dxa"/>
            <w:tcBorders>
              <w:top w:val="nil"/>
              <w:left w:val="nil"/>
              <w:bottom w:val="nil"/>
              <w:right w:val="nil"/>
            </w:tcBorders>
            <w:shd w:val="clear" w:color="auto" w:fill="auto"/>
          </w:tcPr>
          <w:p w14:paraId="5641B62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03" w:name="_DV_C2128"/>
            <w:r w:rsidRPr="002A2EA6">
              <w:rPr>
                <w:rStyle w:val="DeltaViewInsertion"/>
                <w:rFonts w:eastAsia="SimSun"/>
                <w:color w:val="auto"/>
                <w:sz w:val="18"/>
                <w:szCs w:val="18"/>
                <w:u w:val="none"/>
              </w:rPr>
              <w:t>Indon</w:t>
            </w:r>
            <w:bookmarkEnd w:id="603"/>
            <w:r w:rsidRPr="002A2EA6">
              <w:rPr>
                <w:rStyle w:val="DeltaViewInsertion"/>
                <w:rFonts w:eastAsia="SimSun"/>
                <w:color w:val="auto"/>
                <w:sz w:val="18"/>
                <w:szCs w:val="18"/>
                <w:u w:val="none"/>
              </w:rPr>
              <w:t>ésie</w:t>
            </w:r>
          </w:p>
        </w:tc>
        <w:tc>
          <w:tcPr>
            <w:tcW w:w="1701" w:type="dxa"/>
            <w:tcBorders>
              <w:top w:val="nil"/>
              <w:left w:val="nil"/>
              <w:bottom w:val="nil"/>
              <w:right w:val="nil"/>
            </w:tcBorders>
            <w:shd w:val="clear" w:color="auto" w:fill="auto"/>
          </w:tcPr>
          <w:p w14:paraId="31F623A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4" w:name="_DV_C2129"/>
            <w:r w:rsidRPr="002A2EA6">
              <w:rPr>
                <w:rStyle w:val="DeltaViewInsertion"/>
                <w:rFonts w:eastAsia="SimSun"/>
                <w:color w:val="auto"/>
                <w:sz w:val="18"/>
                <w:szCs w:val="18"/>
                <w:u w:val="none"/>
              </w:rPr>
              <w:t>0,543</w:t>
            </w:r>
            <w:bookmarkEnd w:id="604"/>
          </w:p>
        </w:tc>
        <w:tc>
          <w:tcPr>
            <w:tcW w:w="1984" w:type="dxa"/>
            <w:tcBorders>
              <w:top w:val="nil"/>
              <w:left w:val="nil"/>
              <w:bottom w:val="nil"/>
              <w:right w:val="nil"/>
            </w:tcBorders>
            <w:shd w:val="clear" w:color="auto" w:fill="auto"/>
          </w:tcPr>
          <w:p w14:paraId="4AC19E1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5" w:name="_DV_C2130"/>
            <w:r w:rsidRPr="002A2EA6">
              <w:rPr>
                <w:rStyle w:val="DeltaViewInsertion"/>
                <w:rFonts w:eastAsia="SimSun"/>
                <w:color w:val="auto"/>
                <w:sz w:val="18"/>
                <w:szCs w:val="18"/>
                <w:u w:val="none"/>
              </w:rPr>
              <w:t>0,6654</w:t>
            </w:r>
            <w:bookmarkEnd w:id="605"/>
          </w:p>
        </w:tc>
        <w:tc>
          <w:tcPr>
            <w:tcW w:w="1985" w:type="dxa"/>
            <w:tcBorders>
              <w:top w:val="nil"/>
              <w:left w:val="nil"/>
              <w:bottom w:val="nil"/>
              <w:right w:val="nil"/>
            </w:tcBorders>
            <w:shd w:val="clear" w:color="auto" w:fill="auto"/>
          </w:tcPr>
          <w:p w14:paraId="00D9F66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6" w:name="_DV_C2131"/>
            <w:r w:rsidRPr="002A2EA6">
              <w:rPr>
                <w:rStyle w:val="DeltaViewInsertion"/>
                <w:rFonts w:eastAsia="SimSun"/>
                <w:color w:val="auto"/>
                <w:sz w:val="18"/>
                <w:szCs w:val="18"/>
                <w:u w:val="none"/>
              </w:rPr>
              <w:t xml:space="preserve">43 003 </w:t>
            </w:r>
            <w:bookmarkEnd w:id="606"/>
          </w:p>
        </w:tc>
      </w:tr>
      <w:tr w:rsidR="002A2EA6" w:rsidRPr="002A2EA6" w14:paraId="328F0F8A" w14:textId="77777777" w:rsidTr="00A54D8B">
        <w:trPr>
          <w:trHeight w:val="57"/>
          <w:jc w:val="right"/>
        </w:trPr>
        <w:tc>
          <w:tcPr>
            <w:tcW w:w="709" w:type="dxa"/>
            <w:tcBorders>
              <w:top w:val="nil"/>
              <w:left w:val="nil"/>
              <w:bottom w:val="nil"/>
              <w:right w:val="nil"/>
            </w:tcBorders>
            <w:shd w:val="clear" w:color="auto" w:fill="auto"/>
          </w:tcPr>
          <w:p w14:paraId="671ECE2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1</w:t>
            </w:r>
          </w:p>
        </w:tc>
        <w:tc>
          <w:tcPr>
            <w:tcW w:w="2552" w:type="dxa"/>
            <w:tcBorders>
              <w:top w:val="nil"/>
              <w:left w:val="nil"/>
              <w:bottom w:val="nil"/>
              <w:right w:val="nil"/>
            </w:tcBorders>
            <w:shd w:val="clear" w:color="auto" w:fill="auto"/>
          </w:tcPr>
          <w:p w14:paraId="23D6B5E9" w14:textId="224A3458"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07" w:name="_DV_C2133"/>
            <w:r w:rsidRPr="002A2EA6">
              <w:rPr>
                <w:rStyle w:val="DeltaViewInsertion"/>
                <w:rFonts w:eastAsia="SimSun"/>
                <w:color w:val="auto"/>
                <w:sz w:val="18"/>
                <w:szCs w:val="18"/>
                <w:u w:val="none"/>
              </w:rPr>
              <w:t>Iran (République islamique d</w:t>
            </w:r>
            <w:r w:rsidR="00CA4DAC">
              <w:rPr>
                <w:rStyle w:val="DeltaViewInsertion"/>
                <w:rFonts w:eastAsia="SimSun"/>
                <w:color w:val="auto"/>
                <w:sz w:val="18"/>
                <w:szCs w:val="18"/>
                <w:u w:val="none"/>
              </w:rPr>
              <w:t>’</w:t>
            </w:r>
            <w:r w:rsidRPr="002A2EA6">
              <w:rPr>
                <w:rStyle w:val="DeltaViewInsertion"/>
                <w:rFonts w:eastAsia="SimSun"/>
                <w:color w:val="auto"/>
                <w:sz w:val="18"/>
                <w:szCs w:val="18"/>
                <w:u w:val="none"/>
              </w:rPr>
              <w:t>)</w:t>
            </w:r>
            <w:bookmarkEnd w:id="607"/>
          </w:p>
        </w:tc>
        <w:tc>
          <w:tcPr>
            <w:tcW w:w="1701" w:type="dxa"/>
            <w:tcBorders>
              <w:top w:val="nil"/>
              <w:left w:val="nil"/>
              <w:bottom w:val="nil"/>
              <w:right w:val="nil"/>
            </w:tcBorders>
            <w:shd w:val="clear" w:color="auto" w:fill="auto"/>
          </w:tcPr>
          <w:p w14:paraId="7F0D710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8" w:name="_DV_C2134"/>
            <w:r w:rsidRPr="002A2EA6">
              <w:rPr>
                <w:rStyle w:val="DeltaViewInsertion"/>
                <w:rFonts w:eastAsia="SimSun"/>
                <w:color w:val="auto"/>
                <w:sz w:val="18"/>
                <w:szCs w:val="18"/>
                <w:u w:val="none"/>
              </w:rPr>
              <w:t>0,398</w:t>
            </w:r>
            <w:bookmarkEnd w:id="608"/>
          </w:p>
        </w:tc>
        <w:tc>
          <w:tcPr>
            <w:tcW w:w="1984" w:type="dxa"/>
            <w:tcBorders>
              <w:top w:val="nil"/>
              <w:left w:val="nil"/>
              <w:bottom w:val="nil"/>
              <w:right w:val="nil"/>
            </w:tcBorders>
            <w:shd w:val="clear" w:color="auto" w:fill="auto"/>
          </w:tcPr>
          <w:p w14:paraId="41B5FB0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09" w:name="_DV_C2135"/>
            <w:r w:rsidRPr="002A2EA6">
              <w:rPr>
                <w:rStyle w:val="DeltaViewInsertion"/>
                <w:rFonts w:eastAsia="SimSun"/>
                <w:color w:val="auto"/>
                <w:sz w:val="18"/>
                <w:szCs w:val="18"/>
                <w:u w:val="none"/>
              </w:rPr>
              <w:t>0,4877</w:t>
            </w:r>
            <w:bookmarkEnd w:id="609"/>
          </w:p>
        </w:tc>
        <w:tc>
          <w:tcPr>
            <w:tcW w:w="1985" w:type="dxa"/>
            <w:tcBorders>
              <w:top w:val="nil"/>
              <w:left w:val="nil"/>
              <w:bottom w:val="nil"/>
              <w:right w:val="nil"/>
            </w:tcBorders>
            <w:shd w:val="clear" w:color="auto" w:fill="auto"/>
          </w:tcPr>
          <w:p w14:paraId="7D6BFB2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0" w:name="_DV_C2136"/>
            <w:r w:rsidRPr="002A2EA6">
              <w:rPr>
                <w:rStyle w:val="DeltaViewInsertion"/>
                <w:rFonts w:eastAsia="SimSun"/>
                <w:color w:val="auto"/>
                <w:sz w:val="18"/>
                <w:szCs w:val="18"/>
                <w:u w:val="none"/>
              </w:rPr>
              <w:t xml:space="preserve">31 520 </w:t>
            </w:r>
            <w:bookmarkEnd w:id="610"/>
          </w:p>
        </w:tc>
      </w:tr>
      <w:tr w:rsidR="002A2EA6" w:rsidRPr="002A2EA6" w14:paraId="30420B1F" w14:textId="77777777" w:rsidTr="00A54D8B">
        <w:trPr>
          <w:trHeight w:val="57"/>
          <w:jc w:val="right"/>
        </w:trPr>
        <w:tc>
          <w:tcPr>
            <w:tcW w:w="709" w:type="dxa"/>
            <w:tcBorders>
              <w:top w:val="nil"/>
              <w:left w:val="nil"/>
              <w:bottom w:val="nil"/>
              <w:right w:val="nil"/>
            </w:tcBorders>
            <w:shd w:val="clear" w:color="auto" w:fill="auto"/>
          </w:tcPr>
          <w:p w14:paraId="3553EB17"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2</w:t>
            </w:r>
          </w:p>
        </w:tc>
        <w:tc>
          <w:tcPr>
            <w:tcW w:w="2552" w:type="dxa"/>
            <w:tcBorders>
              <w:top w:val="nil"/>
              <w:left w:val="nil"/>
              <w:bottom w:val="nil"/>
              <w:right w:val="nil"/>
            </w:tcBorders>
            <w:shd w:val="clear" w:color="auto" w:fill="auto"/>
          </w:tcPr>
          <w:p w14:paraId="6F6E8F8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11" w:name="_DV_C2138"/>
            <w:r w:rsidRPr="002A2EA6">
              <w:rPr>
                <w:rStyle w:val="DeltaViewInsertion"/>
                <w:rFonts w:eastAsia="SimSun"/>
                <w:color w:val="auto"/>
                <w:sz w:val="18"/>
                <w:szCs w:val="18"/>
                <w:u w:val="none"/>
              </w:rPr>
              <w:t>Japon</w:t>
            </w:r>
            <w:bookmarkEnd w:id="611"/>
          </w:p>
        </w:tc>
        <w:tc>
          <w:tcPr>
            <w:tcW w:w="1701" w:type="dxa"/>
            <w:tcBorders>
              <w:top w:val="nil"/>
              <w:left w:val="nil"/>
              <w:bottom w:val="nil"/>
              <w:right w:val="nil"/>
            </w:tcBorders>
            <w:shd w:val="clear" w:color="auto" w:fill="auto"/>
          </w:tcPr>
          <w:p w14:paraId="7F85BE8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2" w:name="_DV_C2139"/>
            <w:r w:rsidRPr="002A2EA6">
              <w:rPr>
                <w:rStyle w:val="DeltaViewInsertion"/>
                <w:rFonts w:eastAsia="SimSun"/>
                <w:color w:val="auto"/>
                <w:sz w:val="18"/>
                <w:szCs w:val="18"/>
                <w:u w:val="none"/>
              </w:rPr>
              <w:t>8,564</w:t>
            </w:r>
            <w:bookmarkEnd w:id="612"/>
          </w:p>
        </w:tc>
        <w:tc>
          <w:tcPr>
            <w:tcW w:w="1984" w:type="dxa"/>
            <w:tcBorders>
              <w:top w:val="nil"/>
              <w:left w:val="nil"/>
              <w:bottom w:val="nil"/>
              <w:right w:val="nil"/>
            </w:tcBorders>
            <w:shd w:val="clear" w:color="auto" w:fill="auto"/>
          </w:tcPr>
          <w:p w14:paraId="48EC3F8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3" w:name="_DV_C2140"/>
            <w:r w:rsidRPr="002A2EA6">
              <w:rPr>
                <w:rStyle w:val="DeltaViewInsertion"/>
                <w:rFonts w:eastAsia="SimSun"/>
                <w:color w:val="auto"/>
                <w:sz w:val="18"/>
                <w:szCs w:val="18"/>
                <w:u w:val="none"/>
              </w:rPr>
              <w:t>10,4939</w:t>
            </w:r>
            <w:bookmarkEnd w:id="613"/>
          </w:p>
        </w:tc>
        <w:tc>
          <w:tcPr>
            <w:tcW w:w="1985" w:type="dxa"/>
            <w:tcBorders>
              <w:top w:val="nil"/>
              <w:left w:val="nil"/>
              <w:bottom w:val="nil"/>
              <w:right w:val="nil"/>
            </w:tcBorders>
            <w:shd w:val="clear" w:color="auto" w:fill="auto"/>
          </w:tcPr>
          <w:p w14:paraId="2A4EE8B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4" w:name="_DV_C2141"/>
            <w:r w:rsidRPr="002A2EA6">
              <w:rPr>
                <w:rStyle w:val="DeltaViewInsertion"/>
                <w:rFonts w:eastAsia="SimSun"/>
                <w:color w:val="auto"/>
                <w:sz w:val="18"/>
                <w:szCs w:val="18"/>
                <w:u w:val="none"/>
              </w:rPr>
              <w:t xml:space="preserve">678 234 </w:t>
            </w:r>
            <w:bookmarkEnd w:id="614"/>
          </w:p>
        </w:tc>
      </w:tr>
      <w:tr w:rsidR="002A2EA6" w:rsidRPr="002A2EA6" w14:paraId="6A39E034" w14:textId="77777777" w:rsidTr="00A54D8B">
        <w:trPr>
          <w:trHeight w:val="57"/>
          <w:jc w:val="right"/>
        </w:trPr>
        <w:tc>
          <w:tcPr>
            <w:tcW w:w="709" w:type="dxa"/>
            <w:tcBorders>
              <w:top w:val="nil"/>
              <w:left w:val="nil"/>
              <w:bottom w:val="nil"/>
              <w:right w:val="nil"/>
            </w:tcBorders>
            <w:shd w:val="clear" w:color="auto" w:fill="auto"/>
          </w:tcPr>
          <w:p w14:paraId="70B173E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lastRenderedPageBreak/>
              <w:t>4</w:t>
            </w:r>
            <w:r w:rsidRPr="002A2EA6">
              <w:rPr>
                <w:sz w:val="18"/>
                <w:szCs w:val="18"/>
              </w:rPr>
              <w:t>3</w:t>
            </w:r>
          </w:p>
        </w:tc>
        <w:tc>
          <w:tcPr>
            <w:tcW w:w="2552" w:type="dxa"/>
            <w:tcBorders>
              <w:top w:val="nil"/>
              <w:left w:val="nil"/>
              <w:bottom w:val="nil"/>
              <w:right w:val="nil"/>
            </w:tcBorders>
            <w:shd w:val="clear" w:color="auto" w:fill="auto"/>
          </w:tcPr>
          <w:p w14:paraId="62B88EB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15" w:name="_DV_C2143"/>
            <w:r w:rsidRPr="002A2EA6">
              <w:rPr>
                <w:rStyle w:val="DeltaViewInsertion"/>
                <w:rFonts w:eastAsia="SimSun"/>
                <w:color w:val="auto"/>
                <w:sz w:val="18"/>
                <w:szCs w:val="18"/>
                <w:u w:val="none"/>
              </w:rPr>
              <w:t>Jordan</w:t>
            </w:r>
            <w:bookmarkEnd w:id="615"/>
            <w:r w:rsidRPr="002A2EA6">
              <w:rPr>
                <w:rStyle w:val="DeltaViewInsertion"/>
                <w:rFonts w:eastAsia="SimSun"/>
                <w:color w:val="auto"/>
                <w:sz w:val="18"/>
                <w:szCs w:val="18"/>
                <w:u w:val="none"/>
              </w:rPr>
              <w:t>ie</w:t>
            </w:r>
          </w:p>
        </w:tc>
        <w:tc>
          <w:tcPr>
            <w:tcW w:w="1701" w:type="dxa"/>
            <w:tcBorders>
              <w:top w:val="nil"/>
              <w:left w:val="nil"/>
              <w:bottom w:val="nil"/>
              <w:right w:val="nil"/>
            </w:tcBorders>
            <w:shd w:val="clear" w:color="auto" w:fill="auto"/>
          </w:tcPr>
          <w:p w14:paraId="5D47804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6" w:name="_DV_C2144"/>
            <w:r w:rsidRPr="002A2EA6">
              <w:rPr>
                <w:rStyle w:val="DeltaViewInsertion"/>
                <w:rFonts w:eastAsia="SimSun"/>
                <w:color w:val="auto"/>
                <w:sz w:val="18"/>
                <w:szCs w:val="18"/>
                <w:u w:val="none"/>
              </w:rPr>
              <w:t>0,021</w:t>
            </w:r>
            <w:bookmarkEnd w:id="616"/>
          </w:p>
        </w:tc>
        <w:tc>
          <w:tcPr>
            <w:tcW w:w="1984" w:type="dxa"/>
            <w:tcBorders>
              <w:top w:val="nil"/>
              <w:left w:val="nil"/>
              <w:bottom w:val="nil"/>
              <w:right w:val="nil"/>
            </w:tcBorders>
            <w:shd w:val="clear" w:color="auto" w:fill="auto"/>
          </w:tcPr>
          <w:p w14:paraId="1B12264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7" w:name="_DV_C2145"/>
            <w:r w:rsidRPr="002A2EA6">
              <w:rPr>
                <w:rStyle w:val="DeltaViewInsertion"/>
                <w:rFonts w:eastAsia="SimSun"/>
                <w:color w:val="auto"/>
                <w:sz w:val="18"/>
                <w:szCs w:val="18"/>
                <w:u w:val="none"/>
              </w:rPr>
              <w:t>0,0257</w:t>
            </w:r>
            <w:bookmarkEnd w:id="617"/>
          </w:p>
        </w:tc>
        <w:tc>
          <w:tcPr>
            <w:tcW w:w="1985" w:type="dxa"/>
            <w:tcBorders>
              <w:top w:val="nil"/>
              <w:left w:val="nil"/>
              <w:bottom w:val="nil"/>
              <w:right w:val="nil"/>
            </w:tcBorders>
            <w:shd w:val="clear" w:color="auto" w:fill="auto"/>
          </w:tcPr>
          <w:p w14:paraId="2253218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18" w:name="_DV_C2146"/>
            <w:r w:rsidRPr="002A2EA6">
              <w:rPr>
                <w:rStyle w:val="DeltaViewInsertion"/>
                <w:rFonts w:eastAsia="SimSun"/>
                <w:color w:val="auto"/>
                <w:sz w:val="18"/>
                <w:szCs w:val="18"/>
                <w:u w:val="none"/>
              </w:rPr>
              <w:t xml:space="preserve">1 663 </w:t>
            </w:r>
            <w:bookmarkEnd w:id="618"/>
          </w:p>
        </w:tc>
      </w:tr>
      <w:tr w:rsidR="002A2EA6" w:rsidRPr="002A2EA6" w14:paraId="59B2C0E9" w14:textId="77777777" w:rsidTr="00A54D8B">
        <w:trPr>
          <w:trHeight w:val="57"/>
          <w:jc w:val="right"/>
        </w:trPr>
        <w:tc>
          <w:tcPr>
            <w:tcW w:w="709" w:type="dxa"/>
            <w:tcBorders>
              <w:top w:val="nil"/>
              <w:left w:val="nil"/>
              <w:bottom w:val="nil"/>
              <w:right w:val="nil"/>
            </w:tcBorders>
            <w:shd w:val="clear" w:color="auto" w:fill="auto"/>
          </w:tcPr>
          <w:p w14:paraId="495B1284"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19" w:name="_DV_C2147"/>
            <w:r w:rsidRPr="002A2EA6">
              <w:rPr>
                <w:rStyle w:val="DeltaViewInsertion"/>
                <w:rFonts w:eastAsia="SimSun"/>
                <w:color w:val="auto"/>
                <w:sz w:val="18"/>
                <w:szCs w:val="18"/>
                <w:u w:val="none"/>
              </w:rPr>
              <w:t>4</w:t>
            </w:r>
            <w:bookmarkEnd w:id="619"/>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45E233C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20" w:name="_DV_C2148"/>
            <w:r w:rsidRPr="002A2EA6">
              <w:rPr>
                <w:rStyle w:val="DeltaViewInsertion"/>
                <w:rFonts w:eastAsia="SimSun"/>
                <w:color w:val="auto"/>
                <w:sz w:val="18"/>
                <w:szCs w:val="18"/>
                <w:u w:val="none"/>
              </w:rPr>
              <w:t>Kiribati</w:t>
            </w:r>
            <w:bookmarkEnd w:id="620"/>
          </w:p>
        </w:tc>
        <w:tc>
          <w:tcPr>
            <w:tcW w:w="1701" w:type="dxa"/>
            <w:tcBorders>
              <w:top w:val="nil"/>
              <w:left w:val="nil"/>
              <w:bottom w:val="nil"/>
              <w:right w:val="nil"/>
            </w:tcBorders>
            <w:shd w:val="clear" w:color="auto" w:fill="auto"/>
          </w:tcPr>
          <w:p w14:paraId="11EA6E9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21" w:name="_DV_C2149"/>
            <w:r w:rsidRPr="002A2EA6">
              <w:rPr>
                <w:rStyle w:val="DeltaViewInsertion"/>
                <w:rFonts w:eastAsia="SimSun"/>
                <w:color w:val="auto"/>
                <w:sz w:val="18"/>
                <w:szCs w:val="18"/>
                <w:u w:val="none"/>
              </w:rPr>
              <w:t>0,001</w:t>
            </w:r>
            <w:bookmarkEnd w:id="621"/>
          </w:p>
        </w:tc>
        <w:tc>
          <w:tcPr>
            <w:tcW w:w="1984" w:type="dxa"/>
            <w:tcBorders>
              <w:top w:val="nil"/>
              <w:left w:val="nil"/>
              <w:bottom w:val="nil"/>
              <w:right w:val="nil"/>
            </w:tcBorders>
            <w:shd w:val="clear" w:color="auto" w:fill="auto"/>
          </w:tcPr>
          <w:p w14:paraId="69A1108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22" w:name="_DV_C2150"/>
            <w:r w:rsidRPr="002A2EA6">
              <w:rPr>
                <w:rStyle w:val="DeltaViewInsertion"/>
                <w:rFonts w:eastAsia="SimSun"/>
                <w:color w:val="auto"/>
                <w:sz w:val="18"/>
                <w:szCs w:val="18"/>
                <w:u w:val="none"/>
              </w:rPr>
              <w:t>0,0100</w:t>
            </w:r>
            <w:bookmarkEnd w:id="622"/>
          </w:p>
        </w:tc>
        <w:tc>
          <w:tcPr>
            <w:tcW w:w="1985" w:type="dxa"/>
            <w:tcBorders>
              <w:top w:val="nil"/>
              <w:left w:val="nil"/>
              <w:bottom w:val="nil"/>
              <w:right w:val="nil"/>
            </w:tcBorders>
            <w:shd w:val="clear" w:color="auto" w:fill="auto"/>
          </w:tcPr>
          <w:p w14:paraId="6305344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23" w:name="_DV_C2151"/>
            <w:r w:rsidRPr="002A2EA6">
              <w:rPr>
                <w:rStyle w:val="DeltaViewInsertion"/>
                <w:rFonts w:eastAsia="SimSun"/>
                <w:color w:val="auto"/>
                <w:sz w:val="18"/>
                <w:szCs w:val="18"/>
                <w:u w:val="none"/>
              </w:rPr>
              <w:t xml:space="preserve">646 </w:t>
            </w:r>
            <w:bookmarkEnd w:id="623"/>
          </w:p>
        </w:tc>
      </w:tr>
      <w:tr w:rsidR="002A2EA6" w:rsidRPr="002A2EA6" w14:paraId="35F725C2" w14:textId="77777777" w:rsidTr="00A54D8B">
        <w:trPr>
          <w:trHeight w:val="57"/>
          <w:jc w:val="right"/>
        </w:trPr>
        <w:tc>
          <w:tcPr>
            <w:tcW w:w="709" w:type="dxa"/>
            <w:tcBorders>
              <w:top w:val="nil"/>
              <w:left w:val="nil"/>
              <w:bottom w:val="nil"/>
              <w:right w:val="nil"/>
            </w:tcBorders>
            <w:shd w:val="clear" w:color="auto" w:fill="auto"/>
          </w:tcPr>
          <w:p w14:paraId="399F8AEE"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24" w:name="_DV_C2152"/>
            <w:r w:rsidRPr="002A2EA6">
              <w:rPr>
                <w:rStyle w:val="DeltaViewInsertion"/>
                <w:rFonts w:eastAsia="SimSun"/>
                <w:color w:val="auto"/>
                <w:sz w:val="18"/>
                <w:szCs w:val="18"/>
                <w:u w:val="none"/>
              </w:rPr>
              <w:t>4</w:t>
            </w:r>
            <w:bookmarkEnd w:id="624"/>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38A18F9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25" w:name="_DV_C2153"/>
            <w:r w:rsidRPr="002A2EA6">
              <w:rPr>
                <w:rStyle w:val="DeltaViewInsertion"/>
                <w:rFonts w:eastAsia="SimSun"/>
                <w:color w:val="auto"/>
                <w:sz w:val="18"/>
                <w:szCs w:val="18"/>
                <w:u w:val="none"/>
              </w:rPr>
              <w:t>K</w:t>
            </w:r>
            <w:bookmarkEnd w:id="625"/>
            <w:r w:rsidRPr="002A2EA6">
              <w:rPr>
                <w:rStyle w:val="DeltaViewInsertion"/>
                <w:rFonts w:eastAsia="SimSun"/>
                <w:color w:val="auto"/>
                <w:sz w:val="18"/>
                <w:szCs w:val="18"/>
                <w:u w:val="none"/>
              </w:rPr>
              <w:t>oweït</w:t>
            </w:r>
          </w:p>
        </w:tc>
        <w:tc>
          <w:tcPr>
            <w:tcW w:w="1701" w:type="dxa"/>
            <w:tcBorders>
              <w:top w:val="nil"/>
              <w:left w:val="nil"/>
              <w:bottom w:val="nil"/>
              <w:right w:val="nil"/>
            </w:tcBorders>
            <w:shd w:val="clear" w:color="auto" w:fill="auto"/>
          </w:tcPr>
          <w:p w14:paraId="290EB0D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26" w:name="_DV_C2154"/>
            <w:r w:rsidRPr="002A2EA6">
              <w:rPr>
                <w:rStyle w:val="DeltaViewInsertion"/>
                <w:rFonts w:eastAsia="SimSun"/>
                <w:color w:val="auto"/>
                <w:sz w:val="18"/>
                <w:szCs w:val="18"/>
                <w:u w:val="none"/>
              </w:rPr>
              <w:t>0,252</w:t>
            </w:r>
            <w:bookmarkEnd w:id="626"/>
          </w:p>
        </w:tc>
        <w:tc>
          <w:tcPr>
            <w:tcW w:w="1984" w:type="dxa"/>
            <w:tcBorders>
              <w:top w:val="nil"/>
              <w:left w:val="nil"/>
              <w:bottom w:val="nil"/>
              <w:right w:val="nil"/>
            </w:tcBorders>
            <w:shd w:val="clear" w:color="auto" w:fill="auto"/>
          </w:tcPr>
          <w:p w14:paraId="33A2A37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27" w:name="_DV_C2155"/>
            <w:r w:rsidRPr="002A2EA6">
              <w:rPr>
                <w:rStyle w:val="DeltaViewInsertion"/>
                <w:rFonts w:eastAsia="SimSun"/>
                <w:color w:val="auto"/>
                <w:sz w:val="18"/>
                <w:szCs w:val="18"/>
                <w:u w:val="none"/>
              </w:rPr>
              <w:t>0,3088</w:t>
            </w:r>
            <w:bookmarkEnd w:id="627"/>
          </w:p>
        </w:tc>
        <w:tc>
          <w:tcPr>
            <w:tcW w:w="1985" w:type="dxa"/>
            <w:tcBorders>
              <w:top w:val="nil"/>
              <w:left w:val="nil"/>
              <w:bottom w:val="nil"/>
              <w:right w:val="nil"/>
            </w:tcBorders>
            <w:shd w:val="clear" w:color="auto" w:fill="auto"/>
          </w:tcPr>
          <w:p w14:paraId="0165B5A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28" w:name="_DV_C2156"/>
            <w:r w:rsidRPr="002A2EA6">
              <w:rPr>
                <w:rStyle w:val="DeltaViewInsertion"/>
                <w:rFonts w:eastAsia="SimSun"/>
                <w:color w:val="auto"/>
                <w:sz w:val="18"/>
                <w:szCs w:val="18"/>
                <w:u w:val="none"/>
              </w:rPr>
              <w:t xml:space="preserve">19 957 </w:t>
            </w:r>
            <w:bookmarkEnd w:id="628"/>
          </w:p>
        </w:tc>
      </w:tr>
      <w:tr w:rsidR="002A2EA6" w:rsidRPr="002A2EA6" w14:paraId="60DDF603" w14:textId="77777777" w:rsidTr="00A54D8B">
        <w:trPr>
          <w:trHeight w:val="57"/>
          <w:jc w:val="right"/>
        </w:trPr>
        <w:tc>
          <w:tcPr>
            <w:tcW w:w="709" w:type="dxa"/>
            <w:tcBorders>
              <w:top w:val="nil"/>
              <w:left w:val="nil"/>
              <w:bottom w:val="nil"/>
              <w:right w:val="nil"/>
            </w:tcBorders>
            <w:shd w:val="clear" w:color="auto" w:fill="auto"/>
          </w:tcPr>
          <w:p w14:paraId="657045A3"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29" w:name="_DV_C2162"/>
            <w:r w:rsidRPr="002A2EA6">
              <w:rPr>
                <w:rStyle w:val="DeltaViewInsertion"/>
                <w:rFonts w:eastAsia="SimSun"/>
                <w:color w:val="auto"/>
                <w:sz w:val="18"/>
                <w:szCs w:val="18"/>
                <w:u w:val="none"/>
              </w:rPr>
              <w:t>4</w:t>
            </w:r>
            <w:bookmarkEnd w:id="629"/>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1F2C726E"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30" w:name="_DV_C2163"/>
            <w:r w:rsidRPr="002A2EA6">
              <w:rPr>
                <w:rStyle w:val="DeltaViewInsertion"/>
                <w:rFonts w:eastAsia="SimSun"/>
                <w:color w:val="auto"/>
                <w:sz w:val="18"/>
                <w:szCs w:val="18"/>
                <w:u w:val="none"/>
              </w:rPr>
              <w:t>Liban</w:t>
            </w:r>
            <w:bookmarkEnd w:id="630"/>
          </w:p>
        </w:tc>
        <w:tc>
          <w:tcPr>
            <w:tcW w:w="1701" w:type="dxa"/>
            <w:tcBorders>
              <w:top w:val="nil"/>
              <w:left w:val="nil"/>
              <w:bottom w:val="nil"/>
              <w:right w:val="nil"/>
            </w:tcBorders>
            <w:shd w:val="clear" w:color="auto" w:fill="auto"/>
          </w:tcPr>
          <w:p w14:paraId="072EB53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31" w:name="_DV_C2164"/>
            <w:r w:rsidRPr="002A2EA6">
              <w:rPr>
                <w:rStyle w:val="DeltaViewInsertion"/>
                <w:rFonts w:eastAsia="SimSun"/>
                <w:color w:val="auto"/>
                <w:sz w:val="18"/>
                <w:szCs w:val="18"/>
                <w:u w:val="none"/>
              </w:rPr>
              <w:t>0,047</w:t>
            </w:r>
            <w:bookmarkEnd w:id="631"/>
          </w:p>
        </w:tc>
        <w:tc>
          <w:tcPr>
            <w:tcW w:w="1984" w:type="dxa"/>
            <w:tcBorders>
              <w:top w:val="nil"/>
              <w:left w:val="nil"/>
              <w:bottom w:val="nil"/>
              <w:right w:val="nil"/>
            </w:tcBorders>
            <w:shd w:val="clear" w:color="auto" w:fill="auto"/>
          </w:tcPr>
          <w:p w14:paraId="25EB9F6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32" w:name="_DV_C2165"/>
            <w:r w:rsidRPr="002A2EA6">
              <w:rPr>
                <w:rStyle w:val="DeltaViewInsertion"/>
                <w:rFonts w:eastAsia="SimSun"/>
                <w:color w:val="auto"/>
                <w:sz w:val="18"/>
                <w:szCs w:val="18"/>
                <w:u w:val="none"/>
              </w:rPr>
              <w:t>0,0576</w:t>
            </w:r>
            <w:bookmarkEnd w:id="632"/>
          </w:p>
        </w:tc>
        <w:tc>
          <w:tcPr>
            <w:tcW w:w="1985" w:type="dxa"/>
            <w:tcBorders>
              <w:top w:val="nil"/>
              <w:left w:val="nil"/>
              <w:bottom w:val="nil"/>
              <w:right w:val="nil"/>
            </w:tcBorders>
            <w:shd w:val="clear" w:color="auto" w:fill="auto"/>
          </w:tcPr>
          <w:p w14:paraId="5B4E2B3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33" w:name="_DV_C2166"/>
            <w:r w:rsidRPr="002A2EA6">
              <w:rPr>
                <w:rStyle w:val="DeltaViewInsertion"/>
                <w:rFonts w:eastAsia="SimSun"/>
                <w:color w:val="auto"/>
                <w:sz w:val="18"/>
                <w:szCs w:val="18"/>
                <w:u w:val="none"/>
              </w:rPr>
              <w:t xml:space="preserve">3 722 </w:t>
            </w:r>
            <w:bookmarkEnd w:id="633"/>
          </w:p>
        </w:tc>
      </w:tr>
      <w:tr w:rsidR="002A2EA6" w:rsidRPr="002A2EA6" w14:paraId="6E5314BD" w14:textId="77777777" w:rsidTr="00A54D8B">
        <w:trPr>
          <w:trHeight w:val="57"/>
          <w:jc w:val="right"/>
        </w:trPr>
        <w:tc>
          <w:tcPr>
            <w:tcW w:w="709" w:type="dxa"/>
            <w:tcBorders>
              <w:top w:val="nil"/>
              <w:left w:val="nil"/>
              <w:bottom w:val="nil"/>
              <w:right w:val="nil"/>
            </w:tcBorders>
            <w:shd w:val="clear" w:color="auto" w:fill="auto"/>
          </w:tcPr>
          <w:p w14:paraId="3E33C10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34" w:name="_DV_C2172"/>
            <w:r w:rsidRPr="002A2EA6">
              <w:rPr>
                <w:rStyle w:val="DeltaViewInsertion"/>
                <w:rFonts w:eastAsia="SimSun"/>
                <w:color w:val="auto"/>
                <w:sz w:val="18"/>
                <w:szCs w:val="18"/>
                <w:u w:val="none"/>
              </w:rPr>
              <w:t>4</w:t>
            </w:r>
            <w:bookmarkEnd w:id="634"/>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628137F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35" w:name="_DV_C2173"/>
            <w:r w:rsidRPr="002A2EA6">
              <w:rPr>
                <w:rStyle w:val="DeltaViewInsertion"/>
                <w:rFonts w:eastAsia="SimSun"/>
                <w:color w:val="auto"/>
                <w:sz w:val="18"/>
                <w:szCs w:val="18"/>
                <w:u w:val="none"/>
              </w:rPr>
              <w:t>Mongolie</w:t>
            </w:r>
            <w:bookmarkEnd w:id="635"/>
          </w:p>
        </w:tc>
        <w:tc>
          <w:tcPr>
            <w:tcW w:w="1701" w:type="dxa"/>
            <w:tcBorders>
              <w:top w:val="nil"/>
              <w:left w:val="nil"/>
              <w:bottom w:val="nil"/>
              <w:right w:val="nil"/>
            </w:tcBorders>
            <w:shd w:val="clear" w:color="auto" w:fill="auto"/>
          </w:tcPr>
          <w:p w14:paraId="124D7D7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36" w:name="_DV_C2174"/>
            <w:r w:rsidRPr="002A2EA6">
              <w:rPr>
                <w:rStyle w:val="DeltaViewInsertion"/>
                <w:rFonts w:eastAsia="SimSun"/>
                <w:color w:val="auto"/>
                <w:sz w:val="18"/>
                <w:szCs w:val="18"/>
                <w:u w:val="none"/>
              </w:rPr>
              <w:t>0,005</w:t>
            </w:r>
            <w:bookmarkEnd w:id="636"/>
          </w:p>
        </w:tc>
        <w:tc>
          <w:tcPr>
            <w:tcW w:w="1984" w:type="dxa"/>
            <w:tcBorders>
              <w:top w:val="nil"/>
              <w:left w:val="nil"/>
              <w:bottom w:val="nil"/>
              <w:right w:val="nil"/>
            </w:tcBorders>
            <w:shd w:val="clear" w:color="auto" w:fill="auto"/>
          </w:tcPr>
          <w:p w14:paraId="41D3EE1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37" w:name="_DV_C2175"/>
            <w:r w:rsidRPr="002A2EA6">
              <w:rPr>
                <w:rStyle w:val="DeltaViewInsertion"/>
                <w:rFonts w:eastAsia="SimSun"/>
                <w:color w:val="auto"/>
                <w:sz w:val="18"/>
                <w:szCs w:val="18"/>
                <w:u w:val="none"/>
              </w:rPr>
              <w:t>0,0100</w:t>
            </w:r>
            <w:bookmarkEnd w:id="637"/>
          </w:p>
        </w:tc>
        <w:tc>
          <w:tcPr>
            <w:tcW w:w="1985" w:type="dxa"/>
            <w:tcBorders>
              <w:top w:val="nil"/>
              <w:left w:val="nil"/>
              <w:bottom w:val="nil"/>
              <w:right w:val="nil"/>
            </w:tcBorders>
            <w:shd w:val="clear" w:color="auto" w:fill="auto"/>
          </w:tcPr>
          <w:p w14:paraId="7A60CAD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38" w:name="_DV_C2176"/>
            <w:r w:rsidRPr="002A2EA6">
              <w:rPr>
                <w:rStyle w:val="DeltaViewInsertion"/>
                <w:rFonts w:eastAsia="SimSun"/>
                <w:color w:val="auto"/>
                <w:sz w:val="18"/>
                <w:szCs w:val="18"/>
                <w:u w:val="none"/>
              </w:rPr>
              <w:t xml:space="preserve">646 </w:t>
            </w:r>
            <w:bookmarkEnd w:id="638"/>
          </w:p>
        </w:tc>
      </w:tr>
      <w:tr w:rsidR="002A2EA6" w:rsidRPr="002A2EA6" w14:paraId="17C8E09F" w14:textId="77777777" w:rsidTr="00A54D8B">
        <w:trPr>
          <w:trHeight w:val="57"/>
          <w:jc w:val="right"/>
        </w:trPr>
        <w:tc>
          <w:tcPr>
            <w:tcW w:w="709" w:type="dxa"/>
            <w:tcBorders>
              <w:top w:val="nil"/>
              <w:left w:val="nil"/>
              <w:bottom w:val="nil"/>
              <w:right w:val="nil"/>
            </w:tcBorders>
            <w:shd w:val="clear" w:color="auto" w:fill="auto"/>
          </w:tcPr>
          <w:p w14:paraId="044F872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39" w:name="_DV_C2177"/>
            <w:r w:rsidRPr="002A2EA6">
              <w:rPr>
                <w:rStyle w:val="DeltaViewInsertion"/>
                <w:rFonts w:eastAsia="SimSun"/>
                <w:color w:val="auto"/>
                <w:sz w:val="18"/>
                <w:szCs w:val="18"/>
                <w:u w:val="none"/>
              </w:rPr>
              <w:t>4</w:t>
            </w:r>
            <w:bookmarkEnd w:id="639"/>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79FFC93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40" w:name="_DV_C2178"/>
            <w:r w:rsidRPr="002A2EA6">
              <w:rPr>
                <w:rStyle w:val="DeltaViewInsertion"/>
                <w:rFonts w:eastAsia="SimSun"/>
                <w:color w:val="auto"/>
                <w:sz w:val="18"/>
                <w:szCs w:val="18"/>
                <w:u w:val="none"/>
              </w:rPr>
              <w:t>Pala</w:t>
            </w:r>
            <w:bookmarkEnd w:id="640"/>
            <w:r w:rsidRPr="002A2EA6">
              <w:rPr>
                <w:rStyle w:val="DeltaViewInsertion"/>
                <w:rFonts w:eastAsia="SimSun"/>
                <w:color w:val="auto"/>
                <w:sz w:val="18"/>
                <w:szCs w:val="18"/>
                <w:u w:val="none"/>
              </w:rPr>
              <w:t>os</w:t>
            </w:r>
          </w:p>
        </w:tc>
        <w:tc>
          <w:tcPr>
            <w:tcW w:w="1701" w:type="dxa"/>
            <w:tcBorders>
              <w:top w:val="nil"/>
              <w:left w:val="nil"/>
              <w:bottom w:val="nil"/>
              <w:right w:val="nil"/>
            </w:tcBorders>
            <w:shd w:val="clear" w:color="auto" w:fill="auto"/>
          </w:tcPr>
          <w:p w14:paraId="64D62C3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1" w:name="_DV_C2179"/>
            <w:r w:rsidRPr="002A2EA6">
              <w:rPr>
                <w:rStyle w:val="DeltaViewInsertion"/>
                <w:rFonts w:eastAsia="SimSun"/>
                <w:color w:val="auto"/>
                <w:sz w:val="18"/>
                <w:szCs w:val="18"/>
                <w:u w:val="none"/>
              </w:rPr>
              <w:t>0,001</w:t>
            </w:r>
            <w:bookmarkEnd w:id="641"/>
          </w:p>
        </w:tc>
        <w:tc>
          <w:tcPr>
            <w:tcW w:w="1984" w:type="dxa"/>
            <w:tcBorders>
              <w:top w:val="nil"/>
              <w:left w:val="nil"/>
              <w:bottom w:val="nil"/>
              <w:right w:val="nil"/>
            </w:tcBorders>
            <w:shd w:val="clear" w:color="auto" w:fill="auto"/>
          </w:tcPr>
          <w:p w14:paraId="076B753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2" w:name="_DV_C2180"/>
            <w:r w:rsidRPr="002A2EA6">
              <w:rPr>
                <w:rStyle w:val="DeltaViewInsertion"/>
                <w:rFonts w:eastAsia="SimSun"/>
                <w:color w:val="auto"/>
                <w:sz w:val="18"/>
                <w:szCs w:val="18"/>
                <w:u w:val="none"/>
              </w:rPr>
              <w:t>0,0100</w:t>
            </w:r>
            <w:bookmarkEnd w:id="642"/>
          </w:p>
        </w:tc>
        <w:tc>
          <w:tcPr>
            <w:tcW w:w="1985" w:type="dxa"/>
            <w:tcBorders>
              <w:top w:val="nil"/>
              <w:left w:val="nil"/>
              <w:bottom w:val="nil"/>
              <w:right w:val="nil"/>
            </w:tcBorders>
            <w:shd w:val="clear" w:color="auto" w:fill="auto"/>
          </w:tcPr>
          <w:p w14:paraId="407D08D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3" w:name="_DV_C2181"/>
            <w:r w:rsidRPr="002A2EA6">
              <w:rPr>
                <w:rStyle w:val="DeltaViewInsertion"/>
                <w:rFonts w:eastAsia="SimSun"/>
                <w:color w:val="auto"/>
                <w:sz w:val="18"/>
                <w:szCs w:val="18"/>
                <w:u w:val="none"/>
              </w:rPr>
              <w:t xml:space="preserve">646 </w:t>
            </w:r>
            <w:bookmarkEnd w:id="643"/>
          </w:p>
        </w:tc>
      </w:tr>
      <w:tr w:rsidR="002A2EA6" w:rsidRPr="002A2EA6" w14:paraId="57693074" w14:textId="77777777" w:rsidTr="00A54D8B">
        <w:trPr>
          <w:trHeight w:val="57"/>
          <w:jc w:val="right"/>
        </w:trPr>
        <w:tc>
          <w:tcPr>
            <w:tcW w:w="709" w:type="dxa"/>
            <w:tcBorders>
              <w:top w:val="nil"/>
              <w:left w:val="nil"/>
              <w:bottom w:val="nil"/>
              <w:right w:val="nil"/>
            </w:tcBorders>
            <w:shd w:val="clear" w:color="auto" w:fill="auto"/>
          </w:tcPr>
          <w:p w14:paraId="105DF64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9</w:t>
            </w:r>
          </w:p>
        </w:tc>
        <w:tc>
          <w:tcPr>
            <w:tcW w:w="2552" w:type="dxa"/>
            <w:tcBorders>
              <w:top w:val="nil"/>
              <w:left w:val="nil"/>
              <w:bottom w:val="nil"/>
              <w:right w:val="nil"/>
            </w:tcBorders>
            <w:shd w:val="clear" w:color="auto" w:fill="auto"/>
          </w:tcPr>
          <w:p w14:paraId="7FBEA6D5"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R</w:t>
            </w:r>
            <w:r w:rsidRPr="002A2EA6">
              <w:rPr>
                <w:sz w:val="18"/>
                <w:szCs w:val="18"/>
              </w:rPr>
              <w:t xml:space="preserve">épublique arabe syrienne </w:t>
            </w:r>
          </w:p>
        </w:tc>
        <w:tc>
          <w:tcPr>
            <w:tcW w:w="1701" w:type="dxa"/>
            <w:tcBorders>
              <w:top w:val="nil"/>
              <w:left w:val="nil"/>
              <w:bottom w:val="nil"/>
              <w:right w:val="nil"/>
            </w:tcBorders>
            <w:shd w:val="clear" w:color="auto" w:fill="auto"/>
          </w:tcPr>
          <w:p w14:paraId="501348C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4" w:name="_DV_C2214"/>
            <w:r w:rsidRPr="002A2EA6">
              <w:rPr>
                <w:rStyle w:val="DeltaViewInsertion"/>
                <w:rFonts w:eastAsia="SimSun"/>
                <w:color w:val="auto"/>
                <w:sz w:val="18"/>
                <w:szCs w:val="18"/>
                <w:u w:val="none"/>
              </w:rPr>
              <w:t>0,011</w:t>
            </w:r>
            <w:bookmarkEnd w:id="644"/>
          </w:p>
        </w:tc>
        <w:tc>
          <w:tcPr>
            <w:tcW w:w="1984" w:type="dxa"/>
            <w:tcBorders>
              <w:top w:val="nil"/>
              <w:left w:val="nil"/>
              <w:bottom w:val="nil"/>
              <w:right w:val="nil"/>
            </w:tcBorders>
            <w:shd w:val="clear" w:color="auto" w:fill="auto"/>
          </w:tcPr>
          <w:p w14:paraId="0EDC60B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5" w:name="_DV_C2215"/>
            <w:r w:rsidRPr="002A2EA6">
              <w:rPr>
                <w:rStyle w:val="DeltaViewInsertion"/>
                <w:rFonts w:eastAsia="SimSun"/>
                <w:color w:val="auto"/>
                <w:sz w:val="18"/>
                <w:szCs w:val="18"/>
                <w:u w:val="none"/>
              </w:rPr>
              <w:t>0,0135</w:t>
            </w:r>
            <w:bookmarkEnd w:id="645"/>
          </w:p>
        </w:tc>
        <w:tc>
          <w:tcPr>
            <w:tcW w:w="1985" w:type="dxa"/>
            <w:tcBorders>
              <w:top w:val="nil"/>
              <w:left w:val="nil"/>
              <w:bottom w:val="nil"/>
              <w:right w:val="nil"/>
            </w:tcBorders>
            <w:shd w:val="clear" w:color="auto" w:fill="auto"/>
          </w:tcPr>
          <w:p w14:paraId="37767B6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6" w:name="_DV_C2216"/>
            <w:r w:rsidRPr="002A2EA6">
              <w:rPr>
                <w:rStyle w:val="DeltaViewInsertion"/>
                <w:rFonts w:eastAsia="SimSun"/>
                <w:color w:val="auto"/>
                <w:sz w:val="18"/>
                <w:szCs w:val="18"/>
                <w:u w:val="none"/>
              </w:rPr>
              <w:t xml:space="preserve">871 </w:t>
            </w:r>
            <w:bookmarkEnd w:id="646"/>
          </w:p>
        </w:tc>
      </w:tr>
      <w:tr w:rsidR="002A2EA6" w:rsidRPr="002A2EA6" w14:paraId="2B2FEA8E" w14:textId="77777777" w:rsidTr="00A54D8B">
        <w:trPr>
          <w:trHeight w:val="57"/>
          <w:jc w:val="right"/>
        </w:trPr>
        <w:tc>
          <w:tcPr>
            <w:tcW w:w="709" w:type="dxa"/>
            <w:tcBorders>
              <w:top w:val="nil"/>
              <w:left w:val="nil"/>
              <w:bottom w:val="nil"/>
              <w:right w:val="nil"/>
            </w:tcBorders>
            <w:shd w:val="clear" w:color="auto" w:fill="auto"/>
          </w:tcPr>
          <w:p w14:paraId="7974ACA7"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5</w:t>
            </w:r>
            <w:r w:rsidRPr="002A2EA6">
              <w:rPr>
                <w:sz w:val="18"/>
                <w:szCs w:val="18"/>
              </w:rPr>
              <w:t>0</w:t>
            </w:r>
          </w:p>
        </w:tc>
        <w:tc>
          <w:tcPr>
            <w:tcW w:w="2552" w:type="dxa"/>
            <w:tcBorders>
              <w:top w:val="nil"/>
              <w:left w:val="nil"/>
              <w:bottom w:val="nil"/>
              <w:right w:val="nil"/>
            </w:tcBorders>
            <w:shd w:val="clear" w:color="auto" w:fill="auto"/>
          </w:tcPr>
          <w:p w14:paraId="0C106CB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47" w:name="_DV_C2183"/>
            <w:r w:rsidRPr="002A2EA6">
              <w:rPr>
                <w:rStyle w:val="DeltaViewInsertion"/>
                <w:rFonts w:eastAsia="SimSun"/>
                <w:color w:val="auto"/>
                <w:sz w:val="18"/>
                <w:szCs w:val="18"/>
                <w:u w:val="none"/>
              </w:rPr>
              <w:t xml:space="preserve">République de Corée </w:t>
            </w:r>
            <w:bookmarkEnd w:id="647"/>
          </w:p>
        </w:tc>
        <w:tc>
          <w:tcPr>
            <w:tcW w:w="1701" w:type="dxa"/>
            <w:tcBorders>
              <w:top w:val="nil"/>
              <w:left w:val="nil"/>
              <w:bottom w:val="nil"/>
              <w:right w:val="nil"/>
            </w:tcBorders>
            <w:shd w:val="clear" w:color="auto" w:fill="auto"/>
          </w:tcPr>
          <w:p w14:paraId="6D269D0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8" w:name="_DV_C2184"/>
            <w:r w:rsidRPr="002A2EA6">
              <w:rPr>
                <w:rStyle w:val="DeltaViewInsertion"/>
                <w:rFonts w:eastAsia="SimSun"/>
                <w:color w:val="auto"/>
                <w:sz w:val="18"/>
                <w:szCs w:val="18"/>
                <w:u w:val="none"/>
              </w:rPr>
              <w:t>2,267</w:t>
            </w:r>
            <w:bookmarkEnd w:id="648"/>
          </w:p>
        </w:tc>
        <w:tc>
          <w:tcPr>
            <w:tcW w:w="1984" w:type="dxa"/>
            <w:tcBorders>
              <w:top w:val="nil"/>
              <w:left w:val="nil"/>
              <w:bottom w:val="nil"/>
              <w:right w:val="nil"/>
            </w:tcBorders>
            <w:shd w:val="clear" w:color="auto" w:fill="auto"/>
          </w:tcPr>
          <w:p w14:paraId="7D63613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49" w:name="_DV_C2185"/>
            <w:r w:rsidRPr="002A2EA6">
              <w:rPr>
                <w:rStyle w:val="DeltaViewInsertion"/>
                <w:rFonts w:eastAsia="SimSun"/>
                <w:color w:val="auto"/>
                <w:sz w:val="18"/>
                <w:szCs w:val="18"/>
                <w:u w:val="none"/>
              </w:rPr>
              <w:t>2,7779</w:t>
            </w:r>
            <w:bookmarkEnd w:id="649"/>
          </w:p>
        </w:tc>
        <w:tc>
          <w:tcPr>
            <w:tcW w:w="1985" w:type="dxa"/>
            <w:tcBorders>
              <w:top w:val="nil"/>
              <w:left w:val="nil"/>
              <w:bottom w:val="nil"/>
              <w:right w:val="nil"/>
            </w:tcBorders>
            <w:shd w:val="clear" w:color="auto" w:fill="auto"/>
          </w:tcPr>
          <w:p w14:paraId="6894AFF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0" w:name="_DV_C2186"/>
            <w:r w:rsidRPr="002A2EA6">
              <w:rPr>
                <w:rStyle w:val="DeltaViewInsertion"/>
                <w:rFonts w:eastAsia="SimSun"/>
                <w:color w:val="auto"/>
                <w:sz w:val="18"/>
                <w:szCs w:val="18"/>
                <w:u w:val="none"/>
              </w:rPr>
              <w:t xml:space="preserve">179 537 </w:t>
            </w:r>
            <w:bookmarkEnd w:id="650"/>
          </w:p>
        </w:tc>
      </w:tr>
      <w:tr w:rsidR="002A2EA6" w:rsidRPr="002A2EA6" w14:paraId="7ABBA1F5" w14:textId="77777777" w:rsidTr="00A54D8B">
        <w:trPr>
          <w:trHeight w:val="57"/>
          <w:jc w:val="right"/>
        </w:trPr>
        <w:tc>
          <w:tcPr>
            <w:tcW w:w="709" w:type="dxa"/>
            <w:tcBorders>
              <w:top w:val="nil"/>
              <w:left w:val="nil"/>
              <w:bottom w:val="nil"/>
              <w:right w:val="nil"/>
            </w:tcBorders>
            <w:shd w:val="clear" w:color="auto" w:fill="auto"/>
          </w:tcPr>
          <w:p w14:paraId="6846102B"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5</w:t>
            </w:r>
            <w:r w:rsidRPr="002A2EA6">
              <w:rPr>
                <w:sz w:val="18"/>
                <w:szCs w:val="18"/>
              </w:rPr>
              <w:t>1</w:t>
            </w:r>
          </w:p>
        </w:tc>
        <w:tc>
          <w:tcPr>
            <w:tcW w:w="2552" w:type="dxa"/>
            <w:tcBorders>
              <w:top w:val="nil"/>
              <w:left w:val="nil"/>
              <w:bottom w:val="nil"/>
              <w:right w:val="nil"/>
            </w:tcBorders>
            <w:shd w:val="clear" w:color="auto" w:fill="auto"/>
          </w:tcPr>
          <w:p w14:paraId="62E71F81"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51" w:name="_DV_C2158"/>
            <w:r w:rsidRPr="002A2EA6">
              <w:rPr>
                <w:rStyle w:val="DeltaViewInsertion"/>
                <w:rFonts w:eastAsia="SimSun"/>
                <w:color w:val="auto"/>
                <w:sz w:val="18"/>
                <w:szCs w:val="18"/>
                <w:u w:val="none"/>
              </w:rPr>
              <w:t>République démocratique populaire lao</w:t>
            </w:r>
            <w:bookmarkEnd w:id="651"/>
          </w:p>
        </w:tc>
        <w:tc>
          <w:tcPr>
            <w:tcW w:w="1701" w:type="dxa"/>
            <w:tcBorders>
              <w:top w:val="nil"/>
              <w:left w:val="nil"/>
              <w:bottom w:val="nil"/>
              <w:right w:val="nil"/>
            </w:tcBorders>
            <w:shd w:val="clear" w:color="auto" w:fill="auto"/>
          </w:tcPr>
          <w:p w14:paraId="57B0888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2" w:name="_DV_C2159"/>
            <w:r w:rsidRPr="002A2EA6">
              <w:rPr>
                <w:rStyle w:val="DeltaViewInsertion"/>
                <w:rFonts w:eastAsia="SimSun"/>
                <w:color w:val="auto"/>
                <w:sz w:val="18"/>
                <w:szCs w:val="18"/>
                <w:u w:val="none"/>
              </w:rPr>
              <w:t>0,005</w:t>
            </w:r>
            <w:bookmarkEnd w:id="652"/>
          </w:p>
        </w:tc>
        <w:tc>
          <w:tcPr>
            <w:tcW w:w="1984" w:type="dxa"/>
            <w:tcBorders>
              <w:top w:val="nil"/>
              <w:left w:val="nil"/>
              <w:bottom w:val="nil"/>
              <w:right w:val="nil"/>
            </w:tcBorders>
            <w:shd w:val="clear" w:color="auto" w:fill="auto"/>
          </w:tcPr>
          <w:p w14:paraId="2A73909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3" w:name="_DV_C2160"/>
            <w:r w:rsidRPr="002A2EA6">
              <w:rPr>
                <w:rStyle w:val="DeltaViewInsertion"/>
                <w:rFonts w:eastAsia="SimSun"/>
                <w:color w:val="auto"/>
                <w:sz w:val="18"/>
                <w:szCs w:val="18"/>
                <w:u w:val="none"/>
              </w:rPr>
              <w:t>0,0100</w:t>
            </w:r>
            <w:bookmarkEnd w:id="653"/>
          </w:p>
        </w:tc>
        <w:tc>
          <w:tcPr>
            <w:tcW w:w="1985" w:type="dxa"/>
            <w:tcBorders>
              <w:top w:val="nil"/>
              <w:left w:val="nil"/>
              <w:bottom w:val="nil"/>
              <w:right w:val="nil"/>
            </w:tcBorders>
            <w:shd w:val="clear" w:color="auto" w:fill="auto"/>
          </w:tcPr>
          <w:p w14:paraId="2E7FDFD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4" w:name="_DV_C2161"/>
            <w:r w:rsidRPr="002A2EA6">
              <w:rPr>
                <w:rStyle w:val="DeltaViewInsertion"/>
                <w:rFonts w:eastAsia="SimSun"/>
                <w:color w:val="auto"/>
                <w:sz w:val="18"/>
                <w:szCs w:val="18"/>
                <w:u w:val="none"/>
              </w:rPr>
              <w:t xml:space="preserve">646 </w:t>
            </w:r>
            <w:bookmarkEnd w:id="654"/>
          </w:p>
        </w:tc>
      </w:tr>
      <w:tr w:rsidR="002A2EA6" w:rsidRPr="002A2EA6" w14:paraId="39635691" w14:textId="77777777" w:rsidTr="00A54D8B">
        <w:trPr>
          <w:trHeight w:val="57"/>
          <w:jc w:val="right"/>
        </w:trPr>
        <w:tc>
          <w:tcPr>
            <w:tcW w:w="709" w:type="dxa"/>
            <w:tcBorders>
              <w:top w:val="nil"/>
              <w:left w:val="nil"/>
              <w:bottom w:val="nil"/>
              <w:right w:val="nil"/>
            </w:tcBorders>
            <w:shd w:val="clear" w:color="auto" w:fill="auto"/>
          </w:tcPr>
          <w:p w14:paraId="0B412633"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5</w:t>
            </w:r>
            <w:r w:rsidRPr="002A2EA6">
              <w:rPr>
                <w:sz w:val="18"/>
                <w:szCs w:val="18"/>
              </w:rPr>
              <w:t>2</w:t>
            </w:r>
          </w:p>
        </w:tc>
        <w:tc>
          <w:tcPr>
            <w:tcW w:w="2552" w:type="dxa"/>
            <w:tcBorders>
              <w:top w:val="nil"/>
              <w:left w:val="nil"/>
              <w:bottom w:val="nil"/>
              <w:right w:val="nil"/>
            </w:tcBorders>
            <w:shd w:val="clear" w:color="auto" w:fill="auto"/>
          </w:tcPr>
          <w:p w14:paraId="5D631F1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55" w:name="_DV_C2188"/>
            <w:r w:rsidRPr="002A2EA6">
              <w:rPr>
                <w:rStyle w:val="DeltaViewInsertion"/>
                <w:rFonts w:eastAsia="SimSun"/>
                <w:color w:val="auto"/>
                <w:sz w:val="18"/>
                <w:szCs w:val="18"/>
                <w:u w:val="none"/>
              </w:rPr>
              <w:t>Samoa</w:t>
            </w:r>
            <w:bookmarkEnd w:id="655"/>
          </w:p>
        </w:tc>
        <w:tc>
          <w:tcPr>
            <w:tcW w:w="1701" w:type="dxa"/>
            <w:tcBorders>
              <w:top w:val="nil"/>
              <w:left w:val="nil"/>
              <w:bottom w:val="nil"/>
              <w:right w:val="nil"/>
            </w:tcBorders>
            <w:shd w:val="clear" w:color="auto" w:fill="auto"/>
          </w:tcPr>
          <w:p w14:paraId="3EAD51E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6" w:name="_DV_C2189"/>
            <w:r w:rsidRPr="002A2EA6">
              <w:rPr>
                <w:rStyle w:val="DeltaViewInsertion"/>
                <w:rFonts w:eastAsia="SimSun"/>
                <w:color w:val="auto"/>
                <w:sz w:val="18"/>
                <w:szCs w:val="18"/>
                <w:u w:val="none"/>
              </w:rPr>
              <w:t>0,001</w:t>
            </w:r>
            <w:bookmarkEnd w:id="656"/>
          </w:p>
        </w:tc>
        <w:tc>
          <w:tcPr>
            <w:tcW w:w="1984" w:type="dxa"/>
            <w:tcBorders>
              <w:top w:val="nil"/>
              <w:left w:val="nil"/>
              <w:bottom w:val="nil"/>
              <w:right w:val="nil"/>
            </w:tcBorders>
            <w:shd w:val="clear" w:color="auto" w:fill="auto"/>
          </w:tcPr>
          <w:p w14:paraId="1A2D12B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7" w:name="_DV_C2190"/>
            <w:r w:rsidRPr="002A2EA6">
              <w:rPr>
                <w:rStyle w:val="DeltaViewInsertion"/>
                <w:rFonts w:eastAsia="SimSun"/>
                <w:color w:val="auto"/>
                <w:sz w:val="18"/>
                <w:szCs w:val="18"/>
                <w:u w:val="none"/>
              </w:rPr>
              <w:t>0,0100</w:t>
            </w:r>
            <w:bookmarkEnd w:id="657"/>
          </w:p>
        </w:tc>
        <w:tc>
          <w:tcPr>
            <w:tcW w:w="1985" w:type="dxa"/>
            <w:tcBorders>
              <w:top w:val="nil"/>
              <w:left w:val="nil"/>
              <w:bottom w:val="nil"/>
              <w:right w:val="nil"/>
            </w:tcBorders>
            <w:shd w:val="clear" w:color="auto" w:fill="auto"/>
          </w:tcPr>
          <w:p w14:paraId="4E33EEF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58" w:name="_DV_C2191"/>
            <w:r w:rsidRPr="002A2EA6">
              <w:rPr>
                <w:rStyle w:val="DeltaViewInsertion"/>
                <w:rFonts w:eastAsia="SimSun"/>
                <w:color w:val="auto"/>
                <w:sz w:val="18"/>
                <w:szCs w:val="18"/>
                <w:u w:val="none"/>
              </w:rPr>
              <w:t xml:space="preserve">646 </w:t>
            </w:r>
            <w:bookmarkEnd w:id="658"/>
          </w:p>
        </w:tc>
      </w:tr>
      <w:tr w:rsidR="002A2EA6" w:rsidRPr="002A2EA6" w14:paraId="7884D7AE" w14:textId="77777777" w:rsidTr="00A54D8B">
        <w:trPr>
          <w:trHeight w:val="57"/>
          <w:jc w:val="right"/>
        </w:trPr>
        <w:tc>
          <w:tcPr>
            <w:tcW w:w="709" w:type="dxa"/>
            <w:tcBorders>
              <w:top w:val="nil"/>
              <w:left w:val="nil"/>
              <w:bottom w:val="nil"/>
              <w:right w:val="nil"/>
            </w:tcBorders>
            <w:shd w:val="clear" w:color="auto" w:fill="auto"/>
          </w:tcPr>
          <w:p w14:paraId="32FCD48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59" w:name="_DV_C2197"/>
            <w:r w:rsidRPr="002A2EA6">
              <w:rPr>
                <w:rStyle w:val="DeltaViewInsertion"/>
                <w:rFonts w:eastAsia="SimSun"/>
                <w:color w:val="auto"/>
                <w:sz w:val="18"/>
                <w:szCs w:val="18"/>
                <w:u w:val="none"/>
              </w:rPr>
              <w:t>5</w:t>
            </w:r>
            <w:bookmarkEnd w:id="659"/>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2872802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60" w:name="_DV_C2198"/>
            <w:r w:rsidRPr="002A2EA6">
              <w:rPr>
                <w:rStyle w:val="DeltaViewInsertion"/>
                <w:rFonts w:eastAsia="SimSun"/>
                <w:color w:val="auto"/>
                <w:sz w:val="18"/>
                <w:szCs w:val="18"/>
                <w:u w:val="none"/>
              </w:rPr>
              <w:t>Singapo</w:t>
            </w:r>
            <w:bookmarkEnd w:id="660"/>
            <w:r w:rsidRPr="002A2EA6">
              <w:rPr>
                <w:rStyle w:val="DeltaViewInsertion"/>
                <w:rFonts w:eastAsia="SimSun"/>
                <w:color w:val="auto"/>
                <w:sz w:val="18"/>
                <w:szCs w:val="18"/>
                <w:u w:val="none"/>
              </w:rPr>
              <w:t>ur</w:t>
            </w:r>
          </w:p>
        </w:tc>
        <w:tc>
          <w:tcPr>
            <w:tcW w:w="1701" w:type="dxa"/>
            <w:tcBorders>
              <w:top w:val="nil"/>
              <w:left w:val="nil"/>
              <w:bottom w:val="nil"/>
              <w:right w:val="nil"/>
            </w:tcBorders>
            <w:shd w:val="clear" w:color="auto" w:fill="auto"/>
          </w:tcPr>
          <w:p w14:paraId="4BAA759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61" w:name="_DV_C2199"/>
            <w:r w:rsidRPr="002A2EA6">
              <w:rPr>
                <w:rStyle w:val="DeltaViewInsertion"/>
                <w:rFonts w:eastAsia="SimSun"/>
                <w:color w:val="auto"/>
                <w:sz w:val="18"/>
                <w:szCs w:val="18"/>
                <w:u w:val="none"/>
              </w:rPr>
              <w:t>0,485</w:t>
            </w:r>
            <w:bookmarkEnd w:id="661"/>
          </w:p>
        </w:tc>
        <w:tc>
          <w:tcPr>
            <w:tcW w:w="1984" w:type="dxa"/>
            <w:tcBorders>
              <w:top w:val="nil"/>
              <w:left w:val="nil"/>
              <w:bottom w:val="nil"/>
              <w:right w:val="nil"/>
            </w:tcBorders>
            <w:shd w:val="clear" w:color="auto" w:fill="auto"/>
          </w:tcPr>
          <w:p w14:paraId="656CEDA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62" w:name="_DV_C2200"/>
            <w:r w:rsidRPr="002A2EA6">
              <w:rPr>
                <w:rStyle w:val="DeltaViewInsertion"/>
                <w:rFonts w:eastAsia="SimSun"/>
                <w:color w:val="auto"/>
                <w:sz w:val="18"/>
                <w:szCs w:val="18"/>
                <w:u w:val="none"/>
              </w:rPr>
              <w:t>0,5943</w:t>
            </w:r>
            <w:bookmarkEnd w:id="662"/>
          </w:p>
        </w:tc>
        <w:tc>
          <w:tcPr>
            <w:tcW w:w="1985" w:type="dxa"/>
            <w:tcBorders>
              <w:top w:val="nil"/>
              <w:left w:val="nil"/>
              <w:bottom w:val="nil"/>
              <w:right w:val="nil"/>
            </w:tcBorders>
            <w:shd w:val="clear" w:color="auto" w:fill="auto"/>
          </w:tcPr>
          <w:p w14:paraId="1EE5FF6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63" w:name="_DV_C2201"/>
            <w:r w:rsidRPr="002A2EA6">
              <w:rPr>
                <w:rStyle w:val="DeltaViewInsertion"/>
                <w:rFonts w:eastAsia="SimSun"/>
                <w:color w:val="auto"/>
                <w:sz w:val="18"/>
                <w:szCs w:val="18"/>
                <w:u w:val="none"/>
              </w:rPr>
              <w:t xml:space="preserve">38 410 </w:t>
            </w:r>
            <w:bookmarkEnd w:id="663"/>
          </w:p>
        </w:tc>
      </w:tr>
      <w:tr w:rsidR="002A2EA6" w:rsidRPr="002A2EA6" w14:paraId="17A31FFF" w14:textId="77777777" w:rsidTr="00A54D8B">
        <w:trPr>
          <w:trHeight w:val="57"/>
          <w:jc w:val="right"/>
        </w:trPr>
        <w:tc>
          <w:tcPr>
            <w:tcW w:w="709" w:type="dxa"/>
            <w:tcBorders>
              <w:top w:val="nil"/>
              <w:left w:val="nil"/>
              <w:bottom w:val="nil"/>
              <w:right w:val="nil"/>
            </w:tcBorders>
            <w:shd w:val="clear" w:color="auto" w:fill="auto"/>
          </w:tcPr>
          <w:p w14:paraId="1B531B4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64" w:name="_DV_C2202"/>
            <w:r w:rsidRPr="002A2EA6">
              <w:rPr>
                <w:rStyle w:val="DeltaViewInsertion"/>
                <w:rFonts w:eastAsia="SimSun"/>
                <w:color w:val="auto"/>
                <w:sz w:val="18"/>
                <w:szCs w:val="18"/>
                <w:u w:val="none"/>
              </w:rPr>
              <w:t>5</w:t>
            </w:r>
            <w:bookmarkEnd w:id="664"/>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5E4B6B2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65" w:name="_DV_C2203"/>
            <w:r w:rsidRPr="002A2EA6">
              <w:rPr>
                <w:rStyle w:val="DeltaViewInsertion"/>
                <w:rFonts w:eastAsia="SimSun"/>
                <w:color w:val="auto"/>
                <w:sz w:val="18"/>
                <w:szCs w:val="18"/>
                <w:u w:val="none"/>
              </w:rPr>
              <w:t>Sri Lanka</w:t>
            </w:r>
            <w:bookmarkEnd w:id="665"/>
          </w:p>
        </w:tc>
        <w:tc>
          <w:tcPr>
            <w:tcW w:w="1701" w:type="dxa"/>
            <w:tcBorders>
              <w:top w:val="nil"/>
              <w:left w:val="nil"/>
              <w:bottom w:val="nil"/>
              <w:right w:val="nil"/>
            </w:tcBorders>
            <w:shd w:val="clear" w:color="auto" w:fill="auto"/>
          </w:tcPr>
          <w:p w14:paraId="0E5AC5F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66" w:name="_DV_C2204"/>
            <w:r w:rsidRPr="002A2EA6">
              <w:rPr>
                <w:rStyle w:val="DeltaViewInsertion"/>
                <w:rFonts w:eastAsia="SimSun"/>
                <w:color w:val="auto"/>
                <w:sz w:val="18"/>
                <w:szCs w:val="18"/>
                <w:u w:val="none"/>
              </w:rPr>
              <w:t>0,044</w:t>
            </w:r>
            <w:bookmarkEnd w:id="666"/>
          </w:p>
        </w:tc>
        <w:tc>
          <w:tcPr>
            <w:tcW w:w="1984" w:type="dxa"/>
            <w:tcBorders>
              <w:top w:val="nil"/>
              <w:left w:val="nil"/>
              <w:bottom w:val="nil"/>
              <w:right w:val="nil"/>
            </w:tcBorders>
            <w:shd w:val="clear" w:color="auto" w:fill="auto"/>
          </w:tcPr>
          <w:p w14:paraId="4B6A0FF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67" w:name="_DV_C2205"/>
            <w:r w:rsidRPr="002A2EA6">
              <w:rPr>
                <w:rStyle w:val="DeltaViewInsertion"/>
                <w:rFonts w:eastAsia="SimSun"/>
                <w:color w:val="auto"/>
                <w:sz w:val="18"/>
                <w:szCs w:val="18"/>
                <w:u w:val="none"/>
              </w:rPr>
              <w:t>0,0539</w:t>
            </w:r>
            <w:bookmarkEnd w:id="667"/>
          </w:p>
        </w:tc>
        <w:tc>
          <w:tcPr>
            <w:tcW w:w="1985" w:type="dxa"/>
            <w:tcBorders>
              <w:top w:val="nil"/>
              <w:left w:val="nil"/>
              <w:bottom w:val="nil"/>
              <w:right w:val="nil"/>
            </w:tcBorders>
            <w:shd w:val="clear" w:color="auto" w:fill="auto"/>
          </w:tcPr>
          <w:p w14:paraId="3EF3522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68" w:name="_DV_C2206"/>
            <w:r w:rsidRPr="002A2EA6">
              <w:rPr>
                <w:rStyle w:val="DeltaViewInsertion"/>
                <w:rFonts w:eastAsia="SimSun"/>
                <w:color w:val="auto"/>
                <w:sz w:val="18"/>
                <w:szCs w:val="18"/>
                <w:u w:val="none"/>
              </w:rPr>
              <w:t xml:space="preserve">3 485 </w:t>
            </w:r>
            <w:bookmarkEnd w:id="668"/>
          </w:p>
        </w:tc>
      </w:tr>
      <w:tr w:rsidR="002A2EA6" w:rsidRPr="002A2EA6" w14:paraId="6D0C1244" w14:textId="77777777" w:rsidTr="00A54D8B">
        <w:trPr>
          <w:trHeight w:val="57"/>
          <w:jc w:val="right"/>
        </w:trPr>
        <w:tc>
          <w:tcPr>
            <w:tcW w:w="709" w:type="dxa"/>
            <w:tcBorders>
              <w:top w:val="nil"/>
              <w:left w:val="nil"/>
              <w:bottom w:val="nil"/>
              <w:right w:val="nil"/>
            </w:tcBorders>
            <w:shd w:val="clear" w:color="auto" w:fill="auto"/>
          </w:tcPr>
          <w:p w14:paraId="680F493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69" w:name="_DV_C2217"/>
            <w:r w:rsidRPr="002A2EA6">
              <w:rPr>
                <w:rStyle w:val="DeltaViewInsertion"/>
                <w:rFonts w:eastAsia="SimSun"/>
                <w:color w:val="auto"/>
                <w:sz w:val="18"/>
                <w:szCs w:val="18"/>
                <w:u w:val="none"/>
              </w:rPr>
              <w:t>5</w:t>
            </w:r>
            <w:bookmarkEnd w:id="669"/>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2D7872B6"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70" w:name="_DV_C2218"/>
            <w:r w:rsidRPr="002A2EA6">
              <w:rPr>
                <w:rStyle w:val="DeltaViewInsertion"/>
                <w:rFonts w:eastAsia="SimSun"/>
                <w:color w:val="auto"/>
                <w:sz w:val="18"/>
                <w:szCs w:val="18"/>
                <w:u w:val="none"/>
              </w:rPr>
              <w:t>Thaïland</w:t>
            </w:r>
            <w:bookmarkEnd w:id="670"/>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00D57EA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71" w:name="_DV_C2219"/>
            <w:r w:rsidRPr="002A2EA6">
              <w:rPr>
                <w:rStyle w:val="DeltaViewInsertion"/>
                <w:rFonts w:eastAsia="SimSun"/>
                <w:color w:val="auto"/>
                <w:sz w:val="18"/>
                <w:szCs w:val="18"/>
                <w:u w:val="none"/>
              </w:rPr>
              <w:t>0,307</w:t>
            </w:r>
            <w:bookmarkEnd w:id="671"/>
          </w:p>
        </w:tc>
        <w:tc>
          <w:tcPr>
            <w:tcW w:w="1984" w:type="dxa"/>
            <w:tcBorders>
              <w:top w:val="nil"/>
              <w:left w:val="nil"/>
              <w:bottom w:val="nil"/>
              <w:right w:val="nil"/>
            </w:tcBorders>
            <w:shd w:val="clear" w:color="auto" w:fill="auto"/>
          </w:tcPr>
          <w:p w14:paraId="1968413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72" w:name="_DV_C2220"/>
            <w:r w:rsidRPr="002A2EA6">
              <w:rPr>
                <w:rStyle w:val="DeltaViewInsertion"/>
                <w:rFonts w:eastAsia="SimSun"/>
                <w:color w:val="auto"/>
                <w:sz w:val="18"/>
                <w:szCs w:val="18"/>
                <w:u w:val="none"/>
              </w:rPr>
              <w:t>0,3762</w:t>
            </w:r>
            <w:bookmarkEnd w:id="672"/>
          </w:p>
        </w:tc>
        <w:tc>
          <w:tcPr>
            <w:tcW w:w="1985" w:type="dxa"/>
            <w:tcBorders>
              <w:top w:val="nil"/>
              <w:left w:val="nil"/>
              <w:bottom w:val="nil"/>
              <w:right w:val="nil"/>
            </w:tcBorders>
            <w:shd w:val="clear" w:color="auto" w:fill="auto"/>
          </w:tcPr>
          <w:p w14:paraId="4F9A49B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73" w:name="_DV_C2221"/>
            <w:r w:rsidRPr="002A2EA6">
              <w:rPr>
                <w:rStyle w:val="DeltaViewInsertion"/>
                <w:rFonts w:eastAsia="SimSun"/>
                <w:color w:val="auto"/>
                <w:sz w:val="18"/>
                <w:szCs w:val="18"/>
                <w:u w:val="none"/>
              </w:rPr>
              <w:t xml:space="preserve">24 313 </w:t>
            </w:r>
            <w:bookmarkEnd w:id="673"/>
          </w:p>
        </w:tc>
      </w:tr>
      <w:tr w:rsidR="002A2EA6" w:rsidRPr="002A2EA6" w14:paraId="5B82EEBA" w14:textId="77777777" w:rsidTr="00A54D8B">
        <w:trPr>
          <w:trHeight w:val="57"/>
          <w:jc w:val="right"/>
        </w:trPr>
        <w:tc>
          <w:tcPr>
            <w:tcW w:w="709" w:type="dxa"/>
            <w:tcBorders>
              <w:top w:val="nil"/>
              <w:left w:val="nil"/>
              <w:bottom w:val="nil"/>
              <w:right w:val="nil"/>
            </w:tcBorders>
            <w:shd w:val="clear" w:color="auto" w:fill="auto"/>
          </w:tcPr>
          <w:p w14:paraId="0325B63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74" w:name="_DV_C2222"/>
            <w:r w:rsidRPr="002A2EA6">
              <w:rPr>
                <w:rStyle w:val="DeltaViewInsertion"/>
                <w:rFonts w:eastAsia="SimSun"/>
                <w:color w:val="auto"/>
                <w:sz w:val="18"/>
                <w:szCs w:val="18"/>
                <w:u w:val="none"/>
              </w:rPr>
              <w:t>5</w:t>
            </w:r>
            <w:bookmarkEnd w:id="674"/>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58CB101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75" w:name="_DV_C2223"/>
            <w:r w:rsidRPr="002A2EA6">
              <w:rPr>
                <w:rStyle w:val="DeltaViewInsertion"/>
                <w:rFonts w:eastAsia="SimSun"/>
                <w:color w:val="auto"/>
                <w:sz w:val="18"/>
                <w:szCs w:val="18"/>
                <w:u w:val="none"/>
              </w:rPr>
              <w:t>Tonga</w:t>
            </w:r>
            <w:bookmarkEnd w:id="675"/>
          </w:p>
        </w:tc>
        <w:tc>
          <w:tcPr>
            <w:tcW w:w="1701" w:type="dxa"/>
            <w:tcBorders>
              <w:top w:val="nil"/>
              <w:left w:val="nil"/>
              <w:bottom w:val="nil"/>
              <w:right w:val="nil"/>
            </w:tcBorders>
            <w:shd w:val="clear" w:color="auto" w:fill="auto"/>
          </w:tcPr>
          <w:p w14:paraId="013585E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76" w:name="_DV_C2224"/>
            <w:r w:rsidRPr="002A2EA6">
              <w:rPr>
                <w:rStyle w:val="DeltaViewInsertion"/>
                <w:rFonts w:eastAsia="SimSun"/>
                <w:color w:val="auto"/>
                <w:sz w:val="18"/>
                <w:szCs w:val="18"/>
                <w:u w:val="none"/>
              </w:rPr>
              <w:t>0,001</w:t>
            </w:r>
            <w:bookmarkEnd w:id="676"/>
          </w:p>
        </w:tc>
        <w:tc>
          <w:tcPr>
            <w:tcW w:w="1984" w:type="dxa"/>
            <w:tcBorders>
              <w:top w:val="nil"/>
              <w:left w:val="nil"/>
              <w:bottom w:val="nil"/>
              <w:right w:val="nil"/>
            </w:tcBorders>
            <w:shd w:val="clear" w:color="auto" w:fill="auto"/>
          </w:tcPr>
          <w:p w14:paraId="7D5F7C5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77" w:name="_DV_C2225"/>
            <w:r w:rsidRPr="002A2EA6">
              <w:rPr>
                <w:rStyle w:val="DeltaViewInsertion"/>
                <w:rFonts w:eastAsia="SimSun"/>
                <w:color w:val="auto"/>
                <w:sz w:val="18"/>
                <w:szCs w:val="18"/>
                <w:u w:val="none"/>
              </w:rPr>
              <w:t>0,0100</w:t>
            </w:r>
            <w:bookmarkEnd w:id="677"/>
          </w:p>
        </w:tc>
        <w:tc>
          <w:tcPr>
            <w:tcW w:w="1985" w:type="dxa"/>
            <w:tcBorders>
              <w:top w:val="nil"/>
              <w:left w:val="nil"/>
              <w:bottom w:val="nil"/>
              <w:right w:val="nil"/>
            </w:tcBorders>
            <w:shd w:val="clear" w:color="auto" w:fill="auto"/>
          </w:tcPr>
          <w:p w14:paraId="5332B62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78" w:name="_DV_C2226"/>
            <w:r w:rsidRPr="002A2EA6">
              <w:rPr>
                <w:rStyle w:val="DeltaViewInsertion"/>
                <w:rFonts w:eastAsia="SimSun"/>
                <w:color w:val="auto"/>
                <w:sz w:val="18"/>
                <w:szCs w:val="18"/>
                <w:u w:val="none"/>
              </w:rPr>
              <w:t xml:space="preserve">646 </w:t>
            </w:r>
            <w:bookmarkEnd w:id="678"/>
          </w:p>
        </w:tc>
      </w:tr>
      <w:tr w:rsidR="002A2EA6" w:rsidRPr="002A2EA6" w14:paraId="2CE0B7C5" w14:textId="77777777" w:rsidTr="00A54D8B">
        <w:trPr>
          <w:trHeight w:val="57"/>
          <w:jc w:val="right"/>
        </w:trPr>
        <w:tc>
          <w:tcPr>
            <w:tcW w:w="709" w:type="dxa"/>
            <w:tcBorders>
              <w:top w:val="nil"/>
              <w:left w:val="nil"/>
              <w:bottom w:val="nil"/>
              <w:right w:val="nil"/>
            </w:tcBorders>
            <w:shd w:val="clear" w:color="auto" w:fill="auto"/>
          </w:tcPr>
          <w:p w14:paraId="490D396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79" w:name="_DV_C2227"/>
            <w:r w:rsidRPr="002A2EA6">
              <w:rPr>
                <w:rStyle w:val="DeltaViewInsertion"/>
                <w:rFonts w:eastAsia="SimSun"/>
                <w:color w:val="auto"/>
                <w:sz w:val="18"/>
                <w:szCs w:val="18"/>
                <w:u w:val="none"/>
              </w:rPr>
              <w:t>5</w:t>
            </w:r>
            <w:bookmarkEnd w:id="679"/>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1B5EEF9E"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80" w:name="_DV_C2228"/>
            <w:r w:rsidRPr="002A2EA6">
              <w:rPr>
                <w:rStyle w:val="DeltaViewInsertion"/>
                <w:rFonts w:eastAsia="SimSun"/>
                <w:color w:val="auto"/>
                <w:sz w:val="18"/>
                <w:szCs w:val="18"/>
                <w:u w:val="none"/>
              </w:rPr>
              <w:t>Tuvalu</w:t>
            </w:r>
            <w:bookmarkEnd w:id="680"/>
          </w:p>
        </w:tc>
        <w:tc>
          <w:tcPr>
            <w:tcW w:w="1701" w:type="dxa"/>
            <w:tcBorders>
              <w:top w:val="nil"/>
              <w:left w:val="nil"/>
              <w:bottom w:val="nil"/>
              <w:right w:val="nil"/>
            </w:tcBorders>
            <w:shd w:val="clear" w:color="auto" w:fill="auto"/>
          </w:tcPr>
          <w:p w14:paraId="241B4EC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81" w:name="_DV_C2229"/>
            <w:r w:rsidRPr="002A2EA6">
              <w:rPr>
                <w:rStyle w:val="DeltaViewInsertion"/>
                <w:rFonts w:eastAsia="SimSun"/>
                <w:color w:val="auto"/>
                <w:sz w:val="18"/>
                <w:szCs w:val="18"/>
                <w:u w:val="none"/>
              </w:rPr>
              <w:t>0,001</w:t>
            </w:r>
            <w:bookmarkEnd w:id="681"/>
          </w:p>
        </w:tc>
        <w:tc>
          <w:tcPr>
            <w:tcW w:w="1984" w:type="dxa"/>
            <w:tcBorders>
              <w:top w:val="nil"/>
              <w:left w:val="nil"/>
              <w:bottom w:val="nil"/>
              <w:right w:val="nil"/>
            </w:tcBorders>
            <w:shd w:val="clear" w:color="auto" w:fill="auto"/>
          </w:tcPr>
          <w:p w14:paraId="46A9DB9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82" w:name="_DV_C2230"/>
            <w:r w:rsidRPr="002A2EA6">
              <w:rPr>
                <w:rStyle w:val="DeltaViewInsertion"/>
                <w:rFonts w:eastAsia="SimSun"/>
                <w:color w:val="auto"/>
                <w:sz w:val="18"/>
                <w:szCs w:val="18"/>
                <w:u w:val="none"/>
              </w:rPr>
              <w:t>0,0100</w:t>
            </w:r>
            <w:bookmarkEnd w:id="682"/>
          </w:p>
        </w:tc>
        <w:tc>
          <w:tcPr>
            <w:tcW w:w="1985" w:type="dxa"/>
            <w:tcBorders>
              <w:top w:val="nil"/>
              <w:left w:val="nil"/>
              <w:bottom w:val="nil"/>
              <w:right w:val="nil"/>
            </w:tcBorders>
            <w:shd w:val="clear" w:color="auto" w:fill="auto"/>
          </w:tcPr>
          <w:p w14:paraId="7D5B267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83" w:name="_DV_C2231"/>
            <w:r w:rsidRPr="002A2EA6">
              <w:rPr>
                <w:rStyle w:val="DeltaViewInsertion"/>
                <w:rFonts w:eastAsia="SimSun"/>
                <w:color w:val="auto"/>
                <w:sz w:val="18"/>
                <w:szCs w:val="18"/>
                <w:u w:val="none"/>
              </w:rPr>
              <w:t xml:space="preserve">646 </w:t>
            </w:r>
            <w:bookmarkEnd w:id="683"/>
          </w:p>
        </w:tc>
      </w:tr>
      <w:tr w:rsidR="002A2EA6" w:rsidRPr="002A2EA6" w14:paraId="78BC1484" w14:textId="77777777" w:rsidTr="00A54D8B">
        <w:trPr>
          <w:trHeight w:val="57"/>
          <w:jc w:val="right"/>
        </w:trPr>
        <w:tc>
          <w:tcPr>
            <w:tcW w:w="709" w:type="dxa"/>
            <w:tcBorders>
              <w:top w:val="nil"/>
              <w:left w:val="nil"/>
              <w:bottom w:val="nil"/>
              <w:right w:val="nil"/>
            </w:tcBorders>
            <w:shd w:val="clear" w:color="auto" w:fill="auto"/>
          </w:tcPr>
          <w:p w14:paraId="43F6CE1E"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84" w:name="_DV_C2237"/>
            <w:r w:rsidRPr="002A2EA6">
              <w:rPr>
                <w:rStyle w:val="DeltaViewInsertion"/>
                <w:rFonts w:eastAsia="SimSun"/>
                <w:color w:val="auto"/>
                <w:sz w:val="18"/>
                <w:szCs w:val="18"/>
                <w:u w:val="none"/>
              </w:rPr>
              <w:t>58</w:t>
            </w:r>
            <w:bookmarkEnd w:id="684"/>
          </w:p>
        </w:tc>
        <w:tc>
          <w:tcPr>
            <w:tcW w:w="2552" w:type="dxa"/>
            <w:tcBorders>
              <w:top w:val="nil"/>
              <w:left w:val="nil"/>
              <w:bottom w:val="nil"/>
              <w:right w:val="nil"/>
            </w:tcBorders>
            <w:shd w:val="clear" w:color="auto" w:fill="auto"/>
          </w:tcPr>
          <w:p w14:paraId="6E4E2EA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85" w:name="_DV_C2238"/>
            <w:r w:rsidRPr="002A2EA6">
              <w:rPr>
                <w:rStyle w:val="DeltaViewInsertion"/>
                <w:rFonts w:eastAsia="SimSun"/>
                <w:color w:val="auto"/>
                <w:sz w:val="18"/>
                <w:szCs w:val="18"/>
                <w:u w:val="none"/>
              </w:rPr>
              <w:t>Vanuatu</w:t>
            </w:r>
            <w:bookmarkEnd w:id="685"/>
          </w:p>
        </w:tc>
        <w:tc>
          <w:tcPr>
            <w:tcW w:w="1701" w:type="dxa"/>
            <w:tcBorders>
              <w:top w:val="nil"/>
              <w:left w:val="nil"/>
              <w:bottom w:val="nil"/>
              <w:right w:val="nil"/>
            </w:tcBorders>
            <w:shd w:val="clear" w:color="auto" w:fill="auto"/>
          </w:tcPr>
          <w:p w14:paraId="4860FA7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86" w:name="_DV_C2239"/>
            <w:r w:rsidRPr="002A2EA6">
              <w:rPr>
                <w:rStyle w:val="DeltaViewInsertion"/>
                <w:rFonts w:eastAsia="SimSun"/>
                <w:color w:val="auto"/>
                <w:sz w:val="18"/>
                <w:szCs w:val="18"/>
                <w:u w:val="none"/>
              </w:rPr>
              <w:t>0,001</w:t>
            </w:r>
            <w:bookmarkEnd w:id="686"/>
          </w:p>
        </w:tc>
        <w:tc>
          <w:tcPr>
            <w:tcW w:w="1984" w:type="dxa"/>
            <w:tcBorders>
              <w:top w:val="nil"/>
              <w:left w:val="nil"/>
              <w:bottom w:val="nil"/>
              <w:right w:val="nil"/>
            </w:tcBorders>
            <w:shd w:val="clear" w:color="auto" w:fill="auto"/>
          </w:tcPr>
          <w:p w14:paraId="4B755E7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87" w:name="_DV_C2240"/>
            <w:r w:rsidRPr="002A2EA6">
              <w:rPr>
                <w:rStyle w:val="DeltaViewInsertion"/>
                <w:rFonts w:eastAsia="SimSun"/>
                <w:color w:val="auto"/>
                <w:sz w:val="18"/>
                <w:szCs w:val="18"/>
                <w:u w:val="none"/>
              </w:rPr>
              <w:t>0,0100</w:t>
            </w:r>
            <w:bookmarkEnd w:id="687"/>
          </w:p>
        </w:tc>
        <w:tc>
          <w:tcPr>
            <w:tcW w:w="1985" w:type="dxa"/>
            <w:tcBorders>
              <w:top w:val="nil"/>
              <w:left w:val="nil"/>
              <w:bottom w:val="nil"/>
              <w:right w:val="nil"/>
            </w:tcBorders>
            <w:shd w:val="clear" w:color="auto" w:fill="auto"/>
          </w:tcPr>
          <w:p w14:paraId="70B55CF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88" w:name="_DV_C2241"/>
            <w:r w:rsidRPr="002A2EA6">
              <w:rPr>
                <w:rStyle w:val="DeltaViewInsertion"/>
                <w:rFonts w:eastAsia="SimSun"/>
                <w:color w:val="auto"/>
                <w:sz w:val="18"/>
                <w:szCs w:val="18"/>
                <w:u w:val="none"/>
              </w:rPr>
              <w:t xml:space="preserve">646 </w:t>
            </w:r>
            <w:bookmarkEnd w:id="688"/>
          </w:p>
        </w:tc>
      </w:tr>
      <w:tr w:rsidR="002A2EA6" w:rsidRPr="002A2EA6" w14:paraId="6C7A846C" w14:textId="77777777" w:rsidTr="00A54D8B">
        <w:trPr>
          <w:trHeight w:val="57"/>
          <w:jc w:val="right"/>
        </w:trPr>
        <w:tc>
          <w:tcPr>
            <w:tcW w:w="709" w:type="dxa"/>
            <w:tcBorders>
              <w:top w:val="nil"/>
              <w:left w:val="nil"/>
              <w:bottom w:val="single" w:sz="4" w:space="0" w:color="000000"/>
              <w:right w:val="nil"/>
            </w:tcBorders>
            <w:shd w:val="clear" w:color="auto" w:fill="auto"/>
          </w:tcPr>
          <w:p w14:paraId="626C1359"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89" w:name="_DV_C2242"/>
            <w:r w:rsidRPr="002A2EA6">
              <w:rPr>
                <w:rStyle w:val="DeltaViewInsertion"/>
                <w:rFonts w:eastAsia="SimSun"/>
                <w:color w:val="auto"/>
                <w:sz w:val="18"/>
                <w:szCs w:val="18"/>
                <w:u w:val="none"/>
              </w:rPr>
              <w:t>59</w:t>
            </w:r>
            <w:bookmarkEnd w:id="689"/>
          </w:p>
        </w:tc>
        <w:tc>
          <w:tcPr>
            <w:tcW w:w="2552" w:type="dxa"/>
            <w:tcBorders>
              <w:top w:val="nil"/>
              <w:left w:val="nil"/>
              <w:bottom w:val="single" w:sz="4" w:space="0" w:color="000000"/>
              <w:right w:val="nil"/>
            </w:tcBorders>
            <w:shd w:val="clear" w:color="auto" w:fill="auto"/>
          </w:tcPr>
          <w:p w14:paraId="672F1FDC"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90" w:name="_DV_C2243"/>
            <w:r w:rsidRPr="002A2EA6">
              <w:rPr>
                <w:rStyle w:val="DeltaViewInsertion"/>
                <w:rFonts w:eastAsia="SimSun"/>
                <w:color w:val="auto"/>
                <w:sz w:val="18"/>
                <w:szCs w:val="18"/>
                <w:u w:val="none"/>
              </w:rPr>
              <w:t>Viet Nam</w:t>
            </w:r>
            <w:bookmarkEnd w:id="690"/>
          </w:p>
        </w:tc>
        <w:tc>
          <w:tcPr>
            <w:tcW w:w="1701" w:type="dxa"/>
            <w:tcBorders>
              <w:top w:val="nil"/>
              <w:left w:val="nil"/>
              <w:bottom w:val="single" w:sz="4" w:space="0" w:color="000000"/>
              <w:right w:val="nil"/>
            </w:tcBorders>
            <w:shd w:val="clear" w:color="auto" w:fill="auto"/>
          </w:tcPr>
          <w:p w14:paraId="15E635A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91" w:name="_DV_C2244"/>
            <w:r w:rsidRPr="002A2EA6">
              <w:rPr>
                <w:rStyle w:val="DeltaViewInsertion"/>
                <w:rFonts w:eastAsia="SimSun"/>
                <w:color w:val="auto"/>
                <w:sz w:val="18"/>
                <w:szCs w:val="18"/>
                <w:u w:val="none"/>
              </w:rPr>
              <w:t>0,077</w:t>
            </w:r>
            <w:bookmarkEnd w:id="691"/>
          </w:p>
        </w:tc>
        <w:tc>
          <w:tcPr>
            <w:tcW w:w="1984" w:type="dxa"/>
            <w:tcBorders>
              <w:top w:val="nil"/>
              <w:left w:val="nil"/>
              <w:bottom w:val="single" w:sz="4" w:space="0" w:color="000000"/>
              <w:right w:val="nil"/>
            </w:tcBorders>
            <w:shd w:val="clear" w:color="auto" w:fill="auto"/>
          </w:tcPr>
          <w:p w14:paraId="3BA535B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92" w:name="_DV_C2245"/>
            <w:r w:rsidRPr="002A2EA6">
              <w:rPr>
                <w:rStyle w:val="DeltaViewInsertion"/>
                <w:rFonts w:eastAsia="SimSun"/>
                <w:color w:val="auto"/>
                <w:sz w:val="18"/>
                <w:szCs w:val="18"/>
                <w:u w:val="none"/>
              </w:rPr>
              <w:t>0,0944</w:t>
            </w:r>
            <w:bookmarkEnd w:id="692"/>
          </w:p>
        </w:tc>
        <w:tc>
          <w:tcPr>
            <w:tcW w:w="1985" w:type="dxa"/>
            <w:tcBorders>
              <w:top w:val="nil"/>
              <w:left w:val="nil"/>
              <w:bottom w:val="single" w:sz="4" w:space="0" w:color="000000"/>
              <w:right w:val="nil"/>
            </w:tcBorders>
            <w:shd w:val="clear" w:color="auto" w:fill="auto"/>
          </w:tcPr>
          <w:p w14:paraId="4C0B66F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93" w:name="_DV_C2246"/>
            <w:r w:rsidRPr="002A2EA6">
              <w:rPr>
                <w:rStyle w:val="DeltaViewInsertion"/>
                <w:rFonts w:eastAsia="SimSun"/>
                <w:color w:val="auto"/>
                <w:sz w:val="18"/>
                <w:szCs w:val="18"/>
                <w:u w:val="none"/>
              </w:rPr>
              <w:t xml:space="preserve">6 098 </w:t>
            </w:r>
            <w:bookmarkEnd w:id="693"/>
          </w:p>
        </w:tc>
      </w:tr>
      <w:tr w:rsidR="002A2EA6" w:rsidRPr="002A2EA6" w14:paraId="61831D9C" w14:textId="77777777" w:rsidTr="00A54D8B">
        <w:trPr>
          <w:trHeight w:val="57"/>
          <w:jc w:val="right"/>
        </w:trPr>
        <w:tc>
          <w:tcPr>
            <w:tcW w:w="8931" w:type="dxa"/>
            <w:gridSpan w:val="5"/>
            <w:tcBorders>
              <w:top w:val="single" w:sz="4" w:space="0" w:color="000000"/>
              <w:left w:val="nil"/>
              <w:bottom w:val="single" w:sz="4" w:space="0" w:color="000000"/>
              <w:right w:val="nil"/>
            </w:tcBorders>
            <w:shd w:val="clear" w:color="auto" w:fill="auto"/>
          </w:tcPr>
          <w:p w14:paraId="333709E3" w14:textId="0FE3E5A0"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94" w:name="_DV_C2247"/>
            <w:r w:rsidRPr="002A2EA6">
              <w:rPr>
                <w:rStyle w:val="DeltaViewInsertion"/>
                <w:rFonts w:eastAsia="SimSun"/>
                <w:b/>
                <w:color w:val="auto"/>
                <w:sz w:val="18"/>
                <w:szCs w:val="18"/>
                <w:u w:val="none"/>
              </w:rPr>
              <w:t>États d</w:t>
            </w:r>
            <w:r w:rsidR="00CA4DAC">
              <w:rPr>
                <w:rStyle w:val="DeltaViewInsertion"/>
                <w:rFonts w:eastAsia="SimSun"/>
                <w:b/>
                <w:color w:val="auto"/>
                <w:sz w:val="18"/>
                <w:szCs w:val="18"/>
                <w:u w:val="none"/>
              </w:rPr>
              <w:t>’</w:t>
            </w:r>
            <w:r w:rsidRPr="002A2EA6">
              <w:rPr>
                <w:rStyle w:val="DeltaViewInsertion"/>
                <w:rFonts w:eastAsia="SimSun"/>
                <w:b/>
                <w:color w:val="auto"/>
                <w:sz w:val="18"/>
                <w:szCs w:val="18"/>
                <w:u w:val="none"/>
              </w:rPr>
              <w:t>Europe centrale et orientale (13)</w:t>
            </w:r>
            <w:r w:rsidRPr="002A2EA6">
              <w:rPr>
                <w:rStyle w:val="DeltaViewInsertion"/>
                <w:rFonts w:eastAsia="SimSun"/>
                <w:color w:val="auto"/>
                <w:sz w:val="18"/>
                <w:szCs w:val="18"/>
                <w:u w:val="none"/>
              </w:rPr>
              <w:t xml:space="preserve"> </w:t>
            </w:r>
            <w:bookmarkEnd w:id="694"/>
          </w:p>
        </w:tc>
      </w:tr>
      <w:tr w:rsidR="002A2EA6" w:rsidRPr="002A2EA6" w14:paraId="36FA1F54" w14:textId="77777777" w:rsidTr="00A54D8B">
        <w:trPr>
          <w:trHeight w:val="57"/>
          <w:jc w:val="right"/>
        </w:trPr>
        <w:tc>
          <w:tcPr>
            <w:tcW w:w="709" w:type="dxa"/>
            <w:tcBorders>
              <w:top w:val="single" w:sz="4" w:space="0" w:color="000000"/>
              <w:left w:val="nil"/>
              <w:bottom w:val="nil"/>
              <w:right w:val="nil"/>
            </w:tcBorders>
            <w:shd w:val="clear" w:color="auto" w:fill="auto"/>
          </w:tcPr>
          <w:p w14:paraId="7E13C2D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695" w:name="_DV_C2248"/>
            <w:r w:rsidRPr="002A2EA6">
              <w:rPr>
                <w:rStyle w:val="DeltaViewInsertion"/>
                <w:rFonts w:eastAsia="SimSun"/>
                <w:color w:val="auto"/>
                <w:sz w:val="18"/>
                <w:szCs w:val="18"/>
                <w:u w:val="none"/>
              </w:rPr>
              <w:t>60</w:t>
            </w:r>
            <w:bookmarkEnd w:id="695"/>
          </w:p>
        </w:tc>
        <w:tc>
          <w:tcPr>
            <w:tcW w:w="2552" w:type="dxa"/>
            <w:tcBorders>
              <w:top w:val="single" w:sz="4" w:space="0" w:color="000000"/>
              <w:left w:val="nil"/>
              <w:bottom w:val="nil"/>
              <w:right w:val="nil"/>
            </w:tcBorders>
            <w:shd w:val="clear" w:color="auto" w:fill="auto"/>
          </w:tcPr>
          <w:p w14:paraId="57266B6D"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696" w:name="_DV_C2249"/>
            <w:r w:rsidRPr="002A2EA6">
              <w:rPr>
                <w:rStyle w:val="DeltaViewInsertion"/>
                <w:rFonts w:eastAsia="SimSun"/>
                <w:color w:val="auto"/>
                <w:sz w:val="18"/>
                <w:szCs w:val="18"/>
                <w:u w:val="none"/>
              </w:rPr>
              <w:t>Arménie</w:t>
            </w:r>
            <w:bookmarkEnd w:id="696"/>
          </w:p>
        </w:tc>
        <w:tc>
          <w:tcPr>
            <w:tcW w:w="1701" w:type="dxa"/>
            <w:tcBorders>
              <w:top w:val="single" w:sz="4" w:space="0" w:color="000000"/>
              <w:left w:val="nil"/>
              <w:bottom w:val="nil"/>
              <w:right w:val="nil"/>
            </w:tcBorders>
            <w:shd w:val="clear" w:color="auto" w:fill="auto"/>
          </w:tcPr>
          <w:p w14:paraId="77F40CC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97" w:name="_DV_C2250"/>
            <w:r w:rsidRPr="002A2EA6">
              <w:rPr>
                <w:rStyle w:val="DeltaViewInsertion"/>
                <w:rFonts w:eastAsia="SimSun"/>
                <w:color w:val="auto"/>
                <w:sz w:val="18"/>
                <w:szCs w:val="18"/>
                <w:u w:val="none"/>
              </w:rPr>
              <w:t>0,007</w:t>
            </w:r>
            <w:bookmarkEnd w:id="697"/>
          </w:p>
        </w:tc>
        <w:tc>
          <w:tcPr>
            <w:tcW w:w="1984" w:type="dxa"/>
            <w:tcBorders>
              <w:top w:val="single" w:sz="4" w:space="0" w:color="000000"/>
              <w:left w:val="nil"/>
              <w:bottom w:val="nil"/>
              <w:right w:val="nil"/>
            </w:tcBorders>
            <w:shd w:val="clear" w:color="auto" w:fill="auto"/>
          </w:tcPr>
          <w:p w14:paraId="689B733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98" w:name="_DV_C2251"/>
            <w:r w:rsidRPr="002A2EA6">
              <w:rPr>
                <w:rStyle w:val="DeltaViewInsertion"/>
                <w:rFonts w:eastAsia="SimSun"/>
                <w:color w:val="auto"/>
                <w:sz w:val="18"/>
                <w:szCs w:val="18"/>
                <w:u w:val="none"/>
              </w:rPr>
              <w:t>0,0100</w:t>
            </w:r>
            <w:bookmarkEnd w:id="698"/>
          </w:p>
        </w:tc>
        <w:tc>
          <w:tcPr>
            <w:tcW w:w="1985" w:type="dxa"/>
            <w:tcBorders>
              <w:top w:val="single" w:sz="4" w:space="0" w:color="000000"/>
              <w:left w:val="nil"/>
              <w:bottom w:val="nil"/>
              <w:right w:val="nil"/>
            </w:tcBorders>
            <w:shd w:val="clear" w:color="auto" w:fill="auto"/>
          </w:tcPr>
          <w:p w14:paraId="2E9F793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699" w:name="_DV_C2252"/>
            <w:r w:rsidRPr="002A2EA6">
              <w:rPr>
                <w:rStyle w:val="DeltaViewInsertion"/>
                <w:rFonts w:eastAsia="SimSun"/>
                <w:color w:val="auto"/>
                <w:sz w:val="18"/>
                <w:szCs w:val="18"/>
                <w:u w:val="none"/>
              </w:rPr>
              <w:t xml:space="preserve">646 </w:t>
            </w:r>
            <w:bookmarkEnd w:id="699"/>
          </w:p>
        </w:tc>
      </w:tr>
      <w:tr w:rsidR="002A2EA6" w:rsidRPr="002A2EA6" w14:paraId="76C84EE7" w14:textId="77777777" w:rsidTr="00A54D8B">
        <w:trPr>
          <w:trHeight w:val="57"/>
          <w:jc w:val="right"/>
        </w:trPr>
        <w:tc>
          <w:tcPr>
            <w:tcW w:w="709" w:type="dxa"/>
            <w:tcBorders>
              <w:top w:val="nil"/>
              <w:left w:val="nil"/>
              <w:bottom w:val="nil"/>
              <w:right w:val="nil"/>
            </w:tcBorders>
            <w:shd w:val="clear" w:color="auto" w:fill="auto"/>
          </w:tcPr>
          <w:p w14:paraId="3490A60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00" w:name="_DV_C2253"/>
            <w:r w:rsidRPr="002A2EA6">
              <w:rPr>
                <w:rStyle w:val="DeltaViewInsertion"/>
                <w:rFonts w:eastAsia="SimSun"/>
                <w:color w:val="auto"/>
                <w:sz w:val="18"/>
                <w:szCs w:val="18"/>
                <w:u w:val="none"/>
              </w:rPr>
              <w:t>61</w:t>
            </w:r>
            <w:bookmarkEnd w:id="700"/>
          </w:p>
        </w:tc>
        <w:tc>
          <w:tcPr>
            <w:tcW w:w="2552" w:type="dxa"/>
            <w:tcBorders>
              <w:top w:val="nil"/>
              <w:left w:val="nil"/>
              <w:bottom w:val="nil"/>
              <w:right w:val="nil"/>
            </w:tcBorders>
            <w:shd w:val="clear" w:color="auto" w:fill="auto"/>
          </w:tcPr>
          <w:p w14:paraId="2C3DD2C1"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01" w:name="_DV_C2254"/>
            <w:r w:rsidRPr="002A2EA6">
              <w:rPr>
                <w:rStyle w:val="DeltaViewInsertion"/>
                <w:rFonts w:eastAsia="SimSun"/>
                <w:color w:val="auto"/>
                <w:sz w:val="18"/>
                <w:szCs w:val="18"/>
                <w:u w:val="none"/>
              </w:rPr>
              <w:t>Bulgari</w:t>
            </w:r>
            <w:bookmarkEnd w:id="701"/>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5ACAEDC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02" w:name="_DV_C2255"/>
            <w:r w:rsidRPr="002A2EA6">
              <w:rPr>
                <w:rStyle w:val="DeltaViewInsertion"/>
                <w:rFonts w:eastAsia="SimSun"/>
                <w:color w:val="auto"/>
                <w:sz w:val="18"/>
                <w:szCs w:val="18"/>
                <w:u w:val="none"/>
              </w:rPr>
              <w:t>0,046</w:t>
            </w:r>
            <w:bookmarkEnd w:id="702"/>
          </w:p>
        </w:tc>
        <w:tc>
          <w:tcPr>
            <w:tcW w:w="1984" w:type="dxa"/>
            <w:tcBorders>
              <w:top w:val="nil"/>
              <w:left w:val="nil"/>
              <w:bottom w:val="nil"/>
              <w:right w:val="nil"/>
            </w:tcBorders>
            <w:shd w:val="clear" w:color="auto" w:fill="auto"/>
          </w:tcPr>
          <w:p w14:paraId="3611104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03" w:name="_DV_C2256"/>
            <w:r w:rsidRPr="002A2EA6">
              <w:rPr>
                <w:rStyle w:val="DeltaViewInsertion"/>
                <w:rFonts w:eastAsia="SimSun"/>
                <w:color w:val="auto"/>
                <w:sz w:val="18"/>
                <w:szCs w:val="18"/>
                <w:u w:val="none"/>
              </w:rPr>
              <w:t>0,0564</w:t>
            </w:r>
            <w:bookmarkEnd w:id="703"/>
          </w:p>
        </w:tc>
        <w:tc>
          <w:tcPr>
            <w:tcW w:w="1985" w:type="dxa"/>
            <w:tcBorders>
              <w:top w:val="nil"/>
              <w:left w:val="nil"/>
              <w:bottom w:val="nil"/>
              <w:right w:val="nil"/>
            </w:tcBorders>
            <w:shd w:val="clear" w:color="auto" w:fill="auto"/>
          </w:tcPr>
          <w:p w14:paraId="47AA994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04" w:name="_DV_C2257"/>
            <w:r w:rsidRPr="002A2EA6">
              <w:rPr>
                <w:rStyle w:val="DeltaViewInsertion"/>
                <w:rFonts w:eastAsia="SimSun"/>
                <w:color w:val="auto"/>
                <w:sz w:val="18"/>
                <w:szCs w:val="18"/>
                <w:u w:val="none"/>
              </w:rPr>
              <w:t xml:space="preserve">3 643 </w:t>
            </w:r>
            <w:bookmarkEnd w:id="704"/>
          </w:p>
        </w:tc>
      </w:tr>
      <w:tr w:rsidR="002A2EA6" w:rsidRPr="002A2EA6" w14:paraId="39A2ED9A" w14:textId="77777777" w:rsidTr="00A54D8B">
        <w:trPr>
          <w:trHeight w:val="57"/>
          <w:jc w:val="right"/>
        </w:trPr>
        <w:tc>
          <w:tcPr>
            <w:tcW w:w="709" w:type="dxa"/>
            <w:tcBorders>
              <w:top w:val="nil"/>
              <w:left w:val="nil"/>
              <w:bottom w:val="nil"/>
              <w:right w:val="nil"/>
            </w:tcBorders>
            <w:shd w:val="clear" w:color="auto" w:fill="auto"/>
          </w:tcPr>
          <w:p w14:paraId="7D87E0A3"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05" w:name="_DV_C2258"/>
            <w:r w:rsidRPr="002A2EA6">
              <w:rPr>
                <w:rStyle w:val="DeltaViewInsertion"/>
                <w:rFonts w:eastAsia="SimSun"/>
                <w:color w:val="auto"/>
                <w:sz w:val="18"/>
                <w:szCs w:val="18"/>
                <w:u w:val="none"/>
              </w:rPr>
              <w:t>62</w:t>
            </w:r>
            <w:bookmarkEnd w:id="705"/>
          </w:p>
        </w:tc>
        <w:tc>
          <w:tcPr>
            <w:tcW w:w="2552" w:type="dxa"/>
            <w:tcBorders>
              <w:top w:val="nil"/>
              <w:left w:val="nil"/>
              <w:bottom w:val="nil"/>
              <w:right w:val="nil"/>
            </w:tcBorders>
            <w:shd w:val="clear" w:color="auto" w:fill="auto"/>
          </w:tcPr>
          <w:p w14:paraId="60C1BCA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06" w:name="_DV_C2259"/>
            <w:r w:rsidRPr="002A2EA6">
              <w:rPr>
                <w:rStyle w:val="DeltaViewInsertion"/>
                <w:rFonts w:eastAsia="SimSun"/>
                <w:color w:val="auto"/>
                <w:sz w:val="18"/>
                <w:szCs w:val="18"/>
                <w:u w:val="none"/>
              </w:rPr>
              <w:t>Croati</w:t>
            </w:r>
            <w:bookmarkEnd w:id="706"/>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036E709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07" w:name="_DV_C2260"/>
            <w:r w:rsidRPr="002A2EA6">
              <w:rPr>
                <w:rStyle w:val="DeltaViewInsertion"/>
                <w:rFonts w:eastAsia="SimSun"/>
                <w:color w:val="auto"/>
                <w:sz w:val="18"/>
                <w:szCs w:val="18"/>
                <w:u w:val="none"/>
              </w:rPr>
              <w:t>0,077</w:t>
            </w:r>
            <w:bookmarkEnd w:id="707"/>
          </w:p>
        </w:tc>
        <w:tc>
          <w:tcPr>
            <w:tcW w:w="1984" w:type="dxa"/>
            <w:tcBorders>
              <w:top w:val="nil"/>
              <w:left w:val="nil"/>
              <w:bottom w:val="nil"/>
              <w:right w:val="nil"/>
            </w:tcBorders>
            <w:shd w:val="clear" w:color="auto" w:fill="auto"/>
          </w:tcPr>
          <w:p w14:paraId="3EE20D4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08" w:name="_DV_C2261"/>
            <w:r w:rsidRPr="002A2EA6">
              <w:rPr>
                <w:rStyle w:val="DeltaViewInsertion"/>
                <w:rFonts w:eastAsia="SimSun"/>
                <w:color w:val="auto"/>
                <w:sz w:val="18"/>
                <w:szCs w:val="18"/>
                <w:u w:val="none"/>
              </w:rPr>
              <w:t>0,0944</w:t>
            </w:r>
            <w:bookmarkEnd w:id="708"/>
          </w:p>
        </w:tc>
        <w:tc>
          <w:tcPr>
            <w:tcW w:w="1985" w:type="dxa"/>
            <w:tcBorders>
              <w:top w:val="nil"/>
              <w:left w:val="nil"/>
              <w:bottom w:val="nil"/>
              <w:right w:val="nil"/>
            </w:tcBorders>
            <w:shd w:val="clear" w:color="auto" w:fill="auto"/>
          </w:tcPr>
          <w:p w14:paraId="0123132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09" w:name="_DV_C2262"/>
            <w:r w:rsidRPr="002A2EA6">
              <w:rPr>
                <w:rStyle w:val="DeltaViewInsertion"/>
                <w:rFonts w:eastAsia="SimSun"/>
                <w:color w:val="auto"/>
                <w:sz w:val="18"/>
                <w:szCs w:val="18"/>
                <w:u w:val="none"/>
              </w:rPr>
              <w:t xml:space="preserve">6 098 </w:t>
            </w:r>
            <w:bookmarkEnd w:id="709"/>
          </w:p>
        </w:tc>
      </w:tr>
      <w:tr w:rsidR="002A2EA6" w:rsidRPr="002A2EA6" w14:paraId="43B3BF48" w14:textId="77777777" w:rsidTr="00A54D8B">
        <w:trPr>
          <w:trHeight w:val="57"/>
          <w:jc w:val="right"/>
        </w:trPr>
        <w:tc>
          <w:tcPr>
            <w:tcW w:w="709" w:type="dxa"/>
            <w:tcBorders>
              <w:top w:val="nil"/>
              <w:left w:val="nil"/>
              <w:bottom w:val="nil"/>
              <w:right w:val="nil"/>
            </w:tcBorders>
            <w:shd w:val="clear" w:color="auto" w:fill="auto"/>
          </w:tcPr>
          <w:p w14:paraId="3A820164"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10" w:name="_DV_C2268"/>
            <w:r w:rsidRPr="002A2EA6">
              <w:rPr>
                <w:rStyle w:val="DeltaViewInsertion"/>
                <w:rFonts w:eastAsia="SimSun"/>
                <w:color w:val="auto"/>
                <w:sz w:val="18"/>
                <w:szCs w:val="18"/>
                <w:u w:val="none"/>
              </w:rPr>
              <w:t>63</w:t>
            </w:r>
            <w:bookmarkEnd w:id="710"/>
          </w:p>
        </w:tc>
        <w:tc>
          <w:tcPr>
            <w:tcW w:w="2552" w:type="dxa"/>
            <w:tcBorders>
              <w:top w:val="nil"/>
              <w:left w:val="nil"/>
              <w:bottom w:val="nil"/>
              <w:right w:val="nil"/>
            </w:tcBorders>
            <w:shd w:val="clear" w:color="auto" w:fill="auto"/>
          </w:tcPr>
          <w:p w14:paraId="287C337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11" w:name="_DV_C2269"/>
            <w:r w:rsidRPr="002A2EA6">
              <w:rPr>
                <w:rStyle w:val="DeltaViewInsertion"/>
                <w:rFonts w:eastAsia="SimSun"/>
                <w:color w:val="auto"/>
                <w:sz w:val="18"/>
                <w:szCs w:val="18"/>
                <w:u w:val="none"/>
              </w:rPr>
              <w:t>Estonie</w:t>
            </w:r>
            <w:bookmarkEnd w:id="711"/>
          </w:p>
        </w:tc>
        <w:tc>
          <w:tcPr>
            <w:tcW w:w="1701" w:type="dxa"/>
            <w:tcBorders>
              <w:top w:val="nil"/>
              <w:left w:val="nil"/>
              <w:bottom w:val="nil"/>
              <w:right w:val="nil"/>
            </w:tcBorders>
            <w:shd w:val="clear" w:color="auto" w:fill="auto"/>
          </w:tcPr>
          <w:p w14:paraId="3FCF49C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12" w:name="_DV_C2270"/>
            <w:r w:rsidRPr="002A2EA6">
              <w:rPr>
                <w:rStyle w:val="DeltaViewInsertion"/>
                <w:rFonts w:eastAsia="SimSun"/>
                <w:color w:val="auto"/>
                <w:sz w:val="18"/>
                <w:szCs w:val="18"/>
                <w:u w:val="none"/>
              </w:rPr>
              <w:t>0,039</w:t>
            </w:r>
            <w:bookmarkEnd w:id="712"/>
          </w:p>
        </w:tc>
        <w:tc>
          <w:tcPr>
            <w:tcW w:w="1984" w:type="dxa"/>
            <w:tcBorders>
              <w:top w:val="nil"/>
              <w:left w:val="nil"/>
              <w:bottom w:val="nil"/>
              <w:right w:val="nil"/>
            </w:tcBorders>
            <w:shd w:val="clear" w:color="auto" w:fill="auto"/>
          </w:tcPr>
          <w:p w14:paraId="0E4E203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13" w:name="_DV_C2271"/>
            <w:r w:rsidRPr="002A2EA6">
              <w:rPr>
                <w:rStyle w:val="DeltaViewInsertion"/>
                <w:rFonts w:eastAsia="SimSun"/>
                <w:color w:val="auto"/>
                <w:sz w:val="18"/>
                <w:szCs w:val="18"/>
                <w:u w:val="none"/>
              </w:rPr>
              <w:t>0,0478</w:t>
            </w:r>
            <w:bookmarkEnd w:id="713"/>
          </w:p>
        </w:tc>
        <w:tc>
          <w:tcPr>
            <w:tcW w:w="1985" w:type="dxa"/>
            <w:tcBorders>
              <w:top w:val="nil"/>
              <w:left w:val="nil"/>
              <w:bottom w:val="nil"/>
              <w:right w:val="nil"/>
            </w:tcBorders>
            <w:shd w:val="clear" w:color="auto" w:fill="auto"/>
          </w:tcPr>
          <w:p w14:paraId="6636144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14" w:name="_DV_C2272"/>
            <w:r w:rsidRPr="002A2EA6">
              <w:rPr>
                <w:rStyle w:val="DeltaViewInsertion"/>
                <w:rFonts w:eastAsia="SimSun"/>
                <w:color w:val="auto"/>
                <w:sz w:val="18"/>
                <w:szCs w:val="18"/>
                <w:u w:val="none"/>
              </w:rPr>
              <w:t xml:space="preserve">3 089 </w:t>
            </w:r>
            <w:bookmarkEnd w:id="714"/>
          </w:p>
        </w:tc>
      </w:tr>
      <w:tr w:rsidR="002A2EA6" w:rsidRPr="002A2EA6" w14:paraId="177B7C80" w14:textId="77777777" w:rsidTr="00A54D8B">
        <w:trPr>
          <w:trHeight w:val="57"/>
          <w:jc w:val="right"/>
        </w:trPr>
        <w:tc>
          <w:tcPr>
            <w:tcW w:w="709" w:type="dxa"/>
            <w:tcBorders>
              <w:top w:val="nil"/>
              <w:left w:val="nil"/>
              <w:bottom w:val="nil"/>
              <w:right w:val="nil"/>
            </w:tcBorders>
            <w:shd w:val="clear" w:color="auto" w:fill="auto"/>
          </w:tcPr>
          <w:p w14:paraId="61BDF37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15" w:name="_DV_C2273"/>
            <w:r w:rsidRPr="002A2EA6">
              <w:rPr>
                <w:rStyle w:val="DeltaViewInsertion"/>
                <w:rFonts w:eastAsia="SimSun"/>
                <w:color w:val="auto"/>
                <w:sz w:val="18"/>
                <w:szCs w:val="18"/>
                <w:u w:val="none"/>
              </w:rPr>
              <w:t>6</w:t>
            </w:r>
            <w:bookmarkEnd w:id="715"/>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4F30F81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16" w:name="_DV_C2274"/>
            <w:r w:rsidRPr="002A2EA6">
              <w:rPr>
                <w:rStyle w:val="DeltaViewInsertion"/>
                <w:rFonts w:eastAsia="SimSun"/>
                <w:color w:val="auto"/>
                <w:sz w:val="18"/>
                <w:szCs w:val="18"/>
                <w:u w:val="none"/>
              </w:rPr>
              <w:t>H</w:t>
            </w:r>
            <w:bookmarkEnd w:id="716"/>
            <w:r w:rsidRPr="002A2EA6">
              <w:rPr>
                <w:rStyle w:val="DeltaViewInsertion"/>
                <w:rFonts w:eastAsia="SimSun"/>
                <w:color w:val="auto"/>
                <w:sz w:val="18"/>
                <w:szCs w:val="18"/>
                <w:u w:val="none"/>
              </w:rPr>
              <w:t>ongrie</w:t>
            </w:r>
          </w:p>
        </w:tc>
        <w:tc>
          <w:tcPr>
            <w:tcW w:w="1701" w:type="dxa"/>
            <w:tcBorders>
              <w:top w:val="nil"/>
              <w:left w:val="nil"/>
              <w:bottom w:val="nil"/>
              <w:right w:val="nil"/>
            </w:tcBorders>
            <w:shd w:val="clear" w:color="auto" w:fill="auto"/>
          </w:tcPr>
          <w:p w14:paraId="24A958A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17" w:name="_DV_C2275"/>
            <w:r w:rsidRPr="002A2EA6">
              <w:rPr>
                <w:rStyle w:val="DeltaViewInsertion"/>
                <w:rFonts w:eastAsia="SimSun"/>
                <w:color w:val="auto"/>
                <w:sz w:val="18"/>
                <w:szCs w:val="18"/>
                <w:u w:val="none"/>
              </w:rPr>
              <w:t>0,206</w:t>
            </w:r>
            <w:bookmarkEnd w:id="717"/>
          </w:p>
        </w:tc>
        <w:tc>
          <w:tcPr>
            <w:tcW w:w="1984" w:type="dxa"/>
            <w:tcBorders>
              <w:top w:val="nil"/>
              <w:left w:val="nil"/>
              <w:bottom w:val="nil"/>
              <w:right w:val="nil"/>
            </w:tcBorders>
            <w:shd w:val="clear" w:color="auto" w:fill="auto"/>
          </w:tcPr>
          <w:p w14:paraId="0FB9D1A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18" w:name="_DV_C2276"/>
            <w:r w:rsidRPr="002A2EA6">
              <w:rPr>
                <w:rStyle w:val="DeltaViewInsertion"/>
                <w:rFonts w:eastAsia="SimSun"/>
                <w:color w:val="auto"/>
                <w:sz w:val="18"/>
                <w:szCs w:val="18"/>
                <w:u w:val="none"/>
              </w:rPr>
              <w:t>0,2524</w:t>
            </w:r>
            <w:bookmarkEnd w:id="718"/>
          </w:p>
        </w:tc>
        <w:tc>
          <w:tcPr>
            <w:tcW w:w="1985" w:type="dxa"/>
            <w:tcBorders>
              <w:top w:val="nil"/>
              <w:left w:val="nil"/>
              <w:bottom w:val="nil"/>
              <w:right w:val="nil"/>
            </w:tcBorders>
            <w:shd w:val="clear" w:color="auto" w:fill="auto"/>
          </w:tcPr>
          <w:p w14:paraId="66AD0A9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19" w:name="_DV_C2277"/>
            <w:r w:rsidRPr="002A2EA6">
              <w:rPr>
                <w:rStyle w:val="DeltaViewInsertion"/>
                <w:rFonts w:eastAsia="SimSun"/>
                <w:color w:val="auto"/>
                <w:sz w:val="18"/>
                <w:szCs w:val="18"/>
                <w:u w:val="none"/>
              </w:rPr>
              <w:t xml:space="preserve">16 314 </w:t>
            </w:r>
            <w:bookmarkEnd w:id="719"/>
          </w:p>
        </w:tc>
      </w:tr>
      <w:tr w:rsidR="002A2EA6" w:rsidRPr="002A2EA6" w14:paraId="26BBFB9B" w14:textId="77777777" w:rsidTr="00A54D8B">
        <w:trPr>
          <w:trHeight w:val="57"/>
          <w:jc w:val="right"/>
        </w:trPr>
        <w:tc>
          <w:tcPr>
            <w:tcW w:w="709" w:type="dxa"/>
            <w:tcBorders>
              <w:top w:val="nil"/>
              <w:left w:val="nil"/>
              <w:bottom w:val="nil"/>
              <w:right w:val="nil"/>
            </w:tcBorders>
            <w:shd w:val="clear" w:color="auto" w:fill="auto"/>
          </w:tcPr>
          <w:p w14:paraId="7763FED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20" w:name="_DV_C2278"/>
            <w:r w:rsidRPr="002A2EA6">
              <w:rPr>
                <w:rStyle w:val="DeltaViewInsertion"/>
                <w:rFonts w:eastAsia="SimSun"/>
                <w:color w:val="auto"/>
                <w:sz w:val="18"/>
                <w:szCs w:val="18"/>
                <w:u w:val="none"/>
              </w:rPr>
              <w:t>6</w:t>
            </w:r>
            <w:bookmarkEnd w:id="720"/>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52342465"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21" w:name="_DV_C2279"/>
            <w:r w:rsidRPr="002A2EA6">
              <w:rPr>
                <w:rStyle w:val="DeltaViewInsertion"/>
                <w:rFonts w:eastAsia="SimSun"/>
                <w:color w:val="auto"/>
                <w:sz w:val="18"/>
                <w:szCs w:val="18"/>
                <w:u w:val="none"/>
              </w:rPr>
              <w:t>L</w:t>
            </w:r>
            <w:bookmarkEnd w:id="721"/>
            <w:r w:rsidRPr="002A2EA6">
              <w:rPr>
                <w:rStyle w:val="DeltaViewInsertion"/>
                <w:rFonts w:eastAsia="SimSun"/>
                <w:color w:val="auto"/>
                <w:sz w:val="18"/>
                <w:szCs w:val="18"/>
                <w:u w:val="none"/>
              </w:rPr>
              <w:t>ettonie</w:t>
            </w:r>
          </w:p>
        </w:tc>
        <w:tc>
          <w:tcPr>
            <w:tcW w:w="1701" w:type="dxa"/>
            <w:tcBorders>
              <w:top w:val="nil"/>
              <w:left w:val="nil"/>
              <w:bottom w:val="nil"/>
              <w:right w:val="nil"/>
            </w:tcBorders>
            <w:shd w:val="clear" w:color="auto" w:fill="auto"/>
          </w:tcPr>
          <w:p w14:paraId="356509A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22" w:name="_DV_C2280"/>
            <w:r w:rsidRPr="002A2EA6">
              <w:rPr>
                <w:rStyle w:val="DeltaViewInsertion"/>
                <w:rFonts w:eastAsia="SimSun"/>
                <w:color w:val="auto"/>
                <w:sz w:val="18"/>
                <w:szCs w:val="18"/>
                <w:u w:val="none"/>
              </w:rPr>
              <w:t>0,047</w:t>
            </w:r>
            <w:bookmarkEnd w:id="722"/>
          </w:p>
        </w:tc>
        <w:tc>
          <w:tcPr>
            <w:tcW w:w="1984" w:type="dxa"/>
            <w:tcBorders>
              <w:top w:val="nil"/>
              <w:left w:val="nil"/>
              <w:bottom w:val="nil"/>
              <w:right w:val="nil"/>
            </w:tcBorders>
            <w:shd w:val="clear" w:color="auto" w:fill="auto"/>
          </w:tcPr>
          <w:p w14:paraId="002F8EF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23" w:name="_DV_C2281"/>
            <w:r w:rsidRPr="002A2EA6">
              <w:rPr>
                <w:rStyle w:val="DeltaViewInsertion"/>
                <w:rFonts w:eastAsia="SimSun"/>
                <w:color w:val="auto"/>
                <w:sz w:val="18"/>
                <w:szCs w:val="18"/>
                <w:u w:val="none"/>
              </w:rPr>
              <w:t>0,0576</w:t>
            </w:r>
            <w:bookmarkEnd w:id="723"/>
          </w:p>
        </w:tc>
        <w:tc>
          <w:tcPr>
            <w:tcW w:w="1985" w:type="dxa"/>
            <w:tcBorders>
              <w:top w:val="nil"/>
              <w:left w:val="nil"/>
              <w:bottom w:val="nil"/>
              <w:right w:val="nil"/>
            </w:tcBorders>
            <w:shd w:val="clear" w:color="auto" w:fill="auto"/>
          </w:tcPr>
          <w:p w14:paraId="3B8CE1B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24" w:name="_DV_C2282"/>
            <w:r w:rsidRPr="002A2EA6">
              <w:rPr>
                <w:rStyle w:val="DeltaViewInsertion"/>
                <w:rFonts w:eastAsia="SimSun"/>
                <w:color w:val="auto"/>
                <w:sz w:val="18"/>
                <w:szCs w:val="18"/>
                <w:u w:val="none"/>
              </w:rPr>
              <w:t xml:space="preserve">3 722 </w:t>
            </w:r>
            <w:bookmarkEnd w:id="724"/>
          </w:p>
        </w:tc>
      </w:tr>
      <w:tr w:rsidR="002A2EA6" w:rsidRPr="002A2EA6" w14:paraId="0FD4D976" w14:textId="77777777" w:rsidTr="00A54D8B">
        <w:trPr>
          <w:trHeight w:val="57"/>
          <w:jc w:val="right"/>
        </w:trPr>
        <w:tc>
          <w:tcPr>
            <w:tcW w:w="709" w:type="dxa"/>
            <w:tcBorders>
              <w:top w:val="nil"/>
              <w:left w:val="nil"/>
              <w:bottom w:val="nil"/>
              <w:right w:val="nil"/>
            </w:tcBorders>
            <w:shd w:val="clear" w:color="auto" w:fill="auto"/>
          </w:tcPr>
          <w:p w14:paraId="14B02E2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25" w:name="_DV_C2283"/>
            <w:r w:rsidRPr="002A2EA6">
              <w:rPr>
                <w:rStyle w:val="DeltaViewInsertion"/>
                <w:rFonts w:eastAsia="SimSun"/>
                <w:color w:val="auto"/>
                <w:sz w:val="18"/>
                <w:szCs w:val="18"/>
                <w:u w:val="none"/>
              </w:rPr>
              <w:t>6</w:t>
            </w:r>
            <w:bookmarkEnd w:id="725"/>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45E7FEB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26" w:name="_DV_C2284"/>
            <w:r w:rsidRPr="002A2EA6">
              <w:rPr>
                <w:rStyle w:val="DeltaViewInsertion"/>
                <w:rFonts w:eastAsia="SimSun"/>
                <w:color w:val="auto"/>
                <w:sz w:val="18"/>
                <w:szCs w:val="18"/>
                <w:u w:val="none"/>
              </w:rPr>
              <w:t>Lit</w:t>
            </w:r>
            <w:bookmarkEnd w:id="726"/>
            <w:r w:rsidRPr="002A2EA6">
              <w:rPr>
                <w:rStyle w:val="DeltaViewInsertion"/>
                <w:rFonts w:eastAsia="SimSun"/>
                <w:color w:val="auto"/>
                <w:sz w:val="18"/>
                <w:szCs w:val="18"/>
                <w:u w:val="none"/>
              </w:rPr>
              <w:t>uanie</w:t>
            </w:r>
          </w:p>
        </w:tc>
        <w:tc>
          <w:tcPr>
            <w:tcW w:w="1701" w:type="dxa"/>
            <w:tcBorders>
              <w:top w:val="nil"/>
              <w:left w:val="nil"/>
              <w:bottom w:val="nil"/>
              <w:right w:val="nil"/>
            </w:tcBorders>
            <w:shd w:val="clear" w:color="auto" w:fill="auto"/>
          </w:tcPr>
          <w:p w14:paraId="7022825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27" w:name="_DV_C2285"/>
            <w:r w:rsidRPr="002A2EA6">
              <w:rPr>
                <w:rStyle w:val="DeltaViewInsertion"/>
                <w:rFonts w:eastAsia="SimSun"/>
                <w:color w:val="auto"/>
                <w:sz w:val="18"/>
                <w:szCs w:val="18"/>
                <w:u w:val="none"/>
              </w:rPr>
              <w:t>0,071</w:t>
            </w:r>
            <w:bookmarkEnd w:id="727"/>
          </w:p>
        </w:tc>
        <w:tc>
          <w:tcPr>
            <w:tcW w:w="1984" w:type="dxa"/>
            <w:tcBorders>
              <w:top w:val="nil"/>
              <w:left w:val="nil"/>
              <w:bottom w:val="nil"/>
              <w:right w:val="nil"/>
            </w:tcBorders>
            <w:shd w:val="clear" w:color="auto" w:fill="auto"/>
          </w:tcPr>
          <w:p w14:paraId="76EE829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28" w:name="_DV_C2286"/>
            <w:r w:rsidRPr="002A2EA6">
              <w:rPr>
                <w:rStyle w:val="DeltaViewInsertion"/>
                <w:rFonts w:eastAsia="SimSun"/>
                <w:color w:val="auto"/>
                <w:sz w:val="18"/>
                <w:szCs w:val="18"/>
                <w:u w:val="none"/>
              </w:rPr>
              <w:t>0,0870</w:t>
            </w:r>
            <w:bookmarkEnd w:id="728"/>
          </w:p>
        </w:tc>
        <w:tc>
          <w:tcPr>
            <w:tcW w:w="1985" w:type="dxa"/>
            <w:tcBorders>
              <w:top w:val="nil"/>
              <w:left w:val="nil"/>
              <w:bottom w:val="nil"/>
              <w:right w:val="nil"/>
            </w:tcBorders>
            <w:shd w:val="clear" w:color="auto" w:fill="auto"/>
          </w:tcPr>
          <w:p w14:paraId="3713DB6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29" w:name="_DV_C2287"/>
            <w:r w:rsidRPr="002A2EA6">
              <w:rPr>
                <w:rStyle w:val="DeltaViewInsertion"/>
                <w:rFonts w:eastAsia="SimSun"/>
                <w:color w:val="auto"/>
                <w:sz w:val="18"/>
                <w:szCs w:val="18"/>
                <w:u w:val="none"/>
              </w:rPr>
              <w:t xml:space="preserve">5 623 </w:t>
            </w:r>
            <w:bookmarkEnd w:id="729"/>
          </w:p>
        </w:tc>
      </w:tr>
      <w:tr w:rsidR="002A2EA6" w:rsidRPr="002A2EA6" w14:paraId="3C7D6334" w14:textId="77777777" w:rsidTr="00A54D8B">
        <w:trPr>
          <w:trHeight w:val="57"/>
          <w:jc w:val="right"/>
        </w:trPr>
        <w:tc>
          <w:tcPr>
            <w:tcW w:w="709" w:type="dxa"/>
            <w:tcBorders>
              <w:top w:val="nil"/>
              <w:left w:val="nil"/>
              <w:bottom w:val="nil"/>
              <w:right w:val="nil"/>
            </w:tcBorders>
            <w:shd w:val="clear" w:color="auto" w:fill="auto"/>
          </w:tcPr>
          <w:p w14:paraId="73A72B94"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30" w:name="_DV_C2288"/>
            <w:r w:rsidRPr="002A2EA6">
              <w:rPr>
                <w:rStyle w:val="DeltaViewInsertion"/>
                <w:rFonts w:eastAsia="SimSun"/>
                <w:color w:val="auto"/>
                <w:sz w:val="18"/>
                <w:szCs w:val="18"/>
                <w:u w:val="none"/>
              </w:rPr>
              <w:t>6</w:t>
            </w:r>
            <w:bookmarkEnd w:id="730"/>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6F3FB0F1"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31" w:name="_DV_C2289"/>
            <w:r w:rsidRPr="002A2EA6">
              <w:rPr>
                <w:rStyle w:val="DeltaViewInsertion"/>
                <w:rFonts w:eastAsia="SimSun"/>
                <w:color w:val="auto"/>
                <w:sz w:val="18"/>
                <w:szCs w:val="18"/>
                <w:u w:val="none"/>
              </w:rPr>
              <w:t>Moldova (République de)</w:t>
            </w:r>
            <w:bookmarkEnd w:id="731"/>
          </w:p>
        </w:tc>
        <w:tc>
          <w:tcPr>
            <w:tcW w:w="1701" w:type="dxa"/>
            <w:tcBorders>
              <w:top w:val="nil"/>
              <w:left w:val="nil"/>
              <w:bottom w:val="nil"/>
              <w:right w:val="nil"/>
            </w:tcBorders>
            <w:shd w:val="clear" w:color="auto" w:fill="auto"/>
          </w:tcPr>
          <w:p w14:paraId="7974083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32" w:name="_DV_C2290"/>
            <w:r w:rsidRPr="002A2EA6">
              <w:rPr>
                <w:rStyle w:val="DeltaViewInsertion"/>
                <w:rFonts w:eastAsia="SimSun"/>
                <w:color w:val="auto"/>
                <w:sz w:val="18"/>
                <w:szCs w:val="18"/>
                <w:u w:val="none"/>
              </w:rPr>
              <w:t>0,003</w:t>
            </w:r>
            <w:bookmarkEnd w:id="732"/>
          </w:p>
        </w:tc>
        <w:tc>
          <w:tcPr>
            <w:tcW w:w="1984" w:type="dxa"/>
            <w:tcBorders>
              <w:top w:val="nil"/>
              <w:left w:val="nil"/>
              <w:bottom w:val="nil"/>
              <w:right w:val="nil"/>
            </w:tcBorders>
            <w:shd w:val="clear" w:color="auto" w:fill="auto"/>
          </w:tcPr>
          <w:p w14:paraId="736BC06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33" w:name="_DV_C2291"/>
            <w:r w:rsidRPr="002A2EA6">
              <w:rPr>
                <w:rStyle w:val="DeltaViewInsertion"/>
                <w:rFonts w:eastAsia="SimSun"/>
                <w:color w:val="auto"/>
                <w:sz w:val="18"/>
                <w:szCs w:val="18"/>
                <w:u w:val="none"/>
              </w:rPr>
              <w:t>0,0100</w:t>
            </w:r>
            <w:bookmarkEnd w:id="733"/>
          </w:p>
        </w:tc>
        <w:tc>
          <w:tcPr>
            <w:tcW w:w="1985" w:type="dxa"/>
            <w:tcBorders>
              <w:top w:val="nil"/>
              <w:left w:val="nil"/>
              <w:bottom w:val="nil"/>
              <w:right w:val="nil"/>
            </w:tcBorders>
            <w:shd w:val="clear" w:color="auto" w:fill="auto"/>
          </w:tcPr>
          <w:p w14:paraId="07C21A7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34" w:name="_DV_C2292"/>
            <w:r w:rsidRPr="002A2EA6">
              <w:rPr>
                <w:rStyle w:val="DeltaViewInsertion"/>
                <w:rFonts w:eastAsia="SimSun"/>
                <w:color w:val="auto"/>
                <w:sz w:val="18"/>
                <w:szCs w:val="18"/>
                <w:u w:val="none"/>
              </w:rPr>
              <w:t xml:space="preserve">646 </w:t>
            </w:r>
            <w:bookmarkEnd w:id="734"/>
          </w:p>
        </w:tc>
      </w:tr>
      <w:tr w:rsidR="002A2EA6" w:rsidRPr="002A2EA6" w14:paraId="2283C664" w14:textId="77777777" w:rsidTr="00A54D8B">
        <w:trPr>
          <w:trHeight w:val="57"/>
          <w:jc w:val="right"/>
        </w:trPr>
        <w:tc>
          <w:tcPr>
            <w:tcW w:w="709" w:type="dxa"/>
            <w:tcBorders>
              <w:top w:val="nil"/>
              <w:left w:val="nil"/>
              <w:bottom w:val="nil"/>
              <w:right w:val="nil"/>
            </w:tcBorders>
            <w:shd w:val="clear" w:color="auto" w:fill="auto"/>
          </w:tcPr>
          <w:p w14:paraId="315388E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35" w:name="_DV_C2293"/>
            <w:r w:rsidRPr="002A2EA6">
              <w:rPr>
                <w:rStyle w:val="DeltaViewInsertion"/>
                <w:rFonts w:eastAsia="SimSun"/>
                <w:color w:val="auto"/>
                <w:sz w:val="18"/>
                <w:szCs w:val="18"/>
                <w:u w:val="none"/>
              </w:rPr>
              <w:t>6</w:t>
            </w:r>
            <w:bookmarkEnd w:id="735"/>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6CB8A71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36" w:name="_DV_C2294"/>
            <w:r w:rsidRPr="002A2EA6">
              <w:rPr>
                <w:rStyle w:val="DeltaViewInsertion"/>
                <w:rFonts w:eastAsia="SimSun"/>
                <w:color w:val="auto"/>
                <w:sz w:val="18"/>
                <w:szCs w:val="18"/>
                <w:u w:val="none"/>
              </w:rPr>
              <w:t>Monténégro</w:t>
            </w:r>
            <w:bookmarkEnd w:id="736"/>
          </w:p>
        </w:tc>
        <w:tc>
          <w:tcPr>
            <w:tcW w:w="1701" w:type="dxa"/>
            <w:tcBorders>
              <w:top w:val="nil"/>
              <w:left w:val="nil"/>
              <w:bottom w:val="nil"/>
              <w:right w:val="nil"/>
            </w:tcBorders>
            <w:shd w:val="clear" w:color="auto" w:fill="auto"/>
          </w:tcPr>
          <w:p w14:paraId="02EE0F2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37" w:name="_DV_C2295"/>
            <w:r w:rsidRPr="002A2EA6">
              <w:rPr>
                <w:rStyle w:val="DeltaViewInsertion"/>
                <w:rFonts w:eastAsia="SimSun"/>
                <w:color w:val="auto"/>
                <w:sz w:val="18"/>
                <w:szCs w:val="18"/>
                <w:u w:val="none"/>
              </w:rPr>
              <w:t>0,004</w:t>
            </w:r>
            <w:bookmarkEnd w:id="737"/>
          </w:p>
        </w:tc>
        <w:tc>
          <w:tcPr>
            <w:tcW w:w="1984" w:type="dxa"/>
            <w:tcBorders>
              <w:top w:val="nil"/>
              <w:left w:val="nil"/>
              <w:bottom w:val="nil"/>
              <w:right w:val="nil"/>
            </w:tcBorders>
            <w:shd w:val="clear" w:color="auto" w:fill="auto"/>
          </w:tcPr>
          <w:p w14:paraId="01C7BB8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38" w:name="_DV_C2296"/>
            <w:r w:rsidRPr="002A2EA6">
              <w:rPr>
                <w:rStyle w:val="DeltaViewInsertion"/>
                <w:rFonts w:eastAsia="SimSun"/>
                <w:color w:val="auto"/>
                <w:sz w:val="18"/>
                <w:szCs w:val="18"/>
                <w:u w:val="none"/>
              </w:rPr>
              <w:t>0,0100</w:t>
            </w:r>
            <w:bookmarkEnd w:id="738"/>
          </w:p>
        </w:tc>
        <w:tc>
          <w:tcPr>
            <w:tcW w:w="1985" w:type="dxa"/>
            <w:tcBorders>
              <w:top w:val="nil"/>
              <w:left w:val="nil"/>
              <w:bottom w:val="nil"/>
              <w:right w:val="nil"/>
            </w:tcBorders>
            <w:shd w:val="clear" w:color="auto" w:fill="auto"/>
          </w:tcPr>
          <w:p w14:paraId="6671457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39" w:name="_DV_C2297"/>
            <w:r w:rsidRPr="002A2EA6">
              <w:rPr>
                <w:rStyle w:val="DeltaViewInsertion"/>
                <w:rFonts w:eastAsia="SimSun"/>
                <w:color w:val="auto"/>
                <w:sz w:val="18"/>
                <w:szCs w:val="18"/>
                <w:u w:val="none"/>
              </w:rPr>
              <w:t xml:space="preserve">646 </w:t>
            </w:r>
            <w:bookmarkEnd w:id="739"/>
          </w:p>
        </w:tc>
      </w:tr>
      <w:tr w:rsidR="002A2EA6" w:rsidRPr="002A2EA6" w14:paraId="7D898DF1" w14:textId="77777777" w:rsidTr="00A54D8B">
        <w:trPr>
          <w:trHeight w:val="57"/>
          <w:jc w:val="right"/>
        </w:trPr>
        <w:tc>
          <w:tcPr>
            <w:tcW w:w="709" w:type="dxa"/>
            <w:tcBorders>
              <w:top w:val="nil"/>
              <w:left w:val="nil"/>
              <w:bottom w:val="nil"/>
              <w:right w:val="nil"/>
            </w:tcBorders>
            <w:shd w:val="clear" w:color="auto" w:fill="auto"/>
          </w:tcPr>
          <w:p w14:paraId="345EB17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6</w:t>
            </w:r>
            <w:r w:rsidRPr="002A2EA6">
              <w:rPr>
                <w:sz w:val="18"/>
                <w:szCs w:val="18"/>
              </w:rPr>
              <w:t>9</w:t>
            </w:r>
          </w:p>
        </w:tc>
        <w:tc>
          <w:tcPr>
            <w:tcW w:w="2552" w:type="dxa"/>
            <w:tcBorders>
              <w:top w:val="nil"/>
              <w:left w:val="nil"/>
              <w:bottom w:val="nil"/>
              <w:right w:val="nil"/>
            </w:tcBorders>
            <w:shd w:val="clear" w:color="auto" w:fill="auto"/>
          </w:tcPr>
          <w:p w14:paraId="2FC9D7A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40" w:name="_DV_C2299"/>
            <w:r w:rsidRPr="002A2EA6">
              <w:rPr>
                <w:rStyle w:val="DeltaViewInsertion"/>
                <w:rFonts w:eastAsia="SimSun"/>
                <w:color w:val="auto"/>
                <w:sz w:val="18"/>
                <w:szCs w:val="18"/>
                <w:u w:val="none"/>
              </w:rPr>
              <w:t>Roumanie</w:t>
            </w:r>
            <w:bookmarkEnd w:id="740"/>
          </w:p>
        </w:tc>
        <w:tc>
          <w:tcPr>
            <w:tcW w:w="1701" w:type="dxa"/>
            <w:tcBorders>
              <w:top w:val="nil"/>
              <w:left w:val="nil"/>
              <w:bottom w:val="nil"/>
              <w:right w:val="nil"/>
            </w:tcBorders>
            <w:shd w:val="clear" w:color="auto" w:fill="auto"/>
          </w:tcPr>
          <w:p w14:paraId="6D61E8F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41" w:name="_DV_C2300"/>
            <w:r w:rsidRPr="002A2EA6">
              <w:rPr>
                <w:rStyle w:val="DeltaViewInsertion"/>
                <w:rFonts w:eastAsia="SimSun"/>
                <w:color w:val="auto"/>
                <w:sz w:val="18"/>
                <w:szCs w:val="18"/>
                <w:u w:val="none"/>
              </w:rPr>
              <w:t>0,198</w:t>
            </w:r>
            <w:bookmarkEnd w:id="741"/>
          </w:p>
        </w:tc>
        <w:tc>
          <w:tcPr>
            <w:tcW w:w="1984" w:type="dxa"/>
            <w:tcBorders>
              <w:top w:val="nil"/>
              <w:left w:val="nil"/>
              <w:bottom w:val="nil"/>
              <w:right w:val="nil"/>
            </w:tcBorders>
            <w:shd w:val="clear" w:color="auto" w:fill="auto"/>
          </w:tcPr>
          <w:p w14:paraId="603355B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42" w:name="_DV_C2301"/>
            <w:r w:rsidRPr="002A2EA6">
              <w:rPr>
                <w:rStyle w:val="DeltaViewInsertion"/>
                <w:rFonts w:eastAsia="SimSun"/>
                <w:color w:val="auto"/>
                <w:sz w:val="18"/>
                <w:szCs w:val="18"/>
                <w:u w:val="none"/>
              </w:rPr>
              <w:t>0,2426</w:t>
            </w:r>
            <w:bookmarkEnd w:id="742"/>
          </w:p>
        </w:tc>
        <w:tc>
          <w:tcPr>
            <w:tcW w:w="1985" w:type="dxa"/>
            <w:tcBorders>
              <w:top w:val="nil"/>
              <w:left w:val="nil"/>
              <w:bottom w:val="nil"/>
              <w:right w:val="nil"/>
            </w:tcBorders>
            <w:shd w:val="clear" w:color="auto" w:fill="auto"/>
          </w:tcPr>
          <w:p w14:paraId="2C6D70B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43" w:name="_DV_C2302"/>
            <w:r w:rsidRPr="002A2EA6">
              <w:rPr>
                <w:rStyle w:val="DeltaViewInsertion"/>
                <w:rFonts w:eastAsia="SimSun"/>
                <w:color w:val="auto"/>
                <w:sz w:val="18"/>
                <w:szCs w:val="18"/>
                <w:u w:val="none"/>
              </w:rPr>
              <w:t xml:space="preserve">15 681 </w:t>
            </w:r>
            <w:bookmarkEnd w:id="743"/>
          </w:p>
        </w:tc>
      </w:tr>
      <w:tr w:rsidR="002A2EA6" w:rsidRPr="002A2EA6" w14:paraId="21C2D656" w14:textId="77777777" w:rsidTr="00A54D8B">
        <w:trPr>
          <w:trHeight w:val="57"/>
          <w:jc w:val="right"/>
        </w:trPr>
        <w:tc>
          <w:tcPr>
            <w:tcW w:w="709" w:type="dxa"/>
            <w:tcBorders>
              <w:top w:val="nil"/>
              <w:left w:val="nil"/>
              <w:right w:val="nil"/>
            </w:tcBorders>
            <w:shd w:val="clear" w:color="auto" w:fill="auto"/>
          </w:tcPr>
          <w:p w14:paraId="21174D9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7</w:t>
            </w:r>
            <w:r w:rsidRPr="002A2EA6">
              <w:rPr>
                <w:sz w:val="18"/>
                <w:szCs w:val="18"/>
              </w:rPr>
              <w:t>0</w:t>
            </w:r>
          </w:p>
        </w:tc>
        <w:tc>
          <w:tcPr>
            <w:tcW w:w="2552" w:type="dxa"/>
            <w:tcBorders>
              <w:top w:val="nil"/>
              <w:left w:val="nil"/>
              <w:right w:val="nil"/>
            </w:tcBorders>
            <w:shd w:val="clear" w:color="auto" w:fill="auto"/>
          </w:tcPr>
          <w:p w14:paraId="16094BA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44" w:name="_DV_C2304"/>
            <w:r w:rsidRPr="002A2EA6">
              <w:rPr>
                <w:rStyle w:val="DeltaViewInsertion"/>
                <w:rFonts w:eastAsia="SimSun"/>
                <w:color w:val="auto"/>
                <w:sz w:val="18"/>
                <w:szCs w:val="18"/>
                <w:u w:val="none"/>
              </w:rPr>
              <w:t>Slova</w:t>
            </w:r>
            <w:bookmarkEnd w:id="744"/>
            <w:r w:rsidRPr="002A2EA6">
              <w:rPr>
                <w:rStyle w:val="DeltaViewInsertion"/>
                <w:rFonts w:eastAsia="SimSun"/>
                <w:color w:val="auto"/>
                <w:sz w:val="18"/>
                <w:szCs w:val="18"/>
                <w:u w:val="none"/>
              </w:rPr>
              <w:t>quie</w:t>
            </w:r>
          </w:p>
        </w:tc>
        <w:tc>
          <w:tcPr>
            <w:tcW w:w="1701" w:type="dxa"/>
            <w:tcBorders>
              <w:top w:val="nil"/>
              <w:left w:val="nil"/>
              <w:right w:val="nil"/>
            </w:tcBorders>
            <w:shd w:val="clear" w:color="auto" w:fill="auto"/>
          </w:tcPr>
          <w:p w14:paraId="7DA7909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45" w:name="_DV_C2305"/>
            <w:r w:rsidRPr="002A2EA6">
              <w:rPr>
                <w:rStyle w:val="DeltaViewInsertion"/>
                <w:rFonts w:eastAsia="SimSun"/>
                <w:color w:val="auto"/>
                <w:sz w:val="18"/>
                <w:szCs w:val="18"/>
                <w:u w:val="none"/>
              </w:rPr>
              <w:t>0,153</w:t>
            </w:r>
            <w:bookmarkEnd w:id="745"/>
          </w:p>
        </w:tc>
        <w:tc>
          <w:tcPr>
            <w:tcW w:w="1984" w:type="dxa"/>
            <w:tcBorders>
              <w:top w:val="nil"/>
              <w:left w:val="nil"/>
              <w:right w:val="nil"/>
            </w:tcBorders>
            <w:shd w:val="clear" w:color="auto" w:fill="auto"/>
          </w:tcPr>
          <w:p w14:paraId="2063E68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46" w:name="_DV_C2306"/>
            <w:r w:rsidRPr="002A2EA6">
              <w:rPr>
                <w:rStyle w:val="DeltaViewInsertion"/>
                <w:rFonts w:eastAsia="SimSun"/>
                <w:color w:val="auto"/>
                <w:sz w:val="18"/>
                <w:szCs w:val="18"/>
                <w:u w:val="none"/>
              </w:rPr>
              <w:t>0,1875</w:t>
            </w:r>
            <w:bookmarkEnd w:id="746"/>
          </w:p>
        </w:tc>
        <w:tc>
          <w:tcPr>
            <w:tcW w:w="1985" w:type="dxa"/>
            <w:tcBorders>
              <w:top w:val="nil"/>
              <w:left w:val="nil"/>
              <w:right w:val="nil"/>
            </w:tcBorders>
            <w:shd w:val="clear" w:color="auto" w:fill="auto"/>
          </w:tcPr>
          <w:p w14:paraId="338F768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47" w:name="_DV_C2307"/>
            <w:r w:rsidRPr="002A2EA6">
              <w:rPr>
                <w:rStyle w:val="DeltaViewInsertion"/>
                <w:rFonts w:eastAsia="SimSun"/>
                <w:color w:val="auto"/>
                <w:sz w:val="18"/>
                <w:szCs w:val="18"/>
                <w:u w:val="none"/>
              </w:rPr>
              <w:t xml:space="preserve">12 117 </w:t>
            </w:r>
            <w:bookmarkEnd w:id="747"/>
          </w:p>
        </w:tc>
      </w:tr>
      <w:tr w:rsidR="002A2EA6" w:rsidRPr="002A2EA6" w14:paraId="76BC6577" w14:textId="77777777" w:rsidTr="00A54D8B">
        <w:trPr>
          <w:trHeight w:val="57"/>
          <w:jc w:val="right"/>
        </w:trPr>
        <w:tc>
          <w:tcPr>
            <w:tcW w:w="709" w:type="dxa"/>
            <w:tcBorders>
              <w:top w:val="nil"/>
              <w:left w:val="nil"/>
              <w:right w:val="nil"/>
            </w:tcBorders>
            <w:shd w:val="clear" w:color="auto" w:fill="auto"/>
          </w:tcPr>
          <w:p w14:paraId="4AA56B0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48" w:name="_DV_C2308"/>
            <w:r w:rsidRPr="002A2EA6">
              <w:rPr>
                <w:rStyle w:val="DeltaViewInsertion"/>
                <w:rFonts w:eastAsia="SimSun"/>
                <w:color w:val="auto"/>
                <w:sz w:val="18"/>
                <w:szCs w:val="18"/>
                <w:u w:val="none"/>
              </w:rPr>
              <w:t>7</w:t>
            </w:r>
            <w:bookmarkEnd w:id="748"/>
            <w:r w:rsidRPr="002A2EA6">
              <w:rPr>
                <w:rStyle w:val="DeltaViewInsertion"/>
                <w:rFonts w:eastAsia="SimSun"/>
                <w:color w:val="auto"/>
                <w:sz w:val="18"/>
                <w:szCs w:val="18"/>
                <w:u w:val="none"/>
              </w:rPr>
              <w:t>1</w:t>
            </w:r>
          </w:p>
        </w:tc>
        <w:tc>
          <w:tcPr>
            <w:tcW w:w="2552" w:type="dxa"/>
            <w:tcBorders>
              <w:top w:val="nil"/>
              <w:left w:val="nil"/>
              <w:right w:val="nil"/>
            </w:tcBorders>
            <w:shd w:val="clear" w:color="auto" w:fill="auto"/>
          </w:tcPr>
          <w:p w14:paraId="470881F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49" w:name="_DV_C2309"/>
            <w:r w:rsidRPr="002A2EA6">
              <w:rPr>
                <w:rStyle w:val="DeltaViewInsertion"/>
                <w:rFonts w:eastAsia="SimSun"/>
                <w:color w:val="auto"/>
                <w:sz w:val="18"/>
                <w:szCs w:val="18"/>
                <w:u w:val="none"/>
              </w:rPr>
              <w:t>Slov</w:t>
            </w:r>
            <w:bookmarkEnd w:id="749"/>
            <w:r w:rsidRPr="002A2EA6">
              <w:rPr>
                <w:rStyle w:val="DeltaViewInsertion"/>
                <w:rFonts w:eastAsia="SimSun"/>
                <w:color w:val="auto"/>
                <w:sz w:val="18"/>
                <w:szCs w:val="18"/>
                <w:u w:val="none"/>
              </w:rPr>
              <w:t>énie</w:t>
            </w:r>
          </w:p>
        </w:tc>
        <w:tc>
          <w:tcPr>
            <w:tcW w:w="1701" w:type="dxa"/>
            <w:tcBorders>
              <w:top w:val="nil"/>
              <w:left w:val="nil"/>
              <w:right w:val="nil"/>
            </w:tcBorders>
            <w:shd w:val="clear" w:color="auto" w:fill="auto"/>
          </w:tcPr>
          <w:p w14:paraId="2C6F2CC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50" w:name="_DV_C2310"/>
            <w:r w:rsidRPr="002A2EA6">
              <w:rPr>
                <w:rStyle w:val="DeltaViewInsertion"/>
                <w:rFonts w:eastAsia="SimSun"/>
                <w:color w:val="auto"/>
                <w:sz w:val="18"/>
                <w:szCs w:val="18"/>
                <w:u w:val="none"/>
              </w:rPr>
              <w:t>0,076</w:t>
            </w:r>
            <w:bookmarkEnd w:id="750"/>
          </w:p>
        </w:tc>
        <w:tc>
          <w:tcPr>
            <w:tcW w:w="1984" w:type="dxa"/>
            <w:tcBorders>
              <w:top w:val="nil"/>
              <w:left w:val="nil"/>
              <w:right w:val="nil"/>
            </w:tcBorders>
            <w:shd w:val="clear" w:color="auto" w:fill="auto"/>
          </w:tcPr>
          <w:p w14:paraId="4014FF9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51" w:name="_DV_C2311"/>
            <w:r w:rsidRPr="002A2EA6">
              <w:rPr>
                <w:rStyle w:val="DeltaViewInsertion"/>
                <w:rFonts w:eastAsia="SimSun"/>
                <w:color w:val="auto"/>
                <w:sz w:val="18"/>
                <w:szCs w:val="18"/>
                <w:u w:val="none"/>
              </w:rPr>
              <w:t>0,0931</w:t>
            </w:r>
            <w:bookmarkEnd w:id="751"/>
          </w:p>
        </w:tc>
        <w:tc>
          <w:tcPr>
            <w:tcW w:w="1985" w:type="dxa"/>
            <w:tcBorders>
              <w:top w:val="nil"/>
              <w:left w:val="nil"/>
              <w:right w:val="nil"/>
            </w:tcBorders>
            <w:shd w:val="clear" w:color="auto" w:fill="auto"/>
          </w:tcPr>
          <w:p w14:paraId="009F34E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52" w:name="_DV_C2312"/>
            <w:r w:rsidRPr="002A2EA6">
              <w:rPr>
                <w:rStyle w:val="DeltaViewInsertion"/>
                <w:rFonts w:eastAsia="SimSun"/>
                <w:color w:val="auto"/>
                <w:sz w:val="18"/>
                <w:szCs w:val="18"/>
                <w:u w:val="none"/>
              </w:rPr>
              <w:t xml:space="preserve">6 019 </w:t>
            </w:r>
            <w:bookmarkEnd w:id="752"/>
          </w:p>
        </w:tc>
      </w:tr>
      <w:tr w:rsidR="002A2EA6" w:rsidRPr="002A2EA6" w14:paraId="0E9EA8A2" w14:textId="77777777" w:rsidTr="00A54D8B">
        <w:trPr>
          <w:trHeight w:val="57"/>
          <w:jc w:val="right"/>
        </w:trPr>
        <w:tc>
          <w:tcPr>
            <w:tcW w:w="709" w:type="dxa"/>
            <w:tcBorders>
              <w:left w:val="nil"/>
              <w:bottom w:val="nil"/>
              <w:right w:val="nil"/>
            </w:tcBorders>
            <w:shd w:val="clear" w:color="auto" w:fill="auto"/>
          </w:tcPr>
          <w:p w14:paraId="348D7C3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7</w:t>
            </w:r>
            <w:r w:rsidRPr="002A2EA6">
              <w:rPr>
                <w:sz w:val="18"/>
                <w:szCs w:val="18"/>
              </w:rPr>
              <w:t>2</w:t>
            </w:r>
          </w:p>
        </w:tc>
        <w:tc>
          <w:tcPr>
            <w:tcW w:w="2552" w:type="dxa"/>
            <w:tcBorders>
              <w:left w:val="nil"/>
              <w:bottom w:val="nil"/>
              <w:right w:val="nil"/>
            </w:tcBorders>
            <w:shd w:val="clear" w:color="auto" w:fill="auto"/>
          </w:tcPr>
          <w:p w14:paraId="32E43F3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53" w:name="_DV_C2264"/>
            <w:r w:rsidRPr="002A2EA6">
              <w:rPr>
                <w:rStyle w:val="DeltaViewInsertion"/>
                <w:rFonts w:eastAsia="SimSun"/>
                <w:color w:val="auto"/>
                <w:sz w:val="18"/>
                <w:szCs w:val="18"/>
                <w:u w:val="none"/>
              </w:rPr>
              <w:t>Tchéquie</w:t>
            </w:r>
            <w:bookmarkEnd w:id="753"/>
          </w:p>
        </w:tc>
        <w:tc>
          <w:tcPr>
            <w:tcW w:w="1701" w:type="dxa"/>
            <w:tcBorders>
              <w:left w:val="nil"/>
              <w:bottom w:val="nil"/>
              <w:right w:val="nil"/>
            </w:tcBorders>
            <w:shd w:val="clear" w:color="auto" w:fill="auto"/>
          </w:tcPr>
          <w:p w14:paraId="795957D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54" w:name="_DV_C2265"/>
            <w:r w:rsidRPr="002A2EA6">
              <w:rPr>
                <w:rStyle w:val="DeltaViewInsertion"/>
                <w:rFonts w:eastAsia="SimSun"/>
                <w:color w:val="auto"/>
                <w:sz w:val="18"/>
                <w:szCs w:val="18"/>
                <w:u w:val="none"/>
              </w:rPr>
              <w:t>0,311</w:t>
            </w:r>
            <w:bookmarkEnd w:id="754"/>
          </w:p>
        </w:tc>
        <w:tc>
          <w:tcPr>
            <w:tcW w:w="1984" w:type="dxa"/>
            <w:tcBorders>
              <w:left w:val="nil"/>
              <w:bottom w:val="nil"/>
              <w:right w:val="nil"/>
            </w:tcBorders>
            <w:shd w:val="clear" w:color="auto" w:fill="auto"/>
          </w:tcPr>
          <w:p w14:paraId="738C153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55" w:name="_DV_C2266"/>
            <w:r w:rsidRPr="002A2EA6">
              <w:rPr>
                <w:rStyle w:val="DeltaViewInsertion"/>
                <w:rFonts w:eastAsia="SimSun"/>
                <w:color w:val="auto"/>
                <w:sz w:val="18"/>
                <w:szCs w:val="18"/>
                <w:u w:val="none"/>
              </w:rPr>
              <w:t>0,3811</w:t>
            </w:r>
            <w:bookmarkEnd w:id="755"/>
          </w:p>
        </w:tc>
        <w:tc>
          <w:tcPr>
            <w:tcW w:w="1985" w:type="dxa"/>
            <w:tcBorders>
              <w:left w:val="nil"/>
              <w:bottom w:val="nil"/>
              <w:right w:val="nil"/>
            </w:tcBorders>
            <w:shd w:val="clear" w:color="auto" w:fill="auto"/>
          </w:tcPr>
          <w:p w14:paraId="6017DDA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56" w:name="_DV_C2267"/>
            <w:r w:rsidRPr="002A2EA6">
              <w:rPr>
                <w:rStyle w:val="DeltaViewInsertion"/>
                <w:rFonts w:eastAsia="SimSun"/>
                <w:color w:val="auto"/>
                <w:sz w:val="18"/>
                <w:szCs w:val="18"/>
                <w:u w:val="none"/>
              </w:rPr>
              <w:t xml:space="preserve">24 630 </w:t>
            </w:r>
            <w:bookmarkEnd w:id="756"/>
          </w:p>
        </w:tc>
      </w:tr>
      <w:tr w:rsidR="002A2EA6" w:rsidRPr="002A2EA6" w14:paraId="32945D1B" w14:textId="77777777" w:rsidTr="00A54D8B">
        <w:trPr>
          <w:trHeight w:val="57"/>
          <w:jc w:val="right"/>
        </w:trPr>
        <w:tc>
          <w:tcPr>
            <w:tcW w:w="4962" w:type="dxa"/>
            <w:gridSpan w:val="3"/>
            <w:tcBorders>
              <w:top w:val="single" w:sz="4" w:space="0" w:color="000000"/>
              <w:left w:val="nil"/>
              <w:bottom w:val="single" w:sz="4" w:space="0" w:color="000000"/>
              <w:right w:val="nil"/>
            </w:tcBorders>
            <w:shd w:val="clear" w:color="auto" w:fill="auto"/>
          </w:tcPr>
          <w:p w14:paraId="77B81056" w14:textId="44BE2685"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757" w:name="_DV_C2313"/>
            <w:r w:rsidRPr="002A2EA6">
              <w:rPr>
                <w:rStyle w:val="DeltaViewInsertion"/>
                <w:rFonts w:eastAsia="SimSun"/>
                <w:b/>
                <w:color w:val="auto"/>
                <w:sz w:val="18"/>
                <w:szCs w:val="18"/>
                <w:u w:val="none"/>
              </w:rPr>
              <w:t>États d</w:t>
            </w:r>
            <w:r w:rsidR="00CA4DAC">
              <w:rPr>
                <w:rStyle w:val="DeltaViewInsertion"/>
                <w:rFonts w:eastAsia="SimSun"/>
                <w:b/>
                <w:color w:val="auto"/>
                <w:sz w:val="18"/>
                <w:szCs w:val="18"/>
                <w:u w:val="none"/>
              </w:rPr>
              <w:t>’</w:t>
            </w:r>
            <w:r w:rsidRPr="002A2EA6">
              <w:rPr>
                <w:rStyle w:val="DeltaViewInsertion"/>
                <w:rFonts w:eastAsia="SimSun"/>
                <w:b/>
                <w:color w:val="auto"/>
                <w:sz w:val="18"/>
                <w:szCs w:val="18"/>
                <w:u w:val="none"/>
              </w:rPr>
              <w:t>Amérique latine et des Caraïbes (23)</w:t>
            </w:r>
            <w:bookmarkEnd w:id="757"/>
          </w:p>
        </w:tc>
        <w:tc>
          <w:tcPr>
            <w:tcW w:w="1984" w:type="dxa"/>
            <w:tcBorders>
              <w:top w:val="single" w:sz="4" w:space="0" w:color="000000"/>
              <w:left w:val="nil"/>
              <w:bottom w:val="single" w:sz="4" w:space="0" w:color="000000"/>
              <w:right w:val="nil"/>
            </w:tcBorders>
            <w:shd w:val="clear" w:color="auto" w:fill="auto"/>
          </w:tcPr>
          <w:p w14:paraId="6B57AA0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5" w:type="dxa"/>
            <w:tcBorders>
              <w:top w:val="single" w:sz="4" w:space="0" w:color="000000"/>
              <w:left w:val="nil"/>
              <w:bottom w:val="single" w:sz="4" w:space="0" w:color="000000"/>
              <w:right w:val="nil"/>
            </w:tcBorders>
            <w:shd w:val="clear" w:color="auto" w:fill="auto"/>
          </w:tcPr>
          <w:p w14:paraId="1D21BE7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A2EA6">
              <w:rPr>
                <w:rFonts w:eastAsia="SimSun"/>
                <w:sz w:val="18"/>
                <w:szCs w:val="18"/>
              </w:rPr>
              <w:t xml:space="preserve"> </w:t>
            </w:r>
          </w:p>
        </w:tc>
      </w:tr>
      <w:tr w:rsidR="002A2EA6" w:rsidRPr="002A2EA6" w14:paraId="07E4EFB3" w14:textId="77777777" w:rsidTr="00A54D8B">
        <w:trPr>
          <w:trHeight w:val="57"/>
          <w:jc w:val="right"/>
        </w:trPr>
        <w:tc>
          <w:tcPr>
            <w:tcW w:w="709" w:type="dxa"/>
            <w:tcBorders>
              <w:top w:val="single" w:sz="4" w:space="0" w:color="000000"/>
              <w:left w:val="nil"/>
              <w:bottom w:val="nil"/>
              <w:right w:val="nil"/>
            </w:tcBorders>
            <w:shd w:val="clear" w:color="auto" w:fill="auto"/>
          </w:tcPr>
          <w:p w14:paraId="00C49D0B"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58" w:name="_DV_C2314"/>
            <w:r w:rsidRPr="002A2EA6">
              <w:rPr>
                <w:rStyle w:val="DeltaViewInsertion"/>
                <w:rFonts w:eastAsia="SimSun"/>
                <w:color w:val="auto"/>
                <w:sz w:val="18"/>
                <w:szCs w:val="18"/>
                <w:u w:val="none"/>
              </w:rPr>
              <w:t>73</w:t>
            </w:r>
            <w:bookmarkEnd w:id="758"/>
          </w:p>
        </w:tc>
        <w:tc>
          <w:tcPr>
            <w:tcW w:w="2552" w:type="dxa"/>
            <w:tcBorders>
              <w:top w:val="single" w:sz="4" w:space="0" w:color="000000"/>
              <w:left w:val="nil"/>
              <w:bottom w:val="nil"/>
              <w:right w:val="nil"/>
            </w:tcBorders>
            <w:shd w:val="clear" w:color="auto" w:fill="auto"/>
          </w:tcPr>
          <w:p w14:paraId="11C9665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59" w:name="_DV_C2315"/>
            <w:r w:rsidRPr="002A2EA6">
              <w:rPr>
                <w:rStyle w:val="DeltaViewInsertion"/>
                <w:rFonts w:eastAsia="SimSun"/>
                <w:color w:val="auto"/>
                <w:sz w:val="18"/>
                <w:szCs w:val="18"/>
                <w:u w:val="none"/>
              </w:rPr>
              <w:t>Antigua-et-Barbuda</w:t>
            </w:r>
            <w:bookmarkEnd w:id="759"/>
          </w:p>
        </w:tc>
        <w:tc>
          <w:tcPr>
            <w:tcW w:w="1701" w:type="dxa"/>
            <w:tcBorders>
              <w:top w:val="single" w:sz="4" w:space="0" w:color="000000"/>
              <w:left w:val="nil"/>
              <w:bottom w:val="nil"/>
              <w:right w:val="nil"/>
            </w:tcBorders>
            <w:shd w:val="clear" w:color="auto" w:fill="auto"/>
          </w:tcPr>
          <w:p w14:paraId="766906E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60" w:name="_DV_C2316"/>
            <w:r w:rsidRPr="002A2EA6">
              <w:rPr>
                <w:rStyle w:val="DeltaViewInsertion"/>
                <w:rFonts w:eastAsia="SimSun"/>
                <w:color w:val="auto"/>
                <w:sz w:val="18"/>
                <w:szCs w:val="18"/>
                <w:u w:val="none"/>
              </w:rPr>
              <w:t>0,002</w:t>
            </w:r>
            <w:bookmarkEnd w:id="760"/>
          </w:p>
        </w:tc>
        <w:tc>
          <w:tcPr>
            <w:tcW w:w="1984" w:type="dxa"/>
            <w:tcBorders>
              <w:top w:val="single" w:sz="4" w:space="0" w:color="000000"/>
              <w:left w:val="nil"/>
              <w:bottom w:val="nil"/>
              <w:right w:val="nil"/>
            </w:tcBorders>
            <w:shd w:val="clear" w:color="auto" w:fill="auto"/>
          </w:tcPr>
          <w:p w14:paraId="363AC0B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61" w:name="_DV_C2317"/>
            <w:r w:rsidRPr="002A2EA6">
              <w:rPr>
                <w:rStyle w:val="DeltaViewInsertion"/>
                <w:rFonts w:eastAsia="SimSun"/>
                <w:color w:val="auto"/>
                <w:sz w:val="18"/>
                <w:szCs w:val="18"/>
                <w:u w:val="none"/>
              </w:rPr>
              <w:t>0,0100</w:t>
            </w:r>
            <w:bookmarkEnd w:id="761"/>
          </w:p>
        </w:tc>
        <w:tc>
          <w:tcPr>
            <w:tcW w:w="1985" w:type="dxa"/>
            <w:tcBorders>
              <w:top w:val="single" w:sz="4" w:space="0" w:color="000000"/>
              <w:left w:val="nil"/>
              <w:bottom w:val="nil"/>
              <w:right w:val="nil"/>
            </w:tcBorders>
            <w:shd w:val="clear" w:color="auto" w:fill="auto"/>
          </w:tcPr>
          <w:p w14:paraId="06FF36C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62" w:name="_DV_C2318"/>
            <w:r w:rsidRPr="002A2EA6">
              <w:rPr>
                <w:rStyle w:val="DeltaViewInsertion"/>
                <w:rFonts w:eastAsia="SimSun"/>
                <w:color w:val="auto"/>
                <w:sz w:val="18"/>
                <w:szCs w:val="18"/>
                <w:u w:val="none"/>
              </w:rPr>
              <w:t xml:space="preserve">646 </w:t>
            </w:r>
            <w:bookmarkEnd w:id="762"/>
          </w:p>
        </w:tc>
      </w:tr>
      <w:tr w:rsidR="002A2EA6" w:rsidRPr="002A2EA6" w14:paraId="10DF8B8B" w14:textId="77777777" w:rsidTr="00A54D8B">
        <w:trPr>
          <w:trHeight w:val="57"/>
          <w:jc w:val="right"/>
        </w:trPr>
        <w:tc>
          <w:tcPr>
            <w:tcW w:w="709" w:type="dxa"/>
            <w:tcBorders>
              <w:top w:val="nil"/>
              <w:left w:val="nil"/>
              <w:bottom w:val="nil"/>
              <w:right w:val="nil"/>
            </w:tcBorders>
            <w:shd w:val="clear" w:color="auto" w:fill="auto"/>
          </w:tcPr>
          <w:p w14:paraId="74CC481E"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63" w:name="_DV_C2319"/>
            <w:r w:rsidRPr="002A2EA6">
              <w:rPr>
                <w:rStyle w:val="DeltaViewInsertion"/>
                <w:rFonts w:eastAsia="SimSun"/>
                <w:color w:val="auto"/>
                <w:sz w:val="18"/>
                <w:szCs w:val="18"/>
                <w:u w:val="none"/>
              </w:rPr>
              <w:t>74</w:t>
            </w:r>
            <w:bookmarkEnd w:id="763"/>
          </w:p>
        </w:tc>
        <w:tc>
          <w:tcPr>
            <w:tcW w:w="2552" w:type="dxa"/>
            <w:tcBorders>
              <w:top w:val="nil"/>
              <w:left w:val="nil"/>
              <w:bottom w:val="nil"/>
              <w:right w:val="nil"/>
            </w:tcBorders>
            <w:shd w:val="clear" w:color="auto" w:fill="auto"/>
          </w:tcPr>
          <w:p w14:paraId="5BF7998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64" w:name="_DV_C2320"/>
            <w:r w:rsidRPr="002A2EA6">
              <w:rPr>
                <w:rStyle w:val="DeltaViewInsertion"/>
                <w:rFonts w:eastAsia="SimSun"/>
                <w:color w:val="auto"/>
                <w:sz w:val="18"/>
                <w:szCs w:val="18"/>
                <w:u w:val="none"/>
              </w:rPr>
              <w:t>Argentine</w:t>
            </w:r>
            <w:bookmarkEnd w:id="764"/>
          </w:p>
        </w:tc>
        <w:tc>
          <w:tcPr>
            <w:tcW w:w="1701" w:type="dxa"/>
            <w:tcBorders>
              <w:top w:val="nil"/>
              <w:left w:val="nil"/>
              <w:bottom w:val="nil"/>
              <w:right w:val="nil"/>
            </w:tcBorders>
            <w:shd w:val="clear" w:color="auto" w:fill="auto"/>
          </w:tcPr>
          <w:p w14:paraId="44CA19A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65" w:name="_DV_C2321"/>
            <w:r w:rsidRPr="002A2EA6">
              <w:rPr>
                <w:rStyle w:val="DeltaViewInsertion"/>
                <w:rFonts w:eastAsia="SimSun"/>
                <w:color w:val="auto"/>
                <w:sz w:val="18"/>
                <w:szCs w:val="18"/>
                <w:u w:val="none"/>
              </w:rPr>
              <w:t>0,915</w:t>
            </w:r>
            <w:bookmarkEnd w:id="765"/>
          </w:p>
        </w:tc>
        <w:tc>
          <w:tcPr>
            <w:tcW w:w="1984" w:type="dxa"/>
            <w:tcBorders>
              <w:top w:val="nil"/>
              <w:left w:val="nil"/>
              <w:bottom w:val="nil"/>
              <w:right w:val="nil"/>
            </w:tcBorders>
            <w:shd w:val="clear" w:color="auto" w:fill="auto"/>
          </w:tcPr>
          <w:p w14:paraId="1847D3D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66" w:name="_DV_C2322"/>
            <w:r w:rsidRPr="002A2EA6">
              <w:rPr>
                <w:rStyle w:val="DeltaViewInsertion"/>
                <w:rFonts w:eastAsia="SimSun"/>
                <w:color w:val="auto"/>
                <w:sz w:val="18"/>
                <w:szCs w:val="18"/>
                <w:u w:val="none"/>
              </w:rPr>
              <w:t>1,1212</w:t>
            </w:r>
            <w:bookmarkEnd w:id="766"/>
          </w:p>
        </w:tc>
        <w:tc>
          <w:tcPr>
            <w:tcW w:w="1985" w:type="dxa"/>
            <w:tcBorders>
              <w:top w:val="nil"/>
              <w:left w:val="nil"/>
              <w:bottom w:val="nil"/>
              <w:right w:val="nil"/>
            </w:tcBorders>
            <w:shd w:val="clear" w:color="auto" w:fill="auto"/>
          </w:tcPr>
          <w:p w14:paraId="1695EE3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67" w:name="_DV_C2323"/>
            <w:r w:rsidRPr="002A2EA6">
              <w:rPr>
                <w:rStyle w:val="DeltaViewInsertion"/>
                <w:rFonts w:eastAsia="SimSun"/>
                <w:color w:val="auto"/>
                <w:sz w:val="18"/>
                <w:szCs w:val="18"/>
                <w:u w:val="none"/>
              </w:rPr>
              <w:t xml:space="preserve">72 464 </w:t>
            </w:r>
            <w:bookmarkEnd w:id="767"/>
          </w:p>
        </w:tc>
      </w:tr>
      <w:tr w:rsidR="002A2EA6" w:rsidRPr="002A2EA6" w14:paraId="7B901781" w14:textId="77777777" w:rsidTr="00A54D8B">
        <w:trPr>
          <w:trHeight w:val="57"/>
          <w:jc w:val="right"/>
        </w:trPr>
        <w:tc>
          <w:tcPr>
            <w:tcW w:w="709" w:type="dxa"/>
            <w:tcBorders>
              <w:top w:val="nil"/>
              <w:left w:val="nil"/>
              <w:bottom w:val="nil"/>
              <w:right w:val="nil"/>
            </w:tcBorders>
            <w:shd w:val="clear" w:color="auto" w:fill="auto"/>
          </w:tcPr>
          <w:p w14:paraId="6AF920B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68" w:name="_DV_C2324"/>
            <w:r w:rsidRPr="002A2EA6">
              <w:rPr>
                <w:rStyle w:val="DeltaViewInsertion"/>
                <w:rFonts w:eastAsia="SimSun"/>
                <w:color w:val="auto"/>
                <w:sz w:val="18"/>
                <w:szCs w:val="18"/>
                <w:u w:val="none"/>
              </w:rPr>
              <w:t>75</w:t>
            </w:r>
            <w:bookmarkEnd w:id="768"/>
          </w:p>
        </w:tc>
        <w:tc>
          <w:tcPr>
            <w:tcW w:w="2552" w:type="dxa"/>
            <w:tcBorders>
              <w:top w:val="nil"/>
              <w:left w:val="nil"/>
              <w:bottom w:val="nil"/>
              <w:right w:val="nil"/>
            </w:tcBorders>
            <w:shd w:val="clear" w:color="auto" w:fill="auto"/>
          </w:tcPr>
          <w:p w14:paraId="726A23A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69" w:name="_DV_C2325"/>
            <w:r w:rsidRPr="002A2EA6">
              <w:rPr>
                <w:rStyle w:val="DeltaViewInsertion"/>
                <w:rFonts w:eastAsia="SimSun"/>
                <w:color w:val="auto"/>
                <w:sz w:val="18"/>
                <w:szCs w:val="18"/>
                <w:u w:val="none"/>
              </w:rPr>
              <w:t>Bolivia (État plurinational de)</w:t>
            </w:r>
            <w:bookmarkEnd w:id="769"/>
          </w:p>
        </w:tc>
        <w:tc>
          <w:tcPr>
            <w:tcW w:w="1701" w:type="dxa"/>
            <w:tcBorders>
              <w:top w:val="nil"/>
              <w:left w:val="nil"/>
              <w:bottom w:val="nil"/>
              <w:right w:val="nil"/>
            </w:tcBorders>
            <w:shd w:val="clear" w:color="auto" w:fill="auto"/>
          </w:tcPr>
          <w:p w14:paraId="6CE625E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70" w:name="_DV_C2326"/>
            <w:r w:rsidRPr="002A2EA6">
              <w:rPr>
                <w:rStyle w:val="DeltaViewInsertion"/>
                <w:rFonts w:eastAsia="SimSun"/>
                <w:color w:val="auto"/>
                <w:sz w:val="18"/>
                <w:szCs w:val="18"/>
                <w:u w:val="none"/>
              </w:rPr>
              <w:t>0,016</w:t>
            </w:r>
            <w:bookmarkEnd w:id="770"/>
          </w:p>
        </w:tc>
        <w:tc>
          <w:tcPr>
            <w:tcW w:w="1984" w:type="dxa"/>
            <w:tcBorders>
              <w:top w:val="nil"/>
              <w:left w:val="nil"/>
              <w:bottom w:val="nil"/>
              <w:right w:val="nil"/>
            </w:tcBorders>
            <w:shd w:val="clear" w:color="auto" w:fill="auto"/>
          </w:tcPr>
          <w:p w14:paraId="54496C0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71" w:name="_DV_C2327"/>
            <w:r w:rsidRPr="002A2EA6">
              <w:rPr>
                <w:rStyle w:val="DeltaViewInsertion"/>
                <w:rFonts w:eastAsia="SimSun"/>
                <w:color w:val="auto"/>
                <w:sz w:val="18"/>
                <w:szCs w:val="18"/>
                <w:u w:val="none"/>
              </w:rPr>
              <w:t>0,0196</w:t>
            </w:r>
            <w:bookmarkEnd w:id="771"/>
          </w:p>
        </w:tc>
        <w:tc>
          <w:tcPr>
            <w:tcW w:w="1985" w:type="dxa"/>
            <w:tcBorders>
              <w:top w:val="nil"/>
              <w:left w:val="nil"/>
              <w:bottom w:val="nil"/>
              <w:right w:val="nil"/>
            </w:tcBorders>
            <w:shd w:val="clear" w:color="auto" w:fill="auto"/>
          </w:tcPr>
          <w:p w14:paraId="1FC249A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72" w:name="_DV_C2328"/>
            <w:r w:rsidRPr="002A2EA6">
              <w:rPr>
                <w:rStyle w:val="DeltaViewInsertion"/>
                <w:rFonts w:eastAsia="SimSun"/>
                <w:color w:val="auto"/>
                <w:sz w:val="18"/>
                <w:szCs w:val="18"/>
                <w:u w:val="none"/>
              </w:rPr>
              <w:t xml:space="preserve">1 267 </w:t>
            </w:r>
            <w:bookmarkEnd w:id="772"/>
          </w:p>
        </w:tc>
      </w:tr>
      <w:tr w:rsidR="002A2EA6" w:rsidRPr="002A2EA6" w14:paraId="6B300885" w14:textId="77777777" w:rsidTr="00A54D8B">
        <w:trPr>
          <w:trHeight w:val="57"/>
          <w:jc w:val="right"/>
        </w:trPr>
        <w:tc>
          <w:tcPr>
            <w:tcW w:w="709" w:type="dxa"/>
            <w:tcBorders>
              <w:top w:val="nil"/>
              <w:left w:val="nil"/>
              <w:bottom w:val="nil"/>
              <w:right w:val="nil"/>
            </w:tcBorders>
            <w:shd w:val="clear" w:color="auto" w:fill="auto"/>
          </w:tcPr>
          <w:p w14:paraId="61E2A48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73" w:name="_DV_C2329"/>
            <w:r w:rsidRPr="002A2EA6">
              <w:rPr>
                <w:rStyle w:val="DeltaViewInsertion"/>
                <w:rFonts w:eastAsia="SimSun"/>
                <w:color w:val="auto"/>
                <w:sz w:val="18"/>
                <w:szCs w:val="18"/>
                <w:u w:val="none"/>
              </w:rPr>
              <w:t>76</w:t>
            </w:r>
            <w:bookmarkEnd w:id="773"/>
          </w:p>
        </w:tc>
        <w:tc>
          <w:tcPr>
            <w:tcW w:w="2552" w:type="dxa"/>
            <w:tcBorders>
              <w:top w:val="nil"/>
              <w:left w:val="nil"/>
              <w:bottom w:val="nil"/>
              <w:right w:val="nil"/>
            </w:tcBorders>
            <w:shd w:val="clear" w:color="auto" w:fill="auto"/>
          </w:tcPr>
          <w:p w14:paraId="4ECEA1D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74" w:name="_DV_C2330"/>
            <w:r w:rsidRPr="002A2EA6">
              <w:rPr>
                <w:rStyle w:val="DeltaViewInsertion"/>
                <w:rFonts w:eastAsia="SimSun"/>
                <w:color w:val="auto"/>
                <w:sz w:val="18"/>
                <w:szCs w:val="18"/>
                <w:u w:val="none"/>
              </w:rPr>
              <w:t>Brésil</w:t>
            </w:r>
            <w:bookmarkEnd w:id="774"/>
          </w:p>
        </w:tc>
        <w:tc>
          <w:tcPr>
            <w:tcW w:w="1701" w:type="dxa"/>
            <w:tcBorders>
              <w:top w:val="nil"/>
              <w:left w:val="nil"/>
              <w:bottom w:val="nil"/>
              <w:right w:val="nil"/>
            </w:tcBorders>
            <w:shd w:val="clear" w:color="auto" w:fill="auto"/>
          </w:tcPr>
          <w:p w14:paraId="682383E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75" w:name="_DV_C2331"/>
            <w:r w:rsidRPr="002A2EA6">
              <w:rPr>
                <w:rStyle w:val="DeltaViewInsertion"/>
                <w:rFonts w:eastAsia="SimSun"/>
                <w:color w:val="auto"/>
                <w:sz w:val="18"/>
                <w:szCs w:val="18"/>
                <w:u w:val="none"/>
              </w:rPr>
              <w:t>2,948</w:t>
            </w:r>
            <w:bookmarkEnd w:id="775"/>
          </w:p>
        </w:tc>
        <w:tc>
          <w:tcPr>
            <w:tcW w:w="1984" w:type="dxa"/>
            <w:tcBorders>
              <w:top w:val="nil"/>
              <w:left w:val="nil"/>
              <w:bottom w:val="nil"/>
              <w:right w:val="nil"/>
            </w:tcBorders>
            <w:shd w:val="clear" w:color="auto" w:fill="auto"/>
          </w:tcPr>
          <w:p w14:paraId="35891E9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76" w:name="_DV_C2332"/>
            <w:r w:rsidRPr="002A2EA6">
              <w:rPr>
                <w:rStyle w:val="DeltaViewInsertion"/>
                <w:rFonts w:eastAsia="SimSun"/>
                <w:color w:val="auto"/>
                <w:sz w:val="18"/>
                <w:szCs w:val="18"/>
                <w:u w:val="none"/>
              </w:rPr>
              <w:t>3,6123</w:t>
            </w:r>
            <w:bookmarkEnd w:id="776"/>
          </w:p>
        </w:tc>
        <w:tc>
          <w:tcPr>
            <w:tcW w:w="1985" w:type="dxa"/>
            <w:tcBorders>
              <w:top w:val="nil"/>
              <w:left w:val="nil"/>
              <w:bottom w:val="nil"/>
              <w:right w:val="nil"/>
            </w:tcBorders>
            <w:shd w:val="clear" w:color="auto" w:fill="auto"/>
          </w:tcPr>
          <w:p w14:paraId="6867A4F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77" w:name="_DV_C2333"/>
            <w:r w:rsidRPr="002A2EA6">
              <w:rPr>
                <w:rStyle w:val="DeltaViewInsertion"/>
                <w:rFonts w:eastAsia="SimSun"/>
                <w:color w:val="auto"/>
                <w:sz w:val="18"/>
                <w:szCs w:val="18"/>
                <w:u w:val="none"/>
              </w:rPr>
              <w:t xml:space="preserve">233 470 </w:t>
            </w:r>
            <w:bookmarkEnd w:id="777"/>
          </w:p>
        </w:tc>
      </w:tr>
      <w:tr w:rsidR="002A2EA6" w:rsidRPr="002A2EA6" w14:paraId="25973AE3" w14:textId="77777777" w:rsidTr="00A54D8B">
        <w:trPr>
          <w:trHeight w:val="57"/>
          <w:jc w:val="right"/>
        </w:trPr>
        <w:tc>
          <w:tcPr>
            <w:tcW w:w="709" w:type="dxa"/>
            <w:tcBorders>
              <w:top w:val="nil"/>
              <w:left w:val="nil"/>
              <w:bottom w:val="nil"/>
              <w:right w:val="nil"/>
            </w:tcBorders>
            <w:shd w:val="clear" w:color="auto" w:fill="auto"/>
          </w:tcPr>
          <w:p w14:paraId="2CC3B507"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78" w:name="_DV_C2334"/>
            <w:r w:rsidRPr="002A2EA6">
              <w:rPr>
                <w:rStyle w:val="DeltaViewInsertion"/>
                <w:rFonts w:eastAsia="SimSun"/>
                <w:color w:val="auto"/>
                <w:sz w:val="18"/>
                <w:szCs w:val="18"/>
                <w:u w:val="none"/>
              </w:rPr>
              <w:t>77</w:t>
            </w:r>
            <w:bookmarkEnd w:id="778"/>
          </w:p>
        </w:tc>
        <w:tc>
          <w:tcPr>
            <w:tcW w:w="2552" w:type="dxa"/>
            <w:tcBorders>
              <w:top w:val="nil"/>
              <w:left w:val="nil"/>
              <w:bottom w:val="nil"/>
              <w:right w:val="nil"/>
            </w:tcBorders>
            <w:shd w:val="clear" w:color="auto" w:fill="auto"/>
          </w:tcPr>
          <w:p w14:paraId="6B0497C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79" w:name="_DV_C2335"/>
            <w:r w:rsidRPr="002A2EA6">
              <w:rPr>
                <w:rStyle w:val="DeltaViewInsertion"/>
                <w:rFonts w:eastAsia="SimSun"/>
                <w:color w:val="auto"/>
                <w:sz w:val="18"/>
                <w:szCs w:val="18"/>
                <w:u w:val="none"/>
              </w:rPr>
              <w:t>Chil</w:t>
            </w:r>
            <w:bookmarkEnd w:id="779"/>
            <w:r w:rsidRPr="002A2EA6">
              <w:rPr>
                <w:rStyle w:val="DeltaViewInsertion"/>
                <w:rFonts w:eastAsia="SimSun"/>
                <w:color w:val="auto"/>
                <w:sz w:val="18"/>
                <w:szCs w:val="18"/>
                <w:u w:val="none"/>
              </w:rPr>
              <w:t>i</w:t>
            </w:r>
          </w:p>
        </w:tc>
        <w:tc>
          <w:tcPr>
            <w:tcW w:w="1701" w:type="dxa"/>
            <w:tcBorders>
              <w:top w:val="nil"/>
              <w:left w:val="nil"/>
              <w:bottom w:val="nil"/>
              <w:right w:val="nil"/>
            </w:tcBorders>
            <w:shd w:val="clear" w:color="auto" w:fill="auto"/>
          </w:tcPr>
          <w:p w14:paraId="2A40472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80" w:name="_DV_C2336"/>
            <w:r w:rsidRPr="002A2EA6">
              <w:rPr>
                <w:rStyle w:val="DeltaViewInsertion"/>
                <w:rFonts w:eastAsia="SimSun"/>
                <w:color w:val="auto"/>
                <w:sz w:val="18"/>
                <w:szCs w:val="18"/>
                <w:u w:val="none"/>
              </w:rPr>
              <w:t>0,407</w:t>
            </w:r>
            <w:bookmarkEnd w:id="780"/>
          </w:p>
        </w:tc>
        <w:tc>
          <w:tcPr>
            <w:tcW w:w="1984" w:type="dxa"/>
            <w:tcBorders>
              <w:top w:val="nil"/>
              <w:left w:val="nil"/>
              <w:bottom w:val="nil"/>
              <w:right w:val="nil"/>
            </w:tcBorders>
            <w:shd w:val="clear" w:color="auto" w:fill="auto"/>
          </w:tcPr>
          <w:p w14:paraId="7EF749B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81" w:name="_DV_C2337"/>
            <w:r w:rsidRPr="002A2EA6">
              <w:rPr>
                <w:rStyle w:val="DeltaViewInsertion"/>
                <w:rFonts w:eastAsia="SimSun"/>
                <w:color w:val="auto"/>
                <w:sz w:val="18"/>
                <w:szCs w:val="18"/>
                <w:u w:val="none"/>
              </w:rPr>
              <w:t>0,4987</w:t>
            </w:r>
            <w:bookmarkEnd w:id="781"/>
          </w:p>
        </w:tc>
        <w:tc>
          <w:tcPr>
            <w:tcW w:w="1985" w:type="dxa"/>
            <w:tcBorders>
              <w:top w:val="nil"/>
              <w:left w:val="nil"/>
              <w:bottom w:val="nil"/>
              <w:right w:val="nil"/>
            </w:tcBorders>
            <w:shd w:val="clear" w:color="auto" w:fill="auto"/>
          </w:tcPr>
          <w:p w14:paraId="6FD3A61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82" w:name="_DV_C2338"/>
            <w:r w:rsidRPr="002A2EA6">
              <w:rPr>
                <w:rStyle w:val="DeltaViewInsertion"/>
                <w:rFonts w:eastAsia="SimSun"/>
                <w:color w:val="auto"/>
                <w:sz w:val="18"/>
                <w:szCs w:val="18"/>
                <w:u w:val="none"/>
              </w:rPr>
              <w:t xml:space="preserve">32 233 </w:t>
            </w:r>
            <w:bookmarkEnd w:id="782"/>
          </w:p>
        </w:tc>
      </w:tr>
      <w:tr w:rsidR="002A2EA6" w:rsidRPr="002A2EA6" w14:paraId="322F35A4" w14:textId="77777777" w:rsidTr="00A54D8B">
        <w:trPr>
          <w:trHeight w:val="57"/>
          <w:jc w:val="right"/>
        </w:trPr>
        <w:tc>
          <w:tcPr>
            <w:tcW w:w="709" w:type="dxa"/>
            <w:tcBorders>
              <w:top w:val="nil"/>
              <w:left w:val="nil"/>
              <w:bottom w:val="nil"/>
              <w:right w:val="nil"/>
            </w:tcBorders>
            <w:shd w:val="clear" w:color="auto" w:fill="auto"/>
          </w:tcPr>
          <w:p w14:paraId="35BAE66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83" w:name="_DV_C2339"/>
            <w:r w:rsidRPr="002A2EA6">
              <w:rPr>
                <w:rStyle w:val="DeltaViewInsertion"/>
                <w:rFonts w:eastAsia="SimSun"/>
                <w:color w:val="auto"/>
                <w:sz w:val="18"/>
                <w:szCs w:val="18"/>
                <w:u w:val="none"/>
              </w:rPr>
              <w:t>78</w:t>
            </w:r>
            <w:bookmarkEnd w:id="783"/>
          </w:p>
        </w:tc>
        <w:tc>
          <w:tcPr>
            <w:tcW w:w="2552" w:type="dxa"/>
            <w:tcBorders>
              <w:top w:val="nil"/>
              <w:left w:val="nil"/>
              <w:bottom w:val="nil"/>
              <w:right w:val="nil"/>
            </w:tcBorders>
            <w:shd w:val="clear" w:color="auto" w:fill="auto"/>
          </w:tcPr>
          <w:p w14:paraId="5E26431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84" w:name="_DV_C2340"/>
            <w:r w:rsidRPr="002A2EA6">
              <w:rPr>
                <w:rStyle w:val="DeltaViewInsertion"/>
                <w:rFonts w:eastAsia="SimSun"/>
                <w:color w:val="auto"/>
                <w:sz w:val="18"/>
                <w:szCs w:val="18"/>
                <w:u w:val="none"/>
              </w:rPr>
              <w:t>Colombi</w:t>
            </w:r>
            <w:bookmarkEnd w:id="784"/>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7CE8368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85" w:name="_DV_C2341"/>
            <w:r w:rsidRPr="002A2EA6">
              <w:rPr>
                <w:rStyle w:val="DeltaViewInsertion"/>
                <w:rFonts w:eastAsia="SimSun"/>
                <w:color w:val="auto"/>
                <w:sz w:val="18"/>
                <w:szCs w:val="18"/>
                <w:u w:val="none"/>
              </w:rPr>
              <w:t>0,288</w:t>
            </w:r>
            <w:bookmarkEnd w:id="785"/>
          </w:p>
        </w:tc>
        <w:tc>
          <w:tcPr>
            <w:tcW w:w="1984" w:type="dxa"/>
            <w:tcBorders>
              <w:top w:val="nil"/>
              <w:left w:val="nil"/>
              <w:bottom w:val="nil"/>
              <w:right w:val="nil"/>
            </w:tcBorders>
            <w:shd w:val="clear" w:color="auto" w:fill="auto"/>
          </w:tcPr>
          <w:p w14:paraId="7381825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86" w:name="_DV_C2342"/>
            <w:r w:rsidRPr="002A2EA6">
              <w:rPr>
                <w:rStyle w:val="DeltaViewInsertion"/>
                <w:rFonts w:eastAsia="SimSun"/>
                <w:color w:val="auto"/>
                <w:sz w:val="18"/>
                <w:szCs w:val="18"/>
                <w:u w:val="none"/>
              </w:rPr>
              <w:t>0,3529</w:t>
            </w:r>
            <w:bookmarkEnd w:id="786"/>
          </w:p>
        </w:tc>
        <w:tc>
          <w:tcPr>
            <w:tcW w:w="1985" w:type="dxa"/>
            <w:tcBorders>
              <w:top w:val="nil"/>
              <w:left w:val="nil"/>
              <w:bottom w:val="nil"/>
              <w:right w:val="nil"/>
            </w:tcBorders>
            <w:shd w:val="clear" w:color="auto" w:fill="auto"/>
          </w:tcPr>
          <w:p w14:paraId="4A72D3A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87" w:name="_DV_C2343"/>
            <w:r w:rsidRPr="002A2EA6">
              <w:rPr>
                <w:rStyle w:val="DeltaViewInsertion"/>
                <w:rFonts w:eastAsia="SimSun"/>
                <w:color w:val="auto"/>
                <w:sz w:val="18"/>
                <w:szCs w:val="18"/>
                <w:u w:val="none"/>
              </w:rPr>
              <w:t xml:space="preserve">22 808 </w:t>
            </w:r>
            <w:bookmarkEnd w:id="787"/>
          </w:p>
        </w:tc>
      </w:tr>
      <w:tr w:rsidR="002A2EA6" w:rsidRPr="002A2EA6" w14:paraId="37624AE6" w14:textId="77777777" w:rsidTr="00A54D8B">
        <w:trPr>
          <w:trHeight w:val="57"/>
          <w:jc w:val="right"/>
        </w:trPr>
        <w:tc>
          <w:tcPr>
            <w:tcW w:w="709" w:type="dxa"/>
            <w:tcBorders>
              <w:top w:val="nil"/>
              <w:left w:val="nil"/>
              <w:bottom w:val="nil"/>
              <w:right w:val="nil"/>
            </w:tcBorders>
            <w:shd w:val="clear" w:color="auto" w:fill="auto"/>
          </w:tcPr>
          <w:p w14:paraId="5829AB5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88" w:name="_DV_C2344"/>
            <w:r w:rsidRPr="002A2EA6">
              <w:rPr>
                <w:rStyle w:val="DeltaViewInsertion"/>
                <w:rFonts w:eastAsia="SimSun"/>
                <w:color w:val="auto"/>
                <w:sz w:val="18"/>
                <w:szCs w:val="18"/>
                <w:u w:val="none"/>
              </w:rPr>
              <w:t>79</w:t>
            </w:r>
            <w:bookmarkEnd w:id="788"/>
          </w:p>
        </w:tc>
        <w:tc>
          <w:tcPr>
            <w:tcW w:w="2552" w:type="dxa"/>
            <w:tcBorders>
              <w:top w:val="nil"/>
              <w:left w:val="nil"/>
              <w:bottom w:val="nil"/>
              <w:right w:val="nil"/>
            </w:tcBorders>
            <w:shd w:val="clear" w:color="auto" w:fill="auto"/>
          </w:tcPr>
          <w:p w14:paraId="519F35D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89" w:name="_DV_C2345"/>
            <w:r w:rsidRPr="002A2EA6">
              <w:rPr>
                <w:rStyle w:val="DeltaViewInsertion"/>
                <w:rFonts w:eastAsia="SimSun"/>
                <w:color w:val="auto"/>
                <w:sz w:val="18"/>
                <w:szCs w:val="18"/>
                <w:u w:val="none"/>
              </w:rPr>
              <w:t>Costa Rica</w:t>
            </w:r>
            <w:bookmarkEnd w:id="789"/>
          </w:p>
        </w:tc>
        <w:tc>
          <w:tcPr>
            <w:tcW w:w="1701" w:type="dxa"/>
            <w:tcBorders>
              <w:top w:val="nil"/>
              <w:left w:val="nil"/>
              <w:bottom w:val="nil"/>
              <w:right w:val="nil"/>
            </w:tcBorders>
            <w:shd w:val="clear" w:color="auto" w:fill="auto"/>
          </w:tcPr>
          <w:p w14:paraId="63E1885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90" w:name="_DV_C2346"/>
            <w:r w:rsidRPr="002A2EA6">
              <w:rPr>
                <w:rStyle w:val="DeltaViewInsertion"/>
                <w:rFonts w:eastAsia="SimSun"/>
                <w:color w:val="auto"/>
                <w:sz w:val="18"/>
                <w:szCs w:val="18"/>
                <w:u w:val="none"/>
              </w:rPr>
              <w:t>0,062</w:t>
            </w:r>
            <w:bookmarkEnd w:id="790"/>
          </w:p>
        </w:tc>
        <w:tc>
          <w:tcPr>
            <w:tcW w:w="1984" w:type="dxa"/>
            <w:tcBorders>
              <w:top w:val="nil"/>
              <w:left w:val="nil"/>
              <w:bottom w:val="nil"/>
              <w:right w:val="nil"/>
            </w:tcBorders>
            <w:shd w:val="clear" w:color="auto" w:fill="auto"/>
          </w:tcPr>
          <w:p w14:paraId="5E39636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91" w:name="_DV_C2347"/>
            <w:r w:rsidRPr="002A2EA6">
              <w:rPr>
                <w:rStyle w:val="DeltaViewInsertion"/>
                <w:rFonts w:eastAsia="SimSun"/>
                <w:color w:val="auto"/>
                <w:sz w:val="18"/>
                <w:szCs w:val="18"/>
                <w:u w:val="none"/>
              </w:rPr>
              <w:t>0,0760</w:t>
            </w:r>
            <w:bookmarkEnd w:id="791"/>
          </w:p>
        </w:tc>
        <w:tc>
          <w:tcPr>
            <w:tcW w:w="1985" w:type="dxa"/>
            <w:tcBorders>
              <w:top w:val="nil"/>
              <w:left w:val="nil"/>
              <w:bottom w:val="nil"/>
              <w:right w:val="nil"/>
            </w:tcBorders>
            <w:shd w:val="clear" w:color="auto" w:fill="auto"/>
          </w:tcPr>
          <w:p w14:paraId="5AA642E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92" w:name="_DV_C2348"/>
            <w:r w:rsidRPr="002A2EA6">
              <w:rPr>
                <w:rStyle w:val="DeltaViewInsertion"/>
                <w:rFonts w:eastAsia="SimSun"/>
                <w:color w:val="auto"/>
                <w:sz w:val="18"/>
                <w:szCs w:val="18"/>
                <w:u w:val="none"/>
              </w:rPr>
              <w:t xml:space="preserve">4 910 </w:t>
            </w:r>
            <w:bookmarkEnd w:id="792"/>
          </w:p>
        </w:tc>
      </w:tr>
      <w:tr w:rsidR="002A2EA6" w:rsidRPr="002A2EA6" w14:paraId="437603CF" w14:textId="77777777" w:rsidTr="00A54D8B">
        <w:trPr>
          <w:trHeight w:val="57"/>
          <w:jc w:val="right"/>
        </w:trPr>
        <w:tc>
          <w:tcPr>
            <w:tcW w:w="709" w:type="dxa"/>
            <w:tcBorders>
              <w:top w:val="nil"/>
              <w:left w:val="nil"/>
              <w:bottom w:val="nil"/>
              <w:right w:val="nil"/>
            </w:tcBorders>
            <w:shd w:val="clear" w:color="auto" w:fill="auto"/>
          </w:tcPr>
          <w:p w14:paraId="50E03A5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93" w:name="_DV_C2349"/>
            <w:r w:rsidRPr="002A2EA6">
              <w:rPr>
                <w:rStyle w:val="DeltaViewInsertion"/>
                <w:rFonts w:eastAsia="SimSun"/>
                <w:color w:val="auto"/>
                <w:sz w:val="18"/>
                <w:szCs w:val="18"/>
                <w:u w:val="none"/>
              </w:rPr>
              <w:t>80</w:t>
            </w:r>
            <w:bookmarkEnd w:id="793"/>
          </w:p>
        </w:tc>
        <w:tc>
          <w:tcPr>
            <w:tcW w:w="2552" w:type="dxa"/>
            <w:tcBorders>
              <w:top w:val="nil"/>
              <w:left w:val="nil"/>
              <w:bottom w:val="nil"/>
              <w:right w:val="nil"/>
            </w:tcBorders>
            <w:shd w:val="clear" w:color="auto" w:fill="auto"/>
          </w:tcPr>
          <w:p w14:paraId="452BCF56"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94" w:name="_DV_C2350"/>
            <w:r w:rsidRPr="002A2EA6">
              <w:rPr>
                <w:rStyle w:val="DeltaViewInsertion"/>
                <w:rFonts w:eastAsia="SimSun"/>
                <w:color w:val="auto"/>
                <w:sz w:val="18"/>
                <w:szCs w:val="18"/>
                <w:u w:val="none"/>
              </w:rPr>
              <w:t>Cuba</w:t>
            </w:r>
            <w:bookmarkEnd w:id="794"/>
          </w:p>
        </w:tc>
        <w:tc>
          <w:tcPr>
            <w:tcW w:w="1701" w:type="dxa"/>
            <w:tcBorders>
              <w:top w:val="nil"/>
              <w:left w:val="nil"/>
              <w:bottom w:val="nil"/>
              <w:right w:val="nil"/>
            </w:tcBorders>
            <w:shd w:val="clear" w:color="auto" w:fill="auto"/>
          </w:tcPr>
          <w:p w14:paraId="3CBDF00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95" w:name="_DV_C2351"/>
            <w:r w:rsidRPr="002A2EA6">
              <w:rPr>
                <w:rStyle w:val="DeltaViewInsertion"/>
                <w:rFonts w:eastAsia="SimSun"/>
                <w:color w:val="auto"/>
                <w:sz w:val="18"/>
                <w:szCs w:val="18"/>
                <w:u w:val="none"/>
              </w:rPr>
              <w:t>0,08</w:t>
            </w:r>
            <w:bookmarkEnd w:id="795"/>
          </w:p>
        </w:tc>
        <w:tc>
          <w:tcPr>
            <w:tcW w:w="1984" w:type="dxa"/>
            <w:tcBorders>
              <w:top w:val="nil"/>
              <w:left w:val="nil"/>
              <w:bottom w:val="nil"/>
              <w:right w:val="nil"/>
            </w:tcBorders>
            <w:shd w:val="clear" w:color="auto" w:fill="auto"/>
          </w:tcPr>
          <w:p w14:paraId="5DAD476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96" w:name="_DV_C2352"/>
            <w:r w:rsidRPr="002A2EA6">
              <w:rPr>
                <w:rStyle w:val="DeltaViewInsertion"/>
                <w:rFonts w:eastAsia="SimSun"/>
                <w:color w:val="auto"/>
                <w:sz w:val="18"/>
                <w:szCs w:val="18"/>
                <w:u w:val="none"/>
              </w:rPr>
              <w:t>0,0980</w:t>
            </w:r>
            <w:bookmarkEnd w:id="796"/>
          </w:p>
        </w:tc>
        <w:tc>
          <w:tcPr>
            <w:tcW w:w="1985" w:type="dxa"/>
            <w:tcBorders>
              <w:top w:val="nil"/>
              <w:left w:val="nil"/>
              <w:bottom w:val="nil"/>
              <w:right w:val="nil"/>
            </w:tcBorders>
            <w:shd w:val="clear" w:color="auto" w:fill="auto"/>
          </w:tcPr>
          <w:p w14:paraId="5B9A247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797" w:name="_DV_C2353"/>
            <w:r w:rsidRPr="002A2EA6">
              <w:rPr>
                <w:rStyle w:val="DeltaViewInsertion"/>
                <w:rFonts w:eastAsia="SimSun"/>
                <w:color w:val="auto"/>
                <w:sz w:val="18"/>
                <w:szCs w:val="18"/>
                <w:u w:val="none"/>
              </w:rPr>
              <w:t xml:space="preserve">6 336 </w:t>
            </w:r>
            <w:bookmarkEnd w:id="797"/>
          </w:p>
        </w:tc>
      </w:tr>
      <w:tr w:rsidR="002A2EA6" w:rsidRPr="002A2EA6" w14:paraId="07343A75" w14:textId="77777777" w:rsidTr="00A54D8B">
        <w:trPr>
          <w:trHeight w:val="57"/>
          <w:jc w:val="right"/>
        </w:trPr>
        <w:tc>
          <w:tcPr>
            <w:tcW w:w="709" w:type="dxa"/>
            <w:tcBorders>
              <w:top w:val="nil"/>
              <w:left w:val="nil"/>
              <w:bottom w:val="nil"/>
              <w:right w:val="nil"/>
            </w:tcBorders>
            <w:shd w:val="clear" w:color="auto" w:fill="auto"/>
          </w:tcPr>
          <w:p w14:paraId="217CEB7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798" w:name="_DV_C2364"/>
            <w:r w:rsidRPr="002A2EA6">
              <w:rPr>
                <w:rStyle w:val="DeltaViewInsertion"/>
                <w:rFonts w:eastAsia="SimSun"/>
                <w:color w:val="auto"/>
                <w:sz w:val="18"/>
                <w:szCs w:val="18"/>
                <w:u w:val="none"/>
              </w:rPr>
              <w:t>81</w:t>
            </w:r>
            <w:bookmarkEnd w:id="798"/>
          </w:p>
        </w:tc>
        <w:tc>
          <w:tcPr>
            <w:tcW w:w="2552" w:type="dxa"/>
            <w:tcBorders>
              <w:top w:val="nil"/>
              <w:left w:val="nil"/>
              <w:bottom w:val="nil"/>
              <w:right w:val="nil"/>
            </w:tcBorders>
            <w:shd w:val="clear" w:color="auto" w:fill="auto"/>
          </w:tcPr>
          <w:p w14:paraId="5062618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799" w:name="_DV_C2365"/>
            <w:r w:rsidRPr="002A2EA6">
              <w:rPr>
                <w:rStyle w:val="DeltaViewInsertion"/>
                <w:rFonts w:eastAsia="SimSun"/>
                <w:color w:val="auto"/>
                <w:sz w:val="18"/>
                <w:szCs w:val="18"/>
                <w:u w:val="none"/>
              </w:rPr>
              <w:t>El Salvador</w:t>
            </w:r>
            <w:bookmarkEnd w:id="799"/>
          </w:p>
        </w:tc>
        <w:tc>
          <w:tcPr>
            <w:tcW w:w="1701" w:type="dxa"/>
            <w:tcBorders>
              <w:top w:val="nil"/>
              <w:left w:val="nil"/>
              <w:bottom w:val="nil"/>
              <w:right w:val="nil"/>
            </w:tcBorders>
            <w:shd w:val="clear" w:color="auto" w:fill="auto"/>
          </w:tcPr>
          <w:p w14:paraId="6944CA2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00" w:name="_DV_C2366"/>
            <w:r w:rsidRPr="002A2EA6">
              <w:rPr>
                <w:rStyle w:val="DeltaViewInsertion"/>
                <w:rFonts w:eastAsia="SimSun"/>
                <w:color w:val="auto"/>
                <w:sz w:val="18"/>
                <w:szCs w:val="18"/>
                <w:u w:val="none"/>
              </w:rPr>
              <w:t>0,012</w:t>
            </w:r>
            <w:bookmarkEnd w:id="800"/>
          </w:p>
        </w:tc>
        <w:tc>
          <w:tcPr>
            <w:tcW w:w="1984" w:type="dxa"/>
            <w:tcBorders>
              <w:top w:val="nil"/>
              <w:left w:val="nil"/>
              <w:bottom w:val="nil"/>
              <w:right w:val="nil"/>
            </w:tcBorders>
            <w:shd w:val="clear" w:color="auto" w:fill="auto"/>
          </w:tcPr>
          <w:p w14:paraId="0F0BAD3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01" w:name="_DV_C2367"/>
            <w:r w:rsidRPr="002A2EA6">
              <w:rPr>
                <w:rStyle w:val="DeltaViewInsertion"/>
                <w:rFonts w:eastAsia="SimSun"/>
                <w:color w:val="auto"/>
                <w:sz w:val="18"/>
                <w:szCs w:val="18"/>
                <w:u w:val="none"/>
              </w:rPr>
              <w:t>0,0147</w:t>
            </w:r>
            <w:bookmarkEnd w:id="801"/>
          </w:p>
        </w:tc>
        <w:tc>
          <w:tcPr>
            <w:tcW w:w="1985" w:type="dxa"/>
            <w:tcBorders>
              <w:top w:val="nil"/>
              <w:left w:val="nil"/>
              <w:bottom w:val="nil"/>
              <w:right w:val="nil"/>
            </w:tcBorders>
            <w:shd w:val="clear" w:color="auto" w:fill="auto"/>
          </w:tcPr>
          <w:p w14:paraId="4E0093D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02" w:name="_DV_C2368"/>
            <w:r w:rsidRPr="002A2EA6">
              <w:rPr>
                <w:rStyle w:val="DeltaViewInsertion"/>
                <w:rFonts w:eastAsia="SimSun"/>
                <w:color w:val="auto"/>
                <w:sz w:val="18"/>
                <w:szCs w:val="18"/>
                <w:u w:val="none"/>
              </w:rPr>
              <w:t xml:space="preserve">950 </w:t>
            </w:r>
            <w:bookmarkEnd w:id="802"/>
          </w:p>
        </w:tc>
      </w:tr>
      <w:tr w:rsidR="002A2EA6" w:rsidRPr="002A2EA6" w14:paraId="27EA3128" w14:textId="77777777" w:rsidTr="00A54D8B">
        <w:trPr>
          <w:trHeight w:val="57"/>
          <w:jc w:val="right"/>
        </w:trPr>
        <w:tc>
          <w:tcPr>
            <w:tcW w:w="709" w:type="dxa"/>
            <w:tcBorders>
              <w:top w:val="nil"/>
              <w:left w:val="nil"/>
              <w:bottom w:val="nil"/>
              <w:right w:val="nil"/>
            </w:tcBorders>
            <w:shd w:val="clear" w:color="auto" w:fill="auto"/>
          </w:tcPr>
          <w:p w14:paraId="79B3597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03" w:name="_DV_C2359"/>
            <w:r w:rsidRPr="002A2EA6">
              <w:rPr>
                <w:rStyle w:val="DeltaViewInsertion"/>
                <w:rFonts w:eastAsia="SimSun"/>
                <w:color w:val="auto"/>
                <w:sz w:val="18"/>
                <w:szCs w:val="18"/>
                <w:u w:val="none"/>
              </w:rPr>
              <w:t>82</w:t>
            </w:r>
            <w:bookmarkEnd w:id="803"/>
          </w:p>
        </w:tc>
        <w:tc>
          <w:tcPr>
            <w:tcW w:w="2552" w:type="dxa"/>
            <w:tcBorders>
              <w:top w:val="nil"/>
              <w:left w:val="nil"/>
              <w:bottom w:val="nil"/>
              <w:right w:val="nil"/>
            </w:tcBorders>
            <w:shd w:val="clear" w:color="auto" w:fill="auto"/>
          </w:tcPr>
          <w:p w14:paraId="707B3411"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04" w:name="_DV_C2360"/>
            <w:r w:rsidRPr="002A2EA6">
              <w:rPr>
                <w:rStyle w:val="DeltaViewInsertion"/>
                <w:rFonts w:eastAsia="SimSun"/>
                <w:color w:val="auto"/>
                <w:sz w:val="18"/>
                <w:szCs w:val="18"/>
                <w:u w:val="none"/>
              </w:rPr>
              <w:t>Équateur</w:t>
            </w:r>
            <w:bookmarkEnd w:id="804"/>
          </w:p>
        </w:tc>
        <w:tc>
          <w:tcPr>
            <w:tcW w:w="1701" w:type="dxa"/>
            <w:tcBorders>
              <w:top w:val="nil"/>
              <w:left w:val="nil"/>
              <w:bottom w:val="nil"/>
              <w:right w:val="nil"/>
            </w:tcBorders>
            <w:shd w:val="clear" w:color="auto" w:fill="auto"/>
          </w:tcPr>
          <w:p w14:paraId="41895F4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05" w:name="_DV_C2361"/>
            <w:r w:rsidRPr="002A2EA6">
              <w:rPr>
                <w:rStyle w:val="DeltaViewInsertion"/>
                <w:rFonts w:eastAsia="SimSun"/>
                <w:color w:val="auto"/>
                <w:sz w:val="18"/>
                <w:szCs w:val="18"/>
                <w:u w:val="none"/>
              </w:rPr>
              <w:t>0,08</w:t>
            </w:r>
            <w:bookmarkEnd w:id="805"/>
          </w:p>
        </w:tc>
        <w:tc>
          <w:tcPr>
            <w:tcW w:w="1984" w:type="dxa"/>
            <w:tcBorders>
              <w:top w:val="nil"/>
              <w:left w:val="nil"/>
              <w:bottom w:val="nil"/>
              <w:right w:val="nil"/>
            </w:tcBorders>
            <w:shd w:val="clear" w:color="auto" w:fill="auto"/>
          </w:tcPr>
          <w:p w14:paraId="4E19A87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06" w:name="_DV_C2362"/>
            <w:r w:rsidRPr="002A2EA6">
              <w:rPr>
                <w:rStyle w:val="DeltaViewInsertion"/>
                <w:rFonts w:eastAsia="SimSun"/>
                <w:color w:val="auto"/>
                <w:sz w:val="18"/>
                <w:szCs w:val="18"/>
                <w:u w:val="none"/>
              </w:rPr>
              <w:t>0,0980</w:t>
            </w:r>
            <w:bookmarkEnd w:id="806"/>
          </w:p>
        </w:tc>
        <w:tc>
          <w:tcPr>
            <w:tcW w:w="1985" w:type="dxa"/>
            <w:tcBorders>
              <w:top w:val="nil"/>
              <w:left w:val="nil"/>
              <w:bottom w:val="nil"/>
              <w:right w:val="nil"/>
            </w:tcBorders>
            <w:shd w:val="clear" w:color="auto" w:fill="auto"/>
          </w:tcPr>
          <w:p w14:paraId="4960F6D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07" w:name="_DV_C2363"/>
            <w:r w:rsidRPr="002A2EA6">
              <w:rPr>
                <w:rStyle w:val="DeltaViewInsertion"/>
                <w:rFonts w:eastAsia="SimSun"/>
                <w:color w:val="auto"/>
                <w:sz w:val="18"/>
                <w:szCs w:val="18"/>
                <w:u w:val="none"/>
              </w:rPr>
              <w:t xml:space="preserve">6 336 </w:t>
            </w:r>
            <w:bookmarkEnd w:id="807"/>
          </w:p>
        </w:tc>
      </w:tr>
      <w:tr w:rsidR="002A2EA6" w:rsidRPr="002A2EA6" w14:paraId="27799572" w14:textId="77777777" w:rsidTr="00A54D8B">
        <w:trPr>
          <w:trHeight w:val="57"/>
          <w:jc w:val="right"/>
        </w:trPr>
        <w:tc>
          <w:tcPr>
            <w:tcW w:w="709" w:type="dxa"/>
            <w:tcBorders>
              <w:top w:val="nil"/>
              <w:left w:val="nil"/>
              <w:bottom w:val="nil"/>
              <w:right w:val="nil"/>
            </w:tcBorders>
            <w:shd w:val="clear" w:color="auto" w:fill="auto"/>
          </w:tcPr>
          <w:p w14:paraId="5E6C94F6"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08" w:name="_DV_C2369"/>
            <w:r w:rsidRPr="002A2EA6">
              <w:rPr>
                <w:rStyle w:val="DeltaViewInsertion"/>
                <w:rFonts w:eastAsia="SimSun"/>
                <w:color w:val="auto"/>
                <w:sz w:val="18"/>
                <w:szCs w:val="18"/>
                <w:u w:val="none"/>
              </w:rPr>
              <w:t>83</w:t>
            </w:r>
            <w:bookmarkEnd w:id="808"/>
          </w:p>
        </w:tc>
        <w:tc>
          <w:tcPr>
            <w:tcW w:w="2552" w:type="dxa"/>
            <w:tcBorders>
              <w:top w:val="nil"/>
              <w:left w:val="nil"/>
              <w:bottom w:val="nil"/>
              <w:right w:val="nil"/>
            </w:tcBorders>
            <w:shd w:val="clear" w:color="auto" w:fill="auto"/>
          </w:tcPr>
          <w:p w14:paraId="069B7B8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09" w:name="_DV_C2370"/>
            <w:r w:rsidRPr="002A2EA6">
              <w:rPr>
                <w:rStyle w:val="DeltaViewInsertion"/>
                <w:rFonts w:eastAsia="SimSun"/>
                <w:color w:val="auto"/>
                <w:sz w:val="18"/>
                <w:szCs w:val="18"/>
                <w:u w:val="none"/>
              </w:rPr>
              <w:t>Guyana</w:t>
            </w:r>
            <w:bookmarkEnd w:id="809"/>
          </w:p>
        </w:tc>
        <w:tc>
          <w:tcPr>
            <w:tcW w:w="1701" w:type="dxa"/>
            <w:tcBorders>
              <w:top w:val="nil"/>
              <w:left w:val="nil"/>
              <w:bottom w:val="nil"/>
              <w:right w:val="nil"/>
            </w:tcBorders>
            <w:shd w:val="clear" w:color="auto" w:fill="auto"/>
          </w:tcPr>
          <w:p w14:paraId="15DDF16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10" w:name="_DV_C2371"/>
            <w:r w:rsidRPr="002A2EA6">
              <w:rPr>
                <w:rStyle w:val="DeltaViewInsertion"/>
                <w:rFonts w:eastAsia="SimSun"/>
                <w:color w:val="auto"/>
                <w:sz w:val="18"/>
                <w:szCs w:val="18"/>
                <w:u w:val="none"/>
              </w:rPr>
              <w:t>0,002</w:t>
            </w:r>
            <w:bookmarkEnd w:id="810"/>
          </w:p>
        </w:tc>
        <w:tc>
          <w:tcPr>
            <w:tcW w:w="1984" w:type="dxa"/>
            <w:tcBorders>
              <w:top w:val="nil"/>
              <w:left w:val="nil"/>
              <w:bottom w:val="nil"/>
              <w:right w:val="nil"/>
            </w:tcBorders>
            <w:shd w:val="clear" w:color="auto" w:fill="auto"/>
          </w:tcPr>
          <w:p w14:paraId="7E83120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11" w:name="_DV_C2372"/>
            <w:r w:rsidRPr="002A2EA6">
              <w:rPr>
                <w:rStyle w:val="DeltaViewInsertion"/>
                <w:rFonts w:eastAsia="SimSun"/>
                <w:color w:val="auto"/>
                <w:sz w:val="18"/>
                <w:szCs w:val="18"/>
                <w:u w:val="none"/>
              </w:rPr>
              <w:t>0,0100</w:t>
            </w:r>
            <w:bookmarkEnd w:id="811"/>
          </w:p>
        </w:tc>
        <w:tc>
          <w:tcPr>
            <w:tcW w:w="1985" w:type="dxa"/>
            <w:tcBorders>
              <w:top w:val="nil"/>
              <w:left w:val="nil"/>
              <w:bottom w:val="nil"/>
              <w:right w:val="nil"/>
            </w:tcBorders>
            <w:shd w:val="clear" w:color="auto" w:fill="auto"/>
          </w:tcPr>
          <w:p w14:paraId="05584C7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12" w:name="_DV_C2373"/>
            <w:r w:rsidRPr="002A2EA6">
              <w:rPr>
                <w:rStyle w:val="DeltaViewInsertion"/>
                <w:rFonts w:eastAsia="SimSun"/>
                <w:color w:val="auto"/>
                <w:sz w:val="18"/>
                <w:szCs w:val="18"/>
                <w:u w:val="none"/>
              </w:rPr>
              <w:t xml:space="preserve">646 </w:t>
            </w:r>
            <w:bookmarkEnd w:id="812"/>
          </w:p>
        </w:tc>
      </w:tr>
      <w:tr w:rsidR="002A2EA6" w:rsidRPr="002A2EA6" w14:paraId="52EDD6CD" w14:textId="77777777" w:rsidTr="00A54D8B">
        <w:trPr>
          <w:trHeight w:val="57"/>
          <w:jc w:val="right"/>
        </w:trPr>
        <w:tc>
          <w:tcPr>
            <w:tcW w:w="709" w:type="dxa"/>
            <w:tcBorders>
              <w:top w:val="nil"/>
              <w:left w:val="nil"/>
              <w:bottom w:val="nil"/>
              <w:right w:val="nil"/>
            </w:tcBorders>
            <w:shd w:val="clear" w:color="auto" w:fill="auto"/>
          </w:tcPr>
          <w:p w14:paraId="7E66FCB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13" w:name="_DV_C2374"/>
            <w:r w:rsidRPr="002A2EA6">
              <w:rPr>
                <w:rStyle w:val="DeltaViewInsertion"/>
                <w:rFonts w:eastAsia="SimSun"/>
                <w:color w:val="auto"/>
                <w:sz w:val="18"/>
                <w:szCs w:val="18"/>
                <w:u w:val="none"/>
              </w:rPr>
              <w:t>8</w:t>
            </w:r>
            <w:bookmarkEnd w:id="813"/>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4FF9210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14" w:name="_DV_C2375"/>
            <w:r w:rsidRPr="002A2EA6">
              <w:rPr>
                <w:rStyle w:val="DeltaViewInsertion"/>
                <w:rFonts w:eastAsia="SimSun"/>
                <w:color w:val="auto"/>
                <w:sz w:val="18"/>
                <w:szCs w:val="18"/>
                <w:u w:val="none"/>
              </w:rPr>
              <w:t>Honduras</w:t>
            </w:r>
            <w:bookmarkEnd w:id="814"/>
          </w:p>
        </w:tc>
        <w:tc>
          <w:tcPr>
            <w:tcW w:w="1701" w:type="dxa"/>
            <w:tcBorders>
              <w:top w:val="nil"/>
              <w:left w:val="nil"/>
              <w:bottom w:val="nil"/>
              <w:right w:val="nil"/>
            </w:tcBorders>
            <w:shd w:val="clear" w:color="auto" w:fill="auto"/>
          </w:tcPr>
          <w:p w14:paraId="2375578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15" w:name="_DV_C2376"/>
            <w:r w:rsidRPr="002A2EA6">
              <w:rPr>
                <w:rStyle w:val="DeltaViewInsertion"/>
                <w:rFonts w:eastAsia="SimSun"/>
                <w:color w:val="auto"/>
                <w:sz w:val="18"/>
                <w:szCs w:val="18"/>
                <w:u w:val="none"/>
              </w:rPr>
              <w:t>0,009</w:t>
            </w:r>
            <w:bookmarkEnd w:id="815"/>
          </w:p>
        </w:tc>
        <w:tc>
          <w:tcPr>
            <w:tcW w:w="1984" w:type="dxa"/>
            <w:tcBorders>
              <w:top w:val="nil"/>
              <w:left w:val="nil"/>
              <w:bottom w:val="nil"/>
              <w:right w:val="nil"/>
            </w:tcBorders>
            <w:shd w:val="clear" w:color="auto" w:fill="auto"/>
          </w:tcPr>
          <w:p w14:paraId="67AB6FD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16" w:name="_DV_C2377"/>
            <w:r w:rsidRPr="002A2EA6">
              <w:rPr>
                <w:rStyle w:val="DeltaViewInsertion"/>
                <w:rFonts w:eastAsia="SimSun"/>
                <w:color w:val="auto"/>
                <w:sz w:val="18"/>
                <w:szCs w:val="18"/>
                <w:u w:val="none"/>
              </w:rPr>
              <w:t>0,0110</w:t>
            </w:r>
            <w:bookmarkEnd w:id="816"/>
          </w:p>
        </w:tc>
        <w:tc>
          <w:tcPr>
            <w:tcW w:w="1985" w:type="dxa"/>
            <w:tcBorders>
              <w:top w:val="nil"/>
              <w:left w:val="nil"/>
              <w:bottom w:val="nil"/>
              <w:right w:val="nil"/>
            </w:tcBorders>
            <w:shd w:val="clear" w:color="auto" w:fill="auto"/>
          </w:tcPr>
          <w:p w14:paraId="36ED915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17" w:name="_DV_C2378"/>
            <w:r w:rsidRPr="002A2EA6">
              <w:rPr>
                <w:rStyle w:val="DeltaViewInsertion"/>
                <w:rFonts w:eastAsia="SimSun"/>
                <w:color w:val="auto"/>
                <w:sz w:val="18"/>
                <w:szCs w:val="18"/>
                <w:u w:val="none"/>
              </w:rPr>
              <w:t xml:space="preserve">713 </w:t>
            </w:r>
            <w:bookmarkEnd w:id="817"/>
          </w:p>
        </w:tc>
      </w:tr>
      <w:tr w:rsidR="002A2EA6" w:rsidRPr="002A2EA6" w14:paraId="22B9946A" w14:textId="77777777" w:rsidTr="00A54D8B">
        <w:trPr>
          <w:trHeight w:val="57"/>
          <w:jc w:val="right"/>
        </w:trPr>
        <w:tc>
          <w:tcPr>
            <w:tcW w:w="709" w:type="dxa"/>
            <w:tcBorders>
              <w:top w:val="nil"/>
              <w:left w:val="nil"/>
              <w:bottom w:val="nil"/>
              <w:right w:val="nil"/>
            </w:tcBorders>
            <w:shd w:val="clear" w:color="auto" w:fill="auto"/>
          </w:tcPr>
          <w:p w14:paraId="09565DA7"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18" w:name="_DV_C2379"/>
            <w:r w:rsidRPr="002A2EA6">
              <w:rPr>
                <w:rStyle w:val="DeltaViewInsertion"/>
                <w:rFonts w:eastAsia="SimSun"/>
                <w:color w:val="auto"/>
                <w:sz w:val="18"/>
                <w:szCs w:val="18"/>
                <w:u w:val="none"/>
              </w:rPr>
              <w:t>8</w:t>
            </w:r>
            <w:bookmarkEnd w:id="818"/>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515387B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19" w:name="_DV_C2380"/>
            <w:r w:rsidRPr="002A2EA6">
              <w:rPr>
                <w:rStyle w:val="DeltaViewInsertion"/>
                <w:rFonts w:eastAsia="SimSun"/>
                <w:color w:val="auto"/>
                <w:sz w:val="18"/>
                <w:szCs w:val="18"/>
                <w:u w:val="none"/>
              </w:rPr>
              <w:t>Jamaïque</w:t>
            </w:r>
            <w:bookmarkEnd w:id="819"/>
          </w:p>
        </w:tc>
        <w:tc>
          <w:tcPr>
            <w:tcW w:w="1701" w:type="dxa"/>
            <w:tcBorders>
              <w:top w:val="nil"/>
              <w:left w:val="nil"/>
              <w:bottom w:val="nil"/>
              <w:right w:val="nil"/>
            </w:tcBorders>
            <w:shd w:val="clear" w:color="auto" w:fill="auto"/>
          </w:tcPr>
          <w:p w14:paraId="0C8A4C3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20" w:name="_DV_C2381"/>
            <w:r w:rsidRPr="002A2EA6">
              <w:rPr>
                <w:rStyle w:val="DeltaViewInsertion"/>
                <w:rFonts w:eastAsia="SimSun"/>
                <w:color w:val="auto"/>
                <w:sz w:val="18"/>
                <w:szCs w:val="18"/>
                <w:u w:val="none"/>
              </w:rPr>
              <w:t>0,008</w:t>
            </w:r>
            <w:bookmarkEnd w:id="820"/>
          </w:p>
        </w:tc>
        <w:tc>
          <w:tcPr>
            <w:tcW w:w="1984" w:type="dxa"/>
            <w:tcBorders>
              <w:top w:val="nil"/>
              <w:left w:val="nil"/>
              <w:bottom w:val="nil"/>
              <w:right w:val="nil"/>
            </w:tcBorders>
            <w:shd w:val="clear" w:color="auto" w:fill="auto"/>
          </w:tcPr>
          <w:p w14:paraId="309B114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21" w:name="_DV_C2382"/>
            <w:r w:rsidRPr="002A2EA6">
              <w:rPr>
                <w:rStyle w:val="DeltaViewInsertion"/>
                <w:rFonts w:eastAsia="SimSun"/>
                <w:color w:val="auto"/>
                <w:sz w:val="18"/>
                <w:szCs w:val="18"/>
                <w:u w:val="none"/>
              </w:rPr>
              <w:t>0,0100</w:t>
            </w:r>
            <w:bookmarkEnd w:id="821"/>
          </w:p>
        </w:tc>
        <w:tc>
          <w:tcPr>
            <w:tcW w:w="1985" w:type="dxa"/>
            <w:tcBorders>
              <w:top w:val="nil"/>
              <w:left w:val="nil"/>
              <w:bottom w:val="nil"/>
              <w:right w:val="nil"/>
            </w:tcBorders>
            <w:shd w:val="clear" w:color="auto" w:fill="auto"/>
          </w:tcPr>
          <w:p w14:paraId="47F1CFB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22" w:name="_DV_C2383"/>
            <w:r w:rsidRPr="002A2EA6">
              <w:rPr>
                <w:rStyle w:val="DeltaViewInsertion"/>
                <w:rFonts w:eastAsia="SimSun"/>
                <w:color w:val="auto"/>
                <w:sz w:val="18"/>
                <w:szCs w:val="18"/>
                <w:u w:val="none"/>
              </w:rPr>
              <w:t xml:space="preserve">646 </w:t>
            </w:r>
            <w:bookmarkEnd w:id="822"/>
          </w:p>
        </w:tc>
      </w:tr>
      <w:tr w:rsidR="002A2EA6" w:rsidRPr="002A2EA6" w14:paraId="25946977" w14:textId="77777777" w:rsidTr="00A54D8B">
        <w:trPr>
          <w:trHeight w:val="57"/>
          <w:jc w:val="right"/>
        </w:trPr>
        <w:tc>
          <w:tcPr>
            <w:tcW w:w="709" w:type="dxa"/>
            <w:tcBorders>
              <w:top w:val="nil"/>
              <w:left w:val="nil"/>
              <w:bottom w:val="nil"/>
              <w:right w:val="nil"/>
            </w:tcBorders>
            <w:shd w:val="clear" w:color="auto" w:fill="auto"/>
          </w:tcPr>
          <w:p w14:paraId="447F7B8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23" w:name="_DV_C2384"/>
            <w:r w:rsidRPr="002A2EA6">
              <w:rPr>
                <w:rStyle w:val="DeltaViewInsertion"/>
                <w:rFonts w:eastAsia="SimSun"/>
                <w:color w:val="auto"/>
                <w:sz w:val="18"/>
                <w:szCs w:val="18"/>
                <w:u w:val="none"/>
              </w:rPr>
              <w:t>8</w:t>
            </w:r>
            <w:bookmarkEnd w:id="823"/>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69B3B04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24" w:name="_DV_C2385"/>
            <w:r w:rsidRPr="002A2EA6">
              <w:rPr>
                <w:rStyle w:val="DeltaViewInsertion"/>
                <w:rFonts w:eastAsia="SimSun"/>
                <w:color w:val="auto"/>
                <w:sz w:val="18"/>
                <w:szCs w:val="18"/>
                <w:u w:val="none"/>
              </w:rPr>
              <w:t>Mexi</w:t>
            </w:r>
            <w:bookmarkEnd w:id="824"/>
            <w:r w:rsidRPr="002A2EA6">
              <w:rPr>
                <w:rStyle w:val="DeltaViewInsertion"/>
                <w:rFonts w:eastAsia="SimSun"/>
                <w:color w:val="auto"/>
                <w:sz w:val="18"/>
                <w:szCs w:val="18"/>
                <w:u w:val="none"/>
              </w:rPr>
              <w:t>que</w:t>
            </w:r>
          </w:p>
        </w:tc>
        <w:tc>
          <w:tcPr>
            <w:tcW w:w="1701" w:type="dxa"/>
            <w:tcBorders>
              <w:top w:val="nil"/>
              <w:left w:val="nil"/>
              <w:bottom w:val="nil"/>
              <w:right w:val="nil"/>
            </w:tcBorders>
            <w:shd w:val="clear" w:color="auto" w:fill="auto"/>
          </w:tcPr>
          <w:p w14:paraId="2D7E8EC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25" w:name="_DV_C2386"/>
            <w:r w:rsidRPr="002A2EA6">
              <w:rPr>
                <w:rStyle w:val="DeltaViewInsertion"/>
                <w:rFonts w:eastAsia="SimSun"/>
                <w:color w:val="auto"/>
                <w:sz w:val="18"/>
                <w:szCs w:val="18"/>
                <w:u w:val="none"/>
              </w:rPr>
              <w:t>1,292</w:t>
            </w:r>
            <w:bookmarkEnd w:id="825"/>
          </w:p>
        </w:tc>
        <w:tc>
          <w:tcPr>
            <w:tcW w:w="1984" w:type="dxa"/>
            <w:tcBorders>
              <w:top w:val="nil"/>
              <w:left w:val="nil"/>
              <w:bottom w:val="nil"/>
              <w:right w:val="nil"/>
            </w:tcBorders>
            <w:shd w:val="clear" w:color="auto" w:fill="auto"/>
          </w:tcPr>
          <w:p w14:paraId="6B37385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26" w:name="_DV_C2387"/>
            <w:r w:rsidRPr="002A2EA6">
              <w:rPr>
                <w:rStyle w:val="DeltaViewInsertion"/>
                <w:rFonts w:eastAsia="SimSun"/>
                <w:color w:val="auto"/>
                <w:sz w:val="18"/>
                <w:szCs w:val="18"/>
                <w:u w:val="none"/>
              </w:rPr>
              <w:t>1,5832</w:t>
            </w:r>
            <w:bookmarkEnd w:id="826"/>
          </w:p>
        </w:tc>
        <w:tc>
          <w:tcPr>
            <w:tcW w:w="1985" w:type="dxa"/>
            <w:tcBorders>
              <w:top w:val="nil"/>
              <w:left w:val="nil"/>
              <w:bottom w:val="nil"/>
              <w:right w:val="nil"/>
            </w:tcBorders>
            <w:shd w:val="clear" w:color="auto" w:fill="auto"/>
          </w:tcPr>
          <w:p w14:paraId="407A0EB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27" w:name="_DV_C2388"/>
            <w:r w:rsidRPr="002A2EA6">
              <w:rPr>
                <w:rStyle w:val="DeltaViewInsertion"/>
                <w:rFonts w:eastAsia="SimSun"/>
                <w:color w:val="auto"/>
                <w:sz w:val="18"/>
                <w:szCs w:val="18"/>
                <w:u w:val="none"/>
              </w:rPr>
              <w:t xml:space="preserve">102 321 </w:t>
            </w:r>
            <w:bookmarkEnd w:id="827"/>
          </w:p>
        </w:tc>
      </w:tr>
      <w:tr w:rsidR="002A2EA6" w:rsidRPr="002A2EA6" w14:paraId="5BFBD736" w14:textId="77777777" w:rsidTr="00A54D8B">
        <w:trPr>
          <w:trHeight w:val="57"/>
          <w:jc w:val="right"/>
        </w:trPr>
        <w:tc>
          <w:tcPr>
            <w:tcW w:w="709" w:type="dxa"/>
            <w:tcBorders>
              <w:top w:val="nil"/>
              <w:left w:val="nil"/>
              <w:bottom w:val="nil"/>
              <w:right w:val="nil"/>
            </w:tcBorders>
            <w:shd w:val="clear" w:color="auto" w:fill="auto"/>
          </w:tcPr>
          <w:p w14:paraId="499EB6E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28" w:name="_DV_C2389"/>
            <w:r w:rsidRPr="002A2EA6">
              <w:rPr>
                <w:rStyle w:val="DeltaViewInsertion"/>
                <w:rFonts w:eastAsia="SimSun"/>
                <w:color w:val="auto"/>
                <w:sz w:val="18"/>
                <w:szCs w:val="18"/>
                <w:u w:val="none"/>
              </w:rPr>
              <w:t>8</w:t>
            </w:r>
            <w:bookmarkEnd w:id="828"/>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68DC5A8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29" w:name="_DV_C2390"/>
            <w:r w:rsidRPr="002A2EA6">
              <w:rPr>
                <w:rStyle w:val="DeltaViewInsertion"/>
                <w:rFonts w:eastAsia="SimSun"/>
                <w:color w:val="auto"/>
                <w:sz w:val="18"/>
                <w:szCs w:val="18"/>
                <w:u w:val="none"/>
              </w:rPr>
              <w:t>Nicaragua</w:t>
            </w:r>
            <w:bookmarkEnd w:id="829"/>
          </w:p>
        </w:tc>
        <w:tc>
          <w:tcPr>
            <w:tcW w:w="1701" w:type="dxa"/>
            <w:tcBorders>
              <w:top w:val="nil"/>
              <w:left w:val="nil"/>
              <w:bottom w:val="nil"/>
              <w:right w:val="nil"/>
            </w:tcBorders>
            <w:shd w:val="clear" w:color="auto" w:fill="auto"/>
          </w:tcPr>
          <w:p w14:paraId="6889718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0" w:name="_DV_C2391"/>
            <w:r w:rsidRPr="002A2EA6">
              <w:rPr>
                <w:rStyle w:val="DeltaViewInsertion"/>
                <w:rFonts w:eastAsia="SimSun"/>
                <w:color w:val="auto"/>
                <w:sz w:val="18"/>
                <w:szCs w:val="18"/>
                <w:u w:val="none"/>
              </w:rPr>
              <w:t>0,005</w:t>
            </w:r>
            <w:bookmarkEnd w:id="830"/>
          </w:p>
        </w:tc>
        <w:tc>
          <w:tcPr>
            <w:tcW w:w="1984" w:type="dxa"/>
            <w:tcBorders>
              <w:top w:val="nil"/>
              <w:left w:val="nil"/>
              <w:bottom w:val="nil"/>
              <w:right w:val="nil"/>
            </w:tcBorders>
            <w:shd w:val="clear" w:color="auto" w:fill="auto"/>
          </w:tcPr>
          <w:p w14:paraId="7BD5911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1" w:name="_DV_C2392"/>
            <w:r w:rsidRPr="002A2EA6">
              <w:rPr>
                <w:rStyle w:val="DeltaViewInsertion"/>
                <w:rFonts w:eastAsia="SimSun"/>
                <w:color w:val="auto"/>
                <w:sz w:val="18"/>
                <w:szCs w:val="18"/>
                <w:u w:val="none"/>
              </w:rPr>
              <w:t>0,0100</w:t>
            </w:r>
            <w:bookmarkEnd w:id="831"/>
          </w:p>
        </w:tc>
        <w:tc>
          <w:tcPr>
            <w:tcW w:w="1985" w:type="dxa"/>
            <w:tcBorders>
              <w:top w:val="nil"/>
              <w:left w:val="nil"/>
              <w:bottom w:val="nil"/>
              <w:right w:val="nil"/>
            </w:tcBorders>
            <w:shd w:val="clear" w:color="auto" w:fill="auto"/>
          </w:tcPr>
          <w:p w14:paraId="4B2B6CD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2" w:name="_DV_C2393"/>
            <w:r w:rsidRPr="002A2EA6">
              <w:rPr>
                <w:rStyle w:val="DeltaViewInsertion"/>
                <w:rFonts w:eastAsia="SimSun"/>
                <w:color w:val="auto"/>
                <w:sz w:val="18"/>
                <w:szCs w:val="18"/>
                <w:u w:val="none"/>
              </w:rPr>
              <w:t xml:space="preserve">646 </w:t>
            </w:r>
            <w:bookmarkEnd w:id="832"/>
          </w:p>
        </w:tc>
      </w:tr>
      <w:tr w:rsidR="002A2EA6" w:rsidRPr="002A2EA6" w14:paraId="79EB5FD7" w14:textId="77777777" w:rsidTr="00A54D8B">
        <w:trPr>
          <w:trHeight w:val="57"/>
          <w:jc w:val="right"/>
        </w:trPr>
        <w:tc>
          <w:tcPr>
            <w:tcW w:w="709" w:type="dxa"/>
            <w:tcBorders>
              <w:top w:val="nil"/>
              <w:left w:val="nil"/>
              <w:bottom w:val="nil"/>
              <w:right w:val="nil"/>
            </w:tcBorders>
            <w:shd w:val="clear" w:color="auto" w:fill="auto"/>
          </w:tcPr>
          <w:p w14:paraId="677C21A9"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33" w:name="_DV_C2394"/>
            <w:r w:rsidRPr="002A2EA6">
              <w:rPr>
                <w:rStyle w:val="DeltaViewInsertion"/>
                <w:rFonts w:eastAsia="SimSun"/>
                <w:color w:val="auto"/>
                <w:sz w:val="18"/>
                <w:szCs w:val="18"/>
                <w:u w:val="none"/>
              </w:rPr>
              <w:lastRenderedPageBreak/>
              <w:t>8</w:t>
            </w:r>
            <w:bookmarkEnd w:id="833"/>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2024319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34" w:name="_DV_C2395"/>
            <w:r w:rsidRPr="002A2EA6">
              <w:rPr>
                <w:rStyle w:val="DeltaViewInsertion"/>
                <w:rFonts w:eastAsia="SimSun"/>
                <w:color w:val="auto"/>
                <w:sz w:val="18"/>
                <w:szCs w:val="18"/>
                <w:u w:val="none"/>
              </w:rPr>
              <w:t>Panama</w:t>
            </w:r>
            <w:bookmarkEnd w:id="834"/>
          </w:p>
        </w:tc>
        <w:tc>
          <w:tcPr>
            <w:tcW w:w="1701" w:type="dxa"/>
            <w:tcBorders>
              <w:top w:val="nil"/>
              <w:left w:val="nil"/>
              <w:bottom w:val="nil"/>
              <w:right w:val="nil"/>
            </w:tcBorders>
            <w:shd w:val="clear" w:color="auto" w:fill="auto"/>
          </w:tcPr>
          <w:p w14:paraId="278EC4C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5" w:name="_DV_C2396"/>
            <w:r w:rsidRPr="002A2EA6">
              <w:rPr>
                <w:rStyle w:val="DeltaViewInsertion"/>
                <w:rFonts w:eastAsia="SimSun"/>
                <w:color w:val="auto"/>
                <w:sz w:val="18"/>
                <w:szCs w:val="18"/>
                <w:u w:val="none"/>
              </w:rPr>
              <w:t>0,045</w:t>
            </w:r>
            <w:bookmarkEnd w:id="835"/>
          </w:p>
        </w:tc>
        <w:tc>
          <w:tcPr>
            <w:tcW w:w="1984" w:type="dxa"/>
            <w:tcBorders>
              <w:top w:val="nil"/>
              <w:left w:val="nil"/>
              <w:bottom w:val="nil"/>
              <w:right w:val="nil"/>
            </w:tcBorders>
            <w:shd w:val="clear" w:color="auto" w:fill="auto"/>
          </w:tcPr>
          <w:p w14:paraId="2B208B4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6" w:name="_DV_C2397"/>
            <w:r w:rsidRPr="002A2EA6">
              <w:rPr>
                <w:rStyle w:val="DeltaViewInsertion"/>
                <w:rFonts w:eastAsia="SimSun"/>
                <w:color w:val="auto"/>
                <w:sz w:val="18"/>
                <w:szCs w:val="18"/>
                <w:u w:val="none"/>
              </w:rPr>
              <w:t>0,0551</w:t>
            </w:r>
            <w:bookmarkEnd w:id="836"/>
          </w:p>
        </w:tc>
        <w:tc>
          <w:tcPr>
            <w:tcW w:w="1985" w:type="dxa"/>
            <w:tcBorders>
              <w:top w:val="nil"/>
              <w:left w:val="nil"/>
              <w:bottom w:val="nil"/>
              <w:right w:val="nil"/>
            </w:tcBorders>
            <w:shd w:val="clear" w:color="auto" w:fill="auto"/>
          </w:tcPr>
          <w:p w14:paraId="1A8BA2A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7" w:name="_DV_C2398"/>
            <w:r w:rsidRPr="002A2EA6">
              <w:rPr>
                <w:rStyle w:val="DeltaViewInsertion"/>
                <w:rFonts w:eastAsia="SimSun"/>
                <w:color w:val="auto"/>
                <w:sz w:val="18"/>
                <w:szCs w:val="18"/>
                <w:u w:val="none"/>
              </w:rPr>
              <w:t xml:space="preserve">3 564 </w:t>
            </w:r>
            <w:bookmarkEnd w:id="837"/>
          </w:p>
        </w:tc>
      </w:tr>
      <w:tr w:rsidR="002A2EA6" w:rsidRPr="002A2EA6" w14:paraId="58D7A40C" w14:textId="77777777" w:rsidTr="00A54D8B">
        <w:trPr>
          <w:trHeight w:val="57"/>
          <w:jc w:val="right"/>
        </w:trPr>
        <w:tc>
          <w:tcPr>
            <w:tcW w:w="709" w:type="dxa"/>
            <w:tcBorders>
              <w:top w:val="nil"/>
              <w:left w:val="nil"/>
              <w:bottom w:val="nil"/>
              <w:right w:val="nil"/>
            </w:tcBorders>
            <w:shd w:val="clear" w:color="auto" w:fill="auto"/>
          </w:tcPr>
          <w:p w14:paraId="55C8BB6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8</w:t>
            </w:r>
            <w:r w:rsidRPr="002A2EA6">
              <w:rPr>
                <w:sz w:val="18"/>
                <w:szCs w:val="18"/>
              </w:rPr>
              <w:t>9</w:t>
            </w:r>
          </w:p>
        </w:tc>
        <w:tc>
          <w:tcPr>
            <w:tcW w:w="2552" w:type="dxa"/>
            <w:tcBorders>
              <w:top w:val="nil"/>
              <w:left w:val="nil"/>
              <w:bottom w:val="nil"/>
              <w:right w:val="nil"/>
            </w:tcBorders>
            <w:shd w:val="clear" w:color="auto" w:fill="auto"/>
          </w:tcPr>
          <w:p w14:paraId="10C9773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38" w:name="_DV_C2400"/>
            <w:r w:rsidRPr="002A2EA6">
              <w:rPr>
                <w:rStyle w:val="DeltaViewInsertion"/>
                <w:rFonts w:eastAsia="SimSun"/>
                <w:color w:val="auto"/>
                <w:sz w:val="18"/>
                <w:szCs w:val="18"/>
                <w:u w:val="none"/>
              </w:rPr>
              <w:t>Paraguay</w:t>
            </w:r>
            <w:bookmarkEnd w:id="838"/>
          </w:p>
        </w:tc>
        <w:tc>
          <w:tcPr>
            <w:tcW w:w="1701" w:type="dxa"/>
            <w:tcBorders>
              <w:top w:val="nil"/>
              <w:left w:val="nil"/>
              <w:bottom w:val="nil"/>
              <w:right w:val="nil"/>
            </w:tcBorders>
            <w:shd w:val="clear" w:color="auto" w:fill="auto"/>
          </w:tcPr>
          <w:p w14:paraId="1BF05AC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39" w:name="_DV_C2401"/>
            <w:r w:rsidRPr="002A2EA6">
              <w:rPr>
                <w:rStyle w:val="DeltaViewInsertion"/>
                <w:rFonts w:eastAsia="SimSun"/>
                <w:color w:val="auto"/>
                <w:sz w:val="18"/>
                <w:szCs w:val="18"/>
                <w:u w:val="none"/>
              </w:rPr>
              <w:t>0,016</w:t>
            </w:r>
            <w:bookmarkEnd w:id="839"/>
          </w:p>
        </w:tc>
        <w:tc>
          <w:tcPr>
            <w:tcW w:w="1984" w:type="dxa"/>
            <w:tcBorders>
              <w:top w:val="nil"/>
              <w:left w:val="nil"/>
              <w:bottom w:val="nil"/>
              <w:right w:val="nil"/>
            </w:tcBorders>
            <w:shd w:val="clear" w:color="auto" w:fill="auto"/>
          </w:tcPr>
          <w:p w14:paraId="6ED7EC5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0" w:name="_DV_C2402"/>
            <w:r w:rsidRPr="002A2EA6">
              <w:rPr>
                <w:rStyle w:val="DeltaViewInsertion"/>
                <w:rFonts w:eastAsia="SimSun"/>
                <w:color w:val="auto"/>
                <w:sz w:val="18"/>
                <w:szCs w:val="18"/>
                <w:u w:val="none"/>
              </w:rPr>
              <w:t>0,0196</w:t>
            </w:r>
            <w:bookmarkEnd w:id="840"/>
          </w:p>
        </w:tc>
        <w:tc>
          <w:tcPr>
            <w:tcW w:w="1985" w:type="dxa"/>
            <w:tcBorders>
              <w:top w:val="nil"/>
              <w:left w:val="nil"/>
              <w:bottom w:val="nil"/>
              <w:right w:val="nil"/>
            </w:tcBorders>
            <w:shd w:val="clear" w:color="auto" w:fill="auto"/>
          </w:tcPr>
          <w:p w14:paraId="6C92DA8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1" w:name="_DV_C2403"/>
            <w:r w:rsidRPr="002A2EA6">
              <w:rPr>
                <w:rStyle w:val="DeltaViewInsertion"/>
                <w:rFonts w:eastAsia="SimSun"/>
                <w:color w:val="auto"/>
                <w:sz w:val="18"/>
                <w:szCs w:val="18"/>
                <w:u w:val="none"/>
              </w:rPr>
              <w:t xml:space="preserve">1 267 </w:t>
            </w:r>
            <w:bookmarkEnd w:id="841"/>
          </w:p>
        </w:tc>
      </w:tr>
      <w:tr w:rsidR="002A2EA6" w:rsidRPr="002A2EA6" w14:paraId="0A2AF0C2" w14:textId="77777777" w:rsidTr="00A54D8B">
        <w:trPr>
          <w:trHeight w:val="57"/>
          <w:jc w:val="right"/>
        </w:trPr>
        <w:tc>
          <w:tcPr>
            <w:tcW w:w="709" w:type="dxa"/>
            <w:tcBorders>
              <w:top w:val="nil"/>
              <w:left w:val="nil"/>
              <w:bottom w:val="nil"/>
              <w:right w:val="nil"/>
            </w:tcBorders>
            <w:shd w:val="clear" w:color="auto" w:fill="auto"/>
          </w:tcPr>
          <w:p w14:paraId="63BD433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42" w:name="_DV_C2404"/>
            <w:r w:rsidRPr="002A2EA6">
              <w:rPr>
                <w:rStyle w:val="DeltaViewInsertion"/>
                <w:rFonts w:eastAsia="SimSun"/>
                <w:color w:val="auto"/>
                <w:sz w:val="18"/>
                <w:szCs w:val="18"/>
                <w:u w:val="none"/>
              </w:rPr>
              <w:t>9</w:t>
            </w:r>
            <w:bookmarkEnd w:id="842"/>
            <w:r w:rsidRPr="002A2EA6">
              <w:rPr>
                <w:rStyle w:val="DeltaViewInsertion"/>
                <w:rFonts w:eastAsia="SimSun"/>
                <w:color w:val="auto"/>
                <w:sz w:val="18"/>
                <w:szCs w:val="18"/>
                <w:u w:val="none"/>
              </w:rPr>
              <w:t>0</w:t>
            </w:r>
          </w:p>
        </w:tc>
        <w:tc>
          <w:tcPr>
            <w:tcW w:w="2552" w:type="dxa"/>
            <w:tcBorders>
              <w:top w:val="nil"/>
              <w:left w:val="nil"/>
              <w:bottom w:val="nil"/>
              <w:right w:val="nil"/>
            </w:tcBorders>
            <w:shd w:val="clear" w:color="auto" w:fill="auto"/>
          </w:tcPr>
          <w:p w14:paraId="6EC778AD"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43" w:name="_DV_C2405"/>
            <w:r w:rsidRPr="002A2EA6">
              <w:rPr>
                <w:rStyle w:val="DeltaViewInsertion"/>
                <w:rFonts w:eastAsia="SimSun"/>
                <w:color w:val="auto"/>
                <w:sz w:val="18"/>
                <w:szCs w:val="18"/>
                <w:u w:val="none"/>
              </w:rPr>
              <w:t>Pérou</w:t>
            </w:r>
            <w:bookmarkEnd w:id="843"/>
          </w:p>
        </w:tc>
        <w:tc>
          <w:tcPr>
            <w:tcW w:w="1701" w:type="dxa"/>
            <w:tcBorders>
              <w:top w:val="nil"/>
              <w:left w:val="nil"/>
              <w:bottom w:val="nil"/>
              <w:right w:val="nil"/>
            </w:tcBorders>
            <w:shd w:val="clear" w:color="auto" w:fill="auto"/>
          </w:tcPr>
          <w:p w14:paraId="756D88C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4" w:name="_DV_C2406"/>
            <w:r w:rsidRPr="002A2EA6">
              <w:rPr>
                <w:rStyle w:val="DeltaViewInsertion"/>
                <w:rFonts w:eastAsia="SimSun"/>
                <w:color w:val="auto"/>
                <w:sz w:val="18"/>
                <w:szCs w:val="18"/>
                <w:u w:val="none"/>
              </w:rPr>
              <w:t>0,152</w:t>
            </w:r>
            <w:bookmarkEnd w:id="844"/>
          </w:p>
        </w:tc>
        <w:tc>
          <w:tcPr>
            <w:tcW w:w="1984" w:type="dxa"/>
            <w:tcBorders>
              <w:top w:val="nil"/>
              <w:left w:val="nil"/>
              <w:bottom w:val="nil"/>
              <w:right w:val="nil"/>
            </w:tcBorders>
            <w:shd w:val="clear" w:color="auto" w:fill="auto"/>
          </w:tcPr>
          <w:p w14:paraId="0625CF0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5" w:name="_DV_C2407"/>
            <w:r w:rsidRPr="002A2EA6">
              <w:rPr>
                <w:rStyle w:val="DeltaViewInsertion"/>
                <w:rFonts w:eastAsia="SimSun"/>
                <w:color w:val="auto"/>
                <w:sz w:val="18"/>
                <w:szCs w:val="18"/>
                <w:u w:val="none"/>
              </w:rPr>
              <w:t>0,1863</w:t>
            </w:r>
            <w:bookmarkEnd w:id="845"/>
          </w:p>
        </w:tc>
        <w:tc>
          <w:tcPr>
            <w:tcW w:w="1985" w:type="dxa"/>
            <w:tcBorders>
              <w:top w:val="nil"/>
              <w:left w:val="nil"/>
              <w:bottom w:val="nil"/>
              <w:right w:val="nil"/>
            </w:tcBorders>
            <w:shd w:val="clear" w:color="auto" w:fill="auto"/>
          </w:tcPr>
          <w:p w14:paraId="73832B8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6" w:name="_DV_C2408"/>
            <w:r w:rsidRPr="002A2EA6">
              <w:rPr>
                <w:rStyle w:val="DeltaViewInsertion"/>
                <w:rFonts w:eastAsia="SimSun"/>
                <w:color w:val="auto"/>
                <w:sz w:val="18"/>
                <w:szCs w:val="18"/>
                <w:u w:val="none"/>
              </w:rPr>
              <w:t xml:space="preserve">12 038 </w:t>
            </w:r>
            <w:bookmarkEnd w:id="846"/>
          </w:p>
        </w:tc>
      </w:tr>
      <w:tr w:rsidR="002A2EA6" w:rsidRPr="002A2EA6" w14:paraId="448AD047" w14:textId="77777777" w:rsidTr="00A54D8B">
        <w:trPr>
          <w:trHeight w:val="57"/>
          <w:jc w:val="right"/>
        </w:trPr>
        <w:tc>
          <w:tcPr>
            <w:tcW w:w="709" w:type="dxa"/>
            <w:tcBorders>
              <w:top w:val="nil"/>
              <w:left w:val="nil"/>
              <w:bottom w:val="nil"/>
              <w:right w:val="nil"/>
            </w:tcBorders>
            <w:shd w:val="clear" w:color="auto" w:fill="auto"/>
          </w:tcPr>
          <w:p w14:paraId="2C62F3DB"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9</w:t>
            </w:r>
            <w:r w:rsidRPr="002A2EA6">
              <w:rPr>
                <w:sz w:val="18"/>
                <w:szCs w:val="18"/>
              </w:rPr>
              <w:t>1</w:t>
            </w:r>
          </w:p>
        </w:tc>
        <w:tc>
          <w:tcPr>
            <w:tcW w:w="2552" w:type="dxa"/>
            <w:tcBorders>
              <w:top w:val="nil"/>
              <w:left w:val="nil"/>
              <w:bottom w:val="nil"/>
              <w:right w:val="nil"/>
            </w:tcBorders>
            <w:shd w:val="clear" w:color="auto" w:fill="auto"/>
          </w:tcPr>
          <w:p w14:paraId="6B31E6EE"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47" w:name="_DV_C2355"/>
            <w:r w:rsidRPr="002A2EA6">
              <w:rPr>
                <w:rStyle w:val="DeltaViewInsertion"/>
                <w:rFonts w:eastAsia="SimSun"/>
                <w:color w:val="auto"/>
                <w:sz w:val="18"/>
                <w:szCs w:val="18"/>
                <w:u w:val="none"/>
              </w:rPr>
              <w:t xml:space="preserve">République dominicaine </w:t>
            </w:r>
            <w:bookmarkEnd w:id="847"/>
          </w:p>
        </w:tc>
        <w:tc>
          <w:tcPr>
            <w:tcW w:w="1701" w:type="dxa"/>
            <w:tcBorders>
              <w:top w:val="nil"/>
              <w:left w:val="nil"/>
              <w:bottom w:val="nil"/>
              <w:right w:val="nil"/>
            </w:tcBorders>
            <w:shd w:val="clear" w:color="auto" w:fill="auto"/>
          </w:tcPr>
          <w:p w14:paraId="7475388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8" w:name="_DV_C2356"/>
            <w:r w:rsidRPr="002A2EA6">
              <w:rPr>
                <w:rStyle w:val="DeltaViewInsertion"/>
                <w:rFonts w:eastAsia="SimSun"/>
                <w:color w:val="auto"/>
                <w:sz w:val="18"/>
                <w:szCs w:val="18"/>
                <w:u w:val="none"/>
              </w:rPr>
              <w:t>0,053</w:t>
            </w:r>
            <w:bookmarkEnd w:id="848"/>
          </w:p>
        </w:tc>
        <w:tc>
          <w:tcPr>
            <w:tcW w:w="1984" w:type="dxa"/>
            <w:tcBorders>
              <w:top w:val="nil"/>
              <w:left w:val="nil"/>
              <w:bottom w:val="nil"/>
              <w:right w:val="nil"/>
            </w:tcBorders>
            <w:shd w:val="clear" w:color="auto" w:fill="auto"/>
          </w:tcPr>
          <w:p w14:paraId="5005E3C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49" w:name="_DV_C2357"/>
            <w:r w:rsidRPr="002A2EA6">
              <w:rPr>
                <w:rStyle w:val="DeltaViewInsertion"/>
                <w:rFonts w:eastAsia="SimSun"/>
                <w:color w:val="auto"/>
                <w:sz w:val="18"/>
                <w:szCs w:val="18"/>
                <w:u w:val="none"/>
              </w:rPr>
              <w:t>0,0649</w:t>
            </w:r>
            <w:bookmarkEnd w:id="849"/>
          </w:p>
        </w:tc>
        <w:tc>
          <w:tcPr>
            <w:tcW w:w="1985" w:type="dxa"/>
            <w:tcBorders>
              <w:top w:val="nil"/>
              <w:left w:val="nil"/>
              <w:bottom w:val="nil"/>
              <w:right w:val="nil"/>
            </w:tcBorders>
            <w:shd w:val="clear" w:color="auto" w:fill="auto"/>
          </w:tcPr>
          <w:p w14:paraId="0CFF988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50" w:name="_DV_C2358"/>
            <w:r w:rsidRPr="002A2EA6">
              <w:rPr>
                <w:rStyle w:val="DeltaViewInsertion"/>
                <w:rFonts w:eastAsia="SimSun"/>
                <w:color w:val="auto"/>
                <w:sz w:val="18"/>
                <w:szCs w:val="18"/>
                <w:u w:val="none"/>
              </w:rPr>
              <w:t xml:space="preserve">4 197 </w:t>
            </w:r>
            <w:bookmarkEnd w:id="850"/>
          </w:p>
        </w:tc>
      </w:tr>
      <w:tr w:rsidR="002A2EA6" w:rsidRPr="002A2EA6" w14:paraId="0982E975" w14:textId="77777777" w:rsidTr="00A54D8B">
        <w:trPr>
          <w:trHeight w:val="57"/>
          <w:jc w:val="right"/>
        </w:trPr>
        <w:tc>
          <w:tcPr>
            <w:tcW w:w="709" w:type="dxa"/>
            <w:tcBorders>
              <w:top w:val="nil"/>
              <w:left w:val="nil"/>
              <w:bottom w:val="nil"/>
              <w:right w:val="nil"/>
            </w:tcBorders>
            <w:shd w:val="clear" w:color="auto" w:fill="auto"/>
          </w:tcPr>
          <w:p w14:paraId="1C6502D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51" w:name="_DV_C2414"/>
            <w:r w:rsidRPr="002A2EA6">
              <w:rPr>
                <w:rStyle w:val="DeltaViewInsertion"/>
                <w:rFonts w:eastAsia="SimSun"/>
                <w:color w:val="auto"/>
                <w:sz w:val="18"/>
                <w:szCs w:val="18"/>
                <w:u w:val="none"/>
              </w:rPr>
              <w:t>9</w:t>
            </w:r>
            <w:bookmarkEnd w:id="851"/>
            <w:r w:rsidRPr="002A2EA6">
              <w:rPr>
                <w:rStyle w:val="DeltaViewInsertion"/>
                <w:rFonts w:eastAsia="SimSun"/>
                <w:color w:val="auto"/>
                <w:sz w:val="18"/>
                <w:szCs w:val="18"/>
                <w:u w:val="none"/>
              </w:rPr>
              <w:t>2</w:t>
            </w:r>
          </w:p>
        </w:tc>
        <w:tc>
          <w:tcPr>
            <w:tcW w:w="2552" w:type="dxa"/>
            <w:tcBorders>
              <w:top w:val="nil"/>
              <w:left w:val="nil"/>
              <w:bottom w:val="nil"/>
              <w:right w:val="nil"/>
            </w:tcBorders>
            <w:shd w:val="clear" w:color="auto" w:fill="auto"/>
          </w:tcPr>
          <w:p w14:paraId="6A2AE425"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52" w:name="_DV_C2415"/>
            <w:r w:rsidRPr="002A2EA6">
              <w:rPr>
                <w:rStyle w:val="DeltaViewInsertion"/>
                <w:rFonts w:eastAsia="SimSun"/>
                <w:color w:val="auto"/>
                <w:sz w:val="18"/>
                <w:szCs w:val="18"/>
                <w:u w:val="none"/>
              </w:rPr>
              <w:t>Sainte Lucie</w:t>
            </w:r>
            <w:bookmarkEnd w:id="852"/>
          </w:p>
        </w:tc>
        <w:tc>
          <w:tcPr>
            <w:tcW w:w="1701" w:type="dxa"/>
            <w:tcBorders>
              <w:top w:val="nil"/>
              <w:left w:val="nil"/>
              <w:bottom w:val="nil"/>
              <w:right w:val="nil"/>
            </w:tcBorders>
            <w:shd w:val="clear" w:color="auto" w:fill="auto"/>
          </w:tcPr>
          <w:p w14:paraId="0A7F4AD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53" w:name="_DV_C2416"/>
            <w:r w:rsidRPr="002A2EA6">
              <w:rPr>
                <w:rStyle w:val="DeltaViewInsertion"/>
                <w:rFonts w:eastAsia="SimSun"/>
                <w:color w:val="auto"/>
                <w:sz w:val="18"/>
                <w:szCs w:val="18"/>
                <w:u w:val="none"/>
              </w:rPr>
              <w:t>0,001</w:t>
            </w:r>
            <w:bookmarkEnd w:id="853"/>
          </w:p>
        </w:tc>
        <w:tc>
          <w:tcPr>
            <w:tcW w:w="1984" w:type="dxa"/>
            <w:tcBorders>
              <w:top w:val="nil"/>
              <w:left w:val="nil"/>
              <w:bottom w:val="nil"/>
              <w:right w:val="nil"/>
            </w:tcBorders>
            <w:shd w:val="clear" w:color="auto" w:fill="auto"/>
          </w:tcPr>
          <w:p w14:paraId="5065F29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54" w:name="_DV_C2417"/>
            <w:r w:rsidRPr="002A2EA6">
              <w:rPr>
                <w:rStyle w:val="DeltaViewInsertion"/>
                <w:rFonts w:eastAsia="SimSun"/>
                <w:color w:val="auto"/>
                <w:sz w:val="18"/>
                <w:szCs w:val="18"/>
                <w:u w:val="none"/>
              </w:rPr>
              <w:t>0,0100</w:t>
            </w:r>
            <w:bookmarkEnd w:id="854"/>
          </w:p>
        </w:tc>
        <w:tc>
          <w:tcPr>
            <w:tcW w:w="1985" w:type="dxa"/>
            <w:tcBorders>
              <w:top w:val="nil"/>
              <w:left w:val="nil"/>
              <w:bottom w:val="nil"/>
              <w:right w:val="nil"/>
            </w:tcBorders>
            <w:shd w:val="clear" w:color="auto" w:fill="auto"/>
          </w:tcPr>
          <w:p w14:paraId="721778D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55" w:name="_DV_C2418"/>
            <w:r w:rsidRPr="002A2EA6">
              <w:rPr>
                <w:rStyle w:val="DeltaViewInsertion"/>
                <w:rFonts w:eastAsia="SimSun"/>
                <w:color w:val="auto"/>
                <w:sz w:val="18"/>
                <w:szCs w:val="18"/>
                <w:u w:val="none"/>
              </w:rPr>
              <w:t xml:space="preserve">646 </w:t>
            </w:r>
            <w:bookmarkEnd w:id="855"/>
          </w:p>
        </w:tc>
      </w:tr>
      <w:tr w:rsidR="002A2EA6" w:rsidRPr="002A2EA6" w14:paraId="2AA61A4C" w14:textId="77777777" w:rsidTr="00A54D8B">
        <w:trPr>
          <w:trHeight w:val="57"/>
          <w:jc w:val="right"/>
        </w:trPr>
        <w:tc>
          <w:tcPr>
            <w:tcW w:w="709" w:type="dxa"/>
            <w:tcBorders>
              <w:top w:val="nil"/>
              <w:left w:val="nil"/>
              <w:bottom w:val="nil"/>
              <w:right w:val="nil"/>
            </w:tcBorders>
            <w:shd w:val="clear" w:color="auto" w:fill="auto"/>
          </w:tcPr>
          <w:p w14:paraId="7E42E6F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56" w:name="_DV_C2409"/>
            <w:r w:rsidRPr="002A2EA6">
              <w:rPr>
                <w:rStyle w:val="DeltaViewInsertion"/>
                <w:rFonts w:eastAsia="SimSun"/>
                <w:color w:val="auto"/>
                <w:sz w:val="18"/>
                <w:szCs w:val="18"/>
                <w:u w:val="none"/>
              </w:rPr>
              <w:t>9</w:t>
            </w:r>
            <w:bookmarkEnd w:id="856"/>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67A3C48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57" w:name="_DV_C2410"/>
            <w:r w:rsidRPr="002A2EA6">
              <w:rPr>
                <w:rStyle w:val="DeltaViewInsertion"/>
                <w:rFonts w:eastAsia="SimSun"/>
                <w:color w:val="auto"/>
                <w:sz w:val="18"/>
                <w:szCs w:val="18"/>
                <w:u w:val="none"/>
              </w:rPr>
              <w:t>Saint-Kitts-et Nevis</w:t>
            </w:r>
            <w:bookmarkEnd w:id="857"/>
          </w:p>
        </w:tc>
        <w:tc>
          <w:tcPr>
            <w:tcW w:w="1701" w:type="dxa"/>
            <w:tcBorders>
              <w:top w:val="nil"/>
              <w:left w:val="nil"/>
              <w:bottom w:val="nil"/>
              <w:right w:val="nil"/>
            </w:tcBorders>
            <w:shd w:val="clear" w:color="auto" w:fill="auto"/>
          </w:tcPr>
          <w:p w14:paraId="10B6985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58" w:name="_DV_C2411"/>
            <w:r w:rsidRPr="002A2EA6">
              <w:rPr>
                <w:rStyle w:val="DeltaViewInsertion"/>
                <w:rFonts w:eastAsia="SimSun"/>
                <w:color w:val="auto"/>
                <w:sz w:val="18"/>
                <w:szCs w:val="18"/>
                <w:u w:val="none"/>
              </w:rPr>
              <w:t>0,001</w:t>
            </w:r>
            <w:bookmarkEnd w:id="858"/>
          </w:p>
        </w:tc>
        <w:tc>
          <w:tcPr>
            <w:tcW w:w="1984" w:type="dxa"/>
            <w:tcBorders>
              <w:top w:val="nil"/>
              <w:left w:val="nil"/>
              <w:bottom w:val="nil"/>
              <w:right w:val="nil"/>
            </w:tcBorders>
            <w:shd w:val="clear" w:color="auto" w:fill="auto"/>
          </w:tcPr>
          <w:p w14:paraId="47FF887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59" w:name="_DV_C2412"/>
            <w:r w:rsidRPr="002A2EA6">
              <w:rPr>
                <w:rStyle w:val="DeltaViewInsertion"/>
                <w:rFonts w:eastAsia="SimSun"/>
                <w:color w:val="auto"/>
                <w:sz w:val="18"/>
                <w:szCs w:val="18"/>
                <w:u w:val="none"/>
              </w:rPr>
              <w:t>0,0100</w:t>
            </w:r>
            <w:bookmarkEnd w:id="859"/>
          </w:p>
        </w:tc>
        <w:tc>
          <w:tcPr>
            <w:tcW w:w="1985" w:type="dxa"/>
            <w:tcBorders>
              <w:top w:val="nil"/>
              <w:left w:val="nil"/>
              <w:bottom w:val="nil"/>
              <w:right w:val="nil"/>
            </w:tcBorders>
            <w:shd w:val="clear" w:color="auto" w:fill="auto"/>
          </w:tcPr>
          <w:p w14:paraId="312319E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60" w:name="_DV_C2413"/>
            <w:r w:rsidRPr="002A2EA6">
              <w:rPr>
                <w:rStyle w:val="DeltaViewInsertion"/>
                <w:rFonts w:eastAsia="SimSun"/>
                <w:color w:val="auto"/>
                <w:sz w:val="18"/>
                <w:szCs w:val="18"/>
                <w:u w:val="none"/>
              </w:rPr>
              <w:t xml:space="preserve">646 </w:t>
            </w:r>
            <w:bookmarkEnd w:id="860"/>
          </w:p>
        </w:tc>
      </w:tr>
      <w:tr w:rsidR="002A2EA6" w:rsidRPr="002A2EA6" w14:paraId="45434AF6" w14:textId="77777777" w:rsidTr="00A54D8B">
        <w:trPr>
          <w:trHeight w:val="57"/>
          <w:jc w:val="right"/>
        </w:trPr>
        <w:tc>
          <w:tcPr>
            <w:tcW w:w="709" w:type="dxa"/>
            <w:tcBorders>
              <w:top w:val="nil"/>
              <w:left w:val="nil"/>
              <w:bottom w:val="nil"/>
              <w:right w:val="nil"/>
            </w:tcBorders>
            <w:shd w:val="clear" w:color="auto" w:fill="auto"/>
          </w:tcPr>
          <w:p w14:paraId="414BABD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61" w:name="_DV_C2419"/>
            <w:r w:rsidRPr="002A2EA6">
              <w:rPr>
                <w:rStyle w:val="DeltaViewInsertion"/>
                <w:rFonts w:eastAsia="SimSun"/>
                <w:color w:val="auto"/>
                <w:sz w:val="18"/>
                <w:szCs w:val="18"/>
                <w:u w:val="none"/>
              </w:rPr>
              <w:t>94</w:t>
            </w:r>
            <w:bookmarkEnd w:id="861"/>
          </w:p>
        </w:tc>
        <w:tc>
          <w:tcPr>
            <w:tcW w:w="2552" w:type="dxa"/>
            <w:tcBorders>
              <w:top w:val="nil"/>
              <w:left w:val="nil"/>
              <w:bottom w:val="nil"/>
              <w:right w:val="nil"/>
            </w:tcBorders>
            <w:shd w:val="clear" w:color="auto" w:fill="auto"/>
          </w:tcPr>
          <w:p w14:paraId="0F0CA6A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62" w:name="_DV_C2420"/>
            <w:r w:rsidRPr="002A2EA6">
              <w:rPr>
                <w:rStyle w:val="DeltaViewInsertion"/>
                <w:rFonts w:eastAsia="SimSun"/>
                <w:color w:val="auto"/>
                <w:sz w:val="18"/>
                <w:szCs w:val="18"/>
                <w:u w:val="none"/>
              </w:rPr>
              <w:t>Suriname</w:t>
            </w:r>
            <w:bookmarkEnd w:id="862"/>
          </w:p>
        </w:tc>
        <w:tc>
          <w:tcPr>
            <w:tcW w:w="1701" w:type="dxa"/>
            <w:tcBorders>
              <w:top w:val="nil"/>
              <w:left w:val="nil"/>
              <w:bottom w:val="nil"/>
              <w:right w:val="nil"/>
            </w:tcBorders>
            <w:shd w:val="clear" w:color="auto" w:fill="auto"/>
          </w:tcPr>
          <w:p w14:paraId="73625A6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63" w:name="_DV_C2421"/>
            <w:r w:rsidRPr="002A2EA6">
              <w:rPr>
                <w:rStyle w:val="DeltaViewInsertion"/>
                <w:rFonts w:eastAsia="SimSun"/>
                <w:color w:val="auto"/>
                <w:sz w:val="18"/>
                <w:szCs w:val="18"/>
                <w:u w:val="none"/>
              </w:rPr>
              <w:t>0,005</w:t>
            </w:r>
            <w:bookmarkEnd w:id="863"/>
          </w:p>
        </w:tc>
        <w:tc>
          <w:tcPr>
            <w:tcW w:w="1984" w:type="dxa"/>
            <w:tcBorders>
              <w:top w:val="nil"/>
              <w:left w:val="nil"/>
              <w:bottom w:val="nil"/>
              <w:right w:val="nil"/>
            </w:tcBorders>
            <w:shd w:val="clear" w:color="auto" w:fill="auto"/>
          </w:tcPr>
          <w:p w14:paraId="1F33771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64" w:name="_DV_C2422"/>
            <w:r w:rsidRPr="002A2EA6">
              <w:rPr>
                <w:rStyle w:val="DeltaViewInsertion"/>
                <w:rFonts w:eastAsia="SimSun"/>
                <w:color w:val="auto"/>
                <w:sz w:val="18"/>
                <w:szCs w:val="18"/>
                <w:u w:val="none"/>
              </w:rPr>
              <w:t>0,0100</w:t>
            </w:r>
            <w:bookmarkEnd w:id="864"/>
          </w:p>
        </w:tc>
        <w:tc>
          <w:tcPr>
            <w:tcW w:w="1985" w:type="dxa"/>
            <w:tcBorders>
              <w:top w:val="nil"/>
              <w:left w:val="nil"/>
              <w:bottom w:val="nil"/>
              <w:right w:val="nil"/>
            </w:tcBorders>
            <w:shd w:val="clear" w:color="auto" w:fill="auto"/>
          </w:tcPr>
          <w:p w14:paraId="146D6EE0"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65" w:name="_DV_C2423"/>
            <w:r w:rsidRPr="002A2EA6">
              <w:rPr>
                <w:rStyle w:val="DeltaViewInsertion"/>
                <w:rFonts w:eastAsia="SimSun"/>
                <w:color w:val="auto"/>
                <w:sz w:val="18"/>
                <w:szCs w:val="18"/>
                <w:u w:val="none"/>
              </w:rPr>
              <w:t xml:space="preserve">646 </w:t>
            </w:r>
            <w:bookmarkEnd w:id="865"/>
          </w:p>
        </w:tc>
      </w:tr>
      <w:tr w:rsidR="002A2EA6" w:rsidRPr="002A2EA6" w14:paraId="38E448BF" w14:textId="77777777" w:rsidTr="00A54D8B">
        <w:trPr>
          <w:trHeight w:val="57"/>
          <w:jc w:val="right"/>
        </w:trPr>
        <w:tc>
          <w:tcPr>
            <w:tcW w:w="709" w:type="dxa"/>
            <w:tcBorders>
              <w:top w:val="nil"/>
              <w:left w:val="nil"/>
              <w:bottom w:val="single" w:sz="4" w:space="0" w:color="000000"/>
              <w:right w:val="nil"/>
            </w:tcBorders>
            <w:shd w:val="clear" w:color="auto" w:fill="auto"/>
          </w:tcPr>
          <w:p w14:paraId="419F9310"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66" w:name="_DV_C2424"/>
            <w:r w:rsidRPr="002A2EA6">
              <w:rPr>
                <w:rStyle w:val="DeltaViewInsertion"/>
                <w:rFonts w:eastAsia="SimSun"/>
                <w:color w:val="auto"/>
                <w:sz w:val="18"/>
                <w:szCs w:val="18"/>
                <w:u w:val="none"/>
              </w:rPr>
              <w:t>95</w:t>
            </w:r>
            <w:bookmarkEnd w:id="866"/>
          </w:p>
        </w:tc>
        <w:tc>
          <w:tcPr>
            <w:tcW w:w="2552" w:type="dxa"/>
            <w:tcBorders>
              <w:top w:val="nil"/>
              <w:left w:val="nil"/>
              <w:bottom w:val="single" w:sz="4" w:space="0" w:color="000000"/>
              <w:right w:val="nil"/>
            </w:tcBorders>
            <w:shd w:val="clear" w:color="auto" w:fill="auto"/>
          </w:tcPr>
          <w:p w14:paraId="21D9A288"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67" w:name="_DV_C2425"/>
            <w:r w:rsidRPr="002A2EA6">
              <w:rPr>
                <w:rStyle w:val="DeltaViewInsertion"/>
                <w:rFonts w:eastAsia="SimSun"/>
                <w:color w:val="auto"/>
                <w:sz w:val="18"/>
                <w:szCs w:val="18"/>
                <w:u w:val="none"/>
              </w:rPr>
              <w:t>Uruguay</w:t>
            </w:r>
            <w:bookmarkEnd w:id="867"/>
          </w:p>
        </w:tc>
        <w:tc>
          <w:tcPr>
            <w:tcW w:w="1701" w:type="dxa"/>
            <w:tcBorders>
              <w:top w:val="nil"/>
              <w:left w:val="nil"/>
              <w:bottom w:val="single" w:sz="4" w:space="0" w:color="000000"/>
              <w:right w:val="nil"/>
            </w:tcBorders>
            <w:shd w:val="clear" w:color="auto" w:fill="auto"/>
          </w:tcPr>
          <w:p w14:paraId="353D0D7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68" w:name="_DV_C2426"/>
            <w:r w:rsidRPr="002A2EA6">
              <w:rPr>
                <w:rStyle w:val="DeltaViewInsertion"/>
                <w:rFonts w:eastAsia="SimSun"/>
                <w:color w:val="auto"/>
                <w:sz w:val="18"/>
                <w:szCs w:val="18"/>
                <w:u w:val="none"/>
              </w:rPr>
              <w:t>0,087</w:t>
            </w:r>
            <w:bookmarkEnd w:id="868"/>
          </w:p>
        </w:tc>
        <w:tc>
          <w:tcPr>
            <w:tcW w:w="1984" w:type="dxa"/>
            <w:tcBorders>
              <w:top w:val="nil"/>
              <w:left w:val="nil"/>
              <w:bottom w:val="single" w:sz="4" w:space="0" w:color="000000"/>
              <w:right w:val="nil"/>
            </w:tcBorders>
            <w:shd w:val="clear" w:color="auto" w:fill="auto"/>
          </w:tcPr>
          <w:p w14:paraId="0239F10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69" w:name="_DV_C2427"/>
            <w:r w:rsidRPr="002A2EA6">
              <w:rPr>
                <w:rStyle w:val="DeltaViewInsertion"/>
                <w:rFonts w:eastAsia="SimSun"/>
                <w:color w:val="auto"/>
                <w:sz w:val="18"/>
                <w:szCs w:val="18"/>
                <w:u w:val="none"/>
              </w:rPr>
              <w:t>0,1066</w:t>
            </w:r>
            <w:bookmarkEnd w:id="869"/>
          </w:p>
        </w:tc>
        <w:tc>
          <w:tcPr>
            <w:tcW w:w="1985" w:type="dxa"/>
            <w:tcBorders>
              <w:top w:val="nil"/>
              <w:left w:val="nil"/>
              <w:bottom w:val="single" w:sz="4" w:space="0" w:color="000000"/>
              <w:right w:val="nil"/>
            </w:tcBorders>
            <w:shd w:val="clear" w:color="auto" w:fill="auto"/>
          </w:tcPr>
          <w:p w14:paraId="03DFB9B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0" w:name="_DV_C2428"/>
            <w:r w:rsidRPr="002A2EA6">
              <w:rPr>
                <w:rStyle w:val="DeltaViewInsertion"/>
                <w:rFonts w:eastAsia="SimSun"/>
                <w:color w:val="auto"/>
                <w:sz w:val="18"/>
                <w:szCs w:val="18"/>
                <w:u w:val="none"/>
              </w:rPr>
              <w:t xml:space="preserve">6 890 </w:t>
            </w:r>
            <w:bookmarkEnd w:id="870"/>
          </w:p>
        </w:tc>
      </w:tr>
      <w:tr w:rsidR="002A2EA6" w:rsidRPr="002A2EA6" w14:paraId="44635916" w14:textId="77777777" w:rsidTr="00A54D8B">
        <w:trPr>
          <w:trHeight w:val="57"/>
          <w:jc w:val="right"/>
        </w:trPr>
        <w:tc>
          <w:tcPr>
            <w:tcW w:w="4962" w:type="dxa"/>
            <w:gridSpan w:val="3"/>
            <w:tcBorders>
              <w:top w:val="single" w:sz="4" w:space="0" w:color="000000"/>
              <w:left w:val="nil"/>
              <w:bottom w:val="single" w:sz="4" w:space="0" w:color="000000"/>
              <w:right w:val="nil"/>
            </w:tcBorders>
            <w:shd w:val="clear" w:color="auto" w:fill="auto"/>
          </w:tcPr>
          <w:p w14:paraId="28C798C0" w14:textId="00663103"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871" w:name="_DV_C2429"/>
            <w:r w:rsidRPr="002A2EA6">
              <w:rPr>
                <w:rStyle w:val="DeltaViewInsertion"/>
                <w:rFonts w:eastAsia="SimSun"/>
                <w:b/>
                <w:color w:val="auto"/>
                <w:sz w:val="18"/>
                <w:szCs w:val="18"/>
                <w:u w:val="none"/>
              </w:rPr>
              <w:t>États d</w:t>
            </w:r>
            <w:r w:rsidR="00CA4DAC">
              <w:rPr>
                <w:rStyle w:val="DeltaViewInsertion"/>
                <w:rFonts w:eastAsia="SimSun"/>
                <w:b/>
                <w:color w:val="auto"/>
                <w:sz w:val="18"/>
                <w:szCs w:val="18"/>
                <w:u w:val="none"/>
              </w:rPr>
              <w:t>’</w:t>
            </w:r>
            <w:r w:rsidRPr="002A2EA6">
              <w:rPr>
                <w:rStyle w:val="DeltaViewInsertion"/>
                <w:rFonts w:eastAsia="SimSun"/>
                <w:b/>
                <w:color w:val="auto"/>
                <w:sz w:val="18"/>
                <w:szCs w:val="18"/>
                <w:u w:val="none"/>
              </w:rPr>
              <w:t>Europe occidentale et autres États (21)</w:t>
            </w:r>
            <w:bookmarkEnd w:id="871"/>
          </w:p>
        </w:tc>
        <w:tc>
          <w:tcPr>
            <w:tcW w:w="1984" w:type="dxa"/>
            <w:tcBorders>
              <w:top w:val="single" w:sz="4" w:space="0" w:color="000000"/>
              <w:left w:val="nil"/>
              <w:bottom w:val="single" w:sz="4" w:space="0" w:color="000000"/>
              <w:right w:val="nil"/>
            </w:tcBorders>
            <w:shd w:val="clear" w:color="auto" w:fill="auto"/>
          </w:tcPr>
          <w:p w14:paraId="0C3BD25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5" w:type="dxa"/>
            <w:tcBorders>
              <w:top w:val="single" w:sz="4" w:space="0" w:color="000000"/>
              <w:left w:val="nil"/>
              <w:bottom w:val="single" w:sz="4" w:space="0" w:color="000000"/>
              <w:right w:val="nil"/>
            </w:tcBorders>
            <w:shd w:val="clear" w:color="auto" w:fill="auto"/>
          </w:tcPr>
          <w:p w14:paraId="6E01569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r w:rsidRPr="002A2EA6">
              <w:rPr>
                <w:rFonts w:eastAsia="SimSun"/>
                <w:sz w:val="18"/>
                <w:szCs w:val="18"/>
              </w:rPr>
              <w:t xml:space="preserve"> </w:t>
            </w:r>
          </w:p>
        </w:tc>
      </w:tr>
      <w:tr w:rsidR="002A2EA6" w:rsidRPr="002A2EA6" w14:paraId="79132F72" w14:textId="77777777" w:rsidTr="00A54D8B">
        <w:trPr>
          <w:trHeight w:val="57"/>
          <w:jc w:val="right"/>
        </w:trPr>
        <w:tc>
          <w:tcPr>
            <w:tcW w:w="709" w:type="dxa"/>
            <w:tcBorders>
              <w:top w:val="nil"/>
              <w:left w:val="nil"/>
              <w:bottom w:val="nil"/>
              <w:right w:val="nil"/>
            </w:tcBorders>
            <w:shd w:val="clear" w:color="auto" w:fill="auto"/>
          </w:tcPr>
          <w:p w14:paraId="325D7B6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9</w:t>
            </w:r>
            <w:r w:rsidRPr="002A2EA6">
              <w:rPr>
                <w:sz w:val="18"/>
                <w:szCs w:val="18"/>
              </w:rPr>
              <w:t>6</w:t>
            </w:r>
          </w:p>
        </w:tc>
        <w:tc>
          <w:tcPr>
            <w:tcW w:w="2552" w:type="dxa"/>
            <w:tcBorders>
              <w:top w:val="nil"/>
              <w:left w:val="nil"/>
              <w:bottom w:val="nil"/>
              <w:right w:val="nil"/>
            </w:tcBorders>
            <w:shd w:val="clear" w:color="auto" w:fill="auto"/>
          </w:tcPr>
          <w:p w14:paraId="47550E0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A</w:t>
            </w:r>
            <w:r w:rsidRPr="002A2EA6">
              <w:rPr>
                <w:sz w:val="18"/>
                <w:szCs w:val="18"/>
              </w:rPr>
              <w:t>llemagne</w:t>
            </w:r>
          </w:p>
        </w:tc>
        <w:tc>
          <w:tcPr>
            <w:tcW w:w="1701" w:type="dxa"/>
            <w:tcBorders>
              <w:top w:val="nil"/>
              <w:left w:val="nil"/>
              <w:bottom w:val="nil"/>
              <w:right w:val="nil"/>
            </w:tcBorders>
            <w:shd w:val="clear" w:color="auto" w:fill="auto"/>
          </w:tcPr>
          <w:p w14:paraId="25078E3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2" w:name="_DV_C2467"/>
            <w:r w:rsidRPr="002A2EA6">
              <w:rPr>
                <w:rStyle w:val="DeltaViewInsertion"/>
                <w:rFonts w:eastAsia="SimSun"/>
                <w:color w:val="auto"/>
                <w:sz w:val="18"/>
                <w:szCs w:val="18"/>
                <w:u w:val="none"/>
              </w:rPr>
              <w:t>6,09</w:t>
            </w:r>
            <w:bookmarkEnd w:id="872"/>
          </w:p>
        </w:tc>
        <w:tc>
          <w:tcPr>
            <w:tcW w:w="1984" w:type="dxa"/>
            <w:tcBorders>
              <w:top w:val="nil"/>
              <w:left w:val="nil"/>
              <w:bottom w:val="nil"/>
              <w:right w:val="nil"/>
            </w:tcBorders>
            <w:shd w:val="clear" w:color="auto" w:fill="auto"/>
          </w:tcPr>
          <w:p w14:paraId="2DE88B6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3" w:name="_DV_C2468"/>
            <w:r w:rsidRPr="002A2EA6">
              <w:rPr>
                <w:rStyle w:val="DeltaViewInsertion"/>
                <w:rFonts w:eastAsia="SimSun"/>
                <w:color w:val="auto"/>
                <w:sz w:val="18"/>
                <w:szCs w:val="18"/>
                <w:u w:val="none"/>
              </w:rPr>
              <w:t>7,4624</w:t>
            </w:r>
            <w:bookmarkEnd w:id="873"/>
          </w:p>
        </w:tc>
        <w:tc>
          <w:tcPr>
            <w:tcW w:w="1985" w:type="dxa"/>
            <w:tcBorders>
              <w:top w:val="nil"/>
              <w:left w:val="nil"/>
              <w:bottom w:val="nil"/>
              <w:right w:val="nil"/>
            </w:tcBorders>
            <w:shd w:val="clear" w:color="auto" w:fill="auto"/>
          </w:tcPr>
          <w:p w14:paraId="4D38048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4" w:name="_DV_C2469"/>
            <w:r w:rsidRPr="002A2EA6">
              <w:rPr>
                <w:rStyle w:val="DeltaViewInsertion"/>
                <w:rFonts w:eastAsia="SimSun"/>
                <w:color w:val="auto"/>
                <w:sz w:val="18"/>
                <w:szCs w:val="18"/>
                <w:u w:val="none"/>
              </w:rPr>
              <w:t xml:space="preserve">482 303 </w:t>
            </w:r>
            <w:bookmarkEnd w:id="874"/>
          </w:p>
        </w:tc>
      </w:tr>
      <w:tr w:rsidR="002A2EA6" w:rsidRPr="002A2EA6" w14:paraId="1661C540" w14:textId="77777777" w:rsidTr="00A54D8B">
        <w:trPr>
          <w:trHeight w:val="57"/>
          <w:jc w:val="right"/>
        </w:trPr>
        <w:tc>
          <w:tcPr>
            <w:tcW w:w="709" w:type="dxa"/>
            <w:tcBorders>
              <w:top w:val="single" w:sz="4" w:space="0" w:color="000000"/>
              <w:left w:val="nil"/>
              <w:bottom w:val="nil"/>
              <w:right w:val="nil"/>
            </w:tcBorders>
            <w:shd w:val="clear" w:color="auto" w:fill="auto"/>
          </w:tcPr>
          <w:p w14:paraId="7010184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75" w:name="_DV_C2430"/>
            <w:r w:rsidRPr="002A2EA6">
              <w:rPr>
                <w:rStyle w:val="DeltaViewInsertion"/>
                <w:rFonts w:eastAsia="SimSun"/>
                <w:color w:val="auto"/>
                <w:sz w:val="18"/>
                <w:szCs w:val="18"/>
                <w:u w:val="none"/>
              </w:rPr>
              <w:t>97</w:t>
            </w:r>
            <w:bookmarkEnd w:id="875"/>
          </w:p>
        </w:tc>
        <w:tc>
          <w:tcPr>
            <w:tcW w:w="2552" w:type="dxa"/>
            <w:tcBorders>
              <w:top w:val="single" w:sz="4" w:space="0" w:color="000000"/>
              <w:left w:val="nil"/>
              <w:bottom w:val="nil"/>
              <w:right w:val="nil"/>
            </w:tcBorders>
            <w:shd w:val="clear" w:color="auto" w:fill="auto"/>
          </w:tcPr>
          <w:p w14:paraId="3480635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76" w:name="_DV_C2431"/>
            <w:r w:rsidRPr="002A2EA6">
              <w:rPr>
                <w:rStyle w:val="DeltaViewInsertion"/>
                <w:rFonts w:eastAsia="SimSun"/>
                <w:color w:val="auto"/>
                <w:sz w:val="18"/>
                <w:szCs w:val="18"/>
                <w:u w:val="none"/>
              </w:rPr>
              <w:t>Autri</w:t>
            </w:r>
            <w:bookmarkEnd w:id="876"/>
            <w:r w:rsidRPr="002A2EA6">
              <w:rPr>
                <w:rStyle w:val="DeltaViewInsertion"/>
                <w:rFonts w:eastAsia="SimSun"/>
                <w:color w:val="auto"/>
                <w:sz w:val="18"/>
                <w:szCs w:val="18"/>
                <w:u w:val="none"/>
              </w:rPr>
              <w:t>che</w:t>
            </w:r>
          </w:p>
        </w:tc>
        <w:tc>
          <w:tcPr>
            <w:tcW w:w="1701" w:type="dxa"/>
            <w:tcBorders>
              <w:top w:val="single" w:sz="4" w:space="0" w:color="000000"/>
              <w:left w:val="nil"/>
              <w:bottom w:val="nil"/>
              <w:right w:val="nil"/>
            </w:tcBorders>
            <w:shd w:val="clear" w:color="auto" w:fill="auto"/>
          </w:tcPr>
          <w:p w14:paraId="3C6FCAB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7" w:name="_DV_C2432"/>
            <w:r w:rsidRPr="002A2EA6">
              <w:rPr>
                <w:rStyle w:val="DeltaViewInsertion"/>
                <w:rFonts w:eastAsia="SimSun"/>
                <w:color w:val="auto"/>
                <w:sz w:val="18"/>
                <w:szCs w:val="18"/>
                <w:u w:val="none"/>
              </w:rPr>
              <w:t>0,677</w:t>
            </w:r>
            <w:bookmarkEnd w:id="877"/>
          </w:p>
        </w:tc>
        <w:tc>
          <w:tcPr>
            <w:tcW w:w="1984" w:type="dxa"/>
            <w:tcBorders>
              <w:top w:val="single" w:sz="4" w:space="0" w:color="000000"/>
              <w:left w:val="nil"/>
              <w:bottom w:val="nil"/>
              <w:right w:val="nil"/>
            </w:tcBorders>
            <w:shd w:val="clear" w:color="auto" w:fill="auto"/>
          </w:tcPr>
          <w:p w14:paraId="27C0743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8" w:name="_DV_C2433"/>
            <w:r w:rsidRPr="002A2EA6">
              <w:rPr>
                <w:rStyle w:val="DeltaViewInsertion"/>
                <w:rFonts w:eastAsia="SimSun"/>
                <w:color w:val="auto"/>
                <w:sz w:val="18"/>
                <w:szCs w:val="18"/>
                <w:u w:val="none"/>
              </w:rPr>
              <w:t>0,8296</w:t>
            </w:r>
            <w:bookmarkEnd w:id="878"/>
          </w:p>
        </w:tc>
        <w:tc>
          <w:tcPr>
            <w:tcW w:w="1985" w:type="dxa"/>
            <w:tcBorders>
              <w:top w:val="single" w:sz="4" w:space="0" w:color="000000"/>
              <w:left w:val="nil"/>
              <w:bottom w:val="nil"/>
              <w:right w:val="nil"/>
            </w:tcBorders>
            <w:shd w:val="clear" w:color="auto" w:fill="auto"/>
          </w:tcPr>
          <w:p w14:paraId="1D385D5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79" w:name="_DV_C2434"/>
            <w:r w:rsidRPr="002A2EA6">
              <w:rPr>
                <w:rStyle w:val="DeltaViewInsertion"/>
                <w:rFonts w:eastAsia="SimSun"/>
                <w:color w:val="auto"/>
                <w:sz w:val="18"/>
                <w:szCs w:val="18"/>
                <w:u w:val="none"/>
              </w:rPr>
              <w:t xml:space="preserve">53 616 </w:t>
            </w:r>
            <w:bookmarkEnd w:id="879"/>
          </w:p>
        </w:tc>
      </w:tr>
      <w:tr w:rsidR="002A2EA6" w:rsidRPr="002A2EA6" w14:paraId="38CE5C65" w14:textId="77777777" w:rsidTr="00A54D8B">
        <w:trPr>
          <w:trHeight w:val="57"/>
          <w:jc w:val="right"/>
        </w:trPr>
        <w:tc>
          <w:tcPr>
            <w:tcW w:w="709" w:type="dxa"/>
            <w:tcBorders>
              <w:top w:val="nil"/>
              <w:left w:val="nil"/>
              <w:bottom w:val="nil"/>
              <w:right w:val="nil"/>
            </w:tcBorders>
            <w:shd w:val="clear" w:color="auto" w:fill="auto"/>
          </w:tcPr>
          <w:p w14:paraId="3FD8D848"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80" w:name="_DV_C2435"/>
            <w:r w:rsidRPr="002A2EA6">
              <w:rPr>
                <w:rStyle w:val="DeltaViewInsertion"/>
                <w:rFonts w:eastAsia="SimSun"/>
                <w:color w:val="auto"/>
                <w:sz w:val="18"/>
                <w:szCs w:val="18"/>
                <w:u w:val="none"/>
              </w:rPr>
              <w:t>9</w:t>
            </w:r>
            <w:bookmarkEnd w:id="880"/>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7CEE063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81" w:name="_DV_C2436"/>
            <w:r w:rsidRPr="002A2EA6">
              <w:rPr>
                <w:rStyle w:val="DeltaViewInsertion"/>
                <w:rFonts w:eastAsia="SimSun"/>
                <w:color w:val="auto"/>
                <w:sz w:val="18"/>
                <w:szCs w:val="18"/>
                <w:u w:val="none"/>
              </w:rPr>
              <w:t>Belgi</w:t>
            </w:r>
            <w:bookmarkEnd w:id="881"/>
            <w:r w:rsidRPr="002A2EA6">
              <w:rPr>
                <w:rStyle w:val="DeltaViewInsertion"/>
                <w:rFonts w:eastAsia="SimSun"/>
                <w:color w:val="auto"/>
                <w:sz w:val="18"/>
                <w:szCs w:val="18"/>
                <w:u w:val="none"/>
              </w:rPr>
              <w:t>que</w:t>
            </w:r>
          </w:p>
        </w:tc>
        <w:tc>
          <w:tcPr>
            <w:tcW w:w="1701" w:type="dxa"/>
            <w:tcBorders>
              <w:top w:val="nil"/>
              <w:left w:val="nil"/>
              <w:bottom w:val="nil"/>
              <w:right w:val="nil"/>
            </w:tcBorders>
            <w:shd w:val="clear" w:color="auto" w:fill="auto"/>
          </w:tcPr>
          <w:p w14:paraId="52705CF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82" w:name="_DV_C2437"/>
            <w:r w:rsidRPr="002A2EA6">
              <w:rPr>
                <w:rStyle w:val="DeltaViewInsertion"/>
                <w:rFonts w:eastAsia="SimSun"/>
                <w:color w:val="auto"/>
                <w:sz w:val="18"/>
                <w:szCs w:val="18"/>
                <w:u w:val="none"/>
              </w:rPr>
              <w:t>0,821</w:t>
            </w:r>
            <w:bookmarkEnd w:id="882"/>
          </w:p>
        </w:tc>
        <w:tc>
          <w:tcPr>
            <w:tcW w:w="1984" w:type="dxa"/>
            <w:tcBorders>
              <w:top w:val="nil"/>
              <w:left w:val="nil"/>
              <w:bottom w:val="nil"/>
              <w:right w:val="nil"/>
            </w:tcBorders>
            <w:shd w:val="clear" w:color="auto" w:fill="auto"/>
          </w:tcPr>
          <w:p w14:paraId="3BAA6CF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83" w:name="_DV_C2438"/>
            <w:r w:rsidRPr="002A2EA6">
              <w:rPr>
                <w:rStyle w:val="DeltaViewInsertion"/>
                <w:rFonts w:eastAsia="SimSun"/>
                <w:color w:val="auto"/>
                <w:sz w:val="18"/>
                <w:szCs w:val="18"/>
                <w:u w:val="none"/>
              </w:rPr>
              <w:t>1,0060</w:t>
            </w:r>
            <w:bookmarkEnd w:id="883"/>
          </w:p>
        </w:tc>
        <w:tc>
          <w:tcPr>
            <w:tcW w:w="1985" w:type="dxa"/>
            <w:tcBorders>
              <w:top w:val="nil"/>
              <w:left w:val="nil"/>
              <w:bottom w:val="nil"/>
              <w:right w:val="nil"/>
            </w:tcBorders>
            <w:shd w:val="clear" w:color="auto" w:fill="auto"/>
          </w:tcPr>
          <w:p w14:paraId="1423B47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84" w:name="_DV_C2439"/>
            <w:r w:rsidRPr="002A2EA6">
              <w:rPr>
                <w:rStyle w:val="DeltaViewInsertion"/>
                <w:rFonts w:eastAsia="SimSun"/>
                <w:color w:val="auto"/>
                <w:sz w:val="18"/>
                <w:szCs w:val="18"/>
                <w:u w:val="none"/>
              </w:rPr>
              <w:t xml:space="preserve">65 020 </w:t>
            </w:r>
            <w:bookmarkEnd w:id="884"/>
          </w:p>
        </w:tc>
      </w:tr>
      <w:tr w:rsidR="002A2EA6" w:rsidRPr="002A2EA6" w14:paraId="10468C71" w14:textId="77777777" w:rsidTr="00A54D8B">
        <w:trPr>
          <w:trHeight w:val="57"/>
          <w:jc w:val="right"/>
        </w:trPr>
        <w:tc>
          <w:tcPr>
            <w:tcW w:w="709" w:type="dxa"/>
            <w:tcBorders>
              <w:top w:val="nil"/>
              <w:left w:val="nil"/>
              <w:bottom w:val="nil"/>
              <w:right w:val="nil"/>
            </w:tcBorders>
            <w:shd w:val="clear" w:color="auto" w:fill="auto"/>
          </w:tcPr>
          <w:p w14:paraId="5FBB668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85" w:name="_DV_C2440"/>
            <w:r w:rsidRPr="002A2EA6">
              <w:rPr>
                <w:rStyle w:val="DeltaViewInsertion"/>
                <w:rFonts w:eastAsia="SimSun"/>
                <w:color w:val="auto"/>
                <w:sz w:val="18"/>
                <w:szCs w:val="18"/>
                <w:u w:val="none"/>
              </w:rPr>
              <w:t>9</w:t>
            </w:r>
            <w:bookmarkEnd w:id="885"/>
            <w:r w:rsidRPr="002A2EA6">
              <w:rPr>
                <w:rStyle w:val="DeltaViewInsertion"/>
                <w:rFonts w:eastAsia="SimSun"/>
                <w:color w:val="auto"/>
                <w:sz w:val="18"/>
                <w:szCs w:val="18"/>
                <w:u w:val="none"/>
              </w:rPr>
              <w:t>9</w:t>
            </w:r>
          </w:p>
        </w:tc>
        <w:tc>
          <w:tcPr>
            <w:tcW w:w="2552" w:type="dxa"/>
            <w:tcBorders>
              <w:top w:val="nil"/>
              <w:left w:val="nil"/>
              <w:bottom w:val="nil"/>
              <w:right w:val="nil"/>
            </w:tcBorders>
            <w:shd w:val="clear" w:color="auto" w:fill="auto"/>
          </w:tcPr>
          <w:p w14:paraId="33585E92"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86" w:name="_DV_C2441"/>
            <w:r w:rsidRPr="002A2EA6">
              <w:rPr>
                <w:rStyle w:val="DeltaViewInsertion"/>
                <w:rFonts w:eastAsia="SimSun"/>
                <w:color w:val="auto"/>
                <w:sz w:val="18"/>
                <w:szCs w:val="18"/>
                <w:u w:val="none"/>
              </w:rPr>
              <w:t>Canada</w:t>
            </w:r>
            <w:bookmarkEnd w:id="886"/>
          </w:p>
        </w:tc>
        <w:tc>
          <w:tcPr>
            <w:tcW w:w="1701" w:type="dxa"/>
            <w:tcBorders>
              <w:top w:val="nil"/>
              <w:left w:val="nil"/>
              <w:bottom w:val="nil"/>
              <w:right w:val="nil"/>
            </w:tcBorders>
            <w:shd w:val="clear" w:color="auto" w:fill="auto"/>
          </w:tcPr>
          <w:p w14:paraId="6030DC9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87" w:name="_DV_C2442"/>
            <w:r w:rsidRPr="002A2EA6">
              <w:rPr>
                <w:rStyle w:val="DeltaViewInsertion"/>
                <w:rFonts w:eastAsia="SimSun"/>
                <w:color w:val="auto"/>
                <w:sz w:val="18"/>
                <w:szCs w:val="18"/>
                <w:u w:val="none"/>
              </w:rPr>
              <w:t>2,734</w:t>
            </w:r>
            <w:bookmarkEnd w:id="887"/>
          </w:p>
        </w:tc>
        <w:tc>
          <w:tcPr>
            <w:tcW w:w="1984" w:type="dxa"/>
            <w:tcBorders>
              <w:top w:val="nil"/>
              <w:left w:val="nil"/>
              <w:bottom w:val="nil"/>
              <w:right w:val="nil"/>
            </w:tcBorders>
            <w:shd w:val="clear" w:color="auto" w:fill="auto"/>
          </w:tcPr>
          <w:p w14:paraId="4D8C10C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88" w:name="_DV_C2443"/>
            <w:r w:rsidRPr="002A2EA6">
              <w:rPr>
                <w:rStyle w:val="DeltaViewInsertion"/>
                <w:rFonts w:eastAsia="SimSun"/>
                <w:color w:val="auto"/>
                <w:sz w:val="18"/>
                <w:szCs w:val="18"/>
                <w:u w:val="none"/>
              </w:rPr>
              <w:t>3,3501</w:t>
            </w:r>
            <w:bookmarkEnd w:id="888"/>
          </w:p>
        </w:tc>
        <w:tc>
          <w:tcPr>
            <w:tcW w:w="1985" w:type="dxa"/>
            <w:tcBorders>
              <w:top w:val="nil"/>
              <w:left w:val="nil"/>
              <w:bottom w:val="nil"/>
              <w:right w:val="nil"/>
            </w:tcBorders>
            <w:shd w:val="clear" w:color="auto" w:fill="auto"/>
          </w:tcPr>
          <w:p w14:paraId="116CA6C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89" w:name="_DV_C2444"/>
            <w:r w:rsidRPr="002A2EA6">
              <w:rPr>
                <w:rStyle w:val="DeltaViewInsertion"/>
                <w:rFonts w:eastAsia="SimSun"/>
                <w:color w:val="auto"/>
                <w:sz w:val="18"/>
                <w:szCs w:val="18"/>
                <w:u w:val="none"/>
              </w:rPr>
              <w:t xml:space="preserve">216 522 </w:t>
            </w:r>
            <w:bookmarkEnd w:id="889"/>
          </w:p>
        </w:tc>
      </w:tr>
      <w:tr w:rsidR="002A2EA6" w:rsidRPr="002A2EA6" w14:paraId="1E488F26" w14:textId="77777777" w:rsidTr="00A54D8B">
        <w:trPr>
          <w:trHeight w:val="57"/>
          <w:jc w:val="right"/>
        </w:trPr>
        <w:tc>
          <w:tcPr>
            <w:tcW w:w="709" w:type="dxa"/>
            <w:tcBorders>
              <w:top w:val="nil"/>
              <w:left w:val="nil"/>
              <w:right w:val="nil"/>
            </w:tcBorders>
            <w:shd w:val="clear" w:color="auto" w:fill="auto"/>
          </w:tcPr>
          <w:p w14:paraId="7D86795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1</w:t>
            </w:r>
            <w:r w:rsidRPr="002A2EA6">
              <w:rPr>
                <w:sz w:val="18"/>
                <w:szCs w:val="18"/>
              </w:rPr>
              <w:t>00</w:t>
            </w:r>
          </w:p>
        </w:tc>
        <w:tc>
          <w:tcPr>
            <w:tcW w:w="2552" w:type="dxa"/>
            <w:tcBorders>
              <w:top w:val="nil"/>
              <w:left w:val="nil"/>
              <w:right w:val="nil"/>
            </w:tcBorders>
            <w:shd w:val="clear" w:color="auto" w:fill="auto"/>
          </w:tcPr>
          <w:p w14:paraId="2AEA7BA4"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90" w:name="_DV_C2446"/>
            <w:r w:rsidRPr="002A2EA6">
              <w:rPr>
                <w:rStyle w:val="DeltaViewInsertion"/>
                <w:rFonts w:eastAsia="SimSun"/>
                <w:color w:val="auto"/>
                <w:sz w:val="18"/>
                <w:szCs w:val="18"/>
                <w:u w:val="none"/>
              </w:rPr>
              <w:t>Danemark</w:t>
            </w:r>
            <w:bookmarkEnd w:id="890"/>
          </w:p>
        </w:tc>
        <w:tc>
          <w:tcPr>
            <w:tcW w:w="1701" w:type="dxa"/>
            <w:tcBorders>
              <w:top w:val="nil"/>
              <w:left w:val="nil"/>
              <w:right w:val="nil"/>
            </w:tcBorders>
            <w:shd w:val="clear" w:color="auto" w:fill="auto"/>
          </w:tcPr>
          <w:p w14:paraId="0096057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91" w:name="_DV_C2447"/>
            <w:r w:rsidRPr="002A2EA6">
              <w:rPr>
                <w:rStyle w:val="DeltaViewInsertion"/>
                <w:rFonts w:eastAsia="SimSun"/>
                <w:color w:val="auto"/>
                <w:sz w:val="18"/>
                <w:szCs w:val="18"/>
                <w:u w:val="none"/>
              </w:rPr>
              <w:t>0,554</w:t>
            </w:r>
            <w:bookmarkEnd w:id="891"/>
          </w:p>
        </w:tc>
        <w:tc>
          <w:tcPr>
            <w:tcW w:w="1984" w:type="dxa"/>
            <w:tcBorders>
              <w:top w:val="nil"/>
              <w:left w:val="nil"/>
              <w:right w:val="nil"/>
            </w:tcBorders>
            <w:shd w:val="clear" w:color="auto" w:fill="auto"/>
          </w:tcPr>
          <w:p w14:paraId="165D6E1F"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92" w:name="_DV_C2448"/>
            <w:r w:rsidRPr="002A2EA6">
              <w:rPr>
                <w:rStyle w:val="DeltaViewInsertion"/>
                <w:rFonts w:eastAsia="SimSun"/>
                <w:color w:val="auto"/>
                <w:sz w:val="18"/>
                <w:szCs w:val="18"/>
                <w:u w:val="none"/>
              </w:rPr>
              <w:t>0,6788</w:t>
            </w:r>
            <w:bookmarkEnd w:id="892"/>
          </w:p>
        </w:tc>
        <w:tc>
          <w:tcPr>
            <w:tcW w:w="1985" w:type="dxa"/>
            <w:tcBorders>
              <w:top w:val="nil"/>
              <w:left w:val="nil"/>
              <w:right w:val="nil"/>
            </w:tcBorders>
            <w:shd w:val="clear" w:color="auto" w:fill="auto"/>
          </w:tcPr>
          <w:p w14:paraId="1956495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93" w:name="_DV_C2449"/>
            <w:r w:rsidRPr="002A2EA6">
              <w:rPr>
                <w:rStyle w:val="DeltaViewInsertion"/>
                <w:rFonts w:eastAsia="SimSun"/>
                <w:color w:val="auto"/>
                <w:sz w:val="18"/>
                <w:szCs w:val="18"/>
                <w:u w:val="none"/>
              </w:rPr>
              <w:t xml:space="preserve">43 875 </w:t>
            </w:r>
            <w:bookmarkEnd w:id="893"/>
          </w:p>
        </w:tc>
      </w:tr>
      <w:tr w:rsidR="002A2EA6" w:rsidRPr="002A2EA6" w14:paraId="22B3630E" w14:textId="77777777" w:rsidTr="00A54D8B">
        <w:trPr>
          <w:trHeight w:val="57"/>
          <w:jc w:val="right"/>
        </w:trPr>
        <w:tc>
          <w:tcPr>
            <w:tcW w:w="709" w:type="dxa"/>
            <w:tcBorders>
              <w:top w:val="nil"/>
              <w:left w:val="nil"/>
              <w:right w:val="nil"/>
            </w:tcBorders>
            <w:shd w:val="clear" w:color="auto" w:fill="auto"/>
          </w:tcPr>
          <w:p w14:paraId="60A85C4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94" w:name="_DV_C2530"/>
            <w:r w:rsidRPr="002A2EA6">
              <w:rPr>
                <w:rStyle w:val="DeltaViewInsertion"/>
                <w:rFonts w:eastAsia="SimSun"/>
                <w:color w:val="auto"/>
                <w:sz w:val="18"/>
                <w:szCs w:val="18"/>
                <w:u w:val="none"/>
              </w:rPr>
              <w:t>1</w:t>
            </w:r>
            <w:bookmarkEnd w:id="894"/>
            <w:r w:rsidRPr="002A2EA6">
              <w:rPr>
                <w:rStyle w:val="DeltaViewInsertion"/>
                <w:rFonts w:eastAsia="SimSun"/>
                <w:color w:val="auto"/>
                <w:sz w:val="18"/>
                <w:szCs w:val="18"/>
                <w:u w:val="none"/>
              </w:rPr>
              <w:t>01</w:t>
            </w:r>
          </w:p>
        </w:tc>
        <w:tc>
          <w:tcPr>
            <w:tcW w:w="2552" w:type="dxa"/>
            <w:tcBorders>
              <w:top w:val="nil"/>
              <w:left w:val="nil"/>
              <w:right w:val="nil"/>
            </w:tcBorders>
            <w:shd w:val="clear" w:color="auto" w:fill="auto"/>
          </w:tcPr>
          <w:p w14:paraId="35E95CE9" w14:textId="0E217B92"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895" w:name="_DV_C2531"/>
            <w:r w:rsidRPr="002A2EA6">
              <w:rPr>
                <w:rStyle w:val="DeltaViewInsertion"/>
                <w:rFonts w:eastAsia="SimSun"/>
                <w:color w:val="auto"/>
                <w:sz w:val="18"/>
                <w:szCs w:val="18"/>
                <w:u w:val="none"/>
              </w:rPr>
              <w:t>États-Unis d</w:t>
            </w:r>
            <w:r w:rsidR="00CA4DAC">
              <w:rPr>
                <w:rStyle w:val="DeltaViewInsertion"/>
                <w:rFonts w:eastAsia="SimSun"/>
                <w:color w:val="auto"/>
                <w:sz w:val="18"/>
                <w:szCs w:val="18"/>
                <w:u w:val="none"/>
              </w:rPr>
              <w:t>’</w:t>
            </w:r>
            <w:r w:rsidRPr="002A2EA6">
              <w:rPr>
                <w:rStyle w:val="DeltaViewInsertion"/>
                <w:rFonts w:eastAsia="SimSun"/>
                <w:color w:val="auto"/>
                <w:sz w:val="18"/>
                <w:szCs w:val="18"/>
                <w:u w:val="none"/>
              </w:rPr>
              <w:t xml:space="preserve">Amérique </w:t>
            </w:r>
            <w:bookmarkEnd w:id="895"/>
          </w:p>
        </w:tc>
        <w:tc>
          <w:tcPr>
            <w:tcW w:w="1701" w:type="dxa"/>
            <w:tcBorders>
              <w:top w:val="nil"/>
              <w:left w:val="nil"/>
              <w:right w:val="nil"/>
            </w:tcBorders>
            <w:shd w:val="clear" w:color="auto" w:fill="auto"/>
          </w:tcPr>
          <w:p w14:paraId="549E268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96" w:name="_DV_C2532"/>
            <w:r w:rsidRPr="002A2EA6">
              <w:rPr>
                <w:rStyle w:val="DeltaViewInsertion"/>
                <w:rFonts w:eastAsia="SimSun"/>
                <w:color w:val="auto"/>
                <w:sz w:val="18"/>
                <w:szCs w:val="18"/>
                <w:u w:val="none"/>
              </w:rPr>
              <w:t>22,000</w:t>
            </w:r>
            <w:bookmarkEnd w:id="896"/>
          </w:p>
        </w:tc>
        <w:tc>
          <w:tcPr>
            <w:tcW w:w="1984" w:type="dxa"/>
            <w:tcBorders>
              <w:top w:val="nil"/>
              <w:left w:val="nil"/>
              <w:right w:val="nil"/>
            </w:tcBorders>
            <w:shd w:val="clear" w:color="auto" w:fill="auto"/>
          </w:tcPr>
          <w:p w14:paraId="523887E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97" w:name="_DV_C2533"/>
            <w:r w:rsidRPr="002A2EA6">
              <w:rPr>
                <w:rStyle w:val="DeltaViewInsertion"/>
                <w:rFonts w:eastAsia="SimSun"/>
                <w:color w:val="auto"/>
                <w:sz w:val="18"/>
                <w:szCs w:val="18"/>
                <w:u w:val="none"/>
              </w:rPr>
              <w:t>22,0000</w:t>
            </w:r>
            <w:bookmarkEnd w:id="897"/>
          </w:p>
        </w:tc>
        <w:tc>
          <w:tcPr>
            <w:tcW w:w="1985" w:type="dxa"/>
            <w:tcBorders>
              <w:top w:val="nil"/>
              <w:left w:val="nil"/>
              <w:right w:val="nil"/>
            </w:tcBorders>
            <w:shd w:val="clear" w:color="auto" w:fill="auto"/>
          </w:tcPr>
          <w:p w14:paraId="5DC326C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898" w:name="_DV_C2534"/>
            <w:r w:rsidRPr="002A2EA6">
              <w:rPr>
                <w:rStyle w:val="DeltaViewInsertion"/>
                <w:rFonts w:eastAsia="SimSun"/>
                <w:color w:val="auto"/>
                <w:sz w:val="18"/>
                <w:szCs w:val="18"/>
                <w:u w:val="none"/>
              </w:rPr>
              <w:t xml:space="preserve">1 421 885 </w:t>
            </w:r>
            <w:bookmarkEnd w:id="898"/>
          </w:p>
        </w:tc>
      </w:tr>
      <w:tr w:rsidR="002A2EA6" w:rsidRPr="002A2EA6" w14:paraId="594865FE" w14:textId="77777777" w:rsidTr="00A54D8B">
        <w:trPr>
          <w:trHeight w:val="57"/>
          <w:jc w:val="right"/>
        </w:trPr>
        <w:tc>
          <w:tcPr>
            <w:tcW w:w="709" w:type="dxa"/>
            <w:tcBorders>
              <w:left w:val="nil"/>
              <w:bottom w:val="nil"/>
              <w:right w:val="nil"/>
            </w:tcBorders>
            <w:shd w:val="clear" w:color="auto" w:fill="auto"/>
          </w:tcPr>
          <w:p w14:paraId="56EBE3DB"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899" w:name="_DV_C2455"/>
            <w:r w:rsidRPr="002A2EA6">
              <w:rPr>
                <w:rStyle w:val="DeltaViewInsertion"/>
                <w:rFonts w:eastAsia="SimSun"/>
                <w:color w:val="auto"/>
                <w:sz w:val="18"/>
                <w:szCs w:val="18"/>
                <w:u w:val="none"/>
              </w:rPr>
              <w:t>10</w:t>
            </w:r>
            <w:bookmarkEnd w:id="899"/>
            <w:r w:rsidRPr="002A2EA6">
              <w:rPr>
                <w:rStyle w:val="DeltaViewInsertion"/>
                <w:rFonts w:eastAsia="SimSun"/>
                <w:color w:val="auto"/>
                <w:sz w:val="18"/>
                <w:szCs w:val="18"/>
                <w:u w:val="none"/>
              </w:rPr>
              <w:t>2</w:t>
            </w:r>
          </w:p>
        </w:tc>
        <w:tc>
          <w:tcPr>
            <w:tcW w:w="2552" w:type="dxa"/>
            <w:tcBorders>
              <w:left w:val="nil"/>
              <w:bottom w:val="nil"/>
              <w:right w:val="nil"/>
            </w:tcBorders>
            <w:shd w:val="clear" w:color="auto" w:fill="auto"/>
          </w:tcPr>
          <w:p w14:paraId="3291253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00" w:name="_DV_C2456"/>
            <w:r w:rsidRPr="002A2EA6">
              <w:rPr>
                <w:rStyle w:val="DeltaViewInsertion"/>
                <w:rFonts w:eastAsia="SimSun"/>
                <w:color w:val="auto"/>
                <w:sz w:val="18"/>
                <w:szCs w:val="18"/>
                <w:u w:val="none"/>
              </w:rPr>
              <w:t>Finland</w:t>
            </w:r>
            <w:bookmarkEnd w:id="900"/>
            <w:r w:rsidRPr="002A2EA6">
              <w:rPr>
                <w:rStyle w:val="DeltaViewInsertion"/>
                <w:rFonts w:eastAsia="SimSun"/>
                <w:color w:val="auto"/>
                <w:sz w:val="18"/>
                <w:szCs w:val="18"/>
                <w:u w:val="none"/>
              </w:rPr>
              <w:t>e</w:t>
            </w:r>
          </w:p>
        </w:tc>
        <w:tc>
          <w:tcPr>
            <w:tcW w:w="1701" w:type="dxa"/>
            <w:tcBorders>
              <w:left w:val="nil"/>
              <w:bottom w:val="nil"/>
              <w:right w:val="nil"/>
            </w:tcBorders>
            <w:shd w:val="clear" w:color="auto" w:fill="auto"/>
          </w:tcPr>
          <w:p w14:paraId="054EAFD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01" w:name="_DV_C2457"/>
            <w:r w:rsidRPr="002A2EA6">
              <w:rPr>
                <w:rStyle w:val="DeltaViewInsertion"/>
                <w:rFonts w:eastAsia="SimSun"/>
                <w:color w:val="auto"/>
                <w:sz w:val="18"/>
                <w:szCs w:val="18"/>
                <w:u w:val="none"/>
              </w:rPr>
              <w:t>0,421</w:t>
            </w:r>
            <w:bookmarkEnd w:id="901"/>
          </w:p>
        </w:tc>
        <w:tc>
          <w:tcPr>
            <w:tcW w:w="1984" w:type="dxa"/>
            <w:tcBorders>
              <w:left w:val="nil"/>
              <w:bottom w:val="nil"/>
              <w:right w:val="nil"/>
            </w:tcBorders>
            <w:shd w:val="clear" w:color="auto" w:fill="auto"/>
          </w:tcPr>
          <w:p w14:paraId="36BB94C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02" w:name="_DV_C2458"/>
            <w:r w:rsidRPr="002A2EA6">
              <w:rPr>
                <w:rStyle w:val="DeltaViewInsertion"/>
                <w:rFonts w:eastAsia="SimSun"/>
                <w:color w:val="auto"/>
                <w:sz w:val="18"/>
                <w:szCs w:val="18"/>
                <w:u w:val="none"/>
              </w:rPr>
              <w:t>0,5159</w:t>
            </w:r>
            <w:bookmarkEnd w:id="902"/>
          </w:p>
        </w:tc>
        <w:tc>
          <w:tcPr>
            <w:tcW w:w="1985" w:type="dxa"/>
            <w:tcBorders>
              <w:left w:val="nil"/>
              <w:bottom w:val="nil"/>
              <w:right w:val="nil"/>
            </w:tcBorders>
            <w:shd w:val="clear" w:color="auto" w:fill="auto"/>
          </w:tcPr>
          <w:p w14:paraId="55487F4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03" w:name="_DV_C2459"/>
            <w:r w:rsidRPr="002A2EA6">
              <w:rPr>
                <w:rStyle w:val="DeltaViewInsertion"/>
                <w:rFonts w:eastAsia="SimSun"/>
                <w:color w:val="auto"/>
                <w:sz w:val="18"/>
                <w:szCs w:val="18"/>
                <w:u w:val="none"/>
              </w:rPr>
              <w:t xml:space="preserve">33 341 </w:t>
            </w:r>
            <w:bookmarkEnd w:id="903"/>
          </w:p>
        </w:tc>
      </w:tr>
      <w:tr w:rsidR="002A2EA6" w:rsidRPr="002A2EA6" w14:paraId="6290228E" w14:textId="77777777" w:rsidTr="00A54D8B">
        <w:trPr>
          <w:trHeight w:val="57"/>
          <w:jc w:val="right"/>
        </w:trPr>
        <w:tc>
          <w:tcPr>
            <w:tcW w:w="709" w:type="dxa"/>
            <w:tcBorders>
              <w:top w:val="nil"/>
              <w:left w:val="nil"/>
              <w:bottom w:val="nil"/>
              <w:right w:val="nil"/>
            </w:tcBorders>
            <w:shd w:val="clear" w:color="auto" w:fill="auto"/>
          </w:tcPr>
          <w:p w14:paraId="497DA3E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04" w:name="_DV_C2460"/>
            <w:r w:rsidRPr="002A2EA6">
              <w:rPr>
                <w:rStyle w:val="DeltaViewInsertion"/>
                <w:rFonts w:eastAsia="SimSun"/>
                <w:color w:val="auto"/>
                <w:sz w:val="18"/>
                <w:szCs w:val="18"/>
                <w:u w:val="none"/>
              </w:rPr>
              <w:t>10</w:t>
            </w:r>
            <w:bookmarkEnd w:id="904"/>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7404CA1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05" w:name="_DV_C2461"/>
            <w:r w:rsidRPr="002A2EA6">
              <w:rPr>
                <w:rStyle w:val="DeltaViewInsertion"/>
                <w:rFonts w:eastAsia="SimSun"/>
                <w:color w:val="auto"/>
                <w:sz w:val="18"/>
                <w:szCs w:val="18"/>
                <w:u w:val="none"/>
              </w:rPr>
              <w:t>France</w:t>
            </w:r>
            <w:bookmarkEnd w:id="905"/>
          </w:p>
        </w:tc>
        <w:tc>
          <w:tcPr>
            <w:tcW w:w="1701" w:type="dxa"/>
            <w:tcBorders>
              <w:top w:val="nil"/>
              <w:left w:val="nil"/>
              <w:bottom w:val="nil"/>
              <w:right w:val="nil"/>
            </w:tcBorders>
            <w:shd w:val="clear" w:color="auto" w:fill="auto"/>
          </w:tcPr>
          <w:p w14:paraId="76C924D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06" w:name="_DV_C2462"/>
            <w:r w:rsidRPr="002A2EA6">
              <w:rPr>
                <w:rStyle w:val="DeltaViewInsertion"/>
                <w:rFonts w:eastAsia="SimSun"/>
                <w:color w:val="auto"/>
                <w:sz w:val="18"/>
                <w:szCs w:val="18"/>
                <w:u w:val="none"/>
              </w:rPr>
              <w:t>4,427</w:t>
            </w:r>
            <w:bookmarkEnd w:id="906"/>
          </w:p>
        </w:tc>
        <w:tc>
          <w:tcPr>
            <w:tcW w:w="1984" w:type="dxa"/>
            <w:tcBorders>
              <w:top w:val="nil"/>
              <w:left w:val="nil"/>
              <w:bottom w:val="nil"/>
              <w:right w:val="nil"/>
            </w:tcBorders>
            <w:shd w:val="clear" w:color="auto" w:fill="auto"/>
          </w:tcPr>
          <w:p w14:paraId="1D97930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07" w:name="_DV_C2463"/>
            <w:r w:rsidRPr="002A2EA6">
              <w:rPr>
                <w:rStyle w:val="DeltaViewInsertion"/>
                <w:rFonts w:eastAsia="SimSun"/>
                <w:color w:val="auto"/>
                <w:sz w:val="18"/>
                <w:szCs w:val="18"/>
                <w:u w:val="none"/>
              </w:rPr>
              <w:t>5,4246</w:t>
            </w:r>
            <w:bookmarkEnd w:id="907"/>
          </w:p>
        </w:tc>
        <w:tc>
          <w:tcPr>
            <w:tcW w:w="1985" w:type="dxa"/>
            <w:tcBorders>
              <w:top w:val="nil"/>
              <w:left w:val="nil"/>
              <w:bottom w:val="nil"/>
              <w:right w:val="nil"/>
            </w:tcBorders>
            <w:shd w:val="clear" w:color="auto" w:fill="auto"/>
          </w:tcPr>
          <w:p w14:paraId="5AF0CA5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08" w:name="_DV_C2464"/>
            <w:r w:rsidRPr="002A2EA6">
              <w:rPr>
                <w:rStyle w:val="DeltaViewInsertion"/>
                <w:rFonts w:eastAsia="SimSun"/>
                <w:color w:val="auto"/>
                <w:sz w:val="18"/>
                <w:szCs w:val="18"/>
                <w:u w:val="none"/>
              </w:rPr>
              <w:t xml:space="preserve">350 600 </w:t>
            </w:r>
            <w:bookmarkEnd w:id="908"/>
          </w:p>
        </w:tc>
      </w:tr>
      <w:tr w:rsidR="002A2EA6" w:rsidRPr="002A2EA6" w14:paraId="6CAA782E" w14:textId="77777777" w:rsidTr="00A54D8B">
        <w:trPr>
          <w:trHeight w:val="57"/>
          <w:jc w:val="right"/>
        </w:trPr>
        <w:tc>
          <w:tcPr>
            <w:tcW w:w="709" w:type="dxa"/>
            <w:tcBorders>
              <w:top w:val="nil"/>
              <w:left w:val="nil"/>
              <w:bottom w:val="nil"/>
              <w:right w:val="nil"/>
            </w:tcBorders>
            <w:shd w:val="clear" w:color="auto" w:fill="auto"/>
          </w:tcPr>
          <w:p w14:paraId="4E8A9A72"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09" w:name="_DV_C2475"/>
            <w:r w:rsidRPr="002A2EA6">
              <w:rPr>
                <w:rStyle w:val="DeltaViewInsertion"/>
                <w:rFonts w:eastAsia="SimSun"/>
                <w:color w:val="auto"/>
                <w:sz w:val="18"/>
                <w:szCs w:val="18"/>
                <w:u w:val="none"/>
              </w:rPr>
              <w:t>10</w:t>
            </w:r>
            <w:bookmarkEnd w:id="909"/>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3653E0B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10" w:name="_DV_C2476"/>
            <w:r w:rsidRPr="002A2EA6">
              <w:rPr>
                <w:rStyle w:val="DeltaViewInsertion"/>
                <w:rFonts w:eastAsia="SimSun"/>
                <w:color w:val="auto"/>
                <w:sz w:val="18"/>
                <w:szCs w:val="18"/>
                <w:u w:val="none"/>
              </w:rPr>
              <w:t>Irland</w:t>
            </w:r>
            <w:bookmarkEnd w:id="910"/>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4AE12D3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11" w:name="_DV_C2477"/>
            <w:r w:rsidRPr="002A2EA6">
              <w:rPr>
                <w:rStyle w:val="DeltaViewInsertion"/>
                <w:rFonts w:eastAsia="SimSun"/>
                <w:color w:val="auto"/>
                <w:sz w:val="18"/>
                <w:szCs w:val="18"/>
                <w:u w:val="none"/>
              </w:rPr>
              <w:t>0,371</w:t>
            </w:r>
            <w:bookmarkEnd w:id="911"/>
          </w:p>
        </w:tc>
        <w:tc>
          <w:tcPr>
            <w:tcW w:w="1984" w:type="dxa"/>
            <w:tcBorders>
              <w:top w:val="nil"/>
              <w:left w:val="nil"/>
              <w:bottom w:val="nil"/>
              <w:right w:val="nil"/>
            </w:tcBorders>
            <w:shd w:val="clear" w:color="auto" w:fill="auto"/>
          </w:tcPr>
          <w:p w14:paraId="3B8F80A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12" w:name="_DV_C2478"/>
            <w:r w:rsidRPr="002A2EA6">
              <w:rPr>
                <w:rStyle w:val="DeltaViewInsertion"/>
                <w:rFonts w:eastAsia="SimSun"/>
                <w:color w:val="auto"/>
                <w:sz w:val="18"/>
                <w:szCs w:val="18"/>
                <w:u w:val="none"/>
              </w:rPr>
              <w:t>0,4546</w:t>
            </w:r>
            <w:bookmarkEnd w:id="912"/>
          </w:p>
        </w:tc>
        <w:tc>
          <w:tcPr>
            <w:tcW w:w="1985" w:type="dxa"/>
            <w:tcBorders>
              <w:top w:val="nil"/>
              <w:left w:val="nil"/>
              <w:bottom w:val="nil"/>
              <w:right w:val="nil"/>
            </w:tcBorders>
            <w:shd w:val="clear" w:color="auto" w:fill="auto"/>
          </w:tcPr>
          <w:p w14:paraId="0B48387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13" w:name="_DV_C2479"/>
            <w:r w:rsidRPr="002A2EA6">
              <w:rPr>
                <w:rStyle w:val="DeltaViewInsertion"/>
                <w:rFonts w:eastAsia="SimSun"/>
                <w:color w:val="auto"/>
                <w:sz w:val="18"/>
                <w:szCs w:val="18"/>
                <w:u w:val="none"/>
              </w:rPr>
              <w:t xml:space="preserve">29 382 </w:t>
            </w:r>
            <w:bookmarkEnd w:id="913"/>
          </w:p>
        </w:tc>
      </w:tr>
      <w:tr w:rsidR="002A2EA6" w:rsidRPr="002A2EA6" w14:paraId="6DACC9D2" w14:textId="77777777" w:rsidTr="00A54D8B">
        <w:trPr>
          <w:trHeight w:val="57"/>
          <w:jc w:val="right"/>
        </w:trPr>
        <w:tc>
          <w:tcPr>
            <w:tcW w:w="709" w:type="dxa"/>
            <w:tcBorders>
              <w:top w:val="nil"/>
              <w:left w:val="nil"/>
              <w:bottom w:val="nil"/>
              <w:right w:val="nil"/>
            </w:tcBorders>
            <w:shd w:val="clear" w:color="auto" w:fill="auto"/>
          </w:tcPr>
          <w:p w14:paraId="62D165D5"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14" w:name="_DV_C2470"/>
            <w:r w:rsidRPr="002A2EA6">
              <w:rPr>
                <w:rStyle w:val="DeltaViewInsertion"/>
                <w:rFonts w:eastAsia="SimSun"/>
                <w:color w:val="auto"/>
                <w:sz w:val="18"/>
                <w:szCs w:val="18"/>
                <w:u w:val="none"/>
              </w:rPr>
              <w:t>10</w:t>
            </w:r>
            <w:bookmarkEnd w:id="914"/>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163C969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15" w:name="_DV_C2471"/>
            <w:r w:rsidRPr="002A2EA6">
              <w:rPr>
                <w:rStyle w:val="DeltaViewInsertion"/>
                <w:rFonts w:eastAsia="SimSun"/>
                <w:color w:val="auto"/>
                <w:sz w:val="18"/>
                <w:szCs w:val="18"/>
                <w:u w:val="none"/>
              </w:rPr>
              <w:t>I</w:t>
            </w:r>
            <w:bookmarkEnd w:id="915"/>
            <w:r w:rsidRPr="002A2EA6">
              <w:rPr>
                <w:rStyle w:val="DeltaViewInsertion"/>
                <w:rFonts w:eastAsia="SimSun"/>
                <w:color w:val="auto"/>
                <w:sz w:val="18"/>
                <w:szCs w:val="18"/>
                <w:u w:val="none"/>
              </w:rPr>
              <w:t>slande</w:t>
            </w:r>
          </w:p>
        </w:tc>
        <w:tc>
          <w:tcPr>
            <w:tcW w:w="1701" w:type="dxa"/>
            <w:tcBorders>
              <w:top w:val="nil"/>
              <w:left w:val="nil"/>
              <w:bottom w:val="nil"/>
              <w:right w:val="nil"/>
            </w:tcBorders>
            <w:shd w:val="clear" w:color="auto" w:fill="auto"/>
          </w:tcPr>
          <w:p w14:paraId="2D69DC2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16" w:name="_DV_C2472"/>
            <w:r w:rsidRPr="002A2EA6">
              <w:rPr>
                <w:rStyle w:val="DeltaViewInsertion"/>
                <w:rFonts w:eastAsia="SimSun"/>
                <w:color w:val="auto"/>
                <w:sz w:val="18"/>
                <w:szCs w:val="18"/>
                <w:u w:val="none"/>
              </w:rPr>
              <w:t>0,028</w:t>
            </w:r>
            <w:bookmarkEnd w:id="916"/>
          </w:p>
        </w:tc>
        <w:tc>
          <w:tcPr>
            <w:tcW w:w="1984" w:type="dxa"/>
            <w:tcBorders>
              <w:top w:val="nil"/>
              <w:left w:val="nil"/>
              <w:bottom w:val="nil"/>
              <w:right w:val="nil"/>
            </w:tcBorders>
            <w:shd w:val="clear" w:color="auto" w:fill="auto"/>
          </w:tcPr>
          <w:p w14:paraId="512F679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17" w:name="_DV_C2473"/>
            <w:r w:rsidRPr="002A2EA6">
              <w:rPr>
                <w:rStyle w:val="DeltaViewInsertion"/>
                <w:rFonts w:eastAsia="SimSun"/>
                <w:color w:val="auto"/>
                <w:sz w:val="18"/>
                <w:szCs w:val="18"/>
                <w:u w:val="none"/>
              </w:rPr>
              <w:t>0,0343</w:t>
            </w:r>
            <w:bookmarkEnd w:id="917"/>
          </w:p>
        </w:tc>
        <w:tc>
          <w:tcPr>
            <w:tcW w:w="1985" w:type="dxa"/>
            <w:tcBorders>
              <w:top w:val="nil"/>
              <w:left w:val="nil"/>
              <w:bottom w:val="nil"/>
              <w:right w:val="nil"/>
            </w:tcBorders>
            <w:shd w:val="clear" w:color="auto" w:fill="auto"/>
          </w:tcPr>
          <w:p w14:paraId="22A6A24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18" w:name="_DV_C2474"/>
            <w:r w:rsidRPr="002A2EA6">
              <w:rPr>
                <w:rStyle w:val="DeltaViewInsertion"/>
                <w:rFonts w:eastAsia="SimSun"/>
                <w:color w:val="auto"/>
                <w:sz w:val="18"/>
                <w:szCs w:val="18"/>
                <w:u w:val="none"/>
              </w:rPr>
              <w:t xml:space="preserve">2 217 </w:t>
            </w:r>
            <w:bookmarkEnd w:id="918"/>
          </w:p>
        </w:tc>
      </w:tr>
      <w:tr w:rsidR="002A2EA6" w:rsidRPr="002A2EA6" w14:paraId="4CCED132" w14:textId="77777777" w:rsidTr="00A54D8B">
        <w:trPr>
          <w:trHeight w:val="57"/>
          <w:jc w:val="right"/>
        </w:trPr>
        <w:tc>
          <w:tcPr>
            <w:tcW w:w="709" w:type="dxa"/>
            <w:tcBorders>
              <w:top w:val="nil"/>
              <w:left w:val="nil"/>
              <w:bottom w:val="nil"/>
              <w:right w:val="nil"/>
            </w:tcBorders>
            <w:shd w:val="clear" w:color="auto" w:fill="auto"/>
          </w:tcPr>
          <w:p w14:paraId="18C76E6F"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19" w:name="_DV_C2480"/>
            <w:r w:rsidRPr="002A2EA6">
              <w:rPr>
                <w:rStyle w:val="DeltaViewInsertion"/>
                <w:rFonts w:eastAsia="SimSun"/>
                <w:color w:val="auto"/>
                <w:sz w:val="18"/>
                <w:szCs w:val="18"/>
                <w:u w:val="none"/>
              </w:rPr>
              <w:t>106</w:t>
            </w:r>
            <w:bookmarkEnd w:id="919"/>
          </w:p>
        </w:tc>
        <w:tc>
          <w:tcPr>
            <w:tcW w:w="2552" w:type="dxa"/>
            <w:tcBorders>
              <w:top w:val="nil"/>
              <w:left w:val="nil"/>
              <w:bottom w:val="nil"/>
              <w:right w:val="nil"/>
            </w:tcBorders>
            <w:shd w:val="clear" w:color="auto" w:fill="auto"/>
          </w:tcPr>
          <w:p w14:paraId="35E4569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20" w:name="_DV_C2481"/>
            <w:r w:rsidRPr="002A2EA6">
              <w:rPr>
                <w:rStyle w:val="DeltaViewInsertion"/>
                <w:rFonts w:eastAsia="SimSun"/>
                <w:color w:val="auto"/>
                <w:sz w:val="18"/>
                <w:szCs w:val="18"/>
                <w:u w:val="none"/>
              </w:rPr>
              <w:t>Liechtenstein</w:t>
            </w:r>
            <w:bookmarkEnd w:id="920"/>
          </w:p>
        </w:tc>
        <w:tc>
          <w:tcPr>
            <w:tcW w:w="1701" w:type="dxa"/>
            <w:tcBorders>
              <w:top w:val="nil"/>
              <w:left w:val="nil"/>
              <w:bottom w:val="nil"/>
              <w:right w:val="nil"/>
            </w:tcBorders>
            <w:shd w:val="clear" w:color="auto" w:fill="auto"/>
          </w:tcPr>
          <w:p w14:paraId="13DAB68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21" w:name="_DV_C2482"/>
            <w:r w:rsidRPr="002A2EA6">
              <w:rPr>
                <w:rStyle w:val="DeltaViewInsertion"/>
                <w:rFonts w:eastAsia="SimSun"/>
                <w:color w:val="auto"/>
                <w:sz w:val="18"/>
                <w:szCs w:val="18"/>
                <w:u w:val="none"/>
              </w:rPr>
              <w:t>0,009</w:t>
            </w:r>
            <w:bookmarkEnd w:id="921"/>
          </w:p>
        </w:tc>
        <w:tc>
          <w:tcPr>
            <w:tcW w:w="1984" w:type="dxa"/>
            <w:tcBorders>
              <w:top w:val="nil"/>
              <w:left w:val="nil"/>
              <w:bottom w:val="nil"/>
              <w:right w:val="nil"/>
            </w:tcBorders>
            <w:shd w:val="clear" w:color="auto" w:fill="auto"/>
          </w:tcPr>
          <w:p w14:paraId="4898FA1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22" w:name="_DV_C2483"/>
            <w:r w:rsidRPr="002A2EA6">
              <w:rPr>
                <w:rStyle w:val="DeltaViewInsertion"/>
                <w:rFonts w:eastAsia="SimSun"/>
                <w:color w:val="auto"/>
                <w:sz w:val="18"/>
                <w:szCs w:val="18"/>
                <w:u w:val="none"/>
              </w:rPr>
              <w:t>0,0110</w:t>
            </w:r>
            <w:bookmarkEnd w:id="922"/>
          </w:p>
        </w:tc>
        <w:tc>
          <w:tcPr>
            <w:tcW w:w="1985" w:type="dxa"/>
            <w:tcBorders>
              <w:top w:val="nil"/>
              <w:left w:val="nil"/>
              <w:bottom w:val="nil"/>
              <w:right w:val="nil"/>
            </w:tcBorders>
            <w:shd w:val="clear" w:color="auto" w:fill="auto"/>
          </w:tcPr>
          <w:p w14:paraId="2FBEFBCE"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23" w:name="_DV_C2484"/>
            <w:r w:rsidRPr="002A2EA6">
              <w:rPr>
                <w:rStyle w:val="DeltaViewInsertion"/>
                <w:rFonts w:eastAsia="SimSun"/>
                <w:color w:val="auto"/>
                <w:sz w:val="18"/>
                <w:szCs w:val="18"/>
                <w:u w:val="none"/>
              </w:rPr>
              <w:t xml:space="preserve">713 </w:t>
            </w:r>
            <w:bookmarkEnd w:id="923"/>
          </w:p>
        </w:tc>
      </w:tr>
      <w:tr w:rsidR="002A2EA6" w:rsidRPr="002A2EA6" w14:paraId="44D409CE" w14:textId="77777777" w:rsidTr="00A54D8B">
        <w:trPr>
          <w:trHeight w:val="57"/>
          <w:jc w:val="right"/>
        </w:trPr>
        <w:tc>
          <w:tcPr>
            <w:tcW w:w="709" w:type="dxa"/>
            <w:tcBorders>
              <w:top w:val="nil"/>
              <w:left w:val="nil"/>
              <w:bottom w:val="nil"/>
              <w:right w:val="nil"/>
            </w:tcBorders>
            <w:shd w:val="clear" w:color="auto" w:fill="auto"/>
          </w:tcPr>
          <w:p w14:paraId="353C505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24" w:name="_DV_C2485"/>
            <w:r w:rsidRPr="002A2EA6">
              <w:rPr>
                <w:rStyle w:val="DeltaViewInsertion"/>
                <w:rFonts w:eastAsia="SimSun"/>
                <w:color w:val="auto"/>
                <w:sz w:val="18"/>
                <w:szCs w:val="18"/>
                <w:u w:val="none"/>
              </w:rPr>
              <w:t>107</w:t>
            </w:r>
            <w:bookmarkEnd w:id="924"/>
          </w:p>
        </w:tc>
        <w:tc>
          <w:tcPr>
            <w:tcW w:w="2552" w:type="dxa"/>
            <w:tcBorders>
              <w:top w:val="nil"/>
              <w:left w:val="nil"/>
              <w:bottom w:val="nil"/>
              <w:right w:val="nil"/>
            </w:tcBorders>
            <w:shd w:val="clear" w:color="auto" w:fill="auto"/>
          </w:tcPr>
          <w:p w14:paraId="65E21581"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25" w:name="_DV_C2486"/>
            <w:r w:rsidRPr="002A2EA6">
              <w:rPr>
                <w:rStyle w:val="DeltaViewInsertion"/>
                <w:rFonts w:eastAsia="SimSun"/>
                <w:color w:val="auto"/>
                <w:sz w:val="18"/>
                <w:szCs w:val="18"/>
                <w:u w:val="none"/>
              </w:rPr>
              <w:t>Luxembourg</w:t>
            </w:r>
            <w:bookmarkEnd w:id="925"/>
          </w:p>
        </w:tc>
        <w:tc>
          <w:tcPr>
            <w:tcW w:w="1701" w:type="dxa"/>
            <w:tcBorders>
              <w:top w:val="nil"/>
              <w:left w:val="nil"/>
              <w:bottom w:val="nil"/>
              <w:right w:val="nil"/>
            </w:tcBorders>
            <w:shd w:val="clear" w:color="auto" w:fill="auto"/>
          </w:tcPr>
          <w:p w14:paraId="2D5FED2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26" w:name="_DV_C2487"/>
            <w:r w:rsidRPr="002A2EA6">
              <w:rPr>
                <w:rStyle w:val="DeltaViewInsertion"/>
                <w:rFonts w:eastAsia="SimSun"/>
                <w:color w:val="auto"/>
                <w:sz w:val="18"/>
                <w:szCs w:val="18"/>
                <w:u w:val="none"/>
              </w:rPr>
              <w:t>0,067</w:t>
            </w:r>
            <w:bookmarkEnd w:id="926"/>
          </w:p>
        </w:tc>
        <w:tc>
          <w:tcPr>
            <w:tcW w:w="1984" w:type="dxa"/>
            <w:tcBorders>
              <w:top w:val="nil"/>
              <w:left w:val="nil"/>
              <w:bottom w:val="nil"/>
              <w:right w:val="nil"/>
            </w:tcBorders>
            <w:shd w:val="clear" w:color="auto" w:fill="auto"/>
          </w:tcPr>
          <w:p w14:paraId="5419AB3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27" w:name="_DV_C2488"/>
            <w:r w:rsidRPr="002A2EA6">
              <w:rPr>
                <w:rStyle w:val="DeltaViewInsertion"/>
                <w:rFonts w:eastAsia="SimSun"/>
                <w:color w:val="auto"/>
                <w:sz w:val="18"/>
                <w:szCs w:val="18"/>
                <w:u w:val="none"/>
              </w:rPr>
              <w:t>0,0821</w:t>
            </w:r>
            <w:bookmarkEnd w:id="927"/>
          </w:p>
        </w:tc>
        <w:tc>
          <w:tcPr>
            <w:tcW w:w="1985" w:type="dxa"/>
            <w:tcBorders>
              <w:top w:val="nil"/>
              <w:left w:val="nil"/>
              <w:bottom w:val="nil"/>
              <w:right w:val="nil"/>
            </w:tcBorders>
            <w:shd w:val="clear" w:color="auto" w:fill="auto"/>
          </w:tcPr>
          <w:p w14:paraId="77CB143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28" w:name="_DV_C2489"/>
            <w:r w:rsidRPr="002A2EA6">
              <w:rPr>
                <w:rStyle w:val="DeltaViewInsertion"/>
                <w:rFonts w:eastAsia="SimSun"/>
                <w:color w:val="auto"/>
                <w:sz w:val="18"/>
                <w:szCs w:val="18"/>
                <w:u w:val="none"/>
              </w:rPr>
              <w:t xml:space="preserve">5 306 </w:t>
            </w:r>
            <w:bookmarkEnd w:id="928"/>
          </w:p>
        </w:tc>
      </w:tr>
      <w:tr w:rsidR="002A2EA6" w:rsidRPr="002A2EA6" w14:paraId="55C8C94F" w14:textId="77777777" w:rsidTr="00A54D8B">
        <w:trPr>
          <w:trHeight w:val="57"/>
          <w:jc w:val="right"/>
        </w:trPr>
        <w:tc>
          <w:tcPr>
            <w:tcW w:w="709" w:type="dxa"/>
            <w:tcBorders>
              <w:top w:val="nil"/>
              <w:left w:val="nil"/>
              <w:bottom w:val="nil"/>
              <w:right w:val="nil"/>
            </w:tcBorders>
            <w:shd w:val="clear" w:color="auto" w:fill="auto"/>
          </w:tcPr>
          <w:p w14:paraId="1588ECBE"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29" w:name="_DV_C2490"/>
            <w:r w:rsidRPr="002A2EA6">
              <w:rPr>
                <w:rStyle w:val="DeltaViewInsertion"/>
                <w:rFonts w:eastAsia="SimSun"/>
                <w:color w:val="auto"/>
                <w:sz w:val="18"/>
                <w:szCs w:val="18"/>
                <w:u w:val="none"/>
              </w:rPr>
              <w:t>108</w:t>
            </w:r>
            <w:bookmarkEnd w:id="929"/>
          </w:p>
        </w:tc>
        <w:tc>
          <w:tcPr>
            <w:tcW w:w="2552" w:type="dxa"/>
            <w:tcBorders>
              <w:top w:val="nil"/>
              <w:left w:val="nil"/>
              <w:bottom w:val="nil"/>
              <w:right w:val="nil"/>
            </w:tcBorders>
            <w:shd w:val="clear" w:color="auto" w:fill="auto"/>
          </w:tcPr>
          <w:p w14:paraId="40EF04B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30" w:name="_DV_C2491"/>
            <w:r w:rsidRPr="002A2EA6">
              <w:rPr>
                <w:rStyle w:val="DeltaViewInsertion"/>
                <w:rFonts w:eastAsia="SimSun"/>
                <w:color w:val="auto"/>
                <w:sz w:val="18"/>
                <w:szCs w:val="18"/>
                <w:u w:val="none"/>
              </w:rPr>
              <w:t>Malte</w:t>
            </w:r>
            <w:bookmarkEnd w:id="930"/>
          </w:p>
        </w:tc>
        <w:tc>
          <w:tcPr>
            <w:tcW w:w="1701" w:type="dxa"/>
            <w:tcBorders>
              <w:top w:val="nil"/>
              <w:left w:val="nil"/>
              <w:bottom w:val="nil"/>
              <w:right w:val="nil"/>
            </w:tcBorders>
            <w:shd w:val="clear" w:color="auto" w:fill="auto"/>
          </w:tcPr>
          <w:p w14:paraId="2C95F76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31" w:name="_DV_C2492"/>
            <w:r w:rsidRPr="002A2EA6">
              <w:rPr>
                <w:rStyle w:val="DeltaViewInsertion"/>
                <w:rFonts w:eastAsia="SimSun"/>
                <w:color w:val="auto"/>
                <w:sz w:val="18"/>
                <w:szCs w:val="18"/>
                <w:u w:val="none"/>
              </w:rPr>
              <w:t>0,017</w:t>
            </w:r>
            <w:bookmarkEnd w:id="931"/>
          </w:p>
        </w:tc>
        <w:tc>
          <w:tcPr>
            <w:tcW w:w="1984" w:type="dxa"/>
            <w:tcBorders>
              <w:top w:val="nil"/>
              <w:left w:val="nil"/>
              <w:bottom w:val="nil"/>
              <w:right w:val="nil"/>
            </w:tcBorders>
            <w:shd w:val="clear" w:color="auto" w:fill="auto"/>
          </w:tcPr>
          <w:p w14:paraId="10418A2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32" w:name="_DV_C2493"/>
            <w:r w:rsidRPr="002A2EA6">
              <w:rPr>
                <w:rStyle w:val="DeltaViewInsertion"/>
                <w:rFonts w:eastAsia="SimSun"/>
                <w:color w:val="auto"/>
                <w:sz w:val="18"/>
                <w:szCs w:val="18"/>
                <w:u w:val="none"/>
              </w:rPr>
              <w:t>0,0208</w:t>
            </w:r>
            <w:bookmarkEnd w:id="932"/>
          </w:p>
        </w:tc>
        <w:tc>
          <w:tcPr>
            <w:tcW w:w="1985" w:type="dxa"/>
            <w:tcBorders>
              <w:top w:val="nil"/>
              <w:left w:val="nil"/>
              <w:bottom w:val="nil"/>
              <w:right w:val="nil"/>
            </w:tcBorders>
            <w:shd w:val="clear" w:color="auto" w:fill="auto"/>
          </w:tcPr>
          <w:p w14:paraId="3D5DE28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33" w:name="_DV_C2494"/>
            <w:r w:rsidRPr="002A2EA6">
              <w:rPr>
                <w:rStyle w:val="DeltaViewInsertion"/>
                <w:rFonts w:eastAsia="SimSun"/>
                <w:color w:val="auto"/>
                <w:sz w:val="18"/>
                <w:szCs w:val="18"/>
                <w:u w:val="none"/>
              </w:rPr>
              <w:t xml:space="preserve">1 346 </w:t>
            </w:r>
            <w:bookmarkEnd w:id="933"/>
          </w:p>
        </w:tc>
      </w:tr>
      <w:tr w:rsidR="002A2EA6" w:rsidRPr="002A2EA6" w14:paraId="0BF03AA8" w14:textId="77777777" w:rsidTr="00A54D8B">
        <w:trPr>
          <w:trHeight w:val="57"/>
          <w:jc w:val="right"/>
        </w:trPr>
        <w:tc>
          <w:tcPr>
            <w:tcW w:w="709" w:type="dxa"/>
            <w:tcBorders>
              <w:top w:val="nil"/>
              <w:left w:val="nil"/>
              <w:bottom w:val="nil"/>
              <w:right w:val="nil"/>
            </w:tcBorders>
            <w:shd w:val="clear" w:color="auto" w:fill="auto"/>
          </w:tcPr>
          <w:p w14:paraId="12DFBB3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34" w:name="_DV_C2495"/>
            <w:r w:rsidRPr="002A2EA6">
              <w:rPr>
                <w:rStyle w:val="DeltaViewInsertion"/>
                <w:rFonts w:eastAsia="SimSun"/>
                <w:color w:val="auto"/>
                <w:sz w:val="18"/>
                <w:szCs w:val="18"/>
                <w:u w:val="none"/>
              </w:rPr>
              <w:t>109</w:t>
            </w:r>
            <w:bookmarkEnd w:id="934"/>
          </w:p>
        </w:tc>
        <w:tc>
          <w:tcPr>
            <w:tcW w:w="2552" w:type="dxa"/>
            <w:tcBorders>
              <w:top w:val="nil"/>
              <w:left w:val="nil"/>
              <w:bottom w:val="nil"/>
              <w:right w:val="nil"/>
            </w:tcBorders>
            <w:shd w:val="clear" w:color="auto" w:fill="auto"/>
          </w:tcPr>
          <w:p w14:paraId="2C1EB6FA"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35" w:name="_DV_C2496"/>
            <w:r w:rsidRPr="002A2EA6">
              <w:rPr>
                <w:rStyle w:val="DeltaViewInsertion"/>
                <w:rFonts w:eastAsia="SimSun"/>
                <w:color w:val="auto"/>
                <w:sz w:val="18"/>
                <w:szCs w:val="18"/>
                <w:u w:val="none"/>
              </w:rPr>
              <w:t>Monaco</w:t>
            </w:r>
            <w:bookmarkEnd w:id="935"/>
          </w:p>
        </w:tc>
        <w:tc>
          <w:tcPr>
            <w:tcW w:w="1701" w:type="dxa"/>
            <w:tcBorders>
              <w:top w:val="nil"/>
              <w:left w:val="nil"/>
              <w:bottom w:val="nil"/>
              <w:right w:val="nil"/>
            </w:tcBorders>
            <w:shd w:val="clear" w:color="auto" w:fill="auto"/>
          </w:tcPr>
          <w:p w14:paraId="315E67E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36" w:name="_DV_C2497"/>
            <w:r w:rsidRPr="002A2EA6">
              <w:rPr>
                <w:rStyle w:val="DeltaViewInsertion"/>
                <w:rFonts w:eastAsia="SimSun"/>
                <w:color w:val="auto"/>
                <w:sz w:val="18"/>
                <w:szCs w:val="18"/>
                <w:u w:val="none"/>
              </w:rPr>
              <w:t>0,011</w:t>
            </w:r>
            <w:bookmarkEnd w:id="936"/>
          </w:p>
        </w:tc>
        <w:tc>
          <w:tcPr>
            <w:tcW w:w="1984" w:type="dxa"/>
            <w:tcBorders>
              <w:top w:val="nil"/>
              <w:left w:val="nil"/>
              <w:bottom w:val="nil"/>
              <w:right w:val="nil"/>
            </w:tcBorders>
            <w:shd w:val="clear" w:color="auto" w:fill="auto"/>
          </w:tcPr>
          <w:p w14:paraId="0DC566B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37" w:name="_DV_C2498"/>
            <w:r w:rsidRPr="002A2EA6">
              <w:rPr>
                <w:rStyle w:val="DeltaViewInsertion"/>
                <w:rFonts w:eastAsia="SimSun"/>
                <w:color w:val="auto"/>
                <w:sz w:val="18"/>
                <w:szCs w:val="18"/>
                <w:u w:val="none"/>
              </w:rPr>
              <w:t>0,0135</w:t>
            </w:r>
            <w:bookmarkEnd w:id="937"/>
          </w:p>
        </w:tc>
        <w:tc>
          <w:tcPr>
            <w:tcW w:w="1985" w:type="dxa"/>
            <w:tcBorders>
              <w:top w:val="nil"/>
              <w:left w:val="nil"/>
              <w:bottom w:val="nil"/>
              <w:right w:val="nil"/>
            </w:tcBorders>
            <w:shd w:val="clear" w:color="auto" w:fill="auto"/>
          </w:tcPr>
          <w:p w14:paraId="6901FA6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38" w:name="_DV_C2499"/>
            <w:r w:rsidRPr="002A2EA6">
              <w:rPr>
                <w:rStyle w:val="DeltaViewInsertion"/>
                <w:rFonts w:eastAsia="SimSun"/>
                <w:color w:val="auto"/>
                <w:sz w:val="18"/>
                <w:szCs w:val="18"/>
                <w:u w:val="none"/>
              </w:rPr>
              <w:t xml:space="preserve">871 </w:t>
            </w:r>
            <w:bookmarkEnd w:id="938"/>
          </w:p>
        </w:tc>
      </w:tr>
      <w:tr w:rsidR="002A2EA6" w:rsidRPr="002A2EA6" w14:paraId="20ABD269" w14:textId="77777777" w:rsidTr="00A54D8B">
        <w:trPr>
          <w:trHeight w:val="57"/>
          <w:jc w:val="right"/>
        </w:trPr>
        <w:tc>
          <w:tcPr>
            <w:tcW w:w="709" w:type="dxa"/>
            <w:tcBorders>
              <w:top w:val="nil"/>
              <w:left w:val="nil"/>
              <w:bottom w:val="nil"/>
              <w:right w:val="nil"/>
            </w:tcBorders>
            <w:shd w:val="clear" w:color="auto" w:fill="auto"/>
          </w:tcPr>
          <w:p w14:paraId="1A06EE77"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39" w:name="_DV_C2505"/>
            <w:r w:rsidRPr="002A2EA6">
              <w:rPr>
                <w:rStyle w:val="DeltaViewInsertion"/>
                <w:rFonts w:eastAsia="SimSun"/>
                <w:color w:val="auto"/>
                <w:sz w:val="18"/>
                <w:szCs w:val="18"/>
                <w:u w:val="none"/>
              </w:rPr>
              <w:t>11</w:t>
            </w:r>
            <w:bookmarkEnd w:id="939"/>
            <w:r w:rsidRPr="002A2EA6">
              <w:rPr>
                <w:rStyle w:val="DeltaViewInsertion"/>
                <w:rFonts w:eastAsia="SimSun"/>
                <w:color w:val="auto"/>
                <w:sz w:val="18"/>
                <w:szCs w:val="18"/>
                <w:u w:val="none"/>
              </w:rPr>
              <w:t>0</w:t>
            </w:r>
          </w:p>
        </w:tc>
        <w:tc>
          <w:tcPr>
            <w:tcW w:w="2552" w:type="dxa"/>
            <w:tcBorders>
              <w:top w:val="nil"/>
              <w:left w:val="nil"/>
              <w:bottom w:val="nil"/>
              <w:right w:val="nil"/>
            </w:tcBorders>
            <w:shd w:val="clear" w:color="auto" w:fill="auto"/>
          </w:tcPr>
          <w:p w14:paraId="16F6FDE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40" w:name="_DV_C2506"/>
            <w:r w:rsidRPr="002A2EA6">
              <w:rPr>
                <w:rStyle w:val="DeltaViewInsertion"/>
                <w:rFonts w:eastAsia="SimSun"/>
                <w:color w:val="auto"/>
                <w:sz w:val="18"/>
                <w:szCs w:val="18"/>
                <w:u w:val="none"/>
              </w:rPr>
              <w:t>Nor</w:t>
            </w:r>
            <w:bookmarkEnd w:id="940"/>
            <w:r w:rsidRPr="002A2EA6">
              <w:rPr>
                <w:rStyle w:val="DeltaViewInsertion"/>
                <w:rFonts w:eastAsia="SimSun"/>
                <w:color w:val="auto"/>
                <w:sz w:val="18"/>
                <w:szCs w:val="18"/>
                <w:u w:val="none"/>
              </w:rPr>
              <w:t>vège</w:t>
            </w:r>
          </w:p>
        </w:tc>
        <w:tc>
          <w:tcPr>
            <w:tcW w:w="1701" w:type="dxa"/>
            <w:tcBorders>
              <w:top w:val="nil"/>
              <w:left w:val="nil"/>
              <w:bottom w:val="nil"/>
              <w:right w:val="nil"/>
            </w:tcBorders>
            <w:shd w:val="clear" w:color="auto" w:fill="auto"/>
          </w:tcPr>
          <w:p w14:paraId="1C7698D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41" w:name="_DV_C2507"/>
            <w:r w:rsidRPr="002A2EA6">
              <w:rPr>
                <w:rStyle w:val="DeltaViewInsertion"/>
                <w:rFonts w:eastAsia="SimSun"/>
                <w:color w:val="auto"/>
                <w:sz w:val="18"/>
                <w:szCs w:val="18"/>
                <w:u w:val="none"/>
              </w:rPr>
              <w:t>0,754</w:t>
            </w:r>
            <w:bookmarkEnd w:id="941"/>
          </w:p>
        </w:tc>
        <w:tc>
          <w:tcPr>
            <w:tcW w:w="1984" w:type="dxa"/>
            <w:tcBorders>
              <w:top w:val="nil"/>
              <w:left w:val="nil"/>
              <w:bottom w:val="nil"/>
              <w:right w:val="nil"/>
            </w:tcBorders>
            <w:shd w:val="clear" w:color="auto" w:fill="auto"/>
          </w:tcPr>
          <w:p w14:paraId="0CD29D3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42" w:name="_DV_C2508"/>
            <w:r w:rsidRPr="002A2EA6">
              <w:rPr>
                <w:rStyle w:val="DeltaViewInsertion"/>
                <w:rFonts w:eastAsia="SimSun"/>
                <w:color w:val="auto"/>
                <w:sz w:val="18"/>
                <w:szCs w:val="18"/>
                <w:u w:val="none"/>
              </w:rPr>
              <w:t>0,9239</w:t>
            </w:r>
            <w:bookmarkEnd w:id="942"/>
          </w:p>
        </w:tc>
        <w:tc>
          <w:tcPr>
            <w:tcW w:w="1985" w:type="dxa"/>
            <w:tcBorders>
              <w:top w:val="nil"/>
              <w:left w:val="nil"/>
              <w:bottom w:val="nil"/>
              <w:right w:val="nil"/>
            </w:tcBorders>
            <w:shd w:val="clear" w:color="auto" w:fill="auto"/>
          </w:tcPr>
          <w:p w14:paraId="06E52AE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43" w:name="_DV_C2509"/>
            <w:r w:rsidRPr="002A2EA6">
              <w:rPr>
                <w:rStyle w:val="DeltaViewInsertion"/>
                <w:rFonts w:eastAsia="SimSun"/>
                <w:color w:val="auto"/>
                <w:sz w:val="18"/>
                <w:szCs w:val="18"/>
                <w:u w:val="none"/>
              </w:rPr>
              <w:t xml:space="preserve">59 714 </w:t>
            </w:r>
            <w:bookmarkEnd w:id="943"/>
          </w:p>
        </w:tc>
      </w:tr>
      <w:tr w:rsidR="002A2EA6" w:rsidRPr="002A2EA6" w14:paraId="31935F6A" w14:textId="77777777" w:rsidTr="00A54D8B">
        <w:trPr>
          <w:trHeight w:val="57"/>
          <w:jc w:val="right"/>
        </w:trPr>
        <w:tc>
          <w:tcPr>
            <w:tcW w:w="709" w:type="dxa"/>
            <w:tcBorders>
              <w:top w:val="nil"/>
              <w:left w:val="nil"/>
              <w:bottom w:val="nil"/>
              <w:right w:val="nil"/>
            </w:tcBorders>
            <w:shd w:val="clear" w:color="auto" w:fill="auto"/>
          </w:tcPr>
          <w:p w14:paraId="7AB3CE99"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44" w:name="_DV_C2500"/>
            <w:r w:rsidRPr="002A2EA6">
              <w:rPr>
                <w:rStyle w:val="DeltaViewInsertion"/>
                <w:rFonts w:eastAsia="SimSun"/>
                <w:color w:val="auto"/>
                <w:sz w:val="18"/>
                <w:szCs w:val="18"/>
                <w:u w:val="none"/>
              </w:rPr>
              <w:t>11</w:t>
            </w:r>
            <w:bookmarkEnd w:id="944"/>
            <w:r w:rsidRPr="002A2EA6">
              <w:rPr>
                <w:rStyle w:val="DeltaViewInsertion"/>
                <w:rFonts w:eastAsia="SimSun"/>
                <w:color w:val="auto"/>
                <w:sz w:val="18"/>
                <w:szCs w:val="18"/>
                <w:u w:val="none"/>
              </w:rPr>
              <w:t>1</w:t>
            </w:r>
          </w:p>
        </w:tc>
        <w:tc>
          <w:tcPr>
            <w:tcW w:w="2552" w:type="dxa"/>
            <w:tcBorders>
              <w:top w:val="nil"/>
              <w:left w:val="nil"/>
              <w:bottom w:val="nil"/>
              <w:right w:val="nil"/>
            </w:tcBorders>
            <w:shd w:val="clear" w:color="auto" w:fill="auto"/>
          </w:tcPr>
          <w:p w14:paraId="5F09B63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P</w:t>
            </w:r>
            <w:r w:rsidRPr="002A2EA6">
              <w:rPr>
                <w:sz w:val="18"/>
                <w:szCs w:val="18"/>
              </w:rPr>
              <w:t>ays-Bas</w:t>
            </w:r>
          </w:p>
        </w:tc>
        <w:tc>
          <w:tcPr>
            <w:tcW w:w="1701" w:type="dxa"/>
            <w:tcBorders>
              <w:top w:val="nil"/>
              <w:left w:val="nil"/>
              <w:bottom w:val="nil"/>
              <w:right w:val="nil"/>
            </w:tcBorders>
            <w:shd w:val="clear" w:color="auto" w:fill="auto"/>
          </w:tcPr>
          <w:p w14:paraId="12A07F4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45" w:name="_DV_C2502"/>
            <w:r w:rsidRPr="002A2EA6">
              <w:rPr>
                <w:rStyle w:val="DeltaViewInsertion"/>
                <w:rFonts w:eastAsia="SimSun"/>
                <w:color w:val="auto"/>
                <w:sz w:val="18"/>
                <w:szCs w:val="18"/>
                <w:u w:val="none"/>
              </w:rPr>
              <w:t>1,356</w:t>
            </w:r>
            <w:bookmarkEnd w:id="945"/>
          </w:p>
        </w:tc>
        <w:tc>
          <w:tcPr>
            <w:tcW w:w="1984" w:type="dxa"/>
            <w:tcBorders>
              <w:top w:val="nil"/>
              <w:left w:val="nil"/>
              <w:bottom w:val="nil"/>
              <w:right w:val="nil"/>
            </w:tcBorders>
            <w:shd w:val="clear" w:color="auto" w:fill="auto"/>
          </w:tcPr>
          <w:p w14:paraId="323E8C3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46" w:name="_DV_C2503"/>
            <w:r w:rsidRPr="002A2EA6">
              <w:rPr>
                <w:rStyle w:val="DeltaViewInsertion"/>
                <w:rFonts w:eastAsia="SimSun"/>
                <w:color w:val="auto"/>
                <w:sz w:val="18"/>
                <w:szCs w:val="18"/>
                <w:u w:val="none"/>
              </w:rPr>
              <w:t>1,6616</w:t>
            </w:r>
            <w:bookmarkEnd w:id="946"/>
          </w:p>
        </w:tc>
        <w:tc>
          <w:tcPr>
            <w:tcW w:w="1985" w:type="dxa"/>
            <w:tcBorders>
              <w:top w:val="nil"/>
              <w:left w:val="nil"/>
              <w:bottom w:val="nil"/>
              <w:right w:val="nil"/>
            </w:tcBorders>
            <w:shd w:val="clear" w:color="auto" w:fill="auto"/>
          </w:tcPr>
          <w:p w14:paraId="2496359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47" w:name="_DV_C2504"/>
            <w:r w:rsidRPr="002A2EA6">
              <w:rPr>
                <w:rStyle w:val="DeltaViewInsertion"/>
                <w:rFonts w:eastAsia="SimSun"/>
                <w:color w:val="auto"/>
                <w:sz w:val="18"/>
                <w:szCs w:val="18"/>
                <w:u w:val="none"/>
              </w:rPr>
              <w:t xml:space="preserve">107 390 </w:t>
            </w:r>
            <w:bookmarkEnd w:id="947"/>
          </w:p>
        </w:tc>
      </w:tr>
      <w:tr w:rsidR="002A2EA6" w:rsidRPr="002A2EA6" w14:paraId="21D6AE86" w14:textId="77777777" w:rsidTr="00A54D8B">
        <w:trPr>
          <w:trHeight w:val="57"/>
          <w:jc w:val="right"/>
        </w:trPr>
        <w:tc>
          <w:tcPr>
            <w:tcW w:w="709" w:type="dxa"/>
            <w:tcBorders>
              <w:top w:val="nil"/>
              <w:left w:val="nil"/>
              <w:bottom w:val="nil"/>
              <w:right w:val="nil"/>
            </w:tcBorders>
            <w:shd w:val="clear" w:color="auto" w:fill="auto"/>
          </w:tcPr>
          <w:p w14:paraId="7DC032C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48" w:name="_DV_C2510"/>
            <w:r w:rsidRPr="002A2EA6">
              <w:rPr>
                <w:rStyle w:val="DeltaViewInsertion"/>
                <w:rFonts w:eastAsia="SimSun"/>
                <w:color w:val="auto"/>
                <w:sz w:val="18"/>
                <w:szCs w:val="18"/>
                <w:u w:val="none"/>
              </w:rPr>
              <w:t>112</w:t>
            </w:r>
            <w:bookmarkEnd w:id="948"/>
          </w:p>
        </w:tc>
        <w:tc>
          <w:tcPr>
            <w:tcW w:w="2552" w:type="dxa"/>
            <w:tcBorders>
              <w:top w:val="nil"/>
              <w:left w:val="nil"/>
              <w:bottom w:val="nil"/>
              <w:right w:val="nil"/>
            </w:tcBorders>
            <w:shd w:val="clear" w:color="auto" w:fill="auto"/>
          </w:tcPr>
          <w:p w14:paraId="516820B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49" w:name="_DV_C2511"/>
            <w:r w:rsidRPr="002A2EA6">
              <w:rPr>
                <w:rStyle w:val="DeltaViewInsertion"/>
                <w:rFonts w:eastAsia="SimSun"/>
                <w:color w:val="auto"/>
                <w:sz w:val="18"/>
                <w:szCs w:val="18"/>
                <w:u w:val="none"/>
              </w:rPr>
              <w:t>Portugal</w:t>
            </w:r>
            <w:bookmarkEnd w:id="949"/>
          </w:p>
        </w:tc>
        <w:tc>
          <w:tcPr>
            <w:tcW w:w="1701" w:type="dxa"/>
            <w:tcBorders>
              <w:top w:val="nil"/>
              <w:left w:val="nil"/>
              <w:bottom w:val="nil"/>
              <w:right w:val="nil"/>
            </w:tcBorders>
            <w:shd w:val="clear" w:color="auto" w:fill="auto"/>
          </w:tcPr>
          <w:p w14:paraId="22BC814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0" w:name="_DV_C2512"/>
            <w:r w:rsidRPr="002A2EA6">
              <w:rPr>
                <w:rStyle w:val="DeltaViewInsertion"/>
                <w:rFonts w:eastAsia="SimSun"/>
                <w:color w:val="auto"/>
                <w:sz w:val="18"/>
                <w:szCs w:val="18"/>
                <w:u w:val="none"/>
              </w:rPr>
              <w:t>0,35</w:t>
            </w:r>
            <w:bookmarkEnd w:id="950"/>
          </w:p>
        </w:tc>
        <w:tc>
          <w:tcPr>
            <w:tcW w:w="1984" w:type="dxa"/>
            <w:tcBorders>
              <w:top w:val="nil"/>
              <w:left w:val="nil"/>
              <w:bottom w:val="nil"/>
              <w:right w:val="nil"/>
            </w:tcBorders>
            <w:shd w:val="clear" w:color="auto" w:fill="auto"/>
          </w:tcPr>
          <w:p w14:paraId="34B81E0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1" w:name="_DV_C2513"/>
            <w:r w:rsidRPr="002A2EA6">
              <w:rPr>
                <w:rStyle w:val="DeltaViewInsertion"/>
                <w:rFonts w:eastAsia="SimSun"/>
                <w:color w:val="auto"/>
                <w:sz w:val="18"/>
                <w:szCs w:val="18"/>
                <w:u w:val="none"/>
              </w:rPr>
              <w:t>0,4289</w:t>
            </w:r>
            <w:bookmarkEnd w:id="951"/>
          </w:p>
        </w:tc>
        <w:tc>
          <w:tcPr>
            <w:tcW w:w="1985" w:type="dxa"/>
            <w:tcBorders>
              <w:top w:val="nil"/>
              <w:left w:val="nil"/>
              <w:bottom w:val="nil"/>
              <w:right w:val="nil"/>
            </w:tcBorders>
            <w:shd w:val="clear" w:color="auto" w:fill="auto"/>
          </w:tcPr>
          <w:p w14:paraId="16645327"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2" w:name="_DV_C2514"/>
            <w:r w:rsidRPr="002A2EA6">
              <w:rPr>
                <w:rStyle w:val="DeltaViewInsertion"/>
                <w:rFonts w:eastAsia="SimSun"/>
                <w:color w:val="auto"/>
                <w:sz w:val="18"/>
                <w:szCs w:val="18"/>
                <w:u w:val="none"/>
              </w:rPr>
              <w:t xml:space="preserve">27 719 </w:t>
            </w:r>
            <w:bookmarkEnd w:id="952"/>
          </w:p>
        </w:tc>
      </w:tr>
      <w:tr w:rsidR="002A2EA6" w:rsidRPr="002A2EA6" w14:paraId="453441DD" w14:textId="77777777" w:rsidTr="00A54D8B">
        <w:trPr>
          <w:trHeight w:val="57"/>
          <w:jc w:val="right"/>
        </w:trPr>
        <w:tc>
          <w:tcPr>
            <w:tcW w:w="709" w:type="dxa"/>
            <w:tcBorders>
              <w:top w:val="nil"/>
              <w:left w:val="nil"/>
              <w:bottom w:val="nil"/>
              <w:right w:val="nil"/>
            </w:tcBorders>
            <w:shd w:val="clear" w:color="auto" w:fill="auto"/>
          </w:tcPr>
          <w:p w14:paraId="43F21CBA"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53" w:name="_DV_C2525"/>
            <w:r w:rsidRPr="002A2EA6">
              <w:rPr>
                <w:rStyle w:val="DeltaViewInsertion"/>
                <w:rFonts w:eastAsia="SimSun"/>
                <w:color w:val="auto"/>
                <w:sz w:val="18"/>
                <w:szCs w:val="18"/>
                <w:u w:val="none"/>
              </w:rPr>
              <w:t>11</w:t>
            </w:r>
            <w:bookmarkEnd w:id="953"/>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3A44E170" w14:textId="65A0491F"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R</w:t>
            </w:r>
            <w:r w:rsidRPr="002A2EA6">
              <w:rPr>
                <w:sz w:val="18"/>
                <w:szCs w:val="18"/>
              </w:rPr>
              <w:t>oyaume-Uni de Grande-Bretagne et d</w:t>
            </w:r>
            <w:r w:rsidR="00CA4DAC">
              <w:rPr>
                <w:sz w:val="18"/>
                <w:szCs w:val="18"/>
              </w:rPr>
              <w:t>’</w:t>
            </w:r>
            <w:r w:rsidRPr="002A2EA6">
              <w:rPr>
                <w:sz w:val="18"/>
                <w:szCs w:val="18"/>
              </w:rPr>
              <w:t>Irlande du Nord</w:t>
            </w:r>
          </w:p>
        </w:tc>
        <w:tc>
          <w:tcPr>
            <w:tcW w:w="1701" w:type="dxa"/>
            <w:tcBorders>
              <w:top w:val="nil"/>
              <w:left w:val="nil"/>
              <w:bottom w:val="nil"/>
              <w:right w:val="nil"/>
            </w:tcBorders>
            <w:shd w:val="clear" w:color="auto" w:fill="auto"/>
          </w:tcPr>
          <w:p w14:paraId="7F8965A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4" w:name="_DV_C2527"/>
            <w:r w:rsidRPr="002A2EA6">
              <w:rPr>
                <w:rStyle w:val="DeltaViewInsertion"/>
                <w:rFonts w:eastAsia="SimSun"/>
                <w:color w:val="auto"/>
                <w:sz w:val="18"/>
                <w:szCs w:val="18"/>
                <w:u w:val="none"/>
              </w:rPr>
              <w:t>4,567</w:t>
            </w:r>
            <w:bookmarkEnd w:id="954"/>
          </w:p>
        </w:tc>
        <w:tc>
          <w:tcPr>
            <w:tcW w:w="1984" w:type="dxa"/>
            <w:tcBorders>
              <w:top w:val="nil"/>
              <w:left w:val="nil"/>
              <w:bottom w:val="nil"/>
              <w:right w:val="nil"/>
            </w:tcBorders>
            <w:shd w:val="clear" w:color="auto" w:fill="auto"/>
          </w:tcPr>
          <w:p w14:paraId="550E451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5" w:name="_DV_C2528"/>
            <w:r w:rsidRPr="002A2EA6">
              <w:rPr>
                <w:rStyle w:val="DeltaViewInsertion"/>
                <w:rFonts w:eastAsia="SimSun"/>
                <w:color w:val="auto"/>
                <w:sz w:val="18"/>
                <w:szCs w:val="18"/>
                <w:u w:val="none"/>
              </w:rPr>
              <w:t>5,5962</w:t>
            </w:r>
            <w:bookmarkEnd w:id="955"/>
          </w:p>
        </w:tc>
        <w:tc>
          <w:tcPr>
            <w:tcW w:w="1985" w:type="dxa"/>
            <w:tcBorders>
              <w:top w:val="nil"/>
              <w:left w:val="nil"/>
              <w:bottom w:val="nil"/>
              <w:right w:val="nil"/>
            </w:tcBorders>
            <w:shd w:val="clear" w:color="auto" w:fill="auto"/>
          </w:tcPr>
          <w:p w14:paraId="1F7E23E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6" w:name="_DV_C2529"/>
            <w:r w:rsidRPr="002A2EA6">
              <w:rPr>
                <w:rStyle w:val="DeltaViewInsertion"/>
                <w:rFonts w:eastAsia="SimSun"/>
                <w:color w:val="auto"/>
                <w:sz w:val="18"/>
                <w:szCs w:val="18"/>
                <w:u w:val="none"/>
              </w:rPr>
              <w:t xml:space="preserve">361 688 </w:t>
            </w:r>
            <w:bookmarkEnd w:id="956"/>
          </w:p>
        </w:tc>
      </w:tr>
      <w:tr w:rsidR="002A2EA6" w:rsidRPr="002A2EA6" w14:paraId="3873E9DA" w14:textId="77777777" w:rsidTr="00A54D8B">
        <w:trPr>
          <w:trHeight w:val="57"/>
          <w:jc w:val="right"/>
        </w:trPr>
        <w:tc>
          <w:tcPr>
            <w:tcW w:w="709" w:type="dxa"/>
            <w:tcBorders>
              <w:top w:val="nil"/>
              <w:left w:val="nil"/>
              <w:bottom w:val="nil"/>
              <w:right w:val="nil"/>
            </w:tcBorders>
            <w:shd w:val="clear" w:color="auto" w:fill="auto"/>
          </w:tcPr>
          <w:p w14:paraId="00CF992D"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57" w:name="_DV_C2515"/>
            <w:r w:rsidRPr="002A2EA6">
              <w:rPr>
                <w:rStyle w:val="DeltaViewInsertion"/>
                <w:rFonts w:eastAsia="SimSun"/>
                <w:color w:val="auto"/>
                <w:sz w:val="18"/>
                <w:szCs w:val="18"/>
                <w:u w:val="none"/>
              </w:rPr>
              <w:t>11</w:t>
            </w:r>
            <w:bookmarkEnd w:id="957"/>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3733F75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58" w:name="_DV_C2516"/>
            <w:r w:rsidRPr="002A2EA6">
              <w:rPr>
                <w:rStyle w:val="DeltaViewInsertion"/>
                <w:rFonts w:eastAsia="SimSun"/>
                <w:color w:val="auto"/>
                <w:sz w:val="18"/>
                <w:szCs w:val="18"/>
                <w:u w:val="none"/>
              </w:rPr>
              <w:t>S</w:t>
            </w:r>
            <w:bookmarkEnd w:id="958"/>
            <w:r w:rsidRPr="002A2EA6">
              <w:rPr>
                <w:rStyle w:val="DeltaViewInsertion"/>
                <w:rFonts w:eastAsia="SimSun"/>
                <w:color w:val="auto"/>
                <w:sz w:val="18"/>
                <w:szCs w:val="18"/>
                <w:u w:val="none"/>
              </w:rPr>
              <w:t>uède</w:t>
            </w:r>
          </w:p>
        </w:tc>
        <w:tc>
          <w:tcPr>
            <w:tcW w:w="1701" w:type="dxa"/>
            <w:tcBorders>
              <w:top w:val="nil"/>
              <w:left w:val="nil"/>
              <w:bottom w:val="nil"/>
              <w:right w:val="nil"/>
            </w:tcBorders>
            <w:shd w:val="clear" w:color="auto" w:fill="auto"/>
          </w:tcPr>
          <w:p w14:paraId="5FA3991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59" w:name="_DV_C2517"/>
            <w:r w:rsidRPr="002A2EA6">
              <w:rPr>
                <w:rStyle w:val="DeltaViewInsertion"/>
                <w:rFonts w:eastAsia="SimSun"/>
                <w:color w:val="auto"/>
                <w:sz w:val="18"/>
                <w:szCs w:val="18"/>
                <w:u w:val="none"/>
              </w:rPr>
              <w:t>0,906</w:t>
            </w:r>
            <w:bookmarkEnd w:id="959"/>
          </w:p>
        </w:tc>
        <w:tc>
          <w:tcPr>
            <w:tcW w:w="1984" w:type="dxa"/>
            <w:tcBorders>
              <w:top w:val="nil"/>
              <w:left w:val="nil"/>
              <w:bottom w:val="nil"/>
              <w:right w:val="nil"/>
            </w:tcBorders>
            <w:shd w:val="clear" w:color="auto" w:fill="auto"/>
          </w:tcPr>
          <w:p w14:paraId="22351BA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60" w:name="_DV_C2518"/>
            <w:r w:rsidRPr="002A2EA6">
              <w:rPr>
                <w:rStyle w:val="DeltaViewInsertion"/>
                <w:rFonts w:eastAsia="SimSun"/>
                <w:color w:val="auto"/>
                <w:sz w:val="18"/>
                <w:szCs w:val="18"/>
                <w:u w:val="none"/>
              </w:rPr>
              <w:t>1,1102</w:t>
            </w:r>
            <w:bookmarkEnd w:id="960"/>
          </w:p>
        </w:tc>
        <w:tc>
          <w:tcPr>
            <w:tcW w:w="1985" w:type="dxa"/>
            <w:tcBorders>
              <w:top w:val="nil"/>
              <w:left w:val="nil"/>
              <w:bottom w:val="nil"/>
              <w:right w:val="nil"/>
            </w:tcBorders>
            <w:shd w:val="clear" w:color="auto" w:fill="auto"/>
          </w:tcPr>
          <w:p w14:paraId="6A7227F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61" w:name="_DV_C2519"/>
            <w:r w:rsidRPr="002A2EA6">
              <w:rPr>
                <w:rStyle w:val="DeltaViewInsertion"/>
                <w:rFonts w:eastAsia="SimSun"/>
                <w:color w:val="auto"/>
                <w:sz w:val="18"/>
                <w:szCs w:val="18"/>
                <w:u w:val="none"/>
              </w:rPr>
              <w:t xml:space="preserve">71 751 </w:t>
            </w:r>
            <w:bookmarkEnd w:id="961"/>
          </w:p>
        </w:tc>
      </w:tr>
      <w:tr w:rsidR="002A2EA6" w:rsidRPr="002A2EA6" w14:paraId="7F4992F4" w14:textId="77777777" w:rsidTr="00A54D8B">
        <w:trPr>
          <w:trHeight w:val="57"/>
          <w:jc w:val="right"/>
        </w:trPr>
        <w:tc>
          <w:tcPr>
            <w:tcW w:w="709" w:type="dxa"/>
            <w:tcBorders>
              <w:top w:val="nil"/>
              <w:left w:val="nil"/>
              <w:bottom w:val="nil"/>
              <w:right w:val="nil"/>
            </w:tcBorders>
            <w:shd w:val="clear" w:color="auto" w:fill="auto"/>
          </w:tcPr>
          <w:p w14:paraId="51DF0FBC"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62" w:name="_DV_C2520"/>
            <w:r w:rsidRPr="002A2EA6">
              <w:rPr>
                <w:rStyle w:val="DeltaViewInsertion"/>
                <w:rFonts w:eastAsia="SimSun"/>
                <w:color w:val="auto"/>
                <w:sz w:val="18"/>
                <w:szCs w:val="18"/>
                <w:u w:val="none"/>
              </w:rPr>
              <w:t>11</w:t>
            </w:r>
            <w:bookmarkEnd w:id="962"/>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756B7A55"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63" w:name="_DV_C2521"/>
            <w:r w:rsidRPr="002A2EA6">
              <w:rPr>
                <w:rStyle w:val="DeltaViewInsertion"/>
                <w:rFonts w:eastAsia="SimSun"/>
                <w:color w:val="auto"/>
                <w:sz w:val="18"/>
                <w:szCs w:val="18"/>
                <w:u w:val="none"/>
              </w:rPr>
              <w:t>S</w:t>
            </w:r>
            <w:bookmarkEnd w:id="963"/>
            <w:r w:rsidRPr="002A2EA6">
              <w:rPr>
                <w:rStyle w:val="DeltaViewInsertion"/>
                <w:rFonts w:eastAsia="SimSun"/>
                <w:color w:val="auto"/>
                <w:sz w:val="18"/>
                <w:szCs w:val="18"/>
                <w:u w:val="none"/>
              </w:rPr>
              <w:t>uède</w:t>
            </w:r>
          </w:p>
        </w:tc>
        <w:tc>
          <w:tcPr>
            <w:tcW w:w="1701" w:type="dxa"/>
            <w:tcBorders>
              <w:top w:val="nil"/>
              <w:left w:val="nil"/>
              <w:bottom w:val="nil"/>
              <w:right w:val="nil"/>
            </w:tcBorders>
            <w:shd w:val="clear" w:color="auto" w:fill="auto"/>
          </w:tcPr>
          <w:p w14:paraId="3741035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64" w:name="_DV_C2522"/>
            <w:r w:rsidRPr="002A2EA6">
              <w:rPr>
                <w:rStyle w:val="DeltaViewInsertion"/>
                <w:rFonts w:eastAsia="SimSun"/>
                <w:color w:val="auto"/>
                <w:sz w:val="18"/>
                <w:szCs w:val="18"/>
                <w:u w:val="none"/>
              </w:rPr>
              <w:t>1,151</w:t>
            </w:r>
            <w:bookmarkEnd w:id="964"/>
          </w:p>
        </w:tc>
        <w:tc>
          <w:tcPr>
            <w:tcW w:w="1984" w:type="dxa"/>
            <w:tcBorders>
              <w:top w:val="nil"/>
              <w:left w:val="nil"/>
              <w:bottom w:val="nil"/>
              <w:right w:val="nil"/>
            </w:tcBorders>
            <w:shd w:val="clear" w:color="auto" w:fill="auto"/>
          </w:tcPr>
          <w:p w14:paraId="54291EC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65" w:name="_DV_C2523"/>
            <w:r w:rsidRPr="002A2EA6">
              <w:rPr>
                <w:rStyle w:val="DeltaViewInsertion"/>
                <w:rFonts w:eastAsia="SimSun"/>
                <w:color w:val="auto"/>
                <w:sz w:val="18"/>
                <w:szCs w:val="18"/>
                <w:u w:val="none"/>
              </w:rPr>
              <w:t>1,4104</w:t>
            </w:r>
            <w:bookmarkEnd w:id="965"/>
          </w:p>
        </w:tc>
        <w:tc>
          <w:tcPr>
            <w:tcW w:w="1985" w:type="dxa"/>
            <w:tcBorders>
              <w:top w:val="nil"/>
              <w:left w:val="nil"/>
              <w:bottom w:val="nil"/>
              <w:right w:val="nil"/>
            </w:tcBorders>
            <w:shd w:val="clear" w:color="auto" w:fill="auto"/>
          </w:tcPr>
          <w:p w14:paraId="488DB44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66" w:name="_DV_C2524"/>
            <w:r w:rsidRPr="002A2EA6">
              <w:rPr>
                <w:rStyle w:val="DeltaViewInsertion"/>
                <w:rFonts w:eastAsia="SimSun"/>
                <w:color w:val="auto"/>
                <w:sz w:val="18"/>
                <w:szCs w:val="18"/>
                <w:u w:val="none"/>
              </w:rPr>
              <w:t xml:space="preserve">91 154 </w:t>
            </w:r>
            <w:bookmarkEnd w:id="966"/>
          </w:p>
        </w:tc>
      </w:tr>
      <w:tr w:rsidR="002A2EA6" w:rsidRPr="002A2EA6" w14:paraId="1F6B8EE3" w14:textId="77777777" w:rsidTr="00A54D8B">
        <w:trPr>
          <w:trHeight w:val="57"/>
          <w:jc w:val="right"/>
        </w:trPr>
        <w:tc>
          <w:tcPr>
            <w:tcW w:w="709" w:type="dxa"/>
            <w:tcBorders>
              <w:top w:val="nil"/>
              <w:left w:val="nil"/>
              <w:bottom w:val="nil"/>
              <w:right w:val="nil"/>
            </w:tcBorders>
            <w:shd w:val="clear" w:color="auto" w:fill="auto"/>
          </w:tcPr>
          <w:p w14:paraId="44979D51" w14:textId="77777777" w:rsidR="002A2EA6" w:rsidRPr="002A2EA6" w:rsidRDefault="002A2EA6" w:rsidP="002A2EA6">
            <w:pPr>
              <w:tabs>
                <w:tab w:val="clear" w:pos="1247"/>
                <w:tab w:val="clear" w:pos="1814"/>
                <w:tab w:val="clear" w:pos="2381"/>
                <w:tab w:val="clear" w:pos="2948"/>
                <w:tab w:val="clear" w:pos="3515"/>
              </w:tabs>
              <w:spacing w:before="40" w:after="40"/>
              <w:jc w:val="center"/>
              <w:rPr>
                <w:rFonts w:eastAsia="SimSun"/>
                <w:sz w:val="18"/>
                <w:szCs w:val="18"/>
              </w:rPr>
            </w:pPr>
            <w:bookmarkStart w:id="967" w:name="_DV_C2450"/>
            <w:r w:rsidRPr="002A2EA6">
              <w:rPr>
                <w:rStyle w:val="DeltaViewInsertion"/>
                <w:rFonts w:eastAsia="SimSun"/>
                <w:color w:val="auto"/>
                <w:sz w:val="18"/>
                <w:szCs w:val="18"/>
                <w:u w:val="none"/>
              </w:rPr>
              <w:t>1</w:t>
            </w:r>
            <w:bookmarkEnd w:id="967"/>
            <w:r w:rsidRPr="002A2EA6">
              <w:rPr>
                <w:rStyle w:val="DeltaViewInsertion"/>
                <w:rFonts w:eastAsia="SimSun"/>
                <w:color w:val="auto"/>
                <w:sz w:val="18"/>
                <w:szCs w:val="18"/>
                <w:u w:val="none"/>
              </w:rPr>
              <w:t>16</w:t>
            </w:r>
          </w:p>
        </w:tc>
        <w:tc>
          <w:tcPr>
            <w:tcW w:w="2552" w:type="dxa"/>
            <w:tcBorders>
              <w:top w:val="nil"/>
              <w:left w:val="nil"/>
              <w:bottom w:val="nil"/>
              <w:right w:val="nil"/>
            </w:tcBorders>
            <w:shd w:val="clear" w:color="auto" w:fill="auto"/>
          </w:tcPr>
          <w:p w14:paraId="077AFDE0"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sz w:val="18"/>
                <w:szCs w:val="18"/>
              </w:rPr>
            </w:pPr>
            <w:bookmarkStart w:id="968" w:name="_DV_C2451"/>
            <w:r w:rsidRPr="002A2EA6">
              <w:rPr>
                <w:rStyle w:val="DeltaViewInsertion"/>
                <w:rFonts w:eastAsia="SimSun"/>
                <w:color w:val="auto"/>
                <w:sz w:val="18"/>
                <w:szCs w:val="18"/>
                <w:u w:val="none"/>
              </w:rPr>
              <w:t>Union européenne</w:t>
            </w:r>
            <w:bookmarkEnd w:id="968"/>
          </w:p>
        </w:tc>
        <w:tc>
          <w:tcPr>
            <w:tcW w:w="1701" w:type="dxa"/>
            <w:tcBorders>
              <w:top w:val="nil"/>
              <w:left w:val="nil"/>
              <w:bottom w:val="nil"/>
              <w:right w:val="nil"/>
            </w:tcBorders>
            <w:shd w:val="clear" w:color="auto" w:fill="auto"/>
          </w:tcPr>
          <w:p w14:paraId="146A3ED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69" w:name="_DV_C2452"/>
            <w:r w:rsidRPr="002A2EA6">
              <w:rPr>
                <w:rStyle w:val="DeltaViewInsertion"/>
                <w:rFonts w:eastAsia="SimSun"/>
                <w:color w:val="auto"/>
                <w:sz w:val="18"/>
                <w:szCs w:val="18"/>
                <w:u w:val="none"/>
              </w:rPr>
              <w:t>2,5</w:t>
            </w:r>
            <w:bookmarkEnd w:id="969"/>
          </w:p>
        </w:tc>
        <w:tc>
          <w:tcPr>
            <w:tcW w:w="1984" w:type="dxa"/>
            <w:tcBorders>
              <w:top w:val="nil"/>
              <w:left w:val="nil"/>
              <w:bottom w:val="nil"/>
              <w:right w:val="nil"/>
            </w:tcBorders>
            <w:shd w:val="clear" w:color="auto" w:fill="auto"/>
          </w:tcPr>
          <w:p w14:paraId="4AFA588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70" w:name="_DV_C2453"/>
            <w:r w:rsidRPr="002A2EA6">
              <w:rPr>
                <w:rStyle w:val="DeltaViewInsertion"/>
                <w:rFonts w:eastAsia="SimSun"/>
                <w:color w:val="auto"/>
                <w:sz w:val="18"/>
                <w:szCs w:val="18"/>
                <w:u w:val="none"/>
              </w:rPr>
              <w:t>2,5000</w:t>
            </w:r>
            <w:bookmarkEnd w:id="970"/>
          </w:p>
        </w:tc>
        <w:tc>
          <w:tcPr>
            <w:tcW w:w="1985" w:type="dxa"/>
            <w:tcBorders>
              <w:top w:val="nil"/>
              <w:left w:val="nil"/>
              <w:bottom w:val="nil"/>
              <w:right w:val="nil"/>
            </w:tcBorders>
            <w:shd w:val="clear" w:color="auto" w:fill="auto"/>
          </w:tcPr>
          <w:p w14:paraId="0122643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sz w:val="18"/>
                <w:szCs w:val="18"/>
              </w:rPr>
            </w:pPr>
            <w:bookmarkStart w:id="971" w:name="_DV_C2454"/>
            <w:r w:rsidRPr="002A2EA6">
              <w:rPr>
                <w:rStyle w:val="DeltaViewInsertion"/>
                <w:rFonts w:eastAsia="SimSun"/>
                <w:color w:val="auto"/>
                <w:sz w:val="18"/>
                <w:szCs w:val="18"/>
                <w:u w:val="none"/>
              </w:rPr>
              <w:t xml:space="preserve">161 578 </w:t>
            </w:r>
            <w:bookmarkEnd w:id="971"/>
          </w:p>
        </w:tc>
      </w:tr>
      <w:tr w:rsidR="002A2EA6" w:rsidRPr="002A2EA6" w14:paraId="4FEF59EE" w14:textId="77777777" w:rsidTr="00A54D8B">
        <w:trPr>
          <w:trHeight w:val="57"/>
          <w:jc w:val="right"/>
        </w:trPr>
        <w:tc>
          <w:tcPr>
            <w:tcW w:w="4962" w:type="dxa"/>
            <w:gridSpan w:val="3"/>
            <w:tcBorders>
              <w:top w:val="single" w:sz="4" w:space="0" w:color="000000"/>
              <w:left w:val="nil"/>
              <w:bottom w:val="single" w:sz="4" w:space="0" w:color="000000"/>
              <w:right w:val="nil"/>
            </w:tcBorders>
            <w:shd w:val="clear" w:color="auto" w:fill="auto"/>
          </w:tcPr>
          <w:p w14:paraId="7C556C6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972" w:name="_DV_C2535"/>
            <w:r w:rsidRPr="002A2EA6">
              <w:rPr>
                <w:rStyle w:val="DeltaViewInsertion"/>
                <w:rFonts w:eastAsia="SimSun"/>
                <w:b/>
                <w:color w:val="auto"/>
                <w:sz w:val="18"/>
                <w:szCs w:val="18"/>
                <w:u w:val="none"/>
              </w:rPr>
              <w:t>Total des contributions</w:t>
            </w:r>
            <w:bookmarkEnd w:id="972"/>
          </w:p>
        </w:tc>
        <w:tc>
          <w:tcPr>
            <w:tcW w:w="1984" w:type="dxa"/>
            <w:tcBorders>
              <w:top w:val="single" w:sz="4" w:space="0" w:color="000000"/>
              <w:left w:val="nil"/>
              <w:bottom w:val="single" w:sz="4" w:space="0" w:color="000000"/>
              <w:right w:val="nil"/>
            </w:tcBorders>
            <w:shd w:val="clear" w:color="auto" w:fill="auto"/>
          </w:tcPr>
          <w:p w14:paraId="742DDF1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973" w:name="_DV_C2536"/>
            <w:r w:rsidRPr="002A2EA6">
              <w:rPr>
                <w:rStyle w:val="DeltaViewInsertion"/>
                <w:rFonts w:eastAsia="SimSun"/>
                <w:b/>
                <w:color w:val="auto"/>
                <w:sz w:val="18"/>
                <w:szCs w:val="18"/>
                <w:u w:val="none"/>
              </w:rPr>
              <w:t>100,00</w:t>
            </w:r>
            <w:bookmarkEnd w:id="973"/>
          </w:p>
        </w:tc>
        <w:tc>
          <w:tcPr>
            <w:tcW w:w="1985" w:type="dxa"/>
            <w:tcBorders>
              <w:top w:val="single" w:sz="4" w:space="0" w:color="000000"/>
              <w:left w:val="nil"/>
              <w:bottom w:val="single" w:sz="4" w:space="0" w:color="000000"/>
              <w:right w:val="nil"/>
            </w:tcBorders>
            <w:shd w:val="clear" w:color="auto" w:fill="auto"/>
          </w:tcPr>
          <w:p w14:paraId="1ED441DC" w14:textId="16662208" w:rsidR="002A2EA6" w:rsidRPr="002A2EA6" w:rsidRDefault="007C1610" w:rsidP="002A2EA6">
            <w:pPr>
              <w:tabs>
                <w:tab w:val="clear" w:pos="1247"/>
                <w:tab w:val="clear" w:pos="1814"/>
                <w:tab w:val="clear" w:pos="2381"/>
                <w:tab w:val="clear" w:pos="2948"/>
                <w:tab w:val="clear" w:pos="3515"/>
              </w:tabs>
              <w:spacing w:before="40" w:after="40"/>
              <w:jc w:val="right"/>
              <w:rPr>
                <w:rFonts w:eastAsia="SimSun"/>
                <w:b/>
                <w:sz w:val="18"/>
                <w:szCs w:val="18"/>
              </w:rPr>
            </w:pPr>
            <w:bookmarkStart w:id="974" w:name="_DV_C2537"/>
            <w:r>
              <w:rPr>
                <w:rStyle w:val="DeltaViewInsertion"/>
                <w:rFonts w:eastAsia="SimSun"/>
                <w:b/>
                <w:color w:val="auto"/>
                <w:sz w:val="18"/>
                <w:szCs w:val="18"/>
                <w:u w:val="none"/>
              </w:rPr>
              <w:t>6</w:t>
            </w:r>
            <w:r w:rsidR="005B2F5F">
              <w:rPr>
                <w:rStyle w:val="DeltaViewInsertion"/>
                <w:rFonts w:eastAsia="SimSun"/>
                <w:b/>
                <w:color w:val="auto"/>
                <w:sz w:val="18"/>
                <w:szCs w:val="18"/>
                <w:u w:val="none"/>
              </w:rPr>
              <w:t> </w:t>
            </w:r>
            <w:r w:rsidR="002A2EA6" w:rsidRPr="002A2EA6">
              <w:rPr>
                <w:rStyle w:val="DeltaViewInsertion"/>
                <w:rFonts w:eastAsia="SimSun"/>
                <w:b/>
                <w:color w:val="auto"/>
                <w:sz w:val="18"/>
                <w:szCs w:val="18"/>
                <w:u w:val="none"/>
              </w:rPr>
              <w:t xml:space="preserve">463 115 </w:t>
            </w:r>
            <w:bookmarkEnd w:id="974"/>
          </w:p>
        </w:tc>
      </w:tr>
      <w:tr w:rsidR="002A2EA6" w:rsidRPr="002A2EA6" w14:paraId="4E3CA50A" w14:textId="77777777" w:rsidTr="00A54D8B">
        <w:trPr>
          <w:trHeight w:val="57"/>
          <w:jc w:val="right"/>
        </w:trPr>
        <w:tc>
          <w:tcPr>
            <w:tcW w:w="6946" w:type="dxa"/>
            <w:gridSpan w:val="4"/>
            <w:tcBorders>
              <w:top w:val="single" w:sz="4" w:space="0" w:color="000000"/>
              <w:left w:val="nil"/>
              <w:bottom w:val="single" w:sz="12" w:space="0" w:color="000000"/>
              <w:right w:val="nil"/>
            </w:tcBorders>
            <w:shd w:val="clear" w:color="auto" w:fill="auto"/>
          </w:tcPr>
          <w:p w14:paraId="2C59E477"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b/>
                <w:sz w:val="18"/>
                <w:szCs w:val="18"/>
              </w:rPr>
            </w:pPr>
            <w:bookmarkStart w:id="975" w:name="_DV_C2538"/>
            <w:r w:rsidRPr="002A2EA6">
              <w:rPr>
                <w:rStyle w:val="DeltaViewInsertion"/>
                <w:rFonts w:eastAsia="SimSun"/>
                <w:b/>
                <w:color w:val="auto"/>
                <w:sz w:val="18"/>
                <w:szCs w:val="18"/>
                <w:u w:val="none"/>
              </w:rPr>
              <w:t>Budget global</w:t>
            </w:r>
            <w:r w:rsidRPr="002A2EA6">
              <w:rPr>
                <w:rStyle w:val="DeltaViewInsertion"/>
                <w:rFonts w:eastAsia="SimSun"/>
                <w:b/>
                <w:color w:val="auto"/>
                <w:sz w:val="18"/>
                <w:szCs w:val="18"/>
                <w:u w:val="none"/>
              </w:rPr>
              <w:br/>
              <w:t>(contribution du pays hôte comprise*)</w:t>
            </w:r>
            <w:bookmarkEnd w:id="975"/>
          </w:p>
        </w:tc>
        <w:tc>
          <w:tcPr>
            <w:tcW w:w="1985" w:type="dxa"/>
            <w:tcBorders>
              <w:top w:val="single" w:sz="4" w:space="0" w:color="000000"/>
              <w:left w:val="nil"/>
              <w:bottom w:val="single" w:sz="12" w:space="0" w:color="000000"/>
              <w:right w:val="nil"/>
            </w:tcBorders>
            <w:shd w:val="clear" w:color="auto" w:fill="auto"/>
          </w:tcPr>
          <w:p w14:paraId="0F9E7D6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b/>
                <w:sz w:val="18"/>
                <w:szCs w:val="18"/>
              </w:rPr>
            </w:pPr>
            <w:bookmarkStart w:id="976" w:name="_DV_C2539"/>
            <w:r w:rsidRPr="002A2EA6">
              <w:rPr>
                <w:rStyle w:val="DeltaViewInsertion"/>
                <w:rFonts w:eastAsia="SimSun"/>
                <w:b/>
                <w:color w:val="auto"/>
                <w:sz w:val="18"/>
                <w:szCs w:val="18"/>
                <w:u w:val="none"/>
              </w:rPr>
              <w:t xml:space="preserve">7 579 959 </w:t>
            </w:r>
            <w:bookmarkEnd w:id="976"/>
          </w:p>
        </w:tc>
      </w:tr>
    </w:tbl>
    <w:p w14:paraId="07945052" w14:textId="24FDBD56" w:rsidR="002A2EA6" w:rsidRPr="00A54D8B" w:rsidRDefault="002A2EA6" w:rsidP="00A54D8B">
      <w:pPr>
        <w:pStyle w:val="Titletable"/>
        <w:tabs>
          <w:tab w:val="clear" w:pos="1247"/>
          <w:tab w:val="clear" w:pos="1814"/>
          <w:tab w:val="clear" w:pos="2381"/>
          <w:tab w:val="clear" w:pos="2948"/>
          <w:tab w:val="clear" w:pos="3515"/>
          <w:tab w:val="clear" w:pos="4082"/>
          <w:tab w:val="left" w:pos="624"/>
        </w:tabs>
        <w:spacing w:before="40"/>
        <w:ind w:left="544"/>
        <w:rPr>
          <w:sz w:val="16"/>
          <w:szCs w:val="16"/>
          <w:lang w:val="fr-FR"/>
        </w:rPr>
      </w:pPr>
      <w:r w:rsidRPr="00A54D8B">
        <w:rPr>
          <w:b w:val="0"/>
          <w:bCs w:val="0"/>
          <w:sz w:val="16"/>
          <w:szCs w:val="16"/>
          <w:lang w:val="fr-FR"/>
        </w:rPr>
        <w:t>* Comprend la contribution (estimée) du pays hôte (Suisse) au Fonds d</w:t>
      </w:r>
      <w:r w:rsidR="00CA4DAC">
        <w:rPr>
          <w:b w:val="0"/>
          <w:bCs w:val="0"/>
          <w:sz w:val="16"/>
          <w:szCs w:val="16"/>
          <w:lang w:val="fr-FR"/>
        </w:rPr>
        <w:t>’</w:t>
      </w:r>
      <w:r w:rsidRPr="00A54D8B">
        <w:rPr>
          <w:b w:val="0"/>
          <w:bCs w:val="0"/>
          <w:sz w:val="16"/>
          <w:szCs w:val="16"/>
          <w:lang w:val="fr-FR"/>
        </w:rPr>
        <w:t>affectation spéciale général, en dollars des États-Unis.</w:t>
      </w:r>
      <w:r w:rsidRPr="00A54D8B">
        <w:rPr>
          <w:sz w:val="16"/>
          <w:szCs w:val="16"/>
          <w:lang w:val="fr-FR"/>
        </w:rPr>
        <w:br w:type="page"/>
      </w:r>
    </w:p>
    <w:p w14:paraId="4AF99E59" w14:textId="7C94F2D5" w:rsidR="002A2EA6" w:rsidRPr="00077F8F" w:rsidRDefault="002A2EA6" w:rsidP="00077F8F">
      <w:pPr>
        <w:ind w:left="1260"/>
        <w:rPr>
          <w:rFonts w:eastAsia="SimSun"/>
          <w:b/>
          <w:bCs/>
        </w:rPr>
      </w:pPr>
      <w:r w:rsidRPr="002A2EA6">
        <w:lastRenderedPageBreak/>
        <w:t>Table 3</w:t>
      </w:r>
      <w:r w:rsidR="00077F8F">
        <w:t xml:space="preserve"> </w:t>
      </w:r>
      <w:r w:rsidR="00077F8F">
        <w:br/>
      </w:r>
      <w:r w:rsidRPr="00077F8F">
        <w:rPr>
          <w:b/>
          <w:bCs/>
        </w:rPr>
        <w:t>Besoins indicatifs en personnel</w:t>
      </w:r>
    </w:p>
    <w:p w14:paraId="653CA7C7" w14:textId="77777777" w:rsidR="002A2EA6" w:rsidRPr="002A2EA6" w:rsidRDefault="002A2EA6" w:rsidP="002A2EA6">
      <w:pPr>
        <w:pStyle w:val="Titletable"/>
        <w:spacing w:before="60"/>
        <w:rPr>
          <w:rFonts w:eastAsia="SimSun"/>
          <w:b w:val="0"/>
          <w:bCs w:val="0"/>
          <w:lang w:val="fr-FR"/>
        </w:rPr>
      </w:pPr>
      <w:bookmarkStart w:id="977" w:name="_DV_C2543"/>
      <w:r w:rsidRPr="002A2EA6">
        <w:rPr>
          <w:b w:val="0"/>
          <w:bCs w:val="0"/>
          <w:lang w:val="fr-FR"/>
        </w:rPr>
        <w:t>(En dollars des États-Unis)</w:t>
      </w:r>
      <w:bookmarkEnd w:id="977"/>
    </w:p>
    <w:tbl>
      <w:tblPr>
        <w:tblW w:w="8307" w:type="dxa"/>
        <w:jc w:val="right"/>
        <w:shd w:val="clear" w:color="auto" w:fill="FFFFFF" w:themeFill="background1"/>
        <w:tblLayout w:type="fixed"/>
        <w:tblLook w:val="0000" w:firstRow="0" w:lastRow="0" w:firstColumn="0" w:lastColumn="0" w:noHBand="0" w:noVBand="0"/>
      </w:tblPr>
      <w:tblGrid>
        <w:gridCol w:w="4476"/>
        <w:gridCol w:w="1195"/>
        <w:gridCol w:w="2636"/>
      </w:tblGrid>
      <w:tr w:rsidR="002A2EA6" w:rsidRPr="002A2EA6" w14:paraId="59A9EDD7" w14:textId="77777777" w:rsidTr="002A2EA6">
        <w:trPr>
          <w:trHeight w:val="57"/>
          <w:jc w:val="right"/>
        </w:trPr>
        <w:tc>
          <w:tcPr>
            <w:tcW w:w="4248" w:type="dxa"/>
            <w:tcBorders>
              <w:top w:val="single" w:sz="4" w:space="0" w:color="000000"/>
              <w:left w:val="nil"/>
              <w:bottom w:val="single" w:sz="12" w:space="0" w:color="000000"/>
              <w:right w:val="nil"/>
            </w:tcBorders>
            <w:shd w:val="clear" w:color="auto" w:fill="FFFFFF" w:themeFill="background1"/>
          </w:tcPr>
          <w:p w14:paraId="62FD694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i/>
                <w:sz w:val="18"/>
                <w:szCs w:val="18"/>
              </w:rPr>
            </w:pPr>
            <w:bookmarkStart w:id="978" w:name="_DV_C2544"/>
            <w:r w:rsidRPr="002A2EA6">
              <w:rPr>
                <w:i/>
                <w:iCs/>
                <w:sz w:val="18"/>
                <w:szCs w:val="18"/>
              </w:rPr>
              <w:t>Postes</w:t>
            </w:r>
            <w:bookmarkEnd w:id="978"/>
          </w:p>
        </w:tc>
        <w:tc>
          <w:tcPr>
            <w:tcW w:w="1134" w:type="dxa"/>
            <w:tcBorders>
              <w:top w:val="single" w:sz="4" w:space="0" w:color="000000"/>
              <w:left w:val="nil"/>
              <w:bottom w:val="single" w:sz="12" w:space="0" w:color="000000"/>
              <w:right w:val="nil"/>
            </w:tcBorders>
            <w:shd w:val="clear" w:color="auto" w:fill="FFFFFF" w:themeFill="background1"/>
          </w:tcPr>
          <w:p w14:paraId="2EBC25B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i/>
                <w:sz w:val="18"/>
                <w:szCs w:val="18"/>
              </w:rPr>
            </w:pPr>
            <w:r w:rsidRPr="002A2EA6">
              <w:rPr>
                <w:rFonts w:eastAsia="SimSun"/>
                <w:i/>
                <w:sz w:val="18"/>
                <w:szCs w:val="18"/>
              </w:rPr>
              <w:t>Nombre</w:t>
            </w:r>
          </w:p>
        </w:tc>
        <w:tc>
          <w:tcPr>
            <w:tcW w:w="2501" w:type="dxa"/>
            <w:tcBorders>
              <w:top w:val="single" w:sz="4" w:space="0" w:color="000000"/>
              <w:left w:val="nil"/>
              <w:bottom w:val="single" w:sz="12" w:space="0" w:color="000000"/>
              <w:right w:val="nil"/>
            </w:tcBorders>
            <w:shd w:val="clear" w:color="auto" w:fill="FFFFFF" w:themeFill="background1"/>
          </w:tcPr>
          <w:p w14:paraId="385C5056" w14:textId="280087E4" w:rsidR="002A2EA6" w:rsidRPr="002A2EA6" w:rsidRDefault="002A2EA6" w:rsidP="002A2EA6">
            <w:pPr>
              <w:tabs>
                <w:tab w:val="clear" w:pos="1247"/>
                <w:tab w:val="clear" w:pos="1814"/>
                <w:tab w:val="clear" w:pos="2381"/>
                <w:tab w:val="clear" w:pos="2948"/>
                <w:tab w:val="clear" w:pos="3515"/>
              </w:tabs>
              <w:spacing w:before="40" w:after="40"/>
              <w:jc w:val="right"/>
              <w:rPr>
                <w:rFonts w:eastAsia="SimSun"/>
                <w:i/>
                <w:sz w:val="18"/>
                <w:szCs w:val="18"/>
              </w:rPr>
            </w:pPr>
            <w:bookmarkStart w:id="979" w:name="_DV_C2546"/>
            <w:r w:rsidRPr="002A2EA6">
              <w:rPr>
                <w:i/>
                <w:iCs/>
                <w:sz w:val="18"/>
                <w:szCs w:val="18"/>
              </w:rPr>
              <w:t>Total des coûts pour l</w:t>
            </w:r>
            <w:r w:rsidR="00CA4DAC">
              <w:rPr>
                <w:i/>
                <w:iCs/>
                <w:sz w:val="18"/>
                <w:szCs w:val="18"/>
              </w:rPr>
              <w:t>’</w:t>
            </w:r>
            <w:r w:rsidRPr="002A2EA6">
              <w:rPr>
                <w:i/>
                <w:iCs/>
                <w:sz w:val="18"/>
                <w:szCs w:val="18"/>
              </w:rPr>
              <w:t>exercice biennal</w:t>
            </w:r>
            <w:bookmarkStart w:id="980" w:name="_DV_C2547"/>
            <w:bookmarkEnd w:id="979"/>
            <w:r w:rsidR="00F20074">
              <w:rPr>
                <w:i/>
                <w:iCs/>
                <w:sz w:val="18"/>
                <w:szCs w:val="18"/>
              </w:rPr>
              <w:t xml:space="preserve"> </w:t>
            </w:r>
            <w:r w:rsidRPr="002A2EA6">
              <w:rPr>
                <w:i/>
                <w:iCs/>
                <w:sz w:val="18"/>
                <w:szCs w:val="18"/>
              </w:rPr>
              <w:t>2020–2021</w:t>
            </w:r>
            <w:bookmarkEnd w:id="980"/>
          </w:p>
          <w:p w14:paraId="4882B6C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i/>
                <w:sz w:val="18"/>
                <w:szCs w:val="18"/>
              </w:rPr>
            </w:pPr>
            <w:bookmarkStart w:id="981" w:name="_DV_C2548"/>
            <w:r w:rsidRPr="002A2EA6">
              <w:rPr>
                <w:sz w:val="18"/>
                <w:szCs w:val="18"/>
              </w:rPr>
              <w:t>(</w:t>
            </w:r>
            <w:r w:rsidRPr="002A2EA6">
              <w:rPr>
                <w:i/>
                <w:iCs/>
                <w:sz w:val="18"/>
                <w:szCs w:val="18"/>
              </w:rPr>
              <w:t>Coûts salariaux standard à Genève)</w:t>
            </w:r>
            <w:bookmarkEnd w:id="981"/>
          </w:p>
        </w:tc>
      </w:tr>
      <w:tr w:rsidR="002A2EA6" w:rsidRPr="002A2EA6" w14:paraId="722DA19B" w14:textId="77777777" w:rsidTr="002A2EA6">
        <w:trPr>
          <w:trHeight w:val="57"/>
          <w:jc w:val="right"/>
        </w:trPr>
        <w:tc>
          <w:tcPr>
            <w:tcW w:w="4248" w:type="dxa"/>
            <w:tcBorders>
              <w:top w:val="single" w:sz="12" w:space="0" w:color="000000"/>
              <w:left w:val="nil"/>
              <w:bottom w:val="nil"/>
              <w:right w:val="nil"/>
            </w:tcBorders>
            <w:shd w:val="clear" w:color="auto" w:fill="FFFFFF" w:themeFill="background1"/>
          </w:tcPr>
          <w:p w14:paraId="6716483D"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982" w:name="_DV_C2549"/>
            <w:r w:rsidRPr="002A2EA6">
              <w:rPr>
                <w:noProof/>
                <w:sz w:val="18"/>
                <w:szCs w:val="18"/>
              </w:rPr>
              <w:t>D-1 Secrétaire exécutif</w:t>
            </w:r>
            <w:bookmarkEnd w:id="982"/>
            <w:r w:rsidRPr="002A2EA6">
              <w:rPr>
                <w:noProof/>
                <w:sz w:val="18"/>
                <w:szCs w:val="18"/>
              </w:rPr>
              <w:t>(ve)</w:t>
            </w:r>
          </w:p>
        </w:tc>
        <w:tc>
          <w:tcPr>
            <w:tcW w:w="1134" w:type="dxa"/>
            <w:tcBorders>
              <w:top w:val="single" w:sz="12" w:space="0" w:color="000000"/>
              <w:left w:val="nil"/>
              <w:bottom w:val="nil"/>
              <w:right w:val="nil"/>
            </w:tcBorders>
            <w:shd w:val="clear" w:color="auto" w:fill="FFFFFF" w:themeFill="background1"/>
          </w:tcPr>
          <w:p w14:paraId="5CDE4505"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83" w:name="_DV_C2550"/>
            <w:r w:rsidRPr="002A2EA6">
              <w:rPr>
                <w:noProof/>
                <w:sz w:val="18"/>
                <w:szCs w:val="18"/>
              </w:rPr>
              <w:t>1</w:t>
            </w:r>
            <w:bookmarkEnd w:id="983"/>
          </w:p>
        </w:tc>
        <w:tc>
          <w:tcPr>
            <w:tcW w:w="2501" w:type="dxa"/>
            <w:tcBorders>
              <w:top w:val="single" w:sz="12" w:space="0" w:color="000000"/>
              <w:left w:val="nil"/>
              <w:bottom w:val="nil"/>
              <w:right w:val="nil"/>
            </w:tcBorders>
            <w:shd w:val="clear" w:color="auto" w:fill="FFFFFF" w:themeFill="background1"/>
          </w:tcPr>
          <w:p w14:paraId="560AAA21"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84" w:name="_DV_C2551"/>
            <w:r w:rsidRPr="002A2EA6">
              <w:rPr>
                <w:noProof/>
                <w:sz w:val="18"/>
                <w:szCs w:val="18"/>
              </w:rPr>
              <w:t xml:space="preserve">537 544 </w:t>
            </w:r>
            <w:bookmarkEnd w:id="984"/>
          </w:p>
        </w:tc>
      </w:tr>
      <w:tr w:rsidR="002A2EA6" w:rsidRPr="002A2EA6" w14:paraId="628051F8" w14:textId="77777777" w:rsidTr="002A2EA6">
        <w:trPr>
          <w:trHeight w:val="57"/>
          <w:jc w:val="right"/>
        </w:trPr>
        <w:tc>
          <w:tcPr>
            <w:tcW w:w="4248" w:type="dxa"/>
            <w:tcBorders>
              <w:top w:val="nil"/>
              <w:left w:val="nil"/>
              <w:bottom w:val="nil"/>
              <w:right w:val="nil"/>
            </w:tcBorders>
            <w:shd w:val="clear" w:color="auto" w:fill="FFFFFF" w:themeFill="background1"/>
          </w:tcPr>
          <w:p w14:paraId="5B9DAD8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985" w:name="_DV_C2552"/>
            <w:r w:rsidRPr="002A2EA6">
              <w:rPr>
                <w:noProof/>
                <w:sz w:val="18"/>
                <w:szCs w:val="18"/>
              </w:rPr>
              <w:t>P-5 - Coordination et politiques</w:t>
            </w:r>
            <w:bookmarkEnd w:id="985"/>
          </w:p>
        </w:tc>
        <w:tc>
          <w:tcPr>
            <w:tcW w:w="1134" w:type="dxa"/>
            <w:tcBorders>
              <w:top w:val="nil"/>
              <w:left w:val="nil"/>
              <w:bottom w:val="nil"/>
              <w:right w:val="nil"/>
            </w:tcBorders>
            <w:shd w:val="clear" w:color="auto" w:fill="FFFFFF" w:themeFill="background1"/>
          </w:tcPr>
          <w:p w14:paraId="4B179F9D"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86" w:name="_DV_C2553"/>
            <w:r w:rsidRPr="002A2EA6">
              <w:rPr>
                <w:noProof/>
                <w:sz w:val="18"/>
                <w:szCs w:val="18"/>
              </w:rPr>
              <w:t>1</w:t>
            </w:r>
            <w:bookmarkEnd w:id="986"/>
          </w:p>
        </w:tc>
        <w:tc>
          <w:tcPr>
            <w:tcW w:w="2501" w:type="dxa"/>
            <w:tcBorders>
              <w:top w:val="nil"/>
              <w:left w:val="nil"/>
              <w:bottom w:val="nil"/>
              <w:right w:val="nil"/>
            </w:tcBorders>
            <w:shd w:val="clear" w:color="auto" w:fill="FFFFFF" w:themeFill="background1"/>
          </w:tcPr>
          <w:p w14:paraId="6453160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87" w:name="_DV_C2554"/>
            <w:r w:rsidRPr="002A2EA6">
              <w:rPr>
                <w:noProof/>
                <w:sz w:val="18"/>
                <w:szCs w:val="18"/>
              </w:rPr>
              <w:t xml:space="preserve">482 328 </w:t>
            </w:r>
            <w:bookmarkEnd w:id="987"/>
          </w:p>
        </w:tc>
      </w:tr>
      <w:tr w:rsidR="002A2EA6" w:rsidRPr="002A2EA6" w14:paraId="3D0931A2" w14:textId="77777777" w:rsidTr="002A2EA6">
        <w:trPr>
          <w:trHeight w:val="57"/>
          <w:jc w:val="right"/>
        </w:trPr>
        <w:tc>
          <w:tcPr>
            <w:tcW w:w="4248" w:type="dxa"/>
            <w:tcBorders>
              <w:top w:val="nil"/>
              <w:left w:val="nil"/>
              <w:bottom w:val="nil"/>
              <w:right w:val="nil"/>
            </w:tcBorders>
            <w:shd w:val="clear" w:color="auto" w:fill="FFFFFF" w:themeFill="background1"/>
          </w:tcPr>
          <w:p w14:paraId="6FD591F9"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988" w:name="_DV_C2555"/>
            <w:r w:rsidRPr="002A2EA6">
              <w:rPr>
                <w:noProof/>
                <w:sz w:val="18"/>
                <w:szCs w:val="18"/>
              </w:rPr>
              <w:t>P-4 - Science et technologie</w:t>
            </w:r>
            <w:bookmarkEnd w:id="988"/>
          </w:p>
        </w:tc>
        <w:tc>
          <w:tcPr>
            <w:tcW w:w="1134" w:type="dxa"/>
            <w:tcBorders>
              <w:top w:val="nil"/>
              <w:left w:val="nil"/>
              <w:bottom w:val="nil"/>
              <w:right w:val="nil"/>
            </w:tcBorders>
            <w:shd w:val="clear" w:color="auto" w:fill="FFFFFF" w:themeFill="background1"/>
          </w:tcPr>
          <w:p w14:paraId="6F4DF97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89" w:name="_DV_C2556"/>
            <w:r w:rsidRPr="002A2EA6">
              <w:rPr>
                <w:noProof/>
                <w:sz w:val="18"/>
                <w:szCs w:val="18"/>
              </w:rPr>
              <w:t>1</w:t>
            </w:r>
            <w:bookmarkEnd w:id="989"/>
          </w:p>
        </w:tc>
        <w:tc>
          <w:tcPr>
            <w:tcW w:w="2501" w:type="dxa"/>
            <w:tcBorders>
              <w:top w:val="nil"/>
              <w:left w:val="nil"/>
              <w:bottom w:val="nil"/>
              <w:right w:val="nil"/>
            </w:tcBorders>
            <w:shd w:val="clear" w:color="auto" w:fill="FFFFFF" w:themeFill="background1"/>
          </w:tcPr>
          <w:p w14:paraId="1D68156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0" w:name="_DV_C2557"/>
            <w:r w:rsidRPr="002A2EA6">
              <w:rPr>
                <w:noProof/>
                <w:sz w:val="18"/>
                <w:szCs w:val="18"/>
              </w:rPr>
              <w:t xml:space="preserve">414 120 </w:t>
            </w:r>
            <w:bookmarkEnd w:id="990"/>
          </w:p>
        </w:tc>
      </w:tr>
      <w:tr w:rsidR="002A2EA6" w:rsidRPr="002A2EA6" w14:paraId="3FD42F60" w14:textId="77777777" w:rsidTr="002A2EA6">
        <w:trPr>
          <w:trHeight w:val="57"/>
          <w:jc w:val="right"/>
        </w:trPr>
        <w:tc>
          <w:tcPr>
            <w:tcW w:w="4248" w:type="dxa"/>
            <w:tcBorders>
              <w:top w:val="nil"/>
              <w:left w:val="nil"/>
              <w:bottom w:val="nil"/>
              <w:right w:val="nil"/>
            </w:tcBorders>
            <w:shd w:val="clear" w:color="auto" w:fill="FFFFFF" w:themeFill="background1"/>
          </w:tcPr>
          <w:p w14:paraId="24C1F64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991" w:name="_DV_C2558"/>
            <w:r w:rsidRPr="002A2EA6">
              <w:rPr>
                <w:noProof/>
                <w:sz w:val="18"/>
                <w:szCs w:val="18"/>
              </w:rPr>
              <w:t>P-4 - Renforcement des capacités et assistance technique</w:t>
            </w:r>
            <w:bookmarkEnd w:id="991"/>
          </w:p>
        </w:tc>
        <w:tc>
          <w:tcPr>
            <w:tcW w:w="1134" w:type="dxa"/>
            <w:tcBorders>
              <w:top w:val="nil"/>
              <w:left w:val="nil"/>
              <w:bottom w:val="nil"/>
              <w:right w:val="nil"/>
            </w:tcBorders>
            <w:shd w:val="clear" w:color="auto" w:fill="FFFFFF" w:themeFill="background1"/>
          </w:tcPr>
          <w:p w14:paraId="4013021A"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2" w:name="_DV_C2559"/>
            <w:r w:rsidRPr="002A2EA6">
              <w:rPr>
                <w:noProof/>
                <w:sz w:val="18"/>
                <w:szCs w:val="18"/>
              </w:rPr>
              <w:t>1</w:t>
            </w:r>
            <w:bookmarkEnd w:id="992"/>
          </w:p>
        </w:tc>
        <w:tc>
          <w:tcPr>
            <w:tcW w:w="2501" w:type="dxa"/>
            <w:tcBorders>
              <w:top w:val="nil"/>
              <w:left w:val="nil"/>
              <w:bottom w:val="nil"/>
              <w:right w:val="nil"/>
            </w:tcBorders>
            <w:shd w:val="clear" w:color="auto" w:fill="FFFFFF" w:themeFill="background1"/>
          </w:tcPr>
          <w:p w14:paraId="34446B4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3" w:name="_DV_C2560"/>
            <w:r w:rsidRPr="002A2EA6">
              <w:rPr>
                <w:noProof/>
                <w:sz w:val="18"/>
                <w:szCs w:val="18"/>
              </w:rPr>
              <w:t xml:space="preserve">414 120 </w:t>
            </w:r>
            <w:bookmarkEnd w:id="993"/>
          </w:p>
        </w:tc>
      </w:tr>
      <w:tr w:rsidR="002A2EA6" w:rsidRPr="002A2EA6" w14:paraId="1FBCFA16" w14:textId="77777777" w:rsidTr="002A2EA6">
        <w:trPr>
          <w:trHeight w:val="57"/>
          <w:jc w:val="right"/>
        </w:trPr>
        <w:tc>
          <w:tcPr>
            <w:tcW w:w="4248" w:type="dxa"/>
            <w:tcBorders>
              <w:top w:val="nil"/>
              <w:left w:val="nil"/>
              <w:bottom w:val="nil"/>
              <w:right w:val="nil"/>
            </w:tcBorders>
            <w:shd w:val="clear" w:color="auto" w:fill="FFFFFF" w:themeFill="background1"/>
          </w:tcPr>
          <w:p w14:paraId="4A2A52A3"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994" w:name="_DV_C2561"/>
            <w:r w:rsidRPr="002A2EA6">
              <w:rPr>
                <w:noProof/>
                <w:sz w:val="18"/>
                <w:szCs w:val="18"/>
              </w:rPr>
              <w:t>P-3 - Communication et gestion des connaissances</w:t>
            </w:r>
            <w:bookmarkEnd w:id="994"/>
          </w:p>
        </w:tc>
        <w:tc>
          <w:tcPr>
            <w:tcW w:w="1134" w:type="dxa"/>
            <w:tcBorders>
              <w:top w:val="nil"/>
              <w:left w:val="nil"/>
              <w:bottom w:val="nil"/>
              <w:right w:val="nil"/>
            </w:tcBorders>
            <w:shd w:val="clear" w:color="auto" w:fill="FFFFFF" w:themeFill="background1"/>
          </w:tcPr>
          <w:p w14:paraId="54B10C1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5" w:name="_DV_C2562"/>
            <w:r w:rsidRPr="002A2EA6">
              <w:rPr>
                <w:noProof/>
                <w:sz w:val="18"/>
                <w:szCs w:val="18"/>
              </w:rPr>
              <w:t>1</w:t>
            </w:r>
            <w:bookmarkEnd w:id="995"/>
          </w:p>
        </w:tc>
        <w:tc>
          <w:tcPr>
            <w:tcW w:w="2501" w:type="dxa"/>
            <w:tcBorders>
              <w:top w:val="nil"/>
              <w:left w:val="nil"/>
              <w:bottom w:val="nil"/>
              <w:right w:val="nil"/>
            </w:tcBorders>
            <w:shd w:val="clear" w:color="auto" w:fill="FFFFFF" w:themeFill="background1"/>
          </w:tcPr>
          <w:p w14:paraId="272A604C"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6" w:name="_DV_C2563"/>
            <w:r w:rsidRPr="002A2EA6">
              <w:rPr>
                <w:noProof/>
                <w:sz w:val="18"/>
                <w:szCs w:val="18"/>
              </w:rPr>
              <w:t xml:space="preserve">341 852 </w:t>
            </w:r>
            <w:bookmarkEnd w:id="996"/>
          </w:p>
        </w:tc>
      </w:tr>
      <w:tr w:rsidR="002A2EA6" w:rsidRPr="002A2EA6" w14:paraId="17E5886C" w14:textId="77777777" w:rsidTr="002A2EA6">
        <w:trPr>
          <w:trHeight w:val="57"/>
          <w:jc w:val="right"/>
        </w:trPr>
        <w:tc>
          <w:tcPr>
            <w:tcW w:w="4248" w:type="dxa"/>
            <w:tcBorders>
              <w:top w:val="nil"/>
              <w:left w:val="nil"/>
              <w:bottom w:val="nil"/>
              <w:right w:val="nil"/>
            </w:tcBorders>
            <w:shd w:val="clear" w:color="auto" w:fill="FFFFFF" w:themeFill="background1"/>
          </w:tcPr>
          <w:p w14:paraId="2FD2D37E" w14:textId="777B448F" w:rsidR="002A2EA6" w:rsidRPr="002A2EA6" w:rsidRDefault="002A2EA6" w:rsidP="002A2EA6">
            <w:pPr>
              <w:tabs>
                <w:tab w:val="clear" w:pos="1247"/>
                <w:tab w:val="clear" w:pos="1814"/>
                <w:tab w:val="clear" w:pos="2381"/>
                <w:tab w:val="clear" w:pos="2948"/>
                <w:tab w:val="clear" w:pos="3515"/>
              </w:tabs>
              <w:spacing w:before="40" w:after="40"/>
              <w:ind w:left="319" w:hanging="319"/>
              <w:rPr>
                <w:rFonts w:eastAsia="SimSun"/>
                <w:noProof/>
                <w:sz w:val="18"/>
                <w:szCs w:val="18"/>
              </w:rPr>
            </w:pPr>
            <w:bookmarkStart w:id="997" w:name="_DV_C2564"/>
            <w:r w:rsidRPr="002A2EA6">
              <w:rPr>
                <w:noProof/>
                <w:sz w:val="18"/>
                <w:szCs w:val="18"/>
              </w:rPr>
              <w:t>P-3 – Administrateur(trice) de programmes (rapports, évaluation de l</w:t>
            </w:r>
            <w:r w:rsidR="00CA4DAC">
              <w:rPr>
                <w:noProof/>
                <w:sz w:val="18"/>
                <w:szCs w:val="18"/>
              </w:rPr>
              <w:t>’</w:t>
            </w:r>
            <w:r w:rsidRPr="002A2EA6">
              <w:rPr>
                <w:noProof/>
                <w:sz w:val="18"/>
                <w:szCs w:val="18"/>
              </w:rPr>
              <w:t>efficacité)</w:t>
            </w:r>
            <w:bookmarkEnd w:id="997"/>
          </w:p>
        </w:tc>
        <w:tc>
          <w:tcPr>
            <w:tcW w:w="1134" w:type="dxa"/>
            <w:tcBorders>
              <w:top w:val="nil"/>
              <w:left w:val="nil"/>
              <w:bottom w:val="nil"/>
              <w:right w:val="nil"/>
            </w:tcBorders>
            <w:shd w:val="clear" w:color="auto" w:fill="FFFFFF" w:themeFill="background1"/>
          </w:tcPr>
          <w:p w14:paraId="460856C6"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8" w:name="_DV_C2565"/>
            <w:r w:rsidRPr="002A2EA6">
              <w:rPr>
                <w:noProof/>
                <w:sz w:val="18"/>
                <w:szCs w:val="18"/>
              </w:rPr>
              <w:t>1</w:t>
            </w:r>
            <w:bookmarkEnd w:id="998"/>
          </w:p>
        </w:tc>
        <w:tc>
          <w:tcPr>
            <w:tcW w:w="2501" w:type="dxa"/>
            <w:tcBorders>
              <w:top w:val="nil"/>
              <w:left w:val="nil"/>
              <w:bottom w:val="nil"/>
              <w:right w:val="nil"/>
            </w:tcBorders>
            <w:shd w:val="clear" w:color="auto" w:fill="FFFFFF" w:themeFill="background1"/>
          </w:tcPr>
          <w:p w14:paraId="48F5C724"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999" w:name="_DV_C2566"/>
            <w:r w:rsidRPr="002A2EA6">
              <w:rPr>
                <w:noProof/>
                <w:sz w:val="18"/>
                <w:szCs w:val="18"/>
              </w:rPr>
              <w:t xml:space="preserve">341 852 </w:t>
            </w:r>
            <w:bookmarkEnd w:id="999"/>
          </w:p>
        </w:tc>
      </w:tr>
      <w:tr w:rsidR="002A2EA6" w:rsidRPr="002A2EA6" w14:paraId="3386A12D" w14:textId="77777777" w:rsidTr="002A2EA6">
        <w:trPr>
          <w:trHeight w:val="57"/>
          <w:jc w:val="right"/>
        </w:trPr>
        <w:tc>
          <w:tcPr>
            <w:tcW w:w="4248" w:type="dxa"/>
            <w:tcBorders>
              <w:top w:val="nil"/>
              <w:left w:val="nil"/>
              <w:bottom w:val="nil"/>
              <w:right w:val="nil"/>
            </w:tcBorders>
            <w:shd w:val="clear" w:color="auto" w:fill="FFFFFF" w:themeFill="background1"/>
          </w:tcPr>
          <w:p w14:paraId="5BAF50A1"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1000" w:name="_DV_C2567"/>
            <w:r w:rsidRPr="002A2EA6">
              <w:rPr>
                <w:noProof/>
                <w:sz w:val="18"/>
                <w:szCs w:val="18"/>
              </w:rPr>
              <w:t xml:space="preserve">P-3 Juriste </w:t>
            </w:r>
            <w:bookmarkEnd w:id="1000"/>
          </w:p>
        </w:tc>
        <w:tc>
          <w:tcPr>
            <w:tcW w:w="1134" w:type="dxa"/>
            <w:tcBorders>
              <w:top w:val="nil"/>
              <w:left w:val="nil"/>
              <w:bottom w:val="nil"/>
              <w:right w:val="nil"/>
            </w:tcBorders>
            <w:shd w:val="clear" w:color="auto" w:fill="FFFFFF" w:themeFill="background1"/>
          </w:tcPr>
          <w:p w14:paraId="6FB50F92"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1001" w:name="_DV_C2568"/>
            <w:r w:rsidRPr="002A2EA6">
              <w:rPr>
                <w:noProof/>
                <w:sz w:val="18"/>
                <w:szCs w:val="18"/>
              </w:rPr>
              <w:t>1</w:t>
            </w:r>
            <w:bookmarkEnd w:id="1001"/>
          </w:p>
        </w:tc>
        <w:tc>
          <w:tcPr>
            <w:tcW w:w="2501" w:type="dxa"/>
            <w:tcBorders>
              <w:top w:val="nil"/>
              <w:left w:val="nil"/>
              <w:bottom w:val="nil"/>
              <w:right w:val="nil"/>
            </w:tcBorders>
            <w:shd w:val="clear" w:color="auto" w:fill="FFFFFF" w:themeFill="background1"/>
          </w:tcPr>
          <w:p w14:paraId="10234123"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1002" w:name="_DV_C2569"/>
            <w:r w:rsidRPr="002A2EA6">
              <w:rPr>
                <w:noProof/>
                <w:sz w:val="18"/>
                <w:szCs w:val="18"/>
              </w:rPr>
              <w:t xml:space="preserve">341 852 </w:t>
            </w:r>
            <w:bookmarkEnd w:id="1002"/>
          </w:p>
        </w:tc>
      </w:tr>
      <w:tr w:rsidR="002A2EA6" w:rsidRPr="002A2EA6" w14:paraId="2235D543" w14:textId="77777777" w:rsidTr="002A2EA6">
        <w:trPr>
          <w:trHeight w:val="57"/>
          <w:jc w:val="right"/>
        </w:trPr>
        <w:tc>
          <w:tcPr>
            <w:tcW w:w="4248" w:type="dxa"/>
            <w:tcBorders>
              <w:top w:val="nil"/>
              <w:left w:val="nil"/>
              <w:bottom w:val="nil"/>
              <w:right w:val="nil"/>
            </w:tcBorders>
            <w:shd w:val="clear" w:color="auto" w:fill="FFFFFF" w:themeFill="background1"/>
          </w:tcPr>
          <w:p w14:paraId="4EE1FD6F"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noProof/>
                <w:sz w:val="18"/>
                <w:szCs w:val="18"/>
              </w:rPr>
            </w:pPr>
            <w:bookmarkStart w:id="1003" w:name="_DV_C2570"/>
            <w:r w:rsidRPr="002A2EA6">
              <w:rPr>
                <w:noProof/>
                <w:sz w:val="18"/>
                <w:szCs w:val="18"/>
              </w:rPr>
              <w:t>G - Assistant(e) (programmes)</w:t>
            </w:r>
            <w:bookmarkEnd w:id="1003"/>
          </w:p>
        </w:tc>
        <w:tc>
          <w:tcPr>
            <w:tcW w:w="1134" w:type="dxa"/>
            <w:tcBorders>
              <w:top w:val="nil"/>
              <w:left w:val="nil"/>
              <w:bottom w:val="nil"/>
              <w:right w:val="nil"/>
            </w:tcBorders>
            <w:shd w:val="clear" w:color="auto" w:fill="FFFFFF" w:themeFill="background1"/>
          </w:tcPr>
          <w:p w14:paraId="4EC46D1B"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1004" w:name="_DV_C2571"/>
            <w:r w:rsidRPr="002A2EA6">
              <w:rPr>
                <w:noProof/>
                <w:sz w:val="18"/>
                <w:szCs w:val="18"/>
              </w:rPr>
              <w:t>4</w:t>
            </w:r>
            <w:bookmarkEnd w:id="1004"/>
          </w:p>
        </w:tc>
        <w:tc>
          <w:tcPr>
            <w:tcW w:w="2501" w:type="dxa"/>
            <w:tcBorders>
              <w:top w:val="nil"/>
              <w:left w:val="nil"/>
              <w:bottom w:val="nil"/>
              <w:right w:val="nil"/>
            </w:tcBorders>
            <w:shd w:val="clear" w:color="auto" w:fill="FFFFFF" w:themeFill="background1"/>
          </w:tcPr>
          <w:p w14:paraId="609A803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noProof/>
                <w:sz w:val="18"/>
                <w:szCs w:val="18"/>
              </w:rPr>
            </w:pPr>
            <w:bookmarkStart w:id="1005" w:name="_DV_C2572"/>
            <w:r w:rsidRPr="002A2EA6">
              <w:rPr>
                <w:noProof/>
                <w:sz w:val="18"/>
                <w:szCs w:val="18"/>
              </w:rPr>
              <w:t xml:space="preserve">1 100 260 </w:t>
            </w:r>
            <w:bookmarkEnd w:id="1005"/>
          </w:p>
        </w:tc>
      </w:tr>
      <w:tr w:rsidR="002A2EA6" w:rsidRPr="002A2EA6" w14:paraId="6C9C99B8" w14:textId="77777777" w:rsidTr="002A2EA6">
        <w:trPr>
          <w:trHeight w:val="57"/>
          <w:jc w:val="right"/>
        </w:trPr>
        <w:tc>
          <w:tcPr>
            <w:tcW w:w="4248" w:type="dxa"/>
            <w:tcBorders>
              <w:top w:val="nil"/>
              <w:left w:val="nil"/>
              <w:bottom w:val="single" w:sz="12" w:space="0" w:color="000000"/>
              <w:right w:val="nil"/>
            </w:tcBorders>
            <w:shd w:val="clear" w:color="auto" w:fill="FFFFFF" w:themeFill="background1"/>
          </w:tcPr>
          <w:p w14:paraId="06433AEB" w14:textId="77777777" w:rsidR="002A2EA6" w:rsidRPr="002A2EA6" w:rsidRDefault="002A2EA6" w:rsidP="002A2EA6">
            <w:pPr>
              <w:tabs>
                <w:tab w:val="clear" w:pos="1247"/>
                <w:tab w:val="clear" w:pos="1814"/>
                <w:tab w:val="clear" w:pos="2381"/>
                <w:tab w:val="clear" w:pos="2948"/>
                <w:tab w:val="clear" w:pos="3515"/>
              </w:tabs>
              <w:spacing w:before="40" w:after="40"/>
              <w:rPr>
                <w:rFonts w:eastAsia="SimSun"/>
                <w:b/>
                <w:noProof/>
                <w:sz w:val="18"/>
                <w:szCs w:val="18"/>
              </w:rPr>
            </w:pPr>
            <w:bookmarkStart w:id="1006" w:name="_DV_C2573"/>
            <w:r w:rsidRPr="002A2EA6">
              <w:rPr>
                <w:b/>
                <w:bCs/>
                <w:noProof/>
                <w:sz w:val="18"/>
                <w:szCs w:val="18"/>
              </w:rPr>
              <w:t>Total des dépenses de personnel (</w:t>
            </w:r>
            <w:r w:rsidRPr="002A2EA6">
              <w:rPr>
                <w:rStyle w:val="fr"/>
                <w:noProof/>
                <w:sz w:val="18"/>
                <w:szCs w:val="18"/>
              </w:rPr>
              <w:t>dollars É.-U.</w:t>
            </w:r>
            <w:r w:rsidRPr="002A2EA6">
              <w:rPr>
                <w:b/>
                <w:bCs/>
                <w:noProof/>
                <w:sz w:val="18"/>
                <w:szCs w:val="18"/>
              </w:rPr>
              <w:t>)</w:t>
            </w:r>
            <w:bookmarkEnd w:id="1006"/>
          </w:p>
        </w:tc>
        <w:tc>
          <w:tcPr>
            <w:tcW w:w="1134" w:type="dxa"/>
            <w:tcBorders>
              <w:top w:val="nil"/>
              <w:left w:val="nil"/>
              <w:bottom w:val="single" w:sz="12" w:space="0" w:color="000000"/>
              <w:right w:val="nil"/>
            </w:tcBorders>
            <w:shd w:val="clear" w:color="auto" w:fill="FFFFFF" w:themeFill="background1"/>
          </w:tcPr>
          <w:p w14:paraId="5C37F919"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b/>
                <w:noProof/>
                <w:sz w:val="18"/>
                <w:szCs w:val="18"/>
              </w:rPr>
            </w:pPr>
            <w:bookmarkStart w:id="1007" w:name="_DV_C2574"/>
            <w:r w:rsidRPr="002A2EA6">
              <w:rPr>
                <w:b/>
                <w:bCs/>
                <w:noProof/>
                <w:sz w:val="18"/>
                <w:szCs w:val="18"/>
              </w:rPr>
              <w:t>11</w:t>
            </w:r>
            <w:bookmarkEnd w:id="1007"/>
          </w:p>
        </w:tc>
        <w:tc>
          <w:tcPr>
            <w:tcW w:w="2501" w:type="dxa"/>
            <w:tcBorders>
              <w:top w:val="nil"/>
              <w:left w:val="nil"/>
              <w:bottom w:val="single" w:sz="12" w:space="0" w:color="000000"/>
              <w:right w:val="nil"/>
            </w:tcBorders>
            <w:shd w:val="clear" w:color="auto" w:fill="FFFFFF" w:themeFill="background1"/>
          </w:tcPr>
          <w:p w14:paraId="6A5C28F8" w14:textId="77777777" w:rsidR="002A2EA6" w:rsidRPr="002A2EA6" w:rsidRDefault="002A2EA6" w:rsidP="002A2EA6">
            <w:pPr>
              <w:tabs>
                <w:tab w:val="clear" w:pos="1247"/>
                <w:tab w:val="clear" w:pos="1814"/>
                <w:tab w:val="clear" w:pos="2381"/>
                <w:tab w:val="clear" w:pos="2948"/>
                <w:tab w:val="clear" w:pos="3515"/>
              </w:tabs>
              <w:spacing w:before="40" w:after="40"/>
              <w:jc w:val="right"/>
              <w:rPr>
                <w:rFonts w:eastAsia="SimSun"/>
                <w:b/>
                <w:noProof/>
                <w:sz w:val="18"/>
                <w:szCs w:val="18"/>
              </w:rPr>
            </w:pPr>
            <w:bookmarkStart w:id="1008" w:name="_DV_C2575"/>
            <w:r w:rsidRPr="002A2EA6">
              <w:rPr>
                <w:b/>
                <w:bCs/>
                <w:noProof/>
                <w:sz w:val="18"/>
                <w:szCs w:val="18"/>
              </w:rPr>
              <w:t>3 973 928</w:t>
            </w:r>
            <w:bookmarkEnd w:id="1008"/>
          </w:p>
        </w:tc>
      </w:tr>
    </w:tbl>
    <w:p w14:paraId="4EC209B3" w14:textId="0C4B50DA" w:rsidR="002A2EA6" w:rsidRPr="00A54D8B" w:rsidRDefault="002A2EA6" w:rsidP="002A2EA6">
      <w:pPr>
        <w:tabs>
          <w:tab w:val="clear" w:pos="1247"/>
          <w:tab w:val="clear" w:pos="1814"/>
          <w:tab w:val="clear" w:pos="2381"/>
          <w:tab w:val="clear" w:pos="2948"/>
          <w:tab w:val="clear" w:pos="3515"/>
          <w:tab w:val="left" w:pos="624"/>
        </w:tabs>
        <w:spacing w:after="120"/>
        <w:ind w:left="1247"/>
        <w:rPr>
          <w:rFonts w:eastAsia="SimSun"/>
          <w:noProof/>
          <w:sz w:val="16"/>
          <w:szCs w:val="16"/>
        </w:rPr>
      </w:pPr>
      <w:bookmarkStart w:id="1009" w:name="_DV_C2576"/>
      <w:r w:rsidRPr="00A54D8B">
        <w:rPr>
          <w:noProof/>
          <w:sz w:val="16"/>
          <w:szCs w:val="16"/>
        </w:rPr>
        <w:t>Note</w:t>
      </w:r>
      <w:r w:rsidR="00077F8F" w:rsidRPr="00A54D8B">
        <w:rPr>
          <w:noProof/>
          <w:sz w:val="16"/>
          <w:szCs w:val="16"/>
        </w:rPr>
        <w:t> </w:t>
      </w:r>
      <w:r w:rsidRPr="00A54D8B">
        <w:rPr>
          <w:noProof/>
          <w:sz w:val="16"/>
          <w:szCs w:val="16"/>
        </w:rPr>
        <w:t>: outre le personnel indiqué ci-dessus, le poste de fonctionnaire d</w:t>
      </w:r>
      <w:r w:rsidR="00CA4DAC">
        <w:rPr>
          <w:noProof/>
          <w:sz w:val="16"/>
          <w:szCs w:val="16"/>
        </w:rPr>
        <w:t>’</w:t>
      </w:r>
      <w:r w:rsidRPr="00A54D8B">
        <w:rPr>
          <w:noProof/>
          <w:sz w:val="16"/>
          <w:szCs w:val="16"/>
        </w:rPr>
        <w:t>administration (P-4) et celui d</w:t>
      </w:r>
      <w:r w:rsidR="00CA4DAC">
        <w:rPr>
          <w:noProof/>
          <w:sz w:val="16"/>
          <w:szCs w:val="16"/>
        </w:rPr>
        <w:t>’</w:t>
      </w:r>
      <w:r w:rsidRPr="00A54D8B">
        <w:rPr>
          <w:noProof/>
          <w:sz w:val="16"/>
          <w:szCs w:val="16"/>
        </w:rPr>
        <w:t>assistant(e) au budget et aux finances (G-6) seront financés au moyen des ressources destinées à l</w:t>
      </w:r>
      <w:r w:rsidR="00CA4DAC">
        <w:rPr>
          <w:noProof/>
          <w:sz w:val="16"/>
          <w:szCs w:val="16"/>
        </w:rPr>
        <w:t>’</w:t>
      </w:r>
      <w:r w:rsidRPr="00A54D8B">
        <w:rPr>
          <w:noProof/>
          <w:sz w:val="16"/>
          <w:szCs w:val="16"/>
        </w:rPr>
        <w:t>appui aux programmes.</w:t>
      </w:r>
      <w:bookmarkEnd w:id="1009"/>
    </w:p>
    <w:p w14:paraId="2B6B1452" w14:textId="72D4EFB3" w:rsidR="002A2EA6" w:rsidRPr="002A2EA6" w:rsidRDefault="002A2EA6" w:rsidP="00077F8F">
      <w:pPr>
        <w:pStyle w:val="Titletable"/>
        <w:spacing w:before="240" w:after="120"/>
        <w:rPr>
          <w:lang w:val="fr-FR"/>
        </w:rPr>
      </w:pPr>
      <w:bookmarkStart w:id="1010" w:name="_DV_C2577"/>
      <w:r w:rsidRPr="002A2EA6">
        <w:rPr>
          <w:b w:val="0"/>
          <w:bCs w:val="0"/>
          <w:lang w:val="fr-FR"/>
        </w:rPr>
        <w:t>Tableau 4</w:t>
      </w:r>
      <w:r w:rsidR="00077F8F">
        <w:rPr>
          <w:b w:val="0"/>
          <w:bCs w:val="0"/>
          <w:lang w:val="fr-FR"/>
        </w:rPr>
        <w:t xml:space="preserve"> </w:t>
      </w:r>
      <w:r w:rsidR="00077F8F">
        <w:rPr>
          <w:b w:val="0"/>
          <w:bCs w:val="0"/>
          <w:lang w:val="fr-FR"/>
        </w:rPr>
        <w:br/>
      </w:r>
      <w:r w:rsidRPr="002A2EA6">
        <w:rPr>
          <w:lang w:val="fr-FR"/>
        </w:rPr>
        <w:t>Organigramme du secrétariat de la Convention de Minamata</w:t>
      </w:r>
      <w:bookmarkEnd w:id="1010"/>
    </w:p>
    <w:p w14:paraId="3C97BC75" w14:textId="77777777" w:rsidR="002A2EA6" w:rsidRPr="002A2EA6" w:rsidRDefault="002A2EA6" w:rsidP="002A2EA6">
      <w:pPr>
        <w:pStyle w:val="Titletable"/>
        <w:tabs>
          <w:tab w:val="clear" w:pos="1247"/>
        </w:tabs>
        <w:spacing w:after="0"/>
        <w:ind w:left="0"/>
        <w:rPr>
          <w:rFonts w:eastAsia="SimSun"/>
          <w:lang w:val="fr-FR"/>
        </w:rPr>
      </w:pPr>
      <w:r w:rsidRPr="002A2EA6">
        <w:rPr>
          <w:rFonts w:eastAsia="SimSun"/>
          <w:noProof/>
          <w:lang w:val="fr-FR"/>
        </w:rPr>
        <w:drawing>
          <wp:inline distT="0" distB="0" distL="0" distR="0" wp14:anchorId="40855CF7" wp14:editId="574C4DB0">
            <wp:extent cx="6463063" cy="3676650"/>
            <wp:effectExtent l="0" t="0" r="0" b="0"/>
            <wp:docPr id="66" name="Picture 6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96C672D.tmp"/>
                    <pic:cNvPicPr/>
                  </pic:nvPicPr>
                  <pic:blipFill>
                    <a:blip r:embed="rId26">
                      <a:extLst>
                        <a:ext uri="{28A0092B-C50C-407E-A947-70E740481C1C}">
                          <a14:useLocalDpi xmlns:a14="http://schemas.microsoft.com/office/drawing/2010/main" val="0"/>
                        </a:ext>
                      </a:extLst>
                    </a:blip>
                    <a:stretch>
                      <a:fillRect/>
                    </a:stretch>
                  </pic:blipFill>
                  <pic:spPr>
                    <a:xfrm>
                      <a:off x="0" y="0"/>
                      <a:ext cx="6475746" cy="3683865"/>
                    </a:xfrm>
                    <a:prstGeom prst="rect">
                      <a:avLst/>
                    </a:prstGeom>
                  </pic:spPr>
                </pic:pic>
              </a:graphicData>
            </a:graphic>
          </wp:inline>
        </w:drawing>
      </w:r>
    </w:p>
    <w:p w14:paraId="548738AD" w14:textId="77777777" w:rsidR="002A2EA6" w:rsidRPr="002A2EA6" w:rsidRDefault="002A2EA6" w:rsidP="002A2EA6">
      <w:pPr>
        <w:tabs>
          <w:tab w:val="clear" w:pos="1247"/>
          <w:tab w:val="clear" w:pos="1814"/>
          <w:tab w:val="clear" w:pos="2381"/>
          <w:tab w:val="clear" w:pos="2948"/>
          <w:tab w:val="clear" w:pos="3515"/>
        </w:tabs>
        <w:rPr>
          <w:highlight w:val="yellow"/>
        </w:rPr>
      </w:pPr>
      <w:r w:rsidRPr="002A2EA6">
        <w:rPr>
          <w:highlight w:val="yellow"/>
        </w:rPr>
        <w:br w:type="page"/>
      </w:r>
    </w:p>
    <w:p w14:paraId="629618D7" w14:textId="36AD7FAF" w:rsidR="002A2EA6" w:rsidRPr="003F33A8" w:rsidRDefault="002A2EA6" w:rsidP="002A2EA6">
      <w:pPr>
        <w:pStyle w:val="CH2"/>
        <w:rPr>
          <w:rFonts w:eastAsia="SimSun"/>
          <w:sz w:val="28"/>
          <w:szCs w:val="28"/>
          <w:lang w:val="fr-FR"/>
        </w:rPr>
      </w:pPr>
      <w:bookmarkStart w:id="1011" w:name="_DV_C2580"/>
      <w:r w:rsidRPr="003F33A8">
        <w:rPr>
          <w:sz w:val="28"/>
          <w:szCs w:val="28"/>
          <w:lang w:val="fr-FR"/>
        </w:rPr>
        <w:lastRenderedPageBreak/>
        <w:tab/>
      </w:r>
      <w:r w:rsidRPr="003F33A8">
        <w:rPr>
          <w:sz w:val="28"/>
          <w:szCs w:val="28"/>
          <w:lang w:val="fr-FR"/>
        </w:rPr>
        <w:tab/>
      </w:r>
      <w:bookmarkStart w:id="1012" w:name="_Toc39063374"/>
      <w:r w:rsidRPr="003F33A8">
        <w:rPr>
          <w:sz w:val="28"/>
          <w:szCs w:val="28"/>
          <w:lang w:val="fr-FR"/>
        </w:rPr>
        <w:t>MC-3/13 : Instructions à suivre pour remplir le modèle de rapport</w:t>
      </w:r>
      <w:r w:rsidR="008A5658">
        <w:rPr>
          <w:sz w:val="28"/>
          <w:szCs w:val="28"/>
          <w:lang w:val="fr-FR"/>
        </w:rPr>
        <w:t> </w:t>
      </w:r>
      <w:r w:rsidRPr="003F33A8">
        <w:rPr>
          <w:sz w:val="28"/>
          <w:szCs w:val="28"/>
          <w:lang w:val="fr-FR"/>
        </w:rPr>
        <w:t>national</w:t>
      </w:r>
      <w:bookmarkEnd w:id="1011"/>
      <w:bookmarkEnd w:id="1012"/>
    </w:p>
    <w:p w14:paraId="3343E1B3" w14:textId="77777777" w:rsidR="002A2EA6" w:rsidRPr="002A2EA6" w:rsidRDefault="002A2EA6" w:rsidP="002A2EA6">
      <w:pPr>
        <w:pStyle w:val="NormalNonumber"/>
        <w:rPr>
          <w:rFonts w:eastAsia="SimSun"/>
          <w:i/>
          <w:iCs/>
          <w:lang w:val="fr-FR"/>
        </w:rPr>
      </w:pPr>
      <w:bookmarkStart w:id="1013" w:name="_DV_C2581"/>
      <w:r w:rsidRPr="002A2EA6">
        <w:rPr>
          <w:lang w:val="fr-FR"/>
        </w:rPr>
        <w:tab/>
      </w:r>
      <w:r w:rsidRPr="002A2EA6">
        <w:rPr>
          <w:i/>
          <w:iCs/>
          <w:lang w:val="fr-FR"/>
        </w:rPr>
        <w:t>La Conférence des Parties,</w:t>
      </w:r>
      <w:bookmarkEnd w:id="1013"/>
    </w:p>
    <w:p w14:paraId="4E365197" w14:textId="3BBA905D" w:rsidR="002A2EA6" w:rsidRPr="002A2EA6" w:rsidRDefault="002A2EA6" w:rsidP="002A2EA6">
      <w:pPr>
        <w:pStyle w:val="NormalNonumber"/>
        <w:rPr>
          <w:rFonts w:eastAsia="SimSun"/>
          <w:lang w:val="fr-FR"/>
        </w:rPr>
      </w:pPr>
      <w:bookmarkStart w:id="1014" w:name="_DV_C2582"/>
      <w:r w:rsidRPr="002A2EA6">
        <w:rPr>
          <w:i/>
          <w:iCs/>
          <w:lang w:val="fr-FR"/>
        </w:rPr>
        <w:tab/>
        <w:t>Sachant</w:t>
      </w:r>
      <w:r w:rsidRPr="002A2EA6">
        <w:rPr>
          <w:lang w:val="fr-FR"/>
        </w:rPr>
        <w:t xml:space="preserve"> qu</w:t>
      </w:r>
      <w:r w:rsidR="00CA4DAC">
        <w:rPr>
          <w:lang w:val="fr-FR"/>
        </w:rPr>
        <w:t>’</w:t>
      </w:r>
      <w:r w:rsidRPr="002A2EA6">
        <w:rPr>
          <w:lang w:val="fr-FR"/>
        </w:rPr>
        <w:t>il est nécessaire de disposer de rapports nationaux complets et cohérents pour</w:t>
      </w:r>
      <w:r w:rsidR="00A54D8B">
        <w:rPr>
          <w:lang w:val="fr-FR"/>
        </w:rPr>
        <w:t> </w:t>
      </w:r>
      <w:r w:rsidRPr="002A2EA6">
        <w:rPr>
          <w:lang w:val="fr-FR"/>
        </w:rPr>
        <w:t>recueillir des informations permettant d</w:t>
      </w:r>
      <w:r w:rsidR="00CA4DAC">
        <w:rPr>
          <w:lang w:val="fr-FR"/>
        </w:rPr>
        <w:t>’</w:t>
      </w:r>
      <w:r w:rsidRPr="002A2EA6">
        <w:rPr>
          <w:lang w:val="fr-FR"/>
        </w:rPr>
        <w:t>évaluer l</w:t>
      </w:r>
      <w:r w:rsidR="00CA4DAC">
        <w:rPr>
          <w:lang w:val="fr-FR"/>
        </w:rPr>
        <w:t>’</w:t>
      </w:r>
      <w:r w:rsidRPr="002A2EA6">
        <w:rPr>
          <w:lang w:val="fr-FR"/>
        </w:rPr>
        <w:t>efficacité et de promouvoir le respect des obligations,</w:t>
      </w:r>
      <w:bookmarkEnd w:id="1014"/>
    </w:p>
    <w:p w14:paraId="14E4E53A" w14:textId="77777777" w:rsidR="002A2EA6" w:rsidRPr="002A2EA6" w:rsidRDefault="002A2EA6" w:rsidP="002A2EA6">
      <w:pPr>
        <w:pStyle w:val="NormalNonumber"/>
        <w:rPr>
          <w:rFonts w:eastAsia="SimSun"/>
          <w:lang w:val="fr-FR"/>
        </w:rPr>
      </w:pPr>
      <w:bookmarkStart w:id="1015" w:name="_DV_C2583"/>
      <w:r w:rsidRPr="002A2EA6">
        <w:rPr>
          <w:i/>
          <w:iCs/>
          <w:lang w:val="fr-FR"/>
        </w:rPr>
        <w:tab/>
        <w:t xml:space="preserve">Se félicitant </w:t>
      </w:r>
      <w:r w:rsidRPr="002A2EA6">
        <w:rPr>
          <w:lang w:val="fr-FR"/>
        </w:rPr>
        <w:t>des travaux accomplis par le secrétariat pour préparer des informations concernant le modèle abrégé de rapport national, dont elle a été saisie pour examen à sa troisième réunion,</w:t>
      </w:r>
      <w:bookmarkStart w:id="1016" w:name="_DV_C2584"/>
      <w:bookmarkEnd w:id="1015"/>
    </w:p>
    <w:p w14:paraId="2C3A8D9B" w14:textId="49414F35" w:rsidR="002A2EA6" w:rsidRPr="002A2EA6" w:rsidRDefault="002A2EA6" w:rsidP="002A2EA6">
      <w:pPr>
        <w:pStyle w:val="NormalNonumber"/>
        <w:rPr>
          <w:rFonts w:eastAsia="SimSun"/>
          <w:lang w:val="fr-FR"/>
        </w:rPr>
      </w:pPr>
      <w:bookmarkStart w:id="1017" w:name="_DV_C2585"/>
      <w:bookmarkEnd w:id="1016"/>
      <w:r w:rsidRPr="002A2EA6">
        <w:rPr>
          <w:lang w:val="fr-FR"/>
        </w:rPr>
        <w:tab/>
        <w:t>1.</w:t>
      </w:r>
      <w:r w:rsidRPr="002A2EA6">
        <w:rPr>
          <w:lang w:val="fr-FR"/>
        </w:rPr>
        <w:tab/>
      </w:r>
      <w:r w:rsidRPr="002A2EA6">
        <w:rPr>
          <w:i/>
          <w:iCs/>
          <w:lang w:val="fr-FR"/>
        </w:rPr>
        <w:t>Prie</w:t>
      </w:r>
      <w:r w:rsidRPr="002A2EA6">
        <w:rPr>
          <w:lang w:val="fr-FR"/>
        </w:rPr>
        <w:t xml:space="preserve"> le secrétariat d</w:t>
      </w:r>
      <w:r w:rsidR="00CA4DAC">
        <w:rPr>
          <w:lang w:val="fr-FR"/>
        </w:rPr>
        <w:t>’</w:t>
      </w:r>
      <w:r w:rsidRPr="002A2EA6">
        <w:rPr>
          <w:lang w:val="fr-FR"/>
        </w:rPr>
        <w:t>établir un projet de document d</w:t>
      </w:r>
      <w:r w:rsidR="00CA4DAC">
        <w:rPr>
          <w:lang w:val="fr-FR"/>
        </w:rPr>
        <w:t>’</w:t>
      </w:r>
      <w:r w:rsidRPr="002A2EA6">
        <w:rPr>
          <w:lang w:val="fr-FR"/>
        </w:rPr>
        <w:t xml:space="preserve">orientation concernant le modèle complet de rapport national, afin de préciser quelles informations doivent être demandées dans le modèle de rapport national ; </w:t>
      </w:r>
      <w:bookmarkStart w:id="1018" w:name="_DV_C2586"/>
      <w:bookmarkEnd w:id="1017"/>
    </w:p>
    <w:p w14:paraId="5D573B3D" w14:textId="6BD23872" w:rsidR="002A2EA6" w:rsidRPr="002A2EA6" w:rsidRDefault="002A2EA6" w:rsidP="002A2EA6">
      <w:pPr>
        <w:pStyle w:val="NormalNonumber"/>
        <w:rPr>
          <w:rFonts w:eastAsia="SimSun"/>
          <w:lang w:val="fr-FR"/>
        </w:rPr>
      </w:pPr>
      <w:bookmarkStart w:id="1019" w:name="_DV_C2587"/>
      <w:bookmarkEnd w:id="1018"/>
      <w:r w:rsidRPr="002A2EA6">
        <w:rPr>
          <w:i/>
          <w:iCs/>
          <w:lang w:val="fr-FR"/>
        </w:rPr>
        <w:tab/>
      </w:r>
      <w:r w:rsidRPr="002A2EA6">
        <w:rPr>
          <w:lang w:val="fr-FR"/>
        </w:rPr>
        <w:t>2.</w:t>
      </w:r>
      <w:r w:rsidRPr="002A2EA6">
        <w:rPr>
          <w:lang w:val="fr-FR"/>
        </w:rPr>
        <w:tab/>
      </w:r>
      <w:r w:rsidRPr="002A2EA6">
        <w:rPr>
          <w:i/>
          <w:iCs/>
          <w:lang w:val="fr-FR"/>
        </w:rPr>
        <w:t>Prie également</w:t>
      </w:r>
      <w:r w:rsidRPr="002A2EA6">
        <w:rPr>
          <w:lang w:val="fr-FR"/>
        </w:rPr>
        <w:t xml:space="preserve"> le secrétariat de solliciter les observations des Parties et autres parties prenantes sur le projet de document d</w:t>
      </w:r>
      <w:r w:rsidR="00CA4DAC">
        <w:rPr>
          <w:lang w:val="fr-FR"/>
        </w:rPr>
        <w:t>’</w:t>
      </w:r>
      <w:r w:rsidRPr="002A2EA6">
        <w:rPr>
          <w:lang w:val="fr-FR"/>
        </w:rPr>
        <w:t>orientation d</w:t>
      </w:r>
      <w:r w:rsidR="00CA4DAC">
        <w:rPr>
          <w:lang w:val="fr-FR"/>
        </w:rPr>
        <w:t>’</w:t>
      </w:r>
      <w:r w:rsidRPr="002A2EA6">
        <w:rPr>
          <w:lang w:val="fr-FR"/>
        </w:rPr>
        <w:t>ici à mars 2021, de prendre en compte ces</w:t>
      </w:r>
      <w:r w:rsidR="00A54D8B">
        <w:rPr>
          <w:lang w:val="fr-FR"/>
        </w:rPr>
        <w:t> </w:t>
      </w:r>
      <w:r w:rsidRPr="002A2EA6">
        <w:rPr>
          <w:lang w:val="fr-FR"/>
        </w:rPr>
        <w:t>observations et d</w:t>
      </w:r>
      <w:r w:rsidR="00CA4DAC">
        <w:rPr>
          <w:lang w:val="fr-FR"/>
        </w:rPr>
        <w:t>’</w:t>
      </w:r>
      <w:r w:rsidRPr="002A2EA6">
        <w:rPr>
          <w:lang w:val="fr-FR"/>
        </w:rPr>
        <w:t>établir une version révisée du document, s</w:t>
      </w:r>
      <w:r w:rsidR="00CA4DAC">
        <w:rPr>
          <w:lang w:val="fr-FR"/>
        </w:rPr>
        <w:t>’</w:t>
      </w:r>
      <w:r w:rsidRPr="002A2EA6">
        <w:rPr>
          <w:lang w:val="fr-FR"/>
        </w:rPr>
        <w:t xml:space="preserve">il y a lieu ; </w:t>
      </w:r>
      <w:bookmarkStart w:id="1020" w:name="_DV_C2588"/>
      <w:bookmarkEnd w:id="1019"/>
    </w:p>
    <w:p w14:paraId="76887B62" w14:textId="3687A325" w:rsidR="002A2EA6" w:rsidRPr="002A2EA6" w:rsidRDefault="002A2EA6" w:rsidP="002A2EA6">
      <w:pPr>
        <w:pStyle w:val="NormalNonumber"/>
        <w:rPr>
          <w:rFonts w:eastAsia="SimSun"/>
          <w:lang w:val="fr-FR"/>
        </w:rPr>
      </w:pPr>
      <w:bookmarkStart w:id="1021" w:name="_DV_C2589"/>
      <w:bookmarkEnd w:id="1020"/>
      <w:r w:rsidRPr="002A2EA6">
        <w:rPr>
          <w:i/>
          <w:iCs/>
          <w:lang w:val="fr-FR"/>
        </w:rPr>
        <w:tab/>
      </w:r>
      <w:r w:rsidRPr="002A2EA6">
        <w:rPr>
          <w:lang w:val="fr-FR"/>
        </w:rPr>
        <w:t>3.</w:t>
      </w:r>
      <w:r w:rsidRPr="002A2EA6">
        <w:rPr>
          <w:lang w:val="fr-FR"/>
        </w:rPr>
        <w:tab/>
      </w:r>
      <w:r w:rsidRPr="002A2EA6">
        <w:rPr>
          <w:i/>
          <w:iCs/>
          <w:lang w:val="fr-FR"/>
        </w:rPr>
        <w:t>Engage</w:t>
      </w:r>
      <w:r w:rsidRPr="002A2EA6">
        <w:rPr>
          <w:lang w:val="fr-FR"/>
        </w:rPr>
        <w:t xml:space="preserve"> les Parties à utiliser le projet de document d</w:t>
      </w:r>
      <w:r w:rsidR="00CA4DAC">
        <w:rPr>
          <w:lang w:val="fr-FR"/>
        </w:rPr>
        <w:t>’</w:t>
      </w:r>
      <w:r w:rsidRPr="002A2EA6">
        <w:rPr>
          <w:lang w:val="fr-FR"/>
        </w:rPr>
        <w:t>orientation à titre provisoire pour les aider à établir leurs rapports nationaux complets, lesquels doivent être présentés d</w:t>
      </w:r>
      <w:r w:rsidR="00CA4DAC">
        <w:rPr>
          <w:lang w:val="fr-FR"/>
        </w:rPr>
        <w:t>’</w:t>
      </w:r>
      <w:r w:rsidRPr="002A2EA6">
        <w:rPr>
          <w:lang w:val="fr-FR"/>
        </w:rPr>
        <w:t>ici au</w:t>
      </w:r>
      <w:r w:rsidR="00A54D8B">
        <w:rPr>
          <w:lang w:val="fr-FR"/>
        </w:rPr>
        <w:t> </w:t>
      </w:r>
      <w:r w:rsidRPr="002A2EA6">
        <w:rPr>
          <w:lang w:val="fr-FR"/>
        </w:rPr>
        <w:t xml:space="preserve">31 décembre 2021 ; </w:t>
      </w:r>
      <w:bookmarkStart w:id="1022" w:name="_DV_C2590"/>
      <w:bookmarkEnd w:id="1021"/>
    </w:p>
    <w:p w14:paraId="6CF251D7" w14:textId="340639C5" w:rsidR="002A2EA6" w:rsidRPr="002A2EA6" w:rsidRDefault="002A2EA6" w:rsidP="002A2EA6">
      <w:pPr>
        <w:pStyle w:val="NormalNonumber"/>
        <w:rPr>
          <w:rFonts w:eastAsia="SimSun"/>
          <w:lang w:val="fr-FR"/>
        </w:rPr>
      </w:pPr>
      <w:bookmarkStart w:id="1023" w:name="_DV_C2591"/>
      <w:bookmarkEnd w:id="1022"/>
      <w:r w:rsidRPr="002A2EA6">
        <w:rPr>
          <w:lang w:val="fr-FR"/>
        </w:rPr>
        <w:tab/>
        <w:t>4.</w:t>
      </w:r>
      <w:r w:rsidRPr="002A2EA6">
        <w:rPr>
          <w:lang w:val="fr-FR"/>
        </w:rPr>
        <w:tab/>
      </w:r>
      <w:r w:rsidRPr="002A2EA6">
        <w:rPr>
          <w:i/>
          <w:iCs/>
          <w:lang w:val="fr-FR"/>
        </w:rPr>
        <w:t>Prie</w:t>
      </w:r>
      <w:r w:rsidRPr="002A2EA6">
        <w:rPr>
          <w:lang w:val="fr-FR"/>
        </w:rPr>
        <w:t xml:space="preserve"> le secrétariat de lui présenter le projet de document d</w:t>
      </w:r>
      <w:r w:rsidR="00CA4DAC">
        <w:rPr>
          <w:lang w:val="fr-FR"/>
        </w:rPr>
        <w:t>’</w:t>
      </w:r>
      <w:r w:rsidRPr="002A2EA6">
        <w:rPr>
          <w:lang w:val="fr-FR"/>
        </w:rPr>
        <w:t>orientation de sorte qu</w:t>
      </w:r>
      <w:r w:rsidR="00CA4DAC">
        <w:rPr>
          <w:lang w:val="fr-FR"/>
        </w:rPr>
        <w:t>’</w:t>
      </w:r>
      <w:r w:rsidRPr="002A2EA6">
        <w:rPr>
          <w:lang w:val="fr-FR"/>
        </w:rPr>
        <w:t>elle l</w:t>
      </w:r>
      <w:r w:rsidR="00CA4DAC">
        <w:rPr>
          <w:lang w:val="fr-FR"/>
        </w:rPr>
        <w:t>’</w:t>
      </w:r>
      <w:r w:rsidRPr="002A2EA6">
        <w:rPr>
          <w:lang w:val="fr-FR"/>
        </w:rPr>
        <w:t>examine et, éventuellement, l</w:t>
      </w:r>
      <w:r w:rsidR="00CA4DAC">
        <w:rPr>
          <w:lang w:val="fr-FR"/>
        </w:rPr>
        <w:t>’</w:t>
      </w:r>
      <w:r w:rsidRPr="002A2EA6">
        <w:rPr>
          <w:lang w:val="fr-FR"/>
        </w:rPr>
        <w:t>adopte à sa quatrième réunion.</w:t>
      </w:r>
      <w:bookmarkEnd w:id="10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CD207D" w:rsidRPr="002A2EA6" w14:paraId="0FB54927" w14:textId="77777777" w:rsidTr="00CD207D">
        <w:tc>
          <w:tcPr>
            <w:tcW w:w="1897" w:type="dxa"/>
          </w:tcPr>
          <w:p w14:paraId="4EB99928" w14:textId="77777777" w:rsidR="00CD207D" w:rsidRPr="002A2EA6" w:rsidRDefault="00CD207D" w:rsidP="00CD207D">
            <w:pPr>
              <w:pStyle w:val="Normalnumber"/>
              <w:rPr>
                <w:sz w:val="22"/>
                <w:szCs w:val="22"/>
              </w:rPr>
            </w:pPr>
          </w:p>
        </w:tc>
        <w:tc>
          <w:tcPr>
            <w:tcW w:w="1897" w:type="dxa"/>
          </w:tcPr>
          <w:p w14:paraId="41358174" w14:textId="77777777" w:rsidR="00CD207D" w:rsidRPr="002A2EA6" w:rsidRDefault="00CD207D" w:rsidP="00CD207D">
            <w:pPr>
              <w:pStyle w:val="Normalnumber"/>
              <w:rPr>
                <w:sz w:val="22"/>
                <w:szCs w:val="22"/>
              </w:rPr>
            </w:pPr>
          </w:p>
        </w:tc>
        <w:tc>
          <w:tcPr>
            <w:tcW w:w="1897" w:type="dxa"/>
            <w:tcBorders>
              <w:bottom w:val="single" w:sz="4" w:space="0" w:color="auto"/>
            </w:tcBorders>
          </w:tcPr>
          <w:p w14:paraId="3CB40486" w14:textId="77777777" w:rsidR="00CD207D" w:rsidRPr="002A2EA6" w:rsidRDefault="00CD207D" w:rsidP="00CD207D">
            <w:pPr>
              <w:pStyle w:val="Normalnumber"/>
              <w:spacing w:before="480"/>
              <w:rPr>
                <w:sz w:val="22"/>
                <w:szCs w:val="22"/>
              </w:rPr>
            </w:pPr>
          </w:p>
        </w:tc>
        <w:tc>
          <w:tcPr>
            <w:tcW w:w="1897" w:type="dxa"/>
          </w:tcPr>
          <w:p w14:paraId="611E6A29" w14:textId="77777777" w:rsidR="00CD207D" w:rsidRPr="002A2EA6" w:rsidRDefault="00CD207D" w:rsidP="00CD207D">
            <w:pPr>
              <w:pStyle w:val="Normalnumber"/>
              <w:rPr>
                <w:sz w:val="22"/>
                <w:szCs w:val="22"/>
              </w:rPr>
            </w:pPr>
          </w:p>
        </w:tc>
        <w:tc>
          <w:tcPr>
            <w:tcW w:w="1898" w:type="dxa"/>
          </w:tcPr>
          <w:p w14:paraId="66DB8CCC" w14:textId="77777777" w:rsidR="00CD207D" w:rsidRPr="002A2EA6" w:rsidRDefault="00CD207D" w:rsidP="00CD207D">
            <w:pPr>
              <w:pStyle w:val="Normalnumber"/>
              <w:rPr>
                <w:sz w:val="22"/>
                <w:szCs w:val="22"/>
              </w:rPr>
            </w:pPr>
          </w:p>
        </w:tc>
      </w:tr>
    </w:tbl>
    <w:p w14:paraId="2D0FBFD5" w14:textId="4C99598D" w:rsidR="00BE1F6B" w:rsidRPr="002A2EA6" w:rsidRDefault="00BE1F6B" w:rsidP="00CD207D">
      <w:pPr>
        <w:pStyle w:val="Normalnumber"/>
        <w:rPr>
          <w:sz w:val="22"/>
          <w:szCs w:val="22"/>
        </w:rPr>
      </w:pPr>
    </w:p>
    <w:sectPr w:rsidR="00BE1F6B" w:rsidRPr="002A2EA6" w:rsidSect="00623DB1">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97B2" w14:textId="77777777" w:rsidR="00042853" w:rsidRDefault="00042853">
      <w:r>
        <w:separator/>
      </w:r>
    </w:p>
  </w:endnote>
  <w:endnote w:type="continuationSeparator" w:id="0">
    <w:p w14:paraId="775FCF5B" w14:textId="77777777" w:rsidR="00042853" w:rsidRDefault="00042853">
      <w:r>
        <w:continuationSeparator/>
      </w:r>
    </w:p>
  </w:endnote>
  <w:endnote w:type="continuationNotice" w:id="1">
    <w:p w14:paraId="5055CAD3" w14:textId="77777777" w:rsidR="00042853" w:rsidRDefault="0004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9A860217" w:usb1="0000344F" w:usb2="9A9E0000" w:usb3="9F3C344F" w:csb0="00000687" w:csb1="0CDF332E"/>
  </w:font>
  <w:font w:name="MS PGothic">
    <w:panose1 w:val="020B0600070205080204"/>
    <w:charset w:val="80"/>
    <w:family w:val="swiss"/>
    <w:pitch w:val="variable"/>
    <w:sig w:usb0="E00002FF" w:usb1="6AC7FDFB" w:usb2="08000012" w:usb3="00000000" w:csb0="0002009F" w:csb1="00000000"/>
  </w:font>
  <w:font w:name="Roboto">
    <w:charset w:val="00"/>
    <w:family w:val="auto"/>
    <w:pitch w:val="variable"/>
    <w:sig w:usb0="E00002EF" w:usb1="5000205B" w:usb2="00000020" w:usb3="00000000" w:csb0="0000019F" w:csb1="00000000"/>
  </w:font>
  <w:font w:name="Roboto Regular">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0DDE3F30" w:rsidR="00CA4DAC" w:rsidRPr="00D86366" w:rsidRDefault="00CA4DAC" w:rsidP="00D755C3">
    <w:pPr>
      <w:pStyle w:val="Footer-pool"/>
      <w:rPr>
        <w:sz w:val="20"/>
      </w:rPr>
    </w:pPr>
    <w:r w:rsidRPr="00D86366">
      <w:rPr>
        <w:rStyle w:val="PageNumber"/>
        <w:b/>
        <w:sz w:val="20"/>
      </w:rPr>
      <w:fldChar w:fldCharType="begin"/>
    </w:r>
    <w:r w:rsidRPr="00D86366">
      <w:rPr>
        <w:rStyle w:val="PageNumber"/>
        <w:b/>
        <w:sz w:val="20"/>
      </w:rPr>
      <w:instrText xml:space="preserve"> PAGE </w:instrText>
    </w:r>
    <w:r w:rsidRPr="00D86366">
      <w:rPr>
        <w:rStyle w:val="PageNumber"/>
        <w:b/>
        <w:sz w:val="20"/>
      </w:rPr>
      <w:fldChar w:fldCharType="separate"/>
    </w:r>
    <w:r w:rsidRPr="00D86366">
      <w:rPr>
        <w:rStyle w:val="PageNumber"/>
        <w:b/>
        <w:noProof/>
        <w:sz w:val="20"/>
      </w:rPr>
      <w:t>20</w:t>
    </w:r>
    <w:r w:rsidRPr="00D86366">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1925CD5F" w:rsidR="00CA4DAC" w:rsidRPr="00D86366" w:rsidRDefault="00CA4DAC" w:rsidP="00D755C3">
    <w:pPr>
      <w:pStyle w:val="Footer-pool"/>
      <w:jc w:val="right"/>
      <w:rPr>
        <w:sz w:val="20"/>
      </w:rPr>
    </w:pPr>
    <w:r w:rsidRPr="00D86366">
      <w:rPr>
        <w:rStyle w:val="PageNumber"/>
        <w:b/>
        <w:sz w:val="20"/>
      </w:rPr>
      <w:fldChar w:fldCharType="begin"/>
    </w:r>
    <w:r w:rsidRPr="00D86366">
      <w:rPr>
        <w:rStyle w:val="PageNumber"/>
        <w:b/>
        <w:sz w:val="20"/>
      </w:rPr>
      <w:instrText xml:space="preserve"> PAGE </w:instrText>
    </w:r>
    <w:r w:rsidRPr="00D86366">
      <w:rPr>
        <w:rStyle w:val="PageNumber"/>
        <w:b/>
        <w:sz w:val="20"/>
      </w:rPr>
      <w:fldChar w:fldCharType="separate"/>
    </w:r>
    <w:r w:rsidRPr="00D86366">
      <w:rPr>
        <w:rStyle w:val="PageNumber"/>
        <w:b/>
        <w:noProof/>
        <w:sz w:val="20"/>
      </w:rPr>
      <w:t>19</w:t>
    </w:r>
    <w:r w:rsidRPr="00D86366">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F18F" w14:textId="77777777" w:rsidR="00042853" w:rsidRDefault="00042853" w:rsidP="00D92DE0">
      <w:pPr>
        <w:ind w:left="624"/>
      </w:pPr>
      <w:r>
        <w:separator/>
      </w:r>
    </w:p>
  </w:footnote>
  <w:footnote w:type="continuationSeparator" w:id="0">
    <w:p w14:paraId="5EBA5D62" w14:textId="77777777" w:rsidR="00042853" w:rsidRDefault="00042853">
      <w:r>
        <w:continuationSeparator/>
      </w:r>
    </w:p>
  </w:footnote>
  <w:footnote w:type="continuationNotice" w:id="1">
    <w:p w14:paraId="63FD8FE5" w14:textId="77777777" w:rsidR="00042853" w:rsidRDefault="00042853"/>
  </w:footnote>
  <w:footnote w:id="2">
    <w:p w14:paraId="2F046230" w14:textId="77777777" w:rsidR="00CA4DAC" w:rsidRPr="00A869A2" w:rsidRDefault="00CA4DAC" w:rsidP="002A2EA6">
      <w:pPr>
        <w:pStyle w:val="FootnoteText"/>
        <w:rPr>
          <w:lang w:val="en-US"/>
        </w:rPr>
      </w:pPr>
      <w:r>
        <w:rPr>
          <w:rStyle w:val="FootnoteReference"/>
        </w:rPr>
        <w:footnoteRef/>
      </w:r>
      <w:r w:rsidRPr="00A869A2">
        <w:rPr>
          <w:lang w:val="en-US"/>
        </w:rPr>
        <w:t xml:space="preserve"> </w:t>
      </w:r>
      <w:r w:rsidRPr="00904E06">
        <w:rPr>
          <w:lang w:val="en-US"/>
        </w:rPr>
        <w:t>UNEP/MC/COP.3/6, annexe</w:t>
      </w:r>
      <w:r>
        <w:rPr>
          <w:lang w:val="en-US"/>
        </w:rPr>
        <w:t> </w:t>
      </w:r>
      <w:r w:rsidRPr="00904E06">
        <w:rPr>
          <w:lang w:val="en-US"/>
        </w:rPr>
        <w:t>II.</w:t>
      </w:r>
    </w:p>
  </w:footnote>
  <w:footnote w:id="3">
    <w:p w14:paraId="5637A906" w14:textId="77777777" w:rsidR="00CA4DAC" w:rsidRPr="00EE4FF6" w:rsidRDefault="00CA4DAC" w:rsidP="002A2EA6">
      <w:pPr>
        <w:pStyle w:val="FootnoteText"/>
        <w:rPr>
          <w:lang w:val="en-US"/>
        </w:rPr>
      </w:pPr>
      <w:r>
        <w:rPr>
          <w:rStyle w:val="FootnoteReference"/>
        </w:rPr>
        <w:footnoteRef/>
      </w:r>
      <w:r w:rsidRPr="00EE4FF6">
        <w:rPr>
          <w:lang w:val="en-US"/>
        </w:rPr>
        <w:t xml:space="preserve"> </w:t>
      </w:r>
      <w:r w:rsidRPr="00720ABC">
        <w:rPr>
          <w:szCs w:val="18"/>
          <w:lang w:val="en-GB"/>
        </w:rPr>
        <w:t>UNEP/CHW.12/5/Add.8/Rev.1.</w:t>
      </w:r>
    </w:p>
  </w:footnote>
  <w:footnote w:id="4">
    <w:p w14:paraId="305C2000" w14:textId="77777777" w:rsidR="00CA4DAC" w:rsidRPr="006D5CA6" w:rsidRDefault="00CA4DAC" w:rsidP="002A2EA6">
      <w:pPr>
        <w:pStyle w:val="FootnoteText"/>
        <w:rPr>
          <w:lang w:val="en-GB"/>
        </w:rPr>
      </w:pPr>
      <w:r>
        <w:rPr>
          <w:rStyle w:val="FootnoteReference"/>
        </w:rPr>
        <w:footnoteRef/>
      </w:r>
      <w:r w:rsidRPr="000B3D22">
        <w:rPr>
          <w:lang w:val="en-GB"/>
        </w:rPr>
        <w:t xml:space="preserve"> UNEP/MC/COP.3/8.</w:t>
      </w:r>
    </w:p>
  </w:footnote>
  <w:footnote w:id="5">
    <w:p w14:paraId="59446B27" w14:textId="77777777" w:rsidR="00CA4DAC" w:rsidRPr="006D5CA6" w:rsidRDefault="00CA4DAC" w:rsidP="002A2EA6">
      <w:pPr>
        <w:pStyle w:val="FootnoteText"/>
        <w:rPr>
          <w:lang w:val="en-GB"/>
        </w:rPr>
      </w:pPr>
      <w:r>
        <w:rPr>
          <w:rStyle w:val="FootnoteReference"/>
        </w:rPr>
        <w:footnoteRef/>
      </w:r>
      <w:r w:rsidRPr="000B3D22">
        <w:rPr>
          <w:lang w:val="en-GB"/>
        </w:rPr>
        <w:t xml:space="preserve"> UNEP/MC/COP.3/8/Rev.1.</w:t>
      </w:r>
    </w:p>
  </w:footnote>
  <w:footnote w:id="6">
    <w:p w14:paraId="30CF9820" w14:textId="77777777" w:rsidR="00CA4DAC" w:rsidRPr="00035DB8" w:rsidRDefault="00CA4DAC" w:rsidP="002A2EA6">
      <w:pPr>
        <w:pStyle w:val="FootnoteText"/>
        <w:rPr>
          <w:lang w:val="en-GB"/>
        </w:rPr>
      </w:pPr>
      <w:r>
        <w:rPr>
          <w:rStyle w:val="FootnoteReference"/>
        </w:rPr>
        <w:footnoteRef/>
      </w:r>
      <w:r w:rsidRPr="000B3D22">
        <w:rPr>
          <w:lang w:val="en-GB"/>
        </w:rPr>
        <w:t xml:space="preserve"> </w:t>
      </w:r>
      <w:r w:rsidRPr="00FB4230">
        <w:rPr>
          <w:szCs w:val="18"/>
          <w:lang w:val="en-US"/>
        </w:rPr>
        <w:t>UNEP/MC/COP.3/11.</w:t>
      </w:r>
    </w:p>
  </w:footnote>
  <w:footnote w:id="7">
    <w:p w14:paraId="270BDF1D" w14:textId="77777777" w:rsidR="00CA4DAC" w:rsidRPr="00156C98" w:rsidRDefault="00CA4DAC" w:rsidP="002A2EA6">
      <w:pPr>
        <w:pStyle w:val="FootnoteText"/>
        <w:rPr>
          <w:lang w:val="en-US"/>
        </w:rPr>
      </w:pPr>
      <w:r>
        <w:rPr>
          <w:rStyle w:val="FootnoteReference"/>
        </w:rPr>
        <w:footnoteRef/>
      </w:r>
      <w:r w:rsidRPr="00156C98">
        <w:rPr>
          <w:lang w:val="en-GB"/>
        </w:rPr>
        <w:t xml:space="preserve"> </w:t>
      </w:r>
      <w:r w:rsidRPr="0009138A">
        <w:rPr>
          <w:lang w:val="en-US"/>
        </w:rPr>
        <w:t>UNEP/MC/COP.3/INF/14.</w:t>
      </w:r>
    </w:p>
  </w:footnote>
  <w:footnote w:id="8">
    <w:p w14:paraId="0D7B2D10" w14:textId="77777777" w:rsidR="00CA4DAC" w:rsidRPr="00FD4C0C" w:rsidRDefault="00CA4DAC" w:rsidP="002A2EA6">
      <w:pPr>
        <w:pStyle w:val="FootnoteText"/>
        <w:tabs>
          <w:tab w:val="left" w:pos="624"/>
        </w:tabs>
        <w:rPr>
          <w:lang w:val="en-GB"/>
        </w:rPr>
      </w:pPr>
      <w:bookmarkStart w:id="134" w:name="_DV_C988"/>
      <w:r>
        <w:rPr>
          <w:rStyle w:val="FootnoteReference"/>
        </w:rPr>
        <w:footnoteRef/>
      </w:r>
      <w:r w:rsidRPr="007C68DE">
        <w:rPr>
          <w:lang w:val="en-GB"/>
        </w:rPr>
        <w:t xml:space="preserve"> </w:t>
      </w:r>
      <w:r w:rsidRPr="008F3618">
        <w:rPr>
          <w:lang w:val="en-US"/>
        </w:rPr>
        <w:t>UNEP/MC/COP.3/13.</w:t>
      </w:r>
    </w:p>
    <w:bookmarkEnd w:id="134"/>
  </w:footnote>
  <w:footnote w:id="9">
    <w:p w14:paraId="497C63E7" w14:textId="77777777" w:rsidR="00CA4DAC" w:rsidRPr="00E337A8" w:rsidRDefault="00CA4DAC" w:rsidP="002A2EA6">
      <w:pPr>
        <w:pStyle w:val="FootnoteText"/>
        <w:rPr>
          <w:lang w:val="en-GB"/>
        </w:rPr>
      </w:pPr>
      <w:r>
        <w:rPr>
          <w:rStyle w:val="FootnoteReference"/>
        </w:rPr>
        <w:footnoteRef/>
      </w:r>
      <w:r w:rsidRPr="00E337A8">
        <w:rPr>
          <w:lang w:val="en-GB"/>
        </w:rPr>
        <w:t xml:space="preserve"> </w:t>
      </w:r>
      <w:r w:rsidRPr="00E337A8">
        <w:rPr>
          <w:szCs w:val="18"/>
          <w:lang w:val="en-GB"/>
        </w:rPr>
        <w:t>UNEP/MC/COP.3/14.</w:t>
      </w:r>
    </w:p>
  </w:footnote>
  <w:footnote w:id="10">
    <w:p w14:paraId="44116B63" w14:textId="77777777" w:rsidR="00CA4DAC" w:rsidRPr="00E337A8" w:rsidRDefault="00CA4DAC" w:rsidP="002A2EA6">
      <w:pPr>
        <w:pStyle w:val="FootnoteText"/>
        <w:rPr>
          <w:lang w:val="en-GB"/>
        </w:rPr>
      </w:pPr>
      <w:r>
        <w:rPr>
          <w:rStyle w:val="FootnoteReference"/>
        </w:rPr>
        <w:footnoteRef/>
      </w:r>
      <w:r w:rsidRPr="00E337A8">
        <w:rPr>
          <w:lang w:val="en-GB"/>
        </w:rPr>
        <w:t xml:space="preserve"> </w:t>
      </w:r>
      <w:r w:rsidRPr="00E337A8">
        <w:rPr>
          <w:szCs w:val="18"/>
          <w:lang w:val="en-GB"/>
        </w:rPr>
        <w:t>UNEP/MC/COP.3.INF/15.</w:t>
      </w:r>
    </w:p>
  </w:footnote>
  <w:footnote w:id="11">
    <w:p w14:paraId="6B517FF7" w14:textId="3531530E" w:rsidR="00CA4DAC" w:rsidRPr="007A1C1C" w:rsidRDefault="00CA4DAC" w:rsidP="002A2EA6">
      <w:pPr>
        <w:pStyle w:val="FootnoteText"/>
        <w:rPr>
          <w:lang w:val="en-GB"/>
        </w:rPr>
      </w:pPr>
      <w:r w:rsidRPr="00CC0B73">
        <w:rPr>
          <w:rStyle w:val="FootnoteReference"/>
        </w:rPr>
        <w:footnoteRef/>
      </w:r>
      <w:r w:rsidRPr="00542EB2">
        <w:rPr>
          <w:lang w:val="en-GB"/>
        </w:rPr>
        <w:t xml:space="preserve"> </w:t>
      </w:r>
      <w:r w:rsidRPr="007A1C1C">
        <w:rPr>
          <w:rStyle w:val="DeltaViewInsertion"/>
          <w:i/>
          <w:iCs/>
          <w:color w:val="auto"/>
          <w:szCs w:val="18"/>
          <w:u w:val="none"/>
          <w:lang w:val="en-GB"/>
        </w:rPr>
        <w:t>Ibid</w:t>
      </w:r>
      <w:r w:rsidRPr="007A1C1C">
        <w:rPr>
          <w:rStyle w:val="DeltaViewInsertion"/>
          <w:color w:val="auto"/>
          <w:szCs w:val="18"/>
          <w:u w:val="none"/>
          <w:lang w:val="en-GB"/>
        </w:rPr>
        <w:t>.</w:t>
      </w:r>
    </w:p>
  </w:footnote>
  <w:footnote w:id="12">
    <w:p w14:paraId="186095F6" w14:textId="678D37D1" w:rsidR="00593A9B" w:rsidRPr="00593A9B" w:rsidRDefault="00593A9B">
      <w:pPr>
        <w:pStyle w:val="FootnoteText"/>
        <w:rPr>
          <w:lang w:val="fr-FR"/>
        </w:rPr>
      </w:pPr>
      <w:r w:rsidRPr="0023135E">
        <w:rPr>
          <w:rStyle w:val="FootnoteReference"/>
        </w:rPr>
        <w:footnoteRef/>
      </w:r>
      <w:r>
        <w:t xml:space="preserve"> </w:t>
      </w:r>
      <w:r w:rsidRPr="000B3D22">
        <w:rPr>
          <w:lang w:val="en-GB"/>
        </w:rPr>
        <w:t>UNEP/MC/COP.3/16</w:t>
      </w:r>
      <w:r>
        <w:rPr>
          <w:lang w:val="en-GB"/>
        </w:rPr>
        <w:t>.</w:t>
      </w:r>
    </w:p>
  </w:footnote>
  <w:footnote w:id="13">
    <w:p w14:paraId="3BD08C29" w14:textId="7645AA15" w:rsidR="00593A9B" w:rsidRPr="00593A9B" w:rsidRDefault="00593A9B">
      <w:pPr>
        <w:pStyle w:val="FootnoteText"/>
        <w:rPr>
          <w:lang w:val="fr-FR"/>
        </w:rPr>
      </w:pPr>
      <w:r>
        <w:rPr>
          <w:rStyle w:val="FootnoteReference"/>
        </w:rPr>
        <w:footnoteRef/>
      </w:r>
      <w:r>
        <w:t xml:space="preserve"> </w:t>
      </w:r>
      <w:r w:rsidRPr="002321A6">
        <w:rPr>
          <w:szCs w:val="18"/>
          <w:lang w:val="en-US"/>
        </w:rPr>
        <w:t>UNEP/MC/COP.3/19.</w:t>
      </w:r>
    </w:p>
  </w:footnote>
  <w:footnote w:id="14">
    <w:p w14:paraId="26D85B6E" w14:textId="380E95FA" w:rsidR="00593A9B" w:rsidRPr="00593A9B" w:rsidRDefault="00593A9B">
      <w:pPr>
        <w:pStyle w:val="FootnoteText"/>
        <w:rPr>
          <w:lang w:val="fr-FR"/>
        </w:rPr>
      </w:pPr>
      <w:r>
        <w:rPr>
          <w:rStyle w:val="FootnoteReference"/>
        </w:rPr>
        <w:footnoteRef/>
      </w:r>
      <w:r>
        <w:t xml:space="preserve"> </w:t>
      </w:r>
      <w:r w:rsidRPr="002321A6">
        <w:rPr>
          <w:szCs w:val="18"/>
          <w:lang w:val="en-US"/>
        </w:rPr>
        <w:t>UNEP/MC/COP.3/INF/10.</w:t>
      </w:r>
    </w:p>
  </w:footnote>
  <w:footnote w:id="15">
    <w:p w14:paraId="5329E778" w14:textId="4803E2B2" w:rsidR="00593A9B" w:rsidRPr="00593A9B" w:rsidRDefault="00593A9B">
      <w:pPr>
        <w:pStyle w:val="FootnoteText"/>
        <w:rPr>
          <w:lang w:val="fr-FR"/>
        </w:rPr>
      </w:pPr>
      <w:r>
        <w:rPr>
          <w:rStyle w:val="FootnoteReference"/>
        </w:rPr>
        <w:footnoteRef/>
      </w:r>
      <w:r>
        <w:t xml:space="preserve"> </w:t>
      </w:r>
      <w:r w:rsidRPr="002321A6">
        <w:rPr>
          <w:szCs w:val="18"/>
          <w:lang w:val="en-US"/>
        </w:rPr>
        <w:t>UNEP/MC/COP.3/20.</w:t>
      </w:r>
    </w:p>
  </w:footnote>
  <w:footnote w:id="16">
    <w:p w14:paraId="0B7B4FF6" w14:textId="59CCDF69" w:rsidR="00593A9B" w:rsidRPr="00593A9B" w:rsidRDefault="00593A9B">
      <w:pPr>
        <w:pStyle w:val="FootnoteText"/>
        <w:rPr>
          <w:lang w:val="fr-FR"/>
        </w:rPr>
      </w:pPr>
      <w:r>
        <w:rPr>
          <w:rStyle w:val="FootnoteReference"/>
        </w:rPr>
        <w:footnoteRef/>
      </w:r>
      <w:r>
        <w:t xml:space="preserve"> </w:t>
      </w:r>
      <w:r w:rsidRPr="002321A6">
        <w:rPr>
          <w:szCs w:val="18"/>
          <w:lang w:val="en-US"/>
        </w:rPr>
        <w:t>UNEP/MC/COP.3/INF/10.</w:t>
      </w:r>
    </w:p>
  </w:footnote>
  <w:footnote w:id="17">
    <w:p w14:paraId="7CC9E632" w14:textId="26E516D8" w:rsidR="00593A9B" w:rsidRPr="00593A9B" w:rsidRDefault="00593A9B">
      <w:pPr>
        <w:pStyle w:val="FootnoteText"/>
        <w:rPr>
          <w:lang w:val="fr-FR"/>
        </w:rPr>
      </w:pPr>
      <w:r>
        <w:rPr>
          <w:rStyle w:val="FootnoteReference"/>
        </w:rPr>
        <w:footnoteRef/>
      </w:r>
      <w:r>
        <w:t xml:space="preserve"> </w:t>
      </w:r>
      <w:r w:rsidR="00071797" w:rsidRPr="00690455">
        <w:rPr>
          <w:szCs w:val="18"/>
          <w:lang w:val="fr-FR"/>
        </w:rPr>
        <w:t>UNEP/MC/COP.3/INF/11 et INF/11/Add.1</w:t>
      </w:r>
      <w:r w:rsidR="00071797">
        <w:rPr>
          <w:szCs w:val="18"/>
          <w:lang w:val="fr-FR"/>
        </w:rPr>
        <w:t>.</w:t>
      </w:r>
    </w:p>
  </w:footnote>
  <w:footnote w:id="18">
    <w:p w14:paraId="438130A1" w14:textId="56049443" w:rsidR="00071797" w:rsidRPr="00071797" w:rsidRDefault="00071797">
      <w:pPr>
        <w:pStyle w:val="FootnoteText"/>
        <w:rPr>
          <w:lang w:val="fr-FR"/>
        </w:rPr>
      </w:pPr>
      <w:r>
        <w:rPr>
          <w:rStyle w:val="FootnoteReference"/>
        </w:rPr>
        <w:footnoteRef/>
      </w:r>
      <w:r>
        <w:t xml:space="preserve"> </w:t>
      </w:r>
      <w:r w:rsidRPr="002321A6">
        <w:rPr>
          <w:szCs w:val="18"/>
          <w:lang w:val="en-US"/>
        </w:rPr>
        <w:t>UNEP/MC/COP.3/INF/9</w:t>
      </w:r>
      <w:r>
        <w:rPr>
          <w:szCs w:val="18"/>
          <w:lang w:val="en-US"/>
        </w:rPr>
        <w:t>.</w:t>
      </w:r>
    </w:p>
  </w:footnote>
  <w:footnote w:id="19">
    <w:p w14:paraId="640E638C" w14:textId="62D6B148" w:rsidR="00071797" w:rsidRPr="00071797" w:rsidRDefault="00071797">
      <w:pPr>
        <w:pStyle w:val="FootnoteText"/>
        <w:rPr>
          <w:lang w:val="fr-FR"/>
        </w:rPr>
      </w:pPr>
      <w:r>
        <w:rPr>
          <w:rStyle w:val="FootnoteReference"/>
        </w:rPr>
        <w:footnoteRef/>
      </w:r>
      <w:r>
        <w:t xml:space="preserve"> </w:t>
      </w:r>
      <w:r w:rsidRPr="002321A6">
        <w:rPr>
          <w:szCs w:val="18"/>
          <w:lang w:val="en-US"/>
        </w:rPr>
        <w:t>UNEP/MC/COP.3/INF/10</w:t>
      </w:r>
      <w:r>
        <w:rPr>
          <w:szCs w:val="18"/>
          <w:lang w:val="en-US"/>
        </w:rPr>
        <w:t>.</w:t>
      </w:r>
    </w:p>
  </w:footnote>
  <w:footnote w:id="20">
    <w:p w14:paraId="0A4CDA39" w14:textId="0027D4C5" w:rsidR="00071797" w:rsidRPr="00071797" w:rsidRDefault="00071797">
      <w:pPr>
        <w:pStyle w:val="FootnoteText"/>
        <w:rPr>
          <w:lang w:val="fr-FR"/>
        </w:rPr>
      </w:pPr>
      <w:r>
        <w:rPr>
          <w:rStyle w:val="FootnoteReference"/>
        </w:rPr>
        <w:footnoteRef/>
      </w:r>
      <w:r>
        <w:t xml:space="preserve"> </w:t>
      </w:r>
      <w:r w:rsidRPr="002321A6">
        <w:rPr>
          <w:szCs w:val="18"/>
          <w:lang w:val="en-US"/>
        </w:rPr>
        <w:t>UNEP/MC/COP.3/19</w:t>
      </w:r>
      <w:r>
        <w:rPr>
          <w:szCs w:val="18"/>
          <w:lang w:val="en-US"/>
        </w:rPr>
        <w:t>.</w:t>
      </w:r>
    </w:p>
  </w:footnote>
  <w:footnote w:id="21">
    <w:p w14:paraId="01D9809D" w14:textId="6C0CF2D4" w:rsidR="00071797" w:rsidRPr="00071797" w:rsidRDefault="00071797">
      <w:pPr>
        <w:pStyle w:val="FootnoteText"/>
        <w:rPr>
          <w:lang w:val="fr-FR"/>
        </w:rPr>
      </w:pPr>
      <w:r>
        <w:rPr>
          <w:rStyle w:val="FootnoteReference"/>
        </w:rPr>
        <w:footnoteRef/>
      </w:r>
      <w:r>
        <w:t xml:space="preserve"> </w:t>
      </w:r>
      <w:r w:rsidRPr="002321A6">
        <w:rPr>
          <w:szCs w:val="18"/>
          <w:lang w:val="en-US"/>
        </w:rPr>
        <w:t>UNEP/MC/COP.3/20</w:t>
      </w:r>
      <w:r>
        <w:rPr>
          <w:szCs w:val="18"/>
          <w:lang w:val="en-US"/>
        </w:rPr>
        <w:t>.</w:t>
      </w:r>
    </w:p>
  </w:footnote>
  <w:footnote w:id="22">
    <w:p w14:paraId="4D967BE4" w14:textId="31972486" w:rsidR="00071797" w:rsidRPr="00071797" w:rsidRDefault="00071797">
      <w:pPr>
        <w:pStyle w:val="FootnoteText"/>
        <w:rPr>
          <w:lang w:val="fr-FR"/>
        </w:rPr>
      </w:pPr>
      <w:r>
        <w:rPr>
          <w:rStyle w:val="FootnoteReference"/>
        </w:rPr>
        <w:footnoteRef/>
      </w:r>
      <w:r>
        <w:t xml:space="preserve"> </w:t>
      </w:r>
      <w:r w:rsidRPr="002321A6">
        <w:rPr>
          <w:szCs w:val="18"/>
          <w:lang w:val="en-US"/>
        </w:rPr>
        <w:t>UNEP/MC/COP.3/INF/10</w:t>
      </w:r>
      <w:r>
        <w:rPr>
          <w:szCs w:val="18"/>
          <w:lang w:val="en-US"/>
        </w:rPr>
        <w:t>.</w:t>
      </w:r>
    </w:p>
  </w:footnote>
  <w:footnote w:id="23">
    <w:p w14:paraId="172C6477" w14:textId="2D7EAF67" w:rsidR="00071797" w:rsidRPr="00071797" w:rsidRDefault="00071797">
      <w:pPr>
        <w:pStyle w:val="FootnoteText"/>
        <w:rPr>
          <w:lang w:val="fr-FR"/>
        </w:rPr>
      </w:pPr>
      <w:r>
        <w:rPr>
          <w:rStyle w:val="FootnoteReference"/>
        </w:rPr>
        <w:footnoteRef/>
      </w:r>
      <w:r>
        <w:t xml:space="preserve"> </w:t>
      </w:r>
      <w:r w:rsidRPr="00A90268">
        <w:rPr>
          <w:szCs w:val="18"/>
          <w:lang w:val="fr-FR"/>
        </w:rPr>
        <w:t xml:space="preserve">UNEP/MC/COP.3/INF/11 </w:t>
      </w:r>
      <w:r w:rsidRPr="00690455">
        <w:rPr>
          <w:szCs w:val="18"/>
          <w:lang w:val="fr-FR"/>
        </w:rPr>
        <w:t>et INF/11/Add.1</w:t>
      </w:r>
      <w:r>
        <w:rPr>
          <w:szCs w:val="18"/>
          <w:lang w:val="fr-FR"/>
        </w:rPr>
        <w:t>.</w:t>
      </w:r>
    </w:p>
  </w:footnote>
  <w:footnote w:id="24">
    <w:p w14:paraId="33FA4B97" w14:textId="044B2A42" w:rsidR="00071797" w:rsidRPr="00071797" w:rsidRDefault="00071797">
      <w:pPr>
        <w:pStyle w:val="FootnoteText"/>
        <w:rPr>
          <w:lang w:val="fr-FR"/>
        </w:rPr>
      </w:pPr>
      <w:r>
        <w:rPr>
          <w:rStyle w:val="FootnoteReference"/>
        </w:rPr>
        <w:footnoteRef/>
      </w:r>
      <w:r>
        <w:t xml:space="preserve"> </w:t>
      </w:r>
      <w:r w:rsidRPr="00FA6C76">
        <w:rPr>
          <w:szCs w:val="18"/>
          <w:lang w:val="fr-FR"/>
        </w:rPr>
        <w:t>UNEP/MC/COP.3/INF/9</w:t>
      </w:r>
      <w:r>
        <w:rPr>
          <w:szCs w:val="18"/>
          <w:lang w:val="fr-FR"/>
        </w:rPr>
        <w:t>.</w:t>
      </w:r>
    </w:p>
  </w:footnote>
  <w:footnote w:id="25">
    <w:p w14:paraId="013412AF" w14:textId="51FB0C9D" w:rsidR="008A5658" w:rsidRPr="008A5658" w:rsidRDefault="008A5658">
      <w:pPr>
        <w:pStyle w:val="FootnoteText"/>
        <w:rPr>
          <w:lang w:val="fr-FR"/>
        </w:rPr>
      </w:pPr>
      <w:r>
        <w:rPr>
          <w:rStyle w:val="FootnoteReference"/>
        </w:rPr>
        <w:footnoteRef/>
      </w:r>
      <w:r>
        <w:t xml:space="preserve"> </w:t>
      </w:r>
      <w:r w:rsidRPr="002321A6">
        <w:rPr>
          <w:szCs w:val="18"/>
        </w:rPr>
        <w:t>UNEP/MC/COP.3/10</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7FE4A6D" w:rsidR="00CA4DAC" w:rsidRPr="00CA5CA9" w:rsidRDefault="00CA4DAC" w:rsidP="00201673">
    <w:pPr>
      <w:pStyle w:val="Header-pool"/>
    </w:pPr>
    <w:r>
      <w:t>UNEP/MC/COP.3/23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4580B2CE" w:rsidR="00CA4DAC" w:rsidRPr="00CA5CA9" w:rsidRDefault="00CA4DAC" w:rsidP="00201673">
    <w:pPr>
      <w:pStyle w:val="Header-pool"/>
      <w:jc w:val="right"/>
    </w:pPr>
    <w:r>
      <w:t>UNEP/MC/COP.3/23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75DE"/>
    <w:rsid w:val="001F760E"/>
    <w:rsid w:val="00200D58"/>
    <w:rsid w:val="002011C1"/>
    <w:rsid w:val="002013BE"/>
    <w:rsid w:val="00201673"/>
    <w:rsid w:val="00201EDC"/>
    <w:rsid w:val="00203C7D"/>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1549"/>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21BD"/>
    <w:rsid w:val="00C47B7A"/>
    <w:rsid w:val="00C47DBF"/>
    <w:rsid w:val="00C47F3A"/>
    <w:rsid w:val="00C50321"/>
    <w:rsid w:val="00C51BDD"/>
    <w:rsid w:val="00C5393A"/>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6BB0"/>
    <w:rsid w:val="00FA6C76"/>
    <w:rsid w:val="00FA7402"/>
    <w:rsid w:val="00FB0775"/>
    <w:rsid w:val="00FB0F80"/>
    <w:rsid w:val="00FB1027"/>
    <w:rsid w:val="00FB22D0"/>
    <w:rsid w:val="00FB2DBD"/>
    <w:rsid w:val="00FB57BF"/>
    <w:rsid w:val="00FC5760"/>
    <w:rsid w:val="00FC6709"/>
    <w:rsid w:val="00FC7FF9"/>
    <w:rsid w:val="00FD0975"/>
    <w:rsid w:val="00FD0F19"/>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5.tmp"/><Relationship Id="rId3" Type="http://schemas.openxmlformats.org/officeDocument/2006/relationships/customXml" Target="../customXml/item3.xml"/><Relationship Id="rId21" Type="http://schemas.openxmlformats.org/officeDocument/2006/relationships/hyperlink" Target="http://www.mercuryconvention.org/Accueil/tabid/5576/language/fr-CH/Default.asp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4.tmp"/><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ea-minamatasecretariat@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3.tmp"/><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ercuryconvention.org/Accueil/tabid/5576/language/fr-CH/Defaul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mea-minamatasecretariat@u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358EFC-E8BE-4A2A-9D2F-9E0B0E75F2D7}"/>
</file>

<file path=customXml/itemProps4.xml><?xml version="1.0" encoding="utf-8"?>
<ds:datastoreItem xmlns:ds="http://schemas.openxmlformats.org/officeDocument/2006/customXml" ds:itemID="{C318F3D7-A562-4625-9ACD-188C581F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38884</Words>
  <Characters>221642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260006</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UNON-DCS-FLU</cp:lastModifiedBy>
  <cp:revision>3</cp:revision>
  <cp:lastPrinted>2019-11-28T23:49:00Z</cp:lastPrinted>
  <dcterms:created xsi:type="dcterms:W3CDTF">2020-05-19T14:04:00Z</dcterms:created>
  <dcterms:modified xsi:type="dcterms:W3CDTF">2020-05-19T14:06:00Z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